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eastAsia="黑体"/>
          <w:sz w:val="32"/>
          <w:szCs w:val="32"/>
        </w:rPr>
      </w:pPr>
      <w:r>
        <w:rPr>
          <w:rFonts w:hint="eastAsia" w:ascii="黑体" w:eastAsia="黑体"/>
          <w:sz w:val="32"/>
          <w:szCs w:val="32"/>
        </w:rPr>
        <w:t>附件1</w:t>
      </w:r>
    </w:p>
    <w:p>
      <w:pPr>
        <w:spacing w:line="300" w:lineRule="exact"/>
        <w:rPr>
          <w:rFonts w:ascii="仿宋_GB2312" w:eastAsia="仿宋_GB2312"/>
          <w:szCs w:val="21"/>
        </w:rPr>
      </w:pPr>
    </w:p>
    <w:p>
      <w:pPr>
        <w:spacing w:line="576" w:lineRule="exact"/>
        <w:jc w:val="center"/>
        <w:rPr>
          <w:rFonts w:ascii="方正小标宋简体" w:eastAsia="方正小标宋简体"/>
          <w:b/>
          <w:sz w:val="44"/>
          <w:szCs w:val="44"/>
        </w:rPr>
      </w:pPr>
      <w:r>
        <w:rPr>
          <w:rFonts w:hint="eastAsia" w:ascii="方正小标宋简体" w:eastAsia="方正小标宋简体"/>
          <w:b/>
          <w:sz w:val="44"/>
          <w:szCs w:val="44"/>
        </w:rPr>
        <w:t>四川省旺苍县公开引进（招聘）急需紧缺高层次人才单位基本情况</w:t>
      </w:r>
    </w:p>
    <w:p>
      <w:pPr>
        <w:spacing w:line="300" w:lineRule="exact"/>
        <w:rPr>
          <w:rFonts w:ascii="仿宋_GB2312" w:eastAsia="仿宋_GB2312"/>
          <w:szCs w:val="21"/>
        </w:rPr>
      </w:pPr>
    </w:p>
    <w:tbl>
      <w:tblPr>
        <w:tblStyle w:val="6"/>
        <w:tblW w:w="13976" w:type="dxa"/>
        <w:jc w:val="center"/>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359"/>
        <w:gridCol w:w="1113"/>
        <w:gridCol w:w="2828"/>
        <w:gridCol w:w="7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5" w:hRule="atLeast"/>
          <w:tblHeader/>
          <w:jc w:val="center"/>
        </w:trPr>
        <w:tc>
          <w:tcPr>
            <w:tcW w:w="2359" w:type="dxa"/>
            <w:shd w:val="clear" w:color="auto" w:fill="auto"/>
            <w:vAlign w:val="center"/>
          </w:tcPr>
          <w:p>
            <w:pPr>
              <w:spacing w:line="300" w:lineRule="exact"/>
              <w:jc w:val="center"/>
              <w:rPr>
                <w:rFonts w:ascii="黑体" w:eastAsia="黑体"/>
                <w:szCs w:val="21"/>
              </w:rPr>
            </w:pPr>
            <w:r>
              <w:rPr>
                <w:rFonts w:hint="eastAsia" w:ascii="黑体" w:eastAsia="黑体"/>
                <w:szCs w:val="21"/>
              </w:rPr>
              <w:t>单位名称</w:t>
            </w:r>
          </w:p>
        </w:tc>
        <w:tc>
          <w:tcPr>
            <w:tcW w:w="1113" w:type="dxa"/>
            <w:shd w:val="clear" w:color="auto" w:fill="auto"/>
            <w:vAlign w:val="center"/>
          </w:tcPr>
          <w:p>
            <w:pPr>
              <w:spacing w:line="300" w:lineRule="exact"/>
              <w:jc w:val="center"/>
              <w:rPr>
                <w:rFonts w:ascii="黑体" w:eastAsia="黑体"/>
                <w:szCs w:val="21"/>
              </w:rPr>
            </w:pPr>
            <w:r>
              <w:rPr>
                <w:rFonts w:hint="eastAsia" w:ascii="黑体" w:eastAsia="黑体"/>
                <w:szCs w:val="21"/>
              </w:rPr>
              <w:t>经费性质</w:t>
            </w:r>
          </w:p>
        </w:tc>
        <w:tc>
          <w:tcPr>
            <w:tcW w:w="2828" w:type="dxa"/>
            <w:shd w:val="clear" w:color="auto" w:fill="auto"/>
            <w:vAlign w:val="center"/>
          </w:tcPr>
          <w:p>
            <w:pPr>
              <w:spacing w:line="300" w:lineRule="exact"/>
              <w:jc w:val="center"/>
              <w:rPr>
                <w:rFonts w:ascii="黑体" w:eastAsia="黑体"/>
                <w:szCs w:val="21"/>
              </w:rPr>
            </w:pPr>
            <w:r>
              <w:rPr>
                <w:rFonts w:hint="eastAsia" w:ascii="黑体" w:eastAsia="黑体"/>
                <w:szCs w:val="21"/>
              </w:rPr>
              <w:t>单位地址</w:t>
            </w:r>
          </w:p>
        </w:tc>
        <w:tc>
          <w:tcPr>
            <w:tcW w:w="7676" w:type="dxa"/>
            <w:shd w:val="clear" w:color="auto" w:fill="auto"/>
            <w:vAlign w:val="center"/>
          </w:tcPr>
          <w:p>
            <w:pPr>
              <w:spacing w:line="300" w:lineRule="exact"/>
              <w:jc w:val="center"/>
              <w:rPr>
                <w:rFonts w:ascii="黑体" w:eastAsia="黑体"/>
                <w:szCs w:val="21"/>
              </w:rPr>
            </w:pPr>
            <w:r>
              <w:rPr>
                <w:rFonts w:hint="eastAsia" w:ascii="黑体" w:eastAsia="黑体"/>
                <w:szCs w:val="21"/>
              </w:rPr>
              <w:t>主要职能简介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jc w:val="center"/>
        </w:trPr>
        <w:tc>
          <w:tcPr>
            <w:tcW w:w="2359"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旺苍县干部信息档案管理中心</w:t>
            </w:r>
          </w:p>
        </w:tc>
        <w:tc>
          <w:tcPr>
            <w:tcW w:w="1113" w:type="dxa"/>
            <w:shd w:val="clear" w:color="auto" w:fill="auto"/>
            <w:vAlign w:val="center"/>
          </w:tcPr>
          <w:p>
            <w:pPr>
              <w:spacing w:line="300" w:lineRule="exact"/>
              <w:jc w:val="center"/>
              <w:rPr>
                <w:rFonts w:ascii="仿宋_GB2312" w:eastAsia="仿宋_GB2312"/>
                <w:szCs w:val="21"/>
              </w:rPr>
            </w:pPr>
            <w:r>
              <w:rPr>
                <w:rFonts w:hint="eastAsia" w:ascii="仿宋_GB2312" w:eastAsia="仿宋_GB2312"/>
                <w:szCs w:val="21"/>
              </w:rPr>
              <w:t>全额拨款</w:t>
            </w:r>
          </w:p>
        </w:tc>
        <w:tc>
          <w:tcPr>
            <w:tcW w:w="2828"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旺苍县东河镇新华街333号</w:t>
            </w:r>
          </w:p>
        </w:tc>
        <w:tc>
          <w:tcPr>
            <w:tcW w:w="7676"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负责全县副科级以上干部信息库的建设和管理，以及干部信息的统计、分析、调查、整理，为县委和部机关及有关部门提供信息服务。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jc w:val="center"/>
        </w:trPr>
        <w:tc>
          <w:tcPr>
            <w:tcW w:w="2359" w:type="dxa"/>
            <w:shd w:val="clear" w:color="auto" w:fill="auto"/>
            <w:vAlign w:val="center"/>
          </w:tcPr>
          <w:p>
            <w:pPr>
              <w:spacing w:line="300" w:lineRule="exact"/>
              <w:rPr>
                <w:rFonts w:ascii="仿宋_GB2312" w:eastAsia="仿宋_GB2312"/>
                <w:spacing w:val="-4"/>
                <w:szCs w:val="21"/>
              </w:rPr>
            </w:pPr>
            <w:r>
              <w:rPr>
                <w:rFonts w:hint="eastAsia" w:ascii="仿宋_GB2312" w:eastAsia="仿宋_GB2312"/>
                <w:spacing w:val="-4"/>
                <w:szCs w:val="21"/>
              </w:rPr>
              <w:t>旺苍县土地开发整理中心</w:t>
            </w:r>
          </w:p>
        </w:tc>
        <w:tc>
          <w:tcPr>
            <w:tcW w:w="1113" w:type="dxa"/>
            <w:shd w:val="clear" w:color="auto" w:fill="auto"/>
            <w:vAlign w:val="center"/>
          </w:tcPr>
          <w:p>
            <w:pPr>
              <w:spacing w:line="300" w:lineRule="exact"/>
              <w:jc w:val="center"/>
              <w:rPr>
                <w:rFonts w:ascii="仿宋_GB2312" w:eastAsia="仿宋_GB2312"/>
                <w:szCs w:val="21"/>
              </w:rPr>
            </w:pPr>
            <w:r>
              <w:rPr>
                <w:rFonts w:hint="eastAsia" w:ascii="仿宋_GB2312" w:eastAsia="仿宋_GB2312"/>
                <w:szCs w:val="21"/>
              </w:rPr>
              <w:t>全额拨款</w:t>
            </w:r>
          </w:p>
        </w:tc>
        <w:tc>
          <w:tcPr>
            <w:tcW w:w="2828"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旺苍县东河镇西凤巷104号</w:t>
            </w:r>
            <w:bookmarkStart w:id="0" w:name="_GoBack"/>
            <w:bookmarkEnd w:id="0"/>
          </w:p>
        </w:tc>
        <w:tc>
          <w:tcPr>
            <w:tcW w:w="7676"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负责制定并落实土地开发整理规划与计划等工作。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jc w:val="center"/>
        </w:trPr>
        <w:tc>
          <w:tcPr>
            <w:tcW w:w="2359"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旺苍县建设工程质量安全监督站</w:t>
            </w:r>
          </w:p>
        </w:tc>
        <w:tc>
          <w:tcPr>
            <w:tcW w:w="1113" w:type="dxa"/>
            <w:shd w:val="clear" w:color="auto" w:fill="auto"/>
            <w:vAlign w:val="center"/>
          </w:tcPr>
          <w:p>
            <w:pPr>
              <w:spacing w:line="300" w:lineRule="exact"/>
              <w:jc w:val="center"/>
              <w:rPr>
                <w:rFonts w:ascii="仿宋_GB2312" w:eastAsia="仿宋_GB2312"/>
                <w:szCs w:val="21"/>
              </w:rPr>
            </w:pPr>
            <w:r>
              <w:rPr>
                <w:rFonts w:hint="eastAsia" w:ascii="仿宋_GB2312" w:eastAsia="仿宋_GB2312"/>
                <w:szCs w:val="21"/>
              </w:rPr>
              <w:t>全额拨款</w:t>
            </w:r>
          </w:p>
        </w:tc>
        <w:tc>
          <w:tcPr>
            <w:tcW w:w="2828"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旺苍县凤凰梁87号</w:t>
            </w:r>
          </w:p>
        </w:tc>
        <w:tc>
          <w:tcPr>
            <w:tcW w:w="7676"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负责全县建设工程安全质量管理，贯彻执行建设工程强制性标准，依法对工程建设五方责任主体履行质量安全责任的行为实施监督等工作。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jc w:val="center"/>
        </w:trPr>
        <w:tc>
          <w:tcPr>
            <w:tcW w:w="2359"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旺苍县审计信息中心</w:t>
            </w:r>
          </w:p>
        </w:tc>
        <w:tc>
          <w:tcPr>
            <w:tcW w:w="1113" w:type="dxa"/>
            <w:shd w:val="clear" w:color="auto" w:fill="auto"/>
            <w:vAlign w:val="center"/>
          </w:tcPr>
          <w:p>
            <w:pPr>
              <w:spacing w:line="300" w:lineRule="exact"/>
              <w:jc w:val="center"/>
              <w:rPr>
                <w:rFonts w:ascii="仿宋_GB2312" w:eastAsia="仿宋_GB2312"/>
                <w:szCs w:val="21"/>
              </w:rPr>
            </w:pPr>
            <w:r>
              <w:rPr>
                <w:rFonts w:hint="eastAsia" w:ascii="仿宋_GB2312" w:eastAsia="仿宋_GB2312"/>
                <w:szCs w:val="21"/>
              </w:rPr>
              <w:t>全额拨款</w:t>
            </w:r>
          </w:p>
        </w:tc>
        <w:tc>
          <w:tcPr>
            <w:tcW w:w="2828"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旺苍县东河镇凤凰梁西凤巷109号</w:t>
            </w:r>
          </w:p>
        </w:tc>
        <w:tc>
          <w:tcPr>
            <w:tcW w:w="7676"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负责贯彻执行上级审计机关和县委县政府制定的信息化方针、政策和技术标准、规范，研究制定局机关的信息化建设规划、计划、方案; 组织协调、指导管理、监督检查局机关的信息化建设等工作。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jc w:val="center"/>
        </w:trPr>
        <w:tc>
          <w:tcPr>
            <w:tcW w:w="2359"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红军精神培训学院</w:t>
            </w:r>
          </w:p>
        </w:tc>
        <w:tc>
          <w:tcPr>
            <w:tcW w:w="1113" w:type="dxa"/>
            <w:shd w:val="clear" w:color="auto" w:fill="auto"/>
            <w:vAlign w:val="center"/>
          </w:tcPr>
          <w:p>
            <w:pPr>
              <w:spacing w:line="300" w:lineRule="exact"/>
              <w:jc w:val="center"/>
              <w:rPr>
                <w:rFonts w:ascii="仿宋_GB2312" w:eastAsia="仿宋_GB2312"/>
                <w:szCs w:val="21"/>
              </w:rPr>
            </w:pPr>
            <w:r>
              <w:rPr>
                <w:rFonts w:hint="eastAsia" w:ascii="仿宋_GB2312" w:eastAsia="仿宋_GB2312"/>
                <w:szCs w:val="21"/>
              </w:rPr>
              <w:t>全额拨款</w:t>
            </w:r>
          </w:p>
        </w:tc>
        <w:tc>
          <w:tcPr>
            <w:tcW w:w="2828"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四川省旺苍县东河镇红星南路177号</w:t>
            </w:r>
          </w:p>
        </w:tc>
        <w:tc>
          <w:tcPr>
            <w:tcW w:w="7676"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负责宣讲马克思主义中国化最新理论成果和党的路线、方针、政策，深入挖掘、研究、传承“中国红军精神”，开展党员干部理想信念教育、党性党风党纪教育和“三观”教育等培训任务。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jc w:val="center"/>
        </w:trPr>
        <w:tc>
          <w:tcPr>
            <w:tcW w:w="2359"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旺苍县发展和改革信息中心</w:t>
            </w:r>
          </w:p>
        </w:tc>
        <w:tc>
          <w:tcPr>
            <w:tcW w:w="1113" w:type="dxa"/>
            <w:shd w:val="clear" w:color="auto" w:fill="auto"/>
            <w:vAlign w:val="center"/>
          </w:tcPr>
          <w:p>
            <w:pPr>
              <w:spacing w:line="300" w:lineRule="exact"/>
              <w:jc w:val="center"/>
              <w:rPr>
                <w:rFonts w:ascii="仿宋_GB2312" w:eastAsia="仿宋_GB2312"/>
                <w:szCs w:val="21"/>
              </w:rPr>
            </w:pPr>
            <w:r>
              <w:rPr>
                <w:rFonts w:hint="eastAsia" w:ascii="仿宋_GB2312" w:eastAsia="仿宋_GB2312"/>
                <w:szCs w:val="21"/>
              </w:rPr>
              <w:t>全额拨款</w:t>
            </w:r>
          </w:p>
        </w:tc>
        <w:tc>
          <w:tcPr>
            <w:tcW w:w="2828"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旺苍县东河镇红星南路140号</w:t>
            </w:r>
          </w:p>
        </w:tc>
        <w:tc>
          <w:tcPr>
            <w:tcW w:w="7676"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负责承担全县社会经济发展的监测、预测系统、与县级有关部门配合建立电子政务信息等系统。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jc w:val="center"/>
        </w:trPr>
        <w:tc>
          <w:tcPr>
            <w:tcW w:w="2359"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旺苍县农村公路建设管理办公室</w:t>
            </w:r>
          </w:p>
        </w:tc>
        <w:tc>
          <w:tcPr>
            <w:tcW w:w="1113" w:type="dxa"/>
            <w:shd w:val="clear" w:color="auto" w:fill="auto"/>
            <w:vAlign w:val="center"/>
          </w:tcPr>
          <w:p>
            <w:pPr>
              <w:spacing w:line="300" w:lineRule="exact"/>
              <w:jc w:val="center"/>
              <w:rPr>
                <w:rFonts w:ascii="仿宋_GB2312" w:eastAsia="仿宋_GB2312"/>
                <w:szCs w:val="21"/>
              </w:rPr>
            </w:pPr>
            <w:r>
              <w:rPr>
                <w:rFonts w:hint="eastAsia" w:ascii="仿宋_GB2312" w:eastAsia="仿宋_GB2312"/>
                <w:szCs w:val="21"/>
              </w:rPr>
              <w:t>全额拨款</w:t>
            </w:r>
          </w:p>
        </w:tc>
        <w:tc>
          <w:tcPr>
            <w:tcW w:w="2828"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旺苍县东河镇环城中路238号</w:t>
            </w:r>
          </w:p>
        </w:tc>
        <w:tc>
          <w:tcPr>
            <w:tcW w:w="7676"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负责为全县农村公路建设提供建设管理、资金使用管理、技术指导、监督和培训等工作。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22" w:hRule="atLeast"/>
          <w:jc w:val="center"/>
        </w:trPr>
        <w:tc>
          <w:tcPr>
            <w:tcW w:w="2359"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旺苍县食品药品检测检验中心</w:t>
            </w:r>
          </w:p>
        </w:tc>
        <w:tc>
          <w:tcPr>
            <w:tcW w:w="1113" w:type="dxa"/>
            <w:shd w:val="clear" w:color="auto" w:fill="auto"/>
            <w:vAlign w:val="center"/>
          </w:tcPr>
          <w:p>
            <w:pPr>
              <w:spacing w:line="300" w:lineRule="exact"/>
              <w:jc w:val="center"/>
              <w:rPr>
                <w:rFonts w:ascii="仿宋_GB2312" w:eastAsia="仿宋_GB2312"/>
                <w:szCs w:val="21"/>
              </w:rPr>
            </w:pPr>
            <w:r>
              <w:rPr>
                <w:rFonts w:hint="eastAsia" w:ascii="仿宋_GB2312" w:eastAsia="仿宋_GB2312"/>
                <w:szCs w:val="21"/>
              </w:rPr>
              <w:t>差额拨款</w:t>
            </w:r>
          </w:p>
        </w:tc>
        <w:tc>
          <w:tcPr>
            <w:tcW w:w="2828"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旺苍县东河镇西凤巷59号</w:t>
            </w:r>
          </w:p>
        </w:tc>
        <w:tc>
          <w:tcPr>
            <w:tcW w:w="7676"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负责完成县人民政府和县食品药品和工商质监局下达的食品、药品和化妆品监督抽检任务，对全县食品、药品安全风险评估和分析研判；协助完成国家药品医疗器械评价性抽样监测任务；负责药品、医疗器械、经营企业、医疗机构的不良反应监测和发生药品、医疗器械严重不良事件的调查、上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jc w:val="center"/>
        </w:trPr>
        <w:tc>
          <w:tcPr>
            <w:tcW w:w="2359"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旺苍县经济商务和信息中心</w:t>
            </w:r>
          </w:p>
        </w:tc>
        <w:tc>
          <w:tcPr>
            <w:tcW w:w="1113" w:type="dxa"/>
            <w:shd w:val="clear" w:color="auto" w:fill="auto"/>
            <w:vAlign w:val="center"/>
          </w:tcPr>
          <w:p>
            <w:pPr>
              <w:spacing w:line="300" w:lineRule="exact"/>
              <w:jc w:val="center"/>
              <w:rPr>
                <w:rFonts w:ascii="仿宋_GB2312" w:eastAsia="仿宋_GB2312"/>
                <w:szCs w:val="21"/>
              </w:rPr>
            </w:pPr>
            <w:r>
              <w:rPr>
                <w:rFonts w:hint="eastAsia" w:ascii="仿宋_GB2312" w:eastAsia="仿宋_GB2312"/>
                <w:szCs w:val="21"/>
              </w:rPr>
              <w:t>全额拨款</w:t>
            </w:r>
          </w:p>
        </w:tc>
        <w:tc>
          <w:tcPr>
            <w:tcW w:w="2828"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旺苍县东河镇商业南街144号</w:t>
            </w:r>
          </w:p>
        </w:tc>
        <w:tc>
          <w:tcPr>
            <w:tcW w:w="7676"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负责承担全县社会经济发展的监测、预测系统、与县级有关部门配合建立电子政务信息等系统。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jc w:val="center"/>
        </w:trPr>
        <w:tc>
          <w:tcPr>
            <w:tcW w:w="2359"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旺苍县经济开发区科信中心</w:t>
            </w:r>
          </w:p>
        </w:tc>
        <w:tc>
          <w:tcPr>
            <w:tcW w:w="1113" w:type="dxa"/>
            <w:shd w:val="clear" w:color="auto" w:fill="auto"/>
            <w:vAlign w:val="center"/>
          </w:tcPr>
          <w:p>
            <w:pPr>
              <w:spacing w:line="300" w:lineRule="exact"/>
              <w:jc w:val="center"/>
              <w:rPr>
                <w:rFonts w:ascii="仿宋_GB2312" w:eastAsia="仿宋_GB2312"/>
                <w:szCs w:val="21"/>
              </w:rPr>
            </w:pPr>
            <w:r>
              <w:rPr>
                <w:rFonts w:hint="eastAsia" w:ascii="仿宋_GB2312" w:eastAsia="仿宋_GB2312"/>
                <w:szCs w:val="21"/>
              </w:rPr>
              <w:t>全额拨款</w:t>
            </w:r>
          </w:p>
        </w:tc>
        <w:tc>
          <w:tcPr>
            <w:tcW w:w="2828"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旺苍县东河镇马家渡兴旺大道西路122号</w:t>
            </w:r>
          </w:p>
        </w:tc>
        <w:tc>
          <w:tcPr>
            <w:tcW w:w="7676"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为入区企业提供科技服务和技术指导，培育科技型企业；负责高新技术企业及高新技术产品和各类创新基金项目、科技成果专项推广项目的审核、申报等工作。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jc w:val="center"/>
        </w:trPr>
        <w:tc>
          <w:tcPr>
            <w:tcW w:w="2359"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旺苍县图书馆</w:t>
            </w:r>
          </w:p>
        </w:tc>
        <w:tc>
          <w:tcPr>
            <w:tcW w:w="1113" w:type="dxa"/>
            <w:shd w:val="clear" w:color="auto" w:fill="auto"/>
            <w:vAlign w:val="center"/>
          </w:tcPr>
          <w:p>
            <w:pPr>
              <w:spacing w:line="300" w:lineRule="exact"/>
              <w:jc w:val="center"/>
              <w:rPr>
                <w:rFonts w:ascii="仿宋_GB2312" w:eastAsia="仿宋_GB2312"/>
                <w:szCs w:val="21"/>
              </w:rPr>
            </w:pPr>
            <w:r>
              <w:rPr>
                <w:rFonts w:hint="eastAsia" w:ascii="仿宋_GB2312" w:eastAsia="仿宋_GB2312"/>
                <w:szCs w:val="21"/>
              </w:rPr>
              <w:t>全额拨款</w:t>
            </w:r>
          </w:p>
        </w:tc>
        <w:tc>
          <w:tcPr>
            <w:tcW w:w="2828"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旺苍县东河镇兴旺大道文化体育中心</w:t>
            </w:r>
          </w:p>
        </w:tc>
        <w:tc>
          <w:tcPr>
            <w:tcW w:w="7676"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保存、借阅图书资料，促进社会经济文化发展；图书资料采编与储藏、借阅；图书馆学研究与社会教育；完成主管部门交办的其他工作事项。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jc w:val="center"/>
        </w:trPr>
        <w:tc>
          <w:tcPr>
            <w:tcW w:w="2359" w:type="dxa"/>
            <w:shd w:val="clear" w:color="auto" w:fill="auto"/>
            <w:vAlign w:val="center"/>
          </w:tcPr>
          <w:p>
            <w:pPr>
              <w:spacing w:line="300" w:lineRule="exact"/>
              <w:rPr>
                <w:rFonts w:ascii="仿宋_GB2312" w:eastAsia="仿宋_GB2312"/>
                <w:szCs w:val="21"/>
              </w:rPr>
            </w:pPr>
            <w:r>
              <w:rPr>
                <w:rFonts w:hint="eastAsia" w:ascii="仿宋_GB2312" w:eastAsia="仿宋_GB2312"/>
                <w:spacing w:val="-4"/>
                <w:szCs w:val="21"/>
              </w:rPr>
              <w:t>旺苍县煤矿瓦斯监控中心</w:t>
            </w:r>
          </w:p>
        </w:tc>
        <w:tc>
          <w:tcPr>
            <w:tcW w:w="1113" w:type="dxa"/>
            <w:shd w:val="clear" w:color="auto" w:fill="auto"/>
            <w:vAlign w:val="center"/>
          </w:tcPr>
          <w:p>
            <w:pPr>
              <w:spacing w:line="300" w:lineRule="exact"/>
              <w:jc w:val="center"/>
              <w:rPr>
                <w:rFonts w:ascii="仿宋_GB2312" w:eastAsia="仿宋_GB2312"/>
                <w:szCs w:val="21"/>
              </w:rPr>
            </w:pPr>
            <w:r>
              <w:rPr>
                <w:rFonts w:hint="eastAsia" w:ascii="仿宋_GB2312" w:eastAsia="仿宋_GB2312"/>
                <w:szCs w:val="21"/>
              </w:rPr>
              <w:t>全额拨款</w:t>
            </w:r>
          </w:p>
        </w:tc>
        <w:tc>
          <w:tcPr>
            <w:tcW w:w="2828"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旺苍县东河镇滨河中路217号</w:t>
            </w:r>
          </w:p>
        </w:tc>
        <w:tc>
          <w:tcPr>
            <w:tcW w:w="7676"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准确掌握煤矿瓦斯监控、风机开停等网络运行情况及数据资料；监督、检查各乡镇煤矿瓦斯监控监测系统网络建设使用和运行情况，发现隐患及时督促整改。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5" w:hRule="atLeast"/>
          <w:jc w:val="center"/>
        </w:trPr>
        <w:tc>
          <w:tcPr>
            <w:tcW w:w="2359"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旺苍县旺苍中学</w:t>
            </w:r>
          </w:p>
        </w:tc>
        <w:tc>
          <w:tcPr>
            <w:tcW w:w="1113" w:type="dxa"/>
            <w:shd w:val="clear" w:color="auto" w:fill="auto"/>
            <w:vAlign w:val="center"/>
          </w:tcPr>
          <w:p>
            <w:pPr>
              <w:spacing w:line="300" w:lineRule="exact"/>
              <w:jc w:val="center"/>
              <w:rPr>
                <w:rFonts w:ascii="仿宋_GB2312" w:eastAsia="仿宋_GB2312"/>
                <w:szCs w:val="21"/>
              </w:rPr>
            </w:pPr>
            <w:r>
              <w:rPr>
                <w:rFonts w:hint="eastAsia" w:ascii="仿宋_GB2312" w:eastAsia="仿宋_GB2312"/>
                <w:szCs w:val="21"/>
              </w:rPr>
              <w:t>全额拨款</w:t>
            </w:r>
          </w:p>
        </w:tc>
        <w:tc>
          <w:tcPr>
            <w:tcW w:w="2828"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旺苍县东河镇建设路215号</w:t>
            </w:r>
          </w:p>
        </w:tc>
        <w:tc>
          <w:tcPr>
            <w:tcW w:w="7676"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从事普通高中、初中教育等工作。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5" w:hRule="atLeast"/>
          <w:jc w:val="center"/>
        </w:trPr>
        <w:tc>
          <w:tcPr>
            <w:tcW w:w="2359"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旺苍县东城中学</w:t>
            </w:r>
          </w:p>
        </w:tc>
        <w:tc>
          <w:tcPr>
            <w:tcW w:w="1113" w:type="dxa"/>
            <w:shd w:val="clear" w:color="auto" w:fill="auto"/>
            <w:vAlign w:val="center"/>
          </w:tcPr>
          <w:p>
            <w:pPr>
              <w:spacing w:line="300" w:lineRule="exact"/>
              <w:jc w:val="center"/>
              <w:rPr>
                <w:rFonts w:ascii="仿宋_GB2312" w:eastAsia="仿宋_GB2312"/>
                <w:szCs w:val="21"/>
              </w:rPr>
            </w:pPr>
            <w:r>
              <w:rPr>
                <w:rFonts w:hint="eastAsia" w:ascii="仿宋_GB2312" w:eastAsia="仿宋_GB2312"/>
                <w:szCs w:val="21"/>
              </w:rPr>
              <w:t>全额拨款</w:t>
            </w:r>
          </w:p>
        </w:tc>
        <w:tc>
          <w:tcPr>
            <w:tcW w:w="2828"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旺苍县东河镇滨河北路414号</w:t>
            </w:r>
          </w:p>
        </w:tc>
        <w:tc>
          <w:tcPr>
            <w:tcW w:w="7676"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从事普通高中、初中教育等工作。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5" w:hRule="atLeast"/>
          <w:jc w:val="center"/>
        </w:trPr>
        <w:tc>
          <w:tcPr>
            <w:tcW w:w="2359"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旺苍县人民医院</w:t>
            </w:r>
          </w:p>
        </w:tc>
        <w:tc>
          <w:tcPr>
            <w:tcW w:w="1113" w:type="dxa"/>
            <w:shd w:val="clear" w:color="auto" w:fill="auto"/>
            <w:vAlign w:val="center"/>
          </w:tcPr>
          <w:p>
            <w:pPr>
              <w:spacing w:line="300" w:lineRule="exact"/>
              <w:jc w:val="center"/>
              <w:rPr>
                <w:rFonts w:ascii="仿宋_GB2312" w:eastAsia="仿宋_GB2312"/>
                <w:szCs w:val="21"/>
              </w:rPr>
            </w:pPr>
            <w:r>
              <w:rPr>
                <w:rFonts w:hint="eastAsia" w:ascii="仿宋_GB2312" w:eastAsia="仿宋_GB2312"/>
                <w:szCs w:val="21"/>
              </w:rPr>
              <w:t>全额拨款</w:t>
            </w:r>
          </w:p>
        </w:tc>
        <w:tc>
          <w:tcPr>
            <w:tcW w:w="2828"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旺苍县东河镇新华街471号</w:t>
            </w:r>
          </w:p>
        </w:tc>
        <w:tc>
          <w:tcPr>
            <w:tcW w:w="7676" w:type="dxa"/>
            <w:shd w:val="clear" w:color="auto" w:fill="auto"/>
            <w:vAlign w:val="center"/>
          </w:tcPr>
          <w:p>
            <w:pPr>
              <w:spacing w:line="300" w:lineRule="exact"/>
              <w:rPr>
                <w:rFonts w:ascii="仿宋_GB2312" w:eastAsia="仿宋_GB2312"/>
                <w:szCs w:val="21"/>
              </w:rPr>
            </w:pPr>
            <w:r>
              <w:rPr>
                <w:rFonts w:hint="eastAsia" w:ascii="仿宋_GB2312" w:eastAsia="仿宋_GB2312"/>
                <w:szCs w:val="21"/>
              </w:rPr>
              <w:t>国家二级甲等综合医院。提供医疗服务，承担指导乡镇卫生院业务工作，进行预防保健工作。</w:t>
            </w:r>
          </w:p>
        </w:tc>
      </w:tr>
    </w:tbl>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576" w:lineRule="exact"/>
        <w:rPr>
          <w:rFonts w:ascii="黑体" w:eastAsia="黑体"/>
          <w:sz w:val="32"/>
          <w:szCs w:val="32"/>
        </w:rPr>
      </w:pPr>
      <w:r>
        <w:rPr>
          <w:rFonts w:hint="eastAsia" w:ascii="黑体" w:eastAsia="黑体"/>
          <w:sz w:val="32"/>
          <w:szCs w:val="32"/>
        </w:rPr>
        <w:t>附件2</w:t>
      </w:r>
    </w:p>
    <w:p>
      <w:pPr>
        <w:spacing w:line="300" w:lineRule="exact"/>
        <w:rPr>
          <w:rFonts w:ascii="仿宋_GB2312" w:eastAsia="仿宋_GB2312"/>
          <w:szCs w:val="21"/>
        </w:rPr>
      </w:pPr>
    </w:p>
    <w:p>
      <w:pPr>
        <w:spacing w:line="576" w:lineRule="exact"/>
        <w:jc w:val="center"/>
        <w:rPr>
          <w:rFonts w:ascii="方正小标宋简体" w:eastAsia="方正小标宋简体"/>
          <w:b/>
          <w:sz w:val="44"/>
          <w:szCs w:val="44"/>
        </w:rPr>
      </w:pPr>
      <w:r>
        <w:rPr>
          <w:rFonts w:hint="eastAsia" w:ascii="方正小标宋简体" w:eastAsia="方正小标宋简体"/>
          <w:b/>
          <w:sz w:val="44"/>
          <w:szCs w:val="44"/>
        </w:rPr>
        <w:t>四川省旺苍县公开引进（招聘）急需紧缺高层次人才岗位设置一览表</w:t>
      </w:r>
    </w:p>
    <w:p>
      <w:pPr>
        <w:spacing w:line="300" w:lineRule="exact"/>
        <w:rPr>
          <w:rFonts w:ascii="仿宋_GB2312" w:eastAsia="仿宋_GB2312"/>
          <w:szCs w:val="21"/>
        </w:rPr>
      </w:pPr>
    </w:p>
    <w:tbl>
      <w:tblPr>
        <w:tblStyle w:val="6"/>
        <w:tblW w:w="13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3"/>
        <w:gridCol w:w="1727"/>
        <w:gridCol w:w="1361"/>
        <w:gridCol w:w="900"/>
        <w:gridCol w:w="2115"/>
        <w:gridCol w:w="1060"/>
        <w:gridCol w:w="580"/>
        <w:gridCol w:w="705"/>
        <w:gridCol w:w="706"/>
        <w:gridCol w:w="1035"/>
        <w:gridCol w:w="1800"/>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blHeader/>
          <w:jc w:val="center"/>
        </w:trPr>
        <w:tc>
          <w:tcPr>
            <w:tcW w:w="433" w:type="dxa"/>
            <w:shd w:val="clear" w:color="auto" w:fill="auto"/>
            <w:vAlign w:val="center"/>
          </w:tcPr>
          <w:p>
            <w:pPr>
              <w:spacing w:line="280" w:lineRule="exact"/>
              <w:jc w:val="center"/>
              <w:rPr>
                <w:rFonts w:ascii="黑体" w:eastAsia="黑体"/>
                <w:sz w:val="20"/>
                <w:szCs w:val="20"/>
              </w:rPr>
            </w:pPr>
            <w:r>
              <w:rPr>
                <w:rFonts w:hint="eastAsia" w:ascii="黑体" w:eastAsia="黑体"/>
                <w:sz w:val="20"/>
                <w:szCs w:val="20"/>
              </w:rPr>
              <w:t>序号</w:t>
            </w:r>
          </w:p>
        </w:tc>
        <w:tc>
          <w:tcPr>
            <w:tcW w:w="1727" w:type="dxa"/>
            <w:shd w:val="clear" w:color="auto" w:fill="auto"/>
            <w:vAlign w:val="center"/>
          </w:tcPr>
          <w:p>
            <w:pPr>
              <w:spacing w:line="280" w:lineRule="exact"/>
              <w:jc w:val="center"/>
              <w:rPr>
                <w:rFonts w:ascii="黑体" w:eastAsia="黑体"/>
                <w:sz w:val="20"/>
                <w:szCs w:val="20"/>
              </w:rPr>
            </w:pPr>
            <w:r>
              <w:rPr>
                <w:rFonts w:hint="eastAsia" w:ascii="黑体" w:eastAsia="黑体"/>
                <w:sz w:val="20"/>
                <w:szCs w:val="20"/>
              </w:rPr>
              <w:t>用人单位</w:t>
            </w:r>
          </w:p>
        </w:tc>
        <w:tc>
          <w:tcPr>
            <w:tcW w:w="1361" w:type="dxa"/>
            <w:shd w:val="clear" w:color="auto" w:fill="auto"/>
            <w:vAlign w:val="center"/>
          </w:tcPr>
          <w:p>
            <w:pPr>
              <w:spacing w:line="280" w:lineRule="exact"/>
              <w:jc w:val="center"/>
              <w:rPr>
                <w:rFonts w:ascii="黑体" w:eastAsia="黑体"/>
                <w:sz w:val="20"/>
                <w:szCs w:val="20"/>
              </w:rPr>
            </w:pPr>
            <w:r>
              <w:rPr>
                <w:rFonts w:hint="eastAsia" w:ascii="黑体" w:eastAsia="黑体"/>
                <w:sz w:val="20"/>
                <w:szCs w:val="20"/>
              </w:rPr>
              <w:t>主管部门</w:t>
            </w:r>
          </w:p>
        </w:tc>
        <w:tc>
          <w:tcPr>
            <w:tcW w:w="900" w:type="dxa"/>
            <w:shd w:val="clear" w:color="auto" w:fill="auto"/>
            <w:vAlign w:val="center"/>
          </w:tcPr>
          <w:p>
            <w:pPr>
              <w:spacing w:line="280" w:lineRule="exact"/>
              <w:jc w:val="center"/>
              <w:rPr>
                <w:rFonts w:ascii="黑体" w:eastAsia="黑体"/>
                <w:sz w:val="20"/>
                <w:szCs w:val="20"/>
              </w:rPr>
            </w:pPr>
            <w:r>
              <w:rPr>
                <w:rFonts w:hint="eastAsia" w:ascii="黑体" w:eastAsia="黑体"/>
                <w:sz w:val="20"/>
                <w:szCs w:val="20"/>
              </w:rPr>
              <w:t>岗位名称</w:t>
            </w:r>
          </w:p>
        </w:tc>
        <w:tc>
          <w:tcPr>
            <w:tcW w:w="2115" w:type="dxa"/>
            <w:shd w:val="clear" w:color="auto" w:fill="auto"/>
            <w:vAlign w:val="center"/>
          </w:tcPr>
          <w:p>
            <w:pPr>
              <w:spacing w:line="280" w:lineRule="exact"/>
              <w:jc w:val="center"/>
              <w:rPr>
                <w:rFonts w:ascii="黑体" w:eastAsia="黑体"/>
                <w:sz w:val="20"/>
                <w:szCs w:val="20"/>
              </w:rPr>
            </w:pPr>
            <w:r>
              <w:rPr>
                <w:rFonts w:hint="eastAsia" w:ascii="黑体" w:eastAsia="黑体"/>
                <w:sz w:val="20"/>
                <w:szCs w:val="20"/>
              </w:rPr>
              <w:t>专业</w:t>
            </w:r>
          </w:p>
        </w:tc>
        <w:tc>
          <w:tcPr>
            <w:tcW w:w="1060" w:type="dxa"/>
            <w:shd w:val="clear" w:color="auto" w:fill="auto"/>
            <w:vAlign w:val="center"/>
          </w:tcPr>
          <w:p>
            <w:pPr>
              <w:spacing w:line="280" w:lineRule="exact"/>
              <w:jc w:val="center"/>
              <w:rPr>
                <w:rFonts w:ascii="黑体" w:eastAsia="黑体"/>
                <w:sz w:val="20"/>
                <w:szCs w:val="20"/>
              </w:rPr>
            </w:pPr>
            <w:r>
              <w:rPr>
                <w:rFonts w:hint="eastAsia" w:ascii="黑体" w:eastAsia="黑体"/>
                <w:sz w:val="20"/>
                <w:szCs w:val="20"/>
              </w:rPr>
              <w:t>岗位代码</w:t>
            </w:r>
          </w:p>
        </w:tc>
        <w:tc>
          <w:tcPr>
            <w:tcW w:w="580" w:type="dxa"/>
            <w:shd w:val="clear" w:color="auto" w:fill="auto"/>
            <w:vAlign w:val="center"/>
          </w:tcPr>
          <w:p>
            <w:pPr>
              <w:spacing w:line="280" w:lineRule="exact"/>
              <w:jc w:val="center"/>
              <w:rPr>
                <w:rFonts w:ascii="黑体" w:eastAsia="黑体"/>
                <w:sz w:val="20"/>
                <w:szCs w:val="20"/>
              </w:rPr>
            </w:pPr>
            <w:r>
              <w:rPr>
                <w:rFonts w:hint="eastAsia" w:ascii="黑体" w:eastAsia="黑体"/>
                <w:sz w:val="20"/>
                <w:szCs w:val="20"/>
              </w:rPr>
              <w:t>需求数量</w:t>
            </w:r>
          </w:p>
        </w:tc>
        <w:tc>
          <w:tcPr>
            <w:tcW w:w="705" w:type="dxa"/>
            <w:shd w:val="clear" w:color="auto" w:fill="auto"/>
            <w:vAlign w:val="center"/>
          </w:tcPr>
          <w:p>
            <w:pPr>
              <w:spacing w:line="280" w:lineRule="exact"/>
              <w:jc w:val="center"/>
              <w:rPr>
                <w:rFonts w:ascii="黑体" w:eastAsia="黑体"/>
                <w:sz w:val="20"/>
                <w:szCs w:val="20"/>
              </w:rPr>
            </w:pPr>
            <w:r>
              <w:rPr>
                <w:rFonts w:hint="eastAsia" w:ascii="黑体" w:eastAsia="黑体"/>
                <w:sz w:val="20"/>
                <w:szCs w:val="20"/>
              </w:rPr>
              <w:t>学位</w:t>
            </w:r>
          </w:p>
        </w:tc>
        <w:tc>
          <w:tcPr>
            <w:tcW w:w="706" w:type="dxa"/>
            <w:shd w:val="clear" w:color="auto" w:fill="auto"/>
            <w:vAlign w:val="center"/>
          </w:tcPr>
          <w:p>
            <w:pPr>
              <w:spacing w:line="280" w:lineRule="exact"/>
              <w:jc w:val="center"/>
              <w:rPr>
                <w:rFonts w:ascii="黑体" w:eastAsia="黑体"/>
                <w:sz w:val="20"/>
                <w:szCs w:val="20"/>
              </w:rPr>
            </w:pPr>
            <w:r>
              <w:rPr>
                <w:rFonts w:hint="eastAsia" w:ascii="黑体" w:eastAsia="黑体"/>
                <w:sz w:val="20"/>
                <w:szCs w:val="20"/>
              </w:rPr>
              <w:t>学历</w:t>
            </w:r>
          </w:p>
        </w:tc>
        <w:tc>
          <w:tcPr>
            <w:tcW w:w="1035" w:type="dxa"/>
            <w:shd w:val="clear" w:color="auto" w:fill="auto"/>
            <w:vAlign w:val="center"/>
          </w:tcPr>
          <w:p>
            <w:pPr>
              <w:spacing w:line="280" w:lineRule="exact"/>
              <w:jc w:val="center"/>
              <w:rPr>
                <w:rFonts w:ascii="黑体" w:eastAsia="黑体"/>
                <w:sz w:val="20"/>
                <w:szCs w:val="20"/>
              </w:rPr>
            </w:pPr>
            <w:r>
              <w:rPr>
                <w:rFonts w:hint="eastAsia" w:ascii="黑体" w:eastAsia="黑体"/>
                <w:sz w:val="20"/>
                <w:szCs w:val="20"/>
              </w:rPr>
              <w:t>毕业院校</w:t>
            </w:r>
          </w:p>
        </w:tc>
        <w:tc>
          <w:tcPr>
            <w:tcW w:w="1800" w:type="dxa"/>
            <w:shd w:val="clear" w:color="auto" w:fill="auto"/>
            <w:vAlign w:val="center"/>
          </w:tcPr>
          <w:p>
            <w:pPr>
              <w:spacing w:line="280" w:lineRule="exact"/>
              <w:jc w:val="center"/>
              <w:rPr>
                <w:rFonts w:ascii="黑体" w:eastAsia="黑体"/>
                <w:sz w:val="20"/>
                <w:szCs w:val="20"/>
              </w:rPr>
            </w:pPr>
            <w:r>
              <w:rPr>
                <w:rFonts w:hint="eastAsia" w:ascii="黑体" w:eastAsia="黑体"/>
                <w:sz w:val="20"/>
                <w:szCs w:val="20"/>
              </w:rPr>
              <w:t>其它要求</w:t>
            </w:r>
          </w:p>
        </w:tc>
        <w:tc>
          <w:tcPr>
            <w:tcW w:w="1511" w:type="dxa"/>
            <w:shd w:val="clear" w:color="auto" w:fill="auto"/>
            <w:vAlign w:val="center"/>
          </w:tcPr>
          <w:p>
            <w:pPr>
              <w:spacing w:line="280" w:lineRule="exact"/>
              <w:jc w:val="center"/>
              <w:rPr>
                <w:rFonts w:ascii="黑体" w:eastAsia="黑体"/>
                <w:sz w:val="20"/>
                <w:szCs w:val="20"/>
              </w:rPr>
            </w:pPr>
            <w:r>
              <w:rPr>
                <w:rFonts w:hint="eastAsia" w:ascii="黑体" w:eastAsia="黑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旺苍县干部信息档案管理中心</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中共旺苍县委组织部</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档案学\汉语言文字学\中国现当代文学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20192001</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shd w:val="clear" w:color="auto" w:fill="auto"/>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旺苍县干部信息档案管理中心</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中共旺苍县委组织部</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pacing w:val="-6"/>
                <w:sz w:val="20"/>
                <w:szCs w:val="20"/>
              </w:rPr>
            </w:pPr>
            <w:r>
              <w:rPr>
                <w:rFonts w:hint="eastAsia" w:ascii="仿宋_GB2312" w:eastAsia="仿宋_GB2312"/>
                <w:spacing w:val="-6"/>
                <w:sz w:val="20"/>
                <w:szCs w:val="20"/>
              </w:rPr>
              <w:t>计算机技术\计算机应用技术\计算机与信息管理\计算机科学与技术</w:t>
            </w:r>
          </w:p>
        </w:tc>
        <w:tc>
          <w:tcPr>
            <w:tcW w:w="1060" w:type="dxa"/>
            <w:vMerge w:val="restart"/>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20192002</w:t>
            </w:r>
          </w:p>
        </w:tc>
        <w:tc>
          <w:tcPr>
            <w:tcW w:w="580" w:type="dxa"/>
            <w:vMerge w:val="restart"/>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3</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vMerge w:val="restart"/>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vMerge w:val="restart"/>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县干部信息档案管理中心、县审计信息中心、县经济商务和信息中心各1名。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3</w:t>
            </w:r>
          </w:p>
        </w:tc>
        <w:tc>
          <w:tcPr>
            <w:tcW w:w="1727" w:type="dxa"/>
            <w:shd w:val="clear" w:color="auto" w:fill="auto"/>
            <w:vAlign w:val="center"/>
          </w:tcPr>
          <w:p>
            <w:pPr>
              <w:spacing w:line="280" w:lineRule="exact"/>
              <w:rPr>
                <w:rFonts w:ascii="仿宋_GB2312" w:eastAsia="仿宋_GB2312"/>
                <w:spacing w:val="-8"/>
                <w:sz w:val="20"/>
                <w:szCs w:val="20"/>
              </w:rPr>
            </w:pPr>
            <w:r>
              <w:rPr>
                <w:rFonts w:hint="eastAsia" w:ascii="仿宋_GB2312" w:eastAsia="仿宋_GB2312"/>
                <w:spacing w:val="-8"/>
                <w:sz w:val="20"/>
                <w:szCs w:val="20"/>
              </w:rPr>
              <w:t>旺苍县审计信息中心</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旺苍县审计局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pacing w:val="-6"/>
                <w:sz w:val="20"/>
                <w:szCs w:val="20"/>
              </w:rPr>
            </w:pPr>
            <w:r>
              <w:rPr>
                <w:rFonts w:hint="eastAsia" w:ascii="仿宋_GB2312" w:eastAsia="仿宋_GB2312"/>
                <w:spacing w:val="-6"/>
                <w:sz w:val="20"/>
                <w:szCs w:val="20"/>
              </w:rPr>
              <w:t>计算机技术\计算机应用技术\计算机与信息管理\计算机科学与技术</w:t>
            </w:r>
          </w:p>
        </w:tc>
        <w:tc>
          <w:tcPr>
            <w:tcW w:w="1060" w:type="dxa"/>
            <w:vMerge w:val="continue"/>
            <w:shd w:val="clear" w:color="auto" w:fill="auto"/>
            <w:vAlign w:val="center"/>
          </w:tcPr>
          <w:p>
            <w:pPr>
              <w:spacing w:line="280" w:lineRule="exact"/>
              <w:jc w:val="center"/>
              <w:rPr>
                <w:rFonts w:ascii="仿宋_GB2312" w:eastAsia="仿宋_GB2312"/>
                <w:sz w:val="20"/>
                <w:szCs w:val="20"/>
              </w:rPr>
            </w:pPr>
          </w:p>
        </w:tc>
        <w:tc>
          <w:tcPr>
            <w:tcW w:w="580" w:type="dxa"/>
            <w:vMerge w:val="continue"/>
            <w:shd w:val="clear" w:color="auto" w:fill="auto"/>
            <w:vAlign w:val="center"/>
          </w:tcPr>
          <w:p>
            <w:pPr>
              <w:spacing w:line="280" w:lineRule="exact"/>
              <w:jc w:val="center"/>
              <w:rPr>
                <w:rFonts w:ascii="仿宋_GB2312" w:eastAsia="仿宋_GB2312"/>
                <w:sz w:val="20"/>
                <w:szCs w:val="20"/>
              </w:rPr>
            </w:pP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vMerge w:val="continue"/>
            <w:vAlign w:val="center"/>
          </w:tcPr>
          <w:p>
            <w:pPr>
              <w:spacing w:line="280" w:lineRule="exact"/>
              <w:jc w:val="center"/>
              <w:rPr>
                <w:rFonts w:ascii="仿宋_GB2312" w:eastAsia="仿宋_GB2312"/>
                <w:sz w:val="20"/>
                <w:szCs w:val="20"/>
              </w:rPr>
            </w:pPr>
          </w:p>
        </w:tc>
        <w:tc>
          <w:tcPr>
            <w:tcW w:w="1511" w:type="dxa"/>
            <w:vMerge w:val="continue"/>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4</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旺苍县经济商务和信息中心</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旺苍县经济信息化和科学技术局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pacing w:val="-6"/>
                <w:sz w:val="20"/>
                <w:szCs w:val="20"/>
              </w:rPr>
            </w:pPr>
            <w:r>
              <w:rPr>
                <w:rFonts w:hint="eastAsia" w:ascii="仿宋_GB2312" w:eastAsia="仿宋_GB2312"/>
                <w:spacing w:val="-6"/>
                <w:sz w:val="20"/>
                <w:szCs w:val="20"/>
              </w:rPr>
              <w:t>计算机技术\计算机应用技术\计算机与信息管理\计算机科学与技术</w:t>
            </w:r>
          </w:p>
        </w:tc>
        <w:tc>
          <w:tcPr>
            <w:tcW w:w="1060" w:type="dxa"/>
            <w:vMerge w:val="continue"/>
            <w:shd w:val="clear" w:color="auto" w:fill="auto"/>
            <w:vAlign w:val="center"/>
          </w:tcPr>
          <w:p>
            <w:pPr>
              <w:spacing w:line="280" w:lineRule="exact"/>
              <w:jc w:val="center"/>
              <w:rPr>
                <w:rFonts w:ascii="仿宋_GB2312" w:eastAsia="仿宋_GB2312"/>
                <w:sz w:val="20"/>
                <w:szCs w:val="20"/>
              </w:rPr>
            </w:pPr>
          </w:p>
        </w:tc>
        <w:tc>
          <w:tcPr>
            <w:tcW w:w="580" w:type="dxa"/>
            <w:vMerge w:val="continue"/>
            <w:shd w:val="clear" w:color="auto" w:fill="auto"/>
            <w:vAlign w:val="center"/>
          </w:tcPr>
          <w:p>
            <w:pPr>
              <w:spacing w:line="280" w:lineRule="exact"/>
              <w:jc w:val="center"/>
              <w:rPr>
                <w:rFonts w:ascii="仿宋_GB2312" w:eastAsia="仿宋_GB2312"/>
                <w:sz w:val="20"/>
                <w:szCs w:val="20"/>
              </w:rPr>
            </w:pP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vMerge w:val="continue"/>
            <w:vAlign w:val="center"/>
          </w:tcPr>
          <w:p>
            <w:pPr>
              <w:spacing w:line="280" w:lineRule="exact"/>
              <w:jc w:val="center"/>
              <w:rPr>
                <w:rFonts w:ascii="仿宋_GB2312" w:eastAsia="仿宋_GB2312"/>
                <w:sz w:val="20"/>
                <w:szCs w:val="20"/>
              </w:rPr>
            </w:pPr>
          </w:p>
        </w:tc>
        <w:tc>
          <w:tcPr>
            <w:tcW w:w="1511" w:type="dxa"/>
            <w:vMerge w:val="continue"/>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5</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旺苍县土地开发</w:t>
            </w:r>
            <w:r>
              <w:rPr>
                <w:rFonts w:hint="eastAsia" w:ascii="仿宋_GB2312" w:eastAsia="仿宋_GB2312"/>
                <w:sz w:val="20"/>
                <w:szCs w:val="20"/>
              </w:rPr>
              <w:br w:type="textWrapping"/>
            </w:r>
            <w:r>
              <w:rPr>
                <w:rFonts w:hint="eastAsia" w:ascii="仿宋_GB2312" w:eastAsia="仿宋_GB2312"/>
                <w:sz w:val="20"/>
                <w:szCs w:val="20"/>
              </w:rPr>
              <w:t>整理中心</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旺苍县自然资源局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土地资源管理\土地管理\土地资源利用与信息技术</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20192003</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shd w:val="clear" w:color="auto" w:fill="auto"/>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6</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旺苍县建设工程质量安全监督站</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旺苍县住房和</w:t>
            </w:r>
            <w:r>
              <w:rPr>
                <w:rFonts w:hint="eastAsia" w:ascii="仿宋_GB2312" w:eastAsia="仿宋_GB2312"/>
                <w:sz w:val="20"/>
                <w:szCs w:val="20"/>
              </w:rPr>
              <w:br w:type="textWrapping"/>
            </w:r>
            <w:r>
              <w:rPr>
                <w:rFonts w:hint="eastAsia" w:ascii="仿宋_GB2312" w:eastAsia="仿宋_GB2312"/>
                <w:sz w:val="20"/>
                <w:szCs w:val="20"/>
              </w:rPr>
              <w:t>城乡建设局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岩土工程\</w:t>
            </w:r>
            <w:r>
              <w:rPr>
                <w:rFonts w:hint="eastAsia" w:ascii="仿宋_GB2312" w:eastAsia="仿宋_GB2312"/>
                <w:sz w:val="20"/>
                <w:szCs w:val="20"/>
              </w:rPr>
              <w:br w:type="textWrapping"/>
            </w:r>
            <w:r>
              <w:rPr>
                <w:rFonts w:hint="eastAsia" w:ascii="仿宋_GB2312" w:eastAsia="仿宋_GB2312"/>
                <w:sz w:val="20"/>
                <w:szCs w:val="20"/>
              </w:rPr>
              <w:t>建筑与土木工程\结构工程\市政工程</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20192004</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shd w:val="clear" w:color="auto" w:fill="auto"/>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7</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红军精神培训学院</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中共旺苍县委党校</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马克思主义哲学\马克思主义发展史\马克思主义中国化</w:t>
            </w:r>
            <w:r>
              <w:rPr>
                <w:rFonts w:hint="eastAsia" w:ascii="仿宋_GB2312" w:eastAsia="仿宋_GB2312"/>
                <w:sz w:val="20"/>
                <w:szCs w:val="20"/>
              </w:rPr>
              <w:br w:type="textWrapping"/>
            </w:r>
            <w:r>
              <w:rPr>
                <w:rFonts w:hint="eastAsia" w:ascii="仿宋_GB2312" w:eastAsia="仿宋_GB2312"/>
                <w:sz w:val="20"/>
                <w:szCs w:val="20"/>
              </w:rPr>
              <w:t>研究\思想政治教育</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20192005</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shd w:val="clear" w:color="auto" w:fill="auto"/>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8</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红军精神培训学院</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中共旺苍县委党校</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中国近现代史\中国近现代史基本问题研究\中共党史 \中国史</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20192006</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shd w:val="clear" w:color="auto" w:fill="auto"/>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9</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旺苍县发展和改革信息中心</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旺苍县发展和</w:t>
            </w:r>
            <w:r>
              <w:rPr>
                <w:rFonts w:hint="eastAsia" w:ascii="仿宋_GB2312" w:eastAsia="仿宋_GB2312"/>
                <w:sz w:val="20"/>
                <w:szCs w:val="20"/>
              </w:rPr>
              <w:br w:type="textWrapping"/>
            </w:r>
            <w:r>
              <w:rPr>
                <w:rFonts w:hint="eastAsia" w:ascii="仿宋_GB2312" w:eastAsia="仿宋_GB2312"/>
                <w:sz w:val="20"/>
                <w:szCs w:val="20"/>
              </w:rPr>
              <w:t>改革局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理论经济学\应用经济学\统计学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20192007</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shd w:val="clear" w:color="auto" w:fill="auto"/>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10</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旺苍县发展和改革信息中心</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旺苍县发展和</w:t>
            </w:r>
            <w:r>
              <w:rPr>
                <w:rFonts w:hint="eastAsia" w:ascii="仿宋_GB2312" w:eastAsia="仿宋_GB2312"/>
                <w:sz w:val="20"/>
                <w:szCs w:val="20"/>
              </w:rPr>
              <w:br w:type="textWrapping"/>
            </w:r>
            <w:r>
              <w:rPr>
                <w:rFonts w:hint="eastAsia" w:ascii="仿宋_GB2312" w:eastAsia="仿宋_GB2312"/>
                <w:sz w:val="20"/>
                <w:szCs w:val="20"/>
              </w:rPr>
              <w:t>改革局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建筑设计及其理论\水利水电工程\结构工程</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20192008</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shd w:val="clear" w:color="auto" w:fill="auto"/>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11</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旺苍县农村公路建设管理办公室</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旺苍县交通局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道路与铁道工程\交通运输规划与管理\桥梁与隧道工程</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20192009</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shd w:val="clear" w:color="auto" w:fill="auto"/>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45" w:hRule="atLeast"/>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12</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旺苍县食品药品检测检验中心</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旺苍县市场</w:t>
            </w:r>
            <w:r>
              <w:rPr>
                <w:rFonts w:hint="eastAsia" w:ascii="仿宋_GB2312" w:eastAsia="仿宋_GB2312"/>
                <w:sz w:val="20"/>
                <w:szCs w:val="20"/>
              </w:rPr>
              <w:br w:type="textWrapping"/>
            </w:r>
            <w:r>
              <w:rPr>
                <w:rFonts w:hint="eastAsia" w:ascii="仿宋_GB2312" w:eastAsia="仿宋_GB2312"/>
                <w:sz w:val="20"/>
                <w:szCs w:val="20"/>
              </w:rPr>
              <w:t>监督管理局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食品科学\粮食、油脂及蛋白工程\农产品加工及贮藏</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20192010</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shd w:val="clear" w:color="auto" w:fill="auto"/>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13</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旺苍经济开发区科信中心</w:t>
            </w:r>
          </w:p>
        </w:tc>
        <w:tc>
          <w:tcPr>
            <w:tcW w:w="1361" w:type="dxa"/>
            <w:shd w:val="clear" w:color="auto" w:fill="auto"/>
            <w:vAlign w:val="center"/>
          </w:tcPr>
          <w:p>
            <w:pPr>
              <w:spacing w:line="280" w:lineRule="exact"/>
              <w:rPr>
                <w:rFonts w:ascii="仿宋_GB2312" w:eastAsia="仿宋_GB2312"/>
                <w:spacing w:val="-12"/>
                <w:sz w:val="20"/>
                <w:szCs w:val="20"/>
              </w:rPr>
            </w:pPr>
            <w:r>
              <w:rPr>
                <w:rFonts w:hint="eastAsia" w:ascii="仿宋_GB2312" w:eastAsia="仿宋_GB2312"/>
                <w:spacing w:val="-12"/>
                <w:sz w:val="20"/>
                <w:szCs w:val="20"/>
              </w:rPr>
              <w:t>旺苍经济开发区</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化学工程\应用化学\生物化工</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20192011</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特别优秀者，硕士研究生年龄可放宽到35周岁及以下；博士研究生年龄可放宽到40周岁及以下。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14</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旺苍县图书馆</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旺苍县文化旅游和体育局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汉语言文字学\语言学及应用语言\中国现当代文学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20192012</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shd w:val="clear" w:color="auto" w:fill="auto"/>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15</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旺苍县煤矿瓦斯监控中心</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旺苍县应急管理局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安全技术及工程\地质工程\采矿工程</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20192013</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shd w:val="clear" w:color="auto" w:fill="auto"/>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66" w:hRule="atLeast"/>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16</w:t>
            </w:r>
          </w:p>
        </w:tc>
        <w:tc>
          <w:tcPr>
            <w:tcW w:w="1727"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旺苍县旺苍中学</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旺苍县教育局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学科教学（语文）\语言学及应用语言学\汉语言文字学\中国现当代文学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20192014</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vMerge w:val="restart"/>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师范专业毕业生应具备相应高级中学教师资格，非师范专业毕业生高级中学教师资格暂不做要求，但须在签订合同后两年内取得相应高级中学教师资格。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55" w:hRule="atLeast"/>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17</w:t>
            </w:r>
          </w:p>
        </w:tc>
        <w:tc>
          <w:tcPr>
            <w:tcW w:w="1727"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旺苍县旺苍中学</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旺苍县教育局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pacing w:val="-8"/>
                <w:sz w:val="20"/>
                <w:szCs w:val="20"/>
              </w:rPr>
            </w:pPr>
            <w:r>
              <w:rPr>
                <w:rFonts w:hint="eastAsia" w:ascii="仿宋_GB2312" w:eastAsia="仿宋_GB2312"/>
                <w:spacing w:val="-8"/>
                <w:sz w:val="20"/>
                <w:szCs w:val="20"/>
              </w:rPr>
              <w:t>学科教学（数学）\基础数学\计算数学\应用数学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20192015</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vMerge w:val="continue"/>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31" w:hRule="atLeast"/>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18</w:t>
            </w:r>
          </w:p>
        </w:tc>
        <w:tc>
          <w:tcPr>
            <w:tcW w:w="1727"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旺苍县旺苍中学</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旺苍县教育局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学科教学（物理）\理论物理\声学\光学\原子与分子物理</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20192016</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vMerge w:val="continue"/>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61" w:hRule="atLeast"/>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19</w:t>
            </w:r>
          </w:p>
        </w:tc>
        <w:tc>
          <w:tcPr>
            <w:tcW w:w="1727"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旺苍县东城中学</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旺苍县教育局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pacing w:val="-8"/>
                <w:sz w:val="20"/>
                <w:szCs w:val="20"/>
              </w:rPr>
            </w:pPr>
            <w:r>
              <w:rPr>
                <w:rFonts w:hint="eastAsia" w:ascii="仿宋_GB2312" w:eastAsia="仿宋_GB2312"/>
                <w:spacing w:val="-8"/>
                <w:sz w:val="20"/>
                <w:szCs w:val="20"/>
              </w:rPr>
              <w:t>学科教学（语文）\语言学及应用语言学\汉语言文字学\中国现当代文学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20192017</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vMerge w:val="continue"/>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79" w:hRule="atLeast"/>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w:t>
            </w:r>
          </w:p>
        </w:tc>
        <w:tc>
          <w:tcPr>
            <w:tcW w:w="1727"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旺苍县东城中学</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旺苍县教育局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pacing w:val="-8"/>
                <w:sz w:val="20"/>
                <w:szCs w:val="20"/>
              </w:rPr>
            </w:pPr>
            <w:r>
              <w:rPr>
                <w:rFonts w:hint="eastAsia" w:ascii="仿宋_GB2312" w:eastAsia="仿宋_GB2312"/>
                <w:spacing w:val="-8"/>
                <w:sz w:val="20"/>
                <w:szCs w:val="20"/>
              </w:rPr>
              <w:t>学科教学（数学）\基础数学\计算数学\应用数学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20192018</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vMerge w:val="continue"/>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8" w:hRule="atLeast"/>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21</w:t>
            </w:r>
          </w:p>
        </w:tc>
        <w:tc>
          <w:tcPr>
            <w:tcW w:w="1727"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旺苍县东城中学</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旺苍县教育局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学科教学（英语）\英语语言文学\英语口译\英语笔译</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20192019</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rPr>
                <w:rFonts w:ascii="仿宋_GB2312" w:eastAsia="仿宋_GB2312"/>
                <w:sz w:val="20"/>
                <w:szCs w:val="20"/>
              </w:rPr>
            </w:pPr>
          </w:p>
          <w:p>
            <w:pPr>
              <w:spacing w:line="280" w:lineRule="exact"/>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vMerge w:val="continue"/>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4" w:hRule="atLeast"/>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22</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旺苍县人民医院</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旺苍县卫生健康局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内科学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20192020</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4</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rPr>
                <w:rFonts w:ascii="仿宋_GB2312" w:eastAsia="仿宋_GB2312"/>
                <w:sz w:val="18"/>
                <w:szCs w:val="18"/>
              </w:rPr>
            </w:pPr>
            <w:r>
              <w:rPr>
                <w:rFonts w:hint="eastAsia" w:ascii="仿宋_GB2312" w:eastAsia="仿宋_GB2312"/>
                <w:sz w:val="18"/>
                <w:szCs w:val="18"/>
              </w:rPr>
              <w:t>硕士研究生30周岁及以下，博士研究生35周岁及以下</w:t>
            </w:r>
          </w:p>
        </w:tc>
        <w:tc>
          <w:tcPr>
            <w:tcW w:w="1511" w:type="dxa"/>
            <w:vMerge w:val="restart"/>
            <w:shd w:val="clear" w:color="auto" w:fill="auto"/>
            <w:vAlign w:val="center"/>
          </w:tcPr>
          <w:p>
            <w:pPr>
              <w:spacing w:line="280" w:lineRule="exact"/>
              <w:jc w:val="center"/>
              <w:rPr>
                <w:rFonts w:ascii="仿宋_GB2312" w:eastAsia="仿宋_GB2312"/>
                <w:sz w:val="16"/>
                <w:szCs w:val="16"/>
              </w:rPr>
            </w:pPr>
            <w:r>
              <w:rPr>
                <w:rFonts w:hint="eastAsia" w:ascii="仿宋_GB2312" w:eastAsia="仿宋_GB2312"/>
                <w:sz w:val="20"/>
                <w:szCs w:val="20"/>
              </w:rPr>
              <w:t>2018年以前毕业生应具有相应专业执业医师资格，2018年及以后毕业生执业资格暂不作要求，但须在签订合同后两年内取得相应专业执业医师资格。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80" w:hRule="atLeast"/>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23</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旺苍县人民医院</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旺苍县卫生健康局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儿科学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20192021</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rPr>
                <w:rFonts w:ascii="仿宋_GB2312" w:eastAsia="仿宋_GB2312"/>
                <w:sz w:val="18"/>
                <w:szCs w:val="18"/>
              </w:rPr>
            </w:pPr>
            <w:r>
              <w:rPr>
                <w:rFonts w:hint="eastAsia" w:ascii="仿宋_GB2312" w:eastAsia="仿宋_GB2312"/>
                <w:sz w:val="18"/>
                <w:szCs w:val="18"/>
              </w:rPr>
              <w:t>硕士研究生30周岁及以下，博士研究生35周岁及以下</w:t>
            </w:r>
          </w:p>
        </w:tc>
        <w:tc>
          <w:tcPr>
            <w:tcW w:w="1511" w:type="dxa"/>
            <w:vMerge w:val="continue"/>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24</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旺苍县人民医院</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旺苍县卫生健康局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神经病学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20192022</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vMerge w:val="continue"/>
            <w:shd w:val="clear" w:color="auto" w:fill="auto"/>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25</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旺苍县人民医院</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旺苍县卫生健康局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影像医学与核医学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20192023</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vMerge w:val="continue"/>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26</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旺苍县人民医院</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旺苍县卫生健康局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外科学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20192024</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4</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vMerge w:val="continue"/>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27</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旺苍县人民医院</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旺苍县卫生健康局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妇产科学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20192025</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vMerge w:val="continue"/>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28</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旺苍县人民医院</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旺苍县卫生健康局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眼科学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20192026</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vMerge w:val="continue"/>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29</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旺苍县人民医院</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旺苍县卫生健康局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耳鼻咽喉科学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20192027</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vMerge w:val="continue"/>
            <w:vAlign w:val="center"/>
          </w:tcPr>
          <w:p>
            <w:pPr>
              <w:spacing w:line="280" w:lineRule="exact"/>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jc w:val="center"/>
        </w:trPr>
        <w:tc>
          <w:tcPr>
            <w:tcW w:w="433"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30</w:t>
            </w:r>
          </w:p>
        </w:tc>
        <w:tc>
          <w:tcPr>
            <w:tcW w:w="1727"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旺苍县人民医院</w:t>
            </w:r>
          </w:p>
        </w:tc>
        <w:tc>
          <w:tcPr>
            <w:tcW w:w="1361"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旺苍县卫生健康局</w:t>
            </w:r>
          </w:p>
        </w:tc>
        <w:tc>
          <w:tcPr>
            <w:tcW w:w="9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专业技术</w:t>
            </w:r>
          </w:p>
        </w:tc>
        <w:tc>
          <w:tcPr>
            <w:tcW w:w="2115" w:type="dxa"/>
            <w:shd w:val="clear" w:color="auto" w:fill="auto"/>
            <w:vAlign w:val="center"/>
          </w:tcPr>
          <w:p>
            <w:pPr>
              <w:spacing w:line="280" w:lineRule="exact"/>
              <w:rPr>
                <w:rFonts w:ascii="仿宋_GB2312" w:eastAsia="仿宋_GB2312"/>
                <w:sz w:val="20"/>
                <w:szCs w:val="20"/>
              </w:rPr>
            </w:pPr>
            <w:r>
              <w:rPr>
                <w:rFonts w:hint="eastAsia" w:ascii="仿宋_GB2312" w:eastAsia="仿宋_GB2312"/>
                <w:sz w:val="20"/>
                <w:szCs w:val="20"/>
              </w:rPr>
              <w:t>麻醉学</w:t>
            </w:r>
          </w:p>
        </w:tc>
        <w:tc>
          <w:tcPr>
            <w:tcW w:w="106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20192028</w:t>
            </w:r>
          </w:p>
        </w:tc>
        <w:tc>
          <w:tcPr>
            <w:tcW w:w="58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1</w:t>
            </w:r>
          </w:p>
        </w:tc>
        <w:tc>
          <w:tcPr>
            <w:tcW w:w="70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硕士及以上</w:t>
            </w:r>
          </w:p>
        </w:tc>
        <w:tc>
          <w:tcPr>
            <w:tcW w:w="706"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研究生</w:t>
            </w:r>
          </w:p>
        </w:tc>
        <w:tc>
          <w:tcPr>
            <w:tcW w:w="1035"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全日制普通高校</w:t>
            </w:r>
          </w:p>
        </w:tc>
        <w:tc>
          <w:tcPr>
            <w:tcW w:w="1800" w:type="dxa"/>
            <w:shd w:val="clear" w:color="auto" w:fill="auto"/>
            <w:vAlign w:val="center"/>
          </w:tcPr>
          <w:p>
            <w:pPr>
              <w:spacing w:line="280" w:lineRule="exact"/>
              <w:jc w:val="center"/>
              <w:rPr>
                <w:rFonts w:ascii="仿宋_GB2312" w:eastAsia="仿宋_GB2312"/>
                <w:sz w:val="20"/>
                <w:szCs w:val="20"/>
              </w:rPr>
            </w:pPr>
            <w:r>
              <w:rPr>
                <w:rFonts w:hint="eastAsia" w:ascii="仿宋_GB2312" w:eastAsia="仿宋_GB2312"/>
                <w:sz w:val="20"/>
                <w:szCs w:val="20"/>
              </w:rPr>
              <w:t>硕士研究生30周岁及以下，博士研究生35周岁及以下</w:t>
            </w:r>
          </w:p>
        </w:tc>
        <w:tc>
          <w:tcPr>
            <w:tcW w:w="1511" w:type="dxa"/>
            <w:vMerge w:val="continue"/>
            <w:vAlign w:val="center"/>
          </w:tcPr>
          <w:p>
            <w:pPr>
              <w:spacing w:line="280" w:lineRule="exact"/>
              <w:jc w:val="center"/>
              <w:rPr>
                <w:rFonts w:ascii="仿宋_GB2312" w:eastAsia="仿宋_GB2312"/>
                <w:sz w:val="20"/>
                <w:szCs w:val="20"/>
              </w:rPr>
            </w:pPr>
          </w:p>
        </w:tc>
      </w:tr>
    </w:tbl>
    <w:p>
      <w:pPr>
        <w:spacing w:line="576" w:lineRule="exact"/>
        <w:rPr>
          <w:rFonts w:ascii="仿宋_GB2312" w:eastAsia="仿宋_GB2312"/>
          <w:sz w:val="32"/>
          <w:szCs w:val="32"/>
        </w:rPr>
        <w:sectPr>
          <w:footerReference r:id="rId3" w:type="default"/>
          <w:pgSz w:w="16838" w:h="11906" w:orient="landscape"/>
          <w:pgMar w:top="1588" w:right="1588" w:bottom="1588" w:left="1588" w:header="851" w:footer="1474" w:gutter="0"/>
          <w:cols w:space="425" w:num="1"/>
          <w:docGrid w:type="lines" w:linePitch="312" w:charSpace="0"/>
        </w:sectPr>
      </w:pPr>
    </w:p>
    <w:p>
      <w:pPr>
        <w:spacing w:line="576" w:lineRule="exact"/>
        <w:rPr>
          <w:rFonts w:ascii="黑体" w:eastAsia="黑体"/>
          <w:sz w:val="32"/>
          <w:szCs w:val="32"/>
        </w:rPr>
      </w:pPr>
      <w:r>
        <w:rPr>
          <w:rFonts w:hint="eastAsia" w:ascii="黑体" w:eastAsia="黑体"/>
          <w:sz w:val="32"/>
          <w:szCs w:val="32"/>
        </w:rPr>
        <w:t>附件3</w:t>
      </w:r>
    </w:p>
    <w:p>
      <w:pPr>
        <w:spacing w:line="300" w:lineRule="exact"/>
        <w:rPr>
          <w:rFonts w:ascii="仿宋_GB2312" w:eastAsia="仿宋_GB2312"/>
          <w:szCs w:val="21"/>
        </w:rPr>
      </w:pPr>
    </w:p>
    <w:p>
      <w:pPr>
        <w:spacing w:line="576" w:lineRule="exact"/>
        <w:jc w:val="center"/>
        <w:rPr>
          <w:rFonts w:ascii="方正小标宋简体" w:eastAsia="方正小标宋简体"/>
          <w:b/>
          <w:w w:val="80"/>
          <w:sz w:val="44"/>
          <w:szCs w:val="44"/>
        </w:rPr>
      </w:pPr>
      <w:r>
        <w:rPr>
          <w:rFonts w:hint="eastAsia" w:ascii="方正小标宋简体" w:eastAsia="方正小标宋简体"/>
          <w:b/>
          <w:w w:val="80"/>
          <w:sz w:val="44"/>
          <w:szCs w:val="44"/>
        </w:rPr>
        <w:t>四川省旺苍县公开引进（招聘）急需紧缺高层次人才报名登记表</w:t>
      </w:r>
    </w:p>
    <w:p>
      <w:pPr>
        <w:spacing w:line="300" w:lineRule="exact"/>
        <w:rPr>
          <w:rFonts w:ascii="仿宋_GB2312" w:eastAsia="仿宋_GB2312"/>
          <w:szCs w:val="21"/>
        </w:rPr>
      </w:pPr>
      <w:r>
        <w:drawing>
          <wp:anchor distT="0" distB="0" distL="114300" distR="114300" simplePos="0" relativeHeight="251658240" behindDoc="0" locked="0" layoutInCell="1" allowOverlap="1">
            <wp:simplePos x="0" y="0"/>
            <wp:positionH relativeFrom="column">
              <wp:posOffset>0</wp:posOffset>
            </wp:positionH>
            <wp:positionV relativeFrom="paragraph">
              <wp:posOffset>167640</wp:posOffset>
            </wp:positionV>
            <wp:extent cx="5610225" cy="6835140"/>
            <wp:effectExtent l="0" t="0" r="9525" b="381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5610225" cy="6835140"/>
                    </a:xfrm>
                    <a:prstGeom prst="rect">
                      <a:avLst/>
                    </a:prstGeom>
                    <a:noFill/>
                    <a:ln>
                      <a:noFill/>
                    </a:ln>
                  </pic:spPr>
                </pic:pic>
              </a:graphicData>
            </a:graphic>
          </wp:anchor>
        </w:drawing>
      </w: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r>
        <w:drawing>
          <wp:anchor distT="0" distB="0" distL="114300" distR="114300" simplePos="0" relativeHeight="251659264" behindDoc="0" locked="0" layoutInCell="1" allowOverlap="1">
            <wp:simplePos x="0" y="0"/>
            <wp:positionH relativeFrom="column">
              <wp:posOffset>2540</wp:posOffset>
            </wp:positionH>
            <wp:positionV relativeFrom="paragraph">
              <wp:posOffset>7620</wp:posOffset>
            </wp:positionV>
            <wp:extent cx="5610225" cy="7572375"/>
            <wp:effectExtent l="0" t="0" r="9525" b="952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cstate="print"/>
                    <a:stretch>
                      <a:fillRect/>
                    </a:stretch>
                  </pic:blipFill>
                  <pic:spPr>
                    <a:xfrm>
                      <a:off x="0" y="0"/>
                      <a:ext cx="5610225" cy="7572375"/>
                    </a:xfrm>
                    <a:prstGeom prst="rect">
                      <a:avLst/>
                    </a:prstGeom>
                    <a:noFill/>
                    <a:ln>
                      <a:noFill/>
                    </a:ln>
                  </pic:spPr>
                </pic:pic>
              </a:graphicData>
            </a:graphic>
          </wp:anchor>
        </w:drawing>
      </w: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p>
      <w:pPr>
        <w:spacing w:line="300" w:lineRule="exact"/>
        <w:rPr>
          <w:rFonts w:ascii="仿宋_GB2312" w:eastAsia="仿宋_GB2312"/>
          <w:szCs w:val="21"/>
        </w:rPr>
      </w:pPr>
    </w:p>
    <w:sectPr>
      <w:pgSz w:w="11906" w:h="16838"/>
      <w:pgMar w:top="2098" w:right="1531" w:bottom="1985" w:left="1531"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964" w:wrap="around" w:vAnchor="text" w:hAnchor="margin" w:xAlign="outside" w:y="46"/>
      <w:jc w:val="right"/>
      <w:rPr>
        <w:rStyle w:val="5"/>
        <w:sz w:val="28"/>
        <w:szCs w:val="28"/>
      </w:rPr>
    </w:pPr>
    <w:r>
      <w:rPr>
        <w:rStyle w:val="5"/>
        <w:sz w:val="28"/>
        <w:szCs w:val="28"/>
      </w:rPr>
      <w:t>－</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4</w:t>
    </w:r>
    <w:r>
      <w:rPr>
        <w:rStyle w:val="5"/>
        <w:sz w:val="28"/>
        <w:szCs w:val="28"/>
      </w:rPr>
      <w:fldChar w:fldCharType="end"/>
    </w:r>
    <w:r>
      <w:rPr>
        <w:rStyle w:val="5"/>
        <w:sz w:val="28"/>
        <w:szCs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FDD0294"/>
    <w:rsid w:val="00027CC7"/>
    <w:rsid w:val="000342C9"/>
    <w:rsid w:val="00047B03"/>
    <w:rsid w:val="0013381D"/>
    <w:rsid w:val="00134992"/>
    <w:rsid w:val="00207915"/>
    <w:rsid w:val="003445E2"/>
    <w:rsid w:val="003871F3"/>
    <w:rsid w:val="00434648"/>
    <w:rsid w:val="004E700A"/>
    <w:rsid w:val="00571140"/>
    <w:rsid w:val="00630E3B"/>
    <w:rsid w:val="006360EF"/>
    <w:rsid w:val="00680A45"/>
    <w:rsid w:val="0071349E"/>
    <w:rsid w:val="00721E17"/>
    <w:rsid w:val="00721EA8"/>
    <w:rsid w:val="007E5E98"/>
    <w:rsid w:val="00811CCB"/>
    <w:rsid w:val="00883CA3"/>
    <w:rsid w:val="00886419"/>
    <w:rsid w:val="00951269"/>
    <w:rsid w:val="00A83C67"/>
    <w:rsid w:val="00CD2728"/>
    <w:rsid w:val="00D64D29"/>
    <w:rsid w:val="00E11246"/>
    <w:rsid w:val="00E131B7"/>
    <w:rsid w:val="00E3349D"/>
    <w:rsid w:val="00E401C0"/>
    <w:rsid w:val="00E77CFD"/>
    <w:rsid w:val="00E8562C"/>
    <w:rsid w:val="00F13D8F"/>
    <w:rsid w:val="00F63101"/>
    <w:rsid w:val="00F9417A"/>
    <w:rsid w:val="1FDD0294"/>
    <w:rsid w:val="7A361B5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页眉 Char"/>
    <w:basedOn w:val="4"/>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9E473F-A540-4A29-84EE-62A0C1E28F2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1298</Words>
  <Characters>7404</Characters>
  <Lines>61</Lines>
  <Paragraphs>17</Paragraphs>
  <TotalTime>0</TotalTime>
  <ScaleCrop>false</ScaleCrop>
  <LinksUpToDate>false</LinksUpToDate>
  <CharactersWithSpaces>8685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2019-08-30T03:52:00Z</dcterms:created>
  <dc:creator>樱桃小丸几</dc:creator>
  <cp:lastModifiedBy>hp</cp:lastModifiedBy>
  <cp:lastPrinted>2019-08-30T08:24:00Z</cp:lastPrinted>
  <dcterms:modified xsi:type="dcterms:W3CDTF">2019-08-30T08:44:41Z</dcterms:modified>
  <dc:title>附件1</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