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autoSpaceDN w:val="0"/>
        <w:bidi w:val="0"/>
        <w:adjustRightInd/>
        <w:snapToGrid/>
        <w:spacing w:line="576" w:lineRule="exact"/>
        <w:ind w:left="0"/>
        <w:jc w:val="center"/>
        <w:textAlignment w:val="auto"/>
        <w:outlineLvl w:val="9"/>
        <w:rPr>
          <w:rFonts w:hint="eastAsia" w:ascii="方正小标宋简体" w:hAnsi="黑体" w:eastAsia="方正小标宋简体" w:cs="宋体"/>
          <w:b w:val="0"/>
          <w:bCs w:val="0"/>
          <w:kern w:val="0"/>
          <w:sz w:val="44"/>
          <w:szCs w:val="44"/>
          <w:highlight w:val="none"/>
          <w:lang w:val="en-US" w:eastAsia="zh-CN"/>
        </w:rPr>
      </w:pPr>
      <w:r>
        <w:rPr>
          <w:rFonts w:hint="eastAsia" w:ascii="方正小标宋简体" w:hAnsi="黑体" w:eastAsia="方正小标宋简体" w:cs="宋体"/>
          <w:b w:val="0"/>
          <w:bCs w:val="0"/>
          <w:kern w:val="0"/>
          <w:sz w:val="44"/>
          <w:szCs w:val="44"/>
          <w:highlight w:val="none"/>
          <w:lang w:val="en-US" w:eastAsia="zh-CN"/>
        </w:rPr>
        <w:t>旺苍县政府投资工程建设项目监督管理办法（修订）</w:t>
      </w:r>
    </w:p>
    <w:p>
      <w:pPr>
        <w:keepNext w:val="0"/>
        <w:keepLines w:val="0"/>
        <w:pageBreakBefore w:val="0"/>
        <w:widowControl/>
        <w:kinsoku/>
        <w:wordWrap/>
        <w:overflowPunct w:val="0"/>
        <w:topLinePunct w:val="0"/>
        <w:autoSpaceDE/>
        <w:autoSpaceDN w:val="0"/>
        <w:bidi w:val="0"/>
        <w:adjustRightInd/>
        <w:snapToGrid/>
        <w:spacing w:line="576" w:lineRule="exact"/>
        <w:ind w:left="0"/>
        <w:jc w:val="center"/>
        <w:textAlignment w:val="auto"/>
        <w:outlineLvl w:val="9"/>
        <w:rPr>
          <w:rFonts w:hint="eastAsia" w:ascii="仿宋" w:hAnsi="仿宋" w:eastAsia="仿宋" w:cs="仿宋"/>
          <w:sz w:val="32"/>
          <w:szCs w:val="40"/>
          <w:highlight w:val="none"/>
          <w:lang w:val="en-US" w:eastAsia="zh-CN"/>
        </w:rPr>
      </w:pPr>
      <w:bookmarkStart w:id="0" w:name="_GoBack"/>
      <w:bookmarkEnd w:id="0"/>
    </w:p>
    <w:p>
      <w:pPr>
        <w:keepNext w:val="0"/>
        <w:keepLines w:val="0"/>
        <w:pageBreakBefore w:val="0"/>
        <w:widowControl/>
        <w:kinsoku/>
        <w:wordWrap/>
        <w:overflowPunct w:val="0"/>
        <w:topLinePunct w:val="0"/>
        <w:autoSpaceDE/>
        <w:autoSpaceDN w:val="0"/>
        <w:bidi w:val="0"/>
        <w:adjustRightInd/>
        <w:snapToGrid/>
        <w:spacing w:line="576" w:lineRule="exact"/>
        <w:ind w:left="0"/>
        <w:jc w:val="center"/>
        <w:textAlignment w:val="auto"/>
        <w:outlineLvl w:val="9"/>
        <w:rPr>
          <w:rFonts w:hint="eastAsia" w:ascii="楷体" w:hAnsi="楷体" w:eastAsia="楷体" w:cs="楷体"/>
          <w:b/>
          <w:bCs/>
          <w:sz w:val="32"/>
          <w:szCs w:val="40"/>
          <w:highlight w:val="none"/>
          <w:lang w:val="en-US" w:eastAsia="zh-CN"/>
        </w:rPr>
      </w:pPr>
      <w:r>
        <w:rPr>
          <w:rFonts w:hint="eastAsia" w:ascii="楷体" w:hAnsi="楷体" w:eastAsia="楷体" w:cs="楷体"/>
          <w:b/>
          <w:bCs/>
          <w:sz w:val="32"/>
          <w:szCs w:val="40"/>
          <w:highlight w:val="none"/>
          <w:lang w:val="en-US" w:eastAsia="zh-CN"/>
        </w:rPr>
        <w:t>（征求意见稿）</w:t>
      </w: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第一章  总  则</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第一条  </w:t>
      </w:r>
      <w:r>
        <w:rPr>
          <w:rFonts w:hint="eastAsia" w:ascii="仿宋" w:hAnsi="仿宋" w:eastAsia="仿宋" w:cs="仿宋"/>
          <w:sz w:val="32"/>
          <w:szCs w:val="40"/>
          <w:highlight w:val="none"/>
          <w:lang w:val="en-US" w:eastAsia="zh-CN"/>
        </w:rPr>
        <w:t>为进一步加强政府投资工程建设项目监督管理，规范政府投资行为，提高投资效益，促进县域经济高质量发展，根据《中华人民共和国招标投标法》《中华人民共和国政府采购法》《政府投资条例》《四川省政府投资管理办法》等相关规定，结合旺苍实际，制定本办法。</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第二条</w:t>
      </w:r>
      <w:r>
        <w:rPr>
          <w:rFonts w:hint="eastAsia" w:ascii="仿宋" w:hAnsi="仿宋" w:eastAsia="仿宋" w:cs="仿宋"/>
          <w:sz w:val="32"/>
          <w:szCs w:val="40"/>
          <w:highlight w:val="none"/>
          <w:lang w:val="en-US" w:eastAsia="zh-CN"/>
        </w:rPr>
        <w:t xml:space="preserve">  在旺苍县行政区域内的政府投资工程建设项目包括项目的确定、审批、招标投标、项目建设、工程量变更等监督管理，适用本办法。</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第三条  </w:t>
      </w:r>
      <w:r>
        <w:rPr>
          <w:rFonts w:hint="eastAsia" w:ascii="仿宋" w:hAnsi="仿宋" w:eastAsia="仿宋" w:cs="仿宋"/>
          <w:sz w:val="32"/>
          <w:szCs w:val="40"/>
          <w:highlight w:val="none"/>
          <w:lang w:val="en-US" w:eastAsia="zh-CN"/>
        </w:rPr>
        <w:t>本办法所称的政府投资工程建设项目，是指全部使用各级财政预算资金、纳入财政管理的各种政府性专项建设基金、国家发行债券所筹资金、国家对外借款或者担保所筹资金等政府性资金,或者政府性资金占项目总投资比例超过50%，以及政府性资金占比低于50%，但政府拥有项目建设、运营实际控制权的新建、改建、扩建、技术改造等固定资产投资建设项目。</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第四条</w:t>
      </w:r>
      <w:r>
        <w:rPr>
          <w:rFonts w:hint="eastAsia" w:ascii="仿宋" w:hAnsi="仿宋" w:eastAsia="仿宋" w:cs="仿宋"/>
          <w:sz w:val="32"/>
          <w:szCs w:val="40"/>
          <w:highlight w:val="none"/>
          <w:lang w:val="en-US" w:eastAsia="zh-CN"/>
        </w:rPr>
        <w:t xml:space="preserve">  政府投资工程建设项目的实施、管理和监督应当遵循科学决策、规范管理、注重绩效、公开透明的原则。</w:t>
      </w: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第二章  项目确定与审批</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第五条 </w:t>
      </w:r>
      <w:r>
        <w:rPr>
          <w:rFonts w:hint="eastAsia" w:ascii="仿宋" w:hAnsi="仿宋" w:eastAsia="仿宋" w:cs="仿宋"/>
          <w:sz w:val="32"/>
          <w:szCs w:val="40"/>
          <w:highlight w:val="none"/>
          <w:lang w:val="en-US" w:eastAsia="zh-CN"/>
        </w:rPr>
        <w:t xml:space="preserve"> 政府投资工程建设项目的确定应坚持科学、民主、公开的决策规则，应当与本县经济社会发展水平和财政收支状况相适应：</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（一）项目业主单位应充分做好前期工作，按照国家、省、市有关规定，主动对接产业政策、发展规划、主体功能区定位等要求，对项目的经济效益、社会效益等进行深入研究分析，科学制定建设方案；</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（二）项目业主单位应按照规定程序通过会议等方式集体讨论确定项目，不得以传阅、会签或个别征求意见等方式代替集体决策；项目业主单位确定项目后，应当报县政府分管领导审核；</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（三）对全县经济社会发展、生态环境保护、资源合理开发利用、对社会公众利益有重大影响或者县委、县政府认为有必要实施的政府投资项目，遵照《四川省市县重大经济事项决策规定（试行）》确定。</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第六条</w:t>
      </w:r>
      <w:r>
        <w:rPr>
          <w:rFonts w:hint="eastAsia" w:ascii="仿宋" w:hAnsi="仿宋" w:eastAsia="仿宋" w:cs="仿宋"/>
          <w:sz w:val="32"/>
          <w:szCs w:val="40"/>
          <w:highlight w:val="none"/>
          <w:lang w:val="en-US" w:eastAsia="zh-CN"/>
        </w:rPr>
        <w:t xml:space="preserve">  县本级政府投资工程建设项目，项目业主单位按照以下限额标准报送项目审批申请资料：</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（一）1000万元及以下的，编报项目建议书；</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（二）1000万元以上3000万元以下的，直接编报可行性研究报告，不再作项目建议书；</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（三）3000万元以上，先报批项目建议书，再作可行性研究报告；</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四）对点多面广、单个项目小，且勘察、设计依法不需要招标（采购）的项目，可取消项目建议书、可行性研究报告和初步设计审批，由项目审批部门会同行业主管部门审批项目实施方案，但项目实施方案必须达到初步设计的深度；</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（五）对纳入本级及上级人民政府审定的国民经济和社会发展规划、专项规划、区域规划范围的政府投资项目，可以直接审批可行性研究报告，不再作项目建议书；</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（六）对建设内容单一、总投资1000万元以下、技术方案简单的项目和房屋建筑类改扩建项目，可以直接审批初步设计，不作项目建议书、可行性研究报告，初步设计应当包含项目建设必要性和可行性内容。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七）由项目业主单位负责，首先报送项目项目建议书或者实施方案或者可行性研究报告等有关项目申报资料至县发展和改革局审核，再报送县财政局审核项目资金性质和来源审核后，按照限额报送县政府领导审定（附件1），最后以正式文件转送县发展和改革局等立项审批部门办理审批手续，正式申报文件中应明确项目已经通过县政府审定，项目建设资金已经落实或者资金来源已经确定；</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1.估算总投资500万元以下的项目，由分管副县长和常务副县长审定；</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2.估算总投资500万元及以上的项目，由分管副县长、常务副县长和县长审定。</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第七条</w:t>
      </w:r>
      <w:r>
        <w:rPr>
          <w:rFonts w:hint="eastAsia" w:ascii="仿宋" w:hAnsi="仿宋" w:eastAsia="仿宋" w:cs="仿宋"/>
          <w:sz w:val="32"/>
          <w:szCs w:val="40"/>
          <w:highlight w:val="none"/>
          <w:lang w:val="en-US" w:eastAsia="zh-CN"/>
        </w:rPr>
        <w:t xml:space="preserve">  由投资主管部门牵头编制全县政府投资年度计划。政府投资年度计划应和本级财政预算相衔接，充分结合全县经济社会发展需要，在各项目业主单位自行申报的基础上通过充分论证，经县政府常务会研究确定。未落实资金或者未明确资金来源的项目，不得列入政府投资年度计划。</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第八条 </w:t>
      </w:r>
      <w:r>
        <w:rPr>
          <w:rFonts w:hint="eastAsia" w:ascii="仿宋" w:hAnsi="仿宋" w:eastAsia="仿宋" w:cs="仿宋"/>
          <w:sz w:val="32"/>
          <w:szCs w:val="40"/>
          <w:highlight w:val="none"/>
          <w:lang w:val="en-US" w:eastAsia="zh-CN"/>
        </w:rPr>
        <w:t xml:space="preserve"> 政府投资工程建设项目各业主单位，应当把握上级资金投放方向，积极对接联系国家、省、市等上级对口部门，努力争取国家补助资金。</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第三章  项目建设监管</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第九条 </w:t>
      </w:r>
      <w:r>
        <w:rPr>
          <w:rFonts w:hint="eastAsia" w:ascii="仿宋" w:hAnsi="仿宋" w:eastAsia="仿宋" w:cs="仿宋"/>
          <w:sz w:val="32"/>
          <w:szCs w:val="40"/>
          <w:highlight w:val="none"/>
          <w:lang w:val="en-US" w:eastAsia="zh-CN"/>
        </w:rPr>
        <w:t xml:space="preserve"> 严格执行批复内容。政府投资建设项目应当按照项目审批部门批准的建设地点、建设规模和建设内容实施；拟变更建设地点或者拟对建设规模、建设内容等作较大变更的，应当按照规定的程序报原审批部门、县级领导重新审批。任何单位和个人不得擅自变更建设内容、扩大建设规模、提高建设标准或改变设计方案。</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第十条</w:t>
      </w:r>
      <w:r>
        <w:rPr>
          <w:rFonts w:hint="eastAsia" w:ascii="仿宋" w:hAnsi="仿宋" w:eastAsia="仿宋" w:cs="仿宋"/>
          <w:sz w:val="32"/>
          <w:szCs w:val="40"/>
          <w:highlight w:val="none"/>
          <w:lang w:val="en-US" w:eastAsia="zh-CN"/>
        </w:rPr>
        <w:t xml:space="preserve">  严格控制投资概算。经批准的投资概算是投资安排和资金下达的依据，是项目投资的最高限额。项目业主单位要严格按照批准的投资概算进行建设，全过程造价管理，严禁超概算建设。严禁擅自扩大建设规模、提高建设标准、增加建设内容和故意漏项、报小建大。在项目前期推进过程中，因重大政策变化、城市规划调整、水文地质、工程地质、文物保护、自然灾害等因素须对项目建设内容、建设规模和建设标准进行调整的，项目业主单位按程序提交设计变更和概算调整申请： </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（一）初步设计提出的投资概算超过经批准的可行性研究报告提出的投资估算10%的，项目单位重新报审可行性研究报告；</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二）原初步设计或概算批复的投资额不能满足工程实际需要的，需报原审批部门申请调整，对超过已批复的投资概算10%及以上的，审批部门委托评审单位或相关专业机构评审，依据评审结果，提请县政府常务会议审定后报原初设审批部门核定调整。</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（三）重新审批可行性研究报告、初步设计后，由审批单位出具同意调整文函。</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第十一条  </w:t>
      </w:r>
      <w:r>
        <w:rPr>
          <w:rFonts w:hint="eastAsia" w:ascii="仿宋" w:hAnsi="仿宋" w:eastAsia="仿宋" w:cs="仿宋"/>
          <w:sz w:val="32"/>
          <w:szCs w:val="40"/>
          <w:highlight w:val="none"/>
          <w:lang w:val="en-US" w:eastAsia="zh-CN"/>
        </w:rPr>
        <w:t>严格落实政府投资评审制度。政府投资工程建设项目（包括项目变更）预算须报县财政投资评审中心评审后方可实施；评审金额不得超过政府批复金额，招标控制价不得超过评审金额；工程项目建设投资变更的，只对“新增项”进行评审，“新增量”价格执行“中标合同清单价”；因特殊原因确需“事中评审”或“事后评审”须报县领导审批；概（结）算等其他政府投资工程建设项目评审遵照相关政策法规规定。</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第十二条 </w:t>
      </w:r>
      <w:r>
        <w:rPr>
          <w:rFonts w:hint="eastAsia" w:ascii="仿宋" w:hAnsi="仿宋" w:eastAsia="仿宋" w:cs="仿宋"/>
          <w:sz w:val="32"/>
          <w:szCs w:val="40"/>
          <w:highlight w:val="none"/>
          <w:lang w:val="en-US" w:eastAsia="zh-CN"/>
        </w:rPr>
        <w:t xml:space="preserve"> 严格施工过程监管。行业主管部门、项目业主单位要重点加强对从业单位执行施工许可、压证（锁证）施工、现场公示、人员签到、安全施工、现场监理等的监督管理。对发现的违规、违法行为要及时纠正并依法查处。</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第十三条</w:t>
      </w:r>
      <w:r>
        <w:rPr>
          <w:rFonts w:hint="eastAsia" w:ascii="仿宋" w:hAnsi="仿宋" w:eastAsia="仿宋" w:cs="仿宋"/>
          <w:sz w:val="32"/>
          <w:szCs w:val="40"/>
          <w:highlight w:val="none"/>
          <w:lang w:val="en-US" w:eastAsia="zh-CN"/>
        </w:rPr>
        <w:t xml:space="preserve"> 切实保障农民工工资。严格执行国家、省、市有关民工工资支付管理的相关规定，行业主管部门、项目业主单位要督促施工单位按规定落实农民工工资专用账户、工资保证金、分账管理等制度，并按月足额支付农民工工资，不得拖欠和克扣。</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第十四条</w:t>
      </w:r>
      <w:r>
        <w:rPr>
          <w:rFonts w:hint="eastAsia" w:ascii="仿宋" w:hAnsi="仿宋" w:eastAsia="仿宋" w:cs="仿宋"/>
          <w:sz w:val="32"/>
          <w:szCs w:val="40"/>
          <w:highlight w:val="none"/>
          <w:lang w:val="en-US" w:eastAsia="zh-CN"/>
        </w:rPr>
        <w:t xml:space="preserve">  严格建设资金使用监管。项目业主单位和工程承包单位应严格执行《基本建设财务管理规定》和相关财务会计规章制度，强化内部控制监督。项目业主单位应严格按照合同约定、建设进度等情况支付工程款，并及时公示工程建设项目资金拨付情况；不得超进度、超限额拨付资金，不得改变资金使用用途。政府投资工程建设项目不得由施工单位垫资建设。项目业主单位的建设资金拨付中标人在我县银行开设、留有投标文件承诺的项目经理印鉴的企业法人账户。财政、审计部门应加强对建设资金的监管，确保工程建设资金安全高效、专款专用，严肃查处违反财经纪律行为。</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第十五条 </w:t>
      </w:r>
      <w:r>
        <w:rPr>
          <w:rFonts w:hint="eastAsia" w:ascii="仿宋" w:hAnsi="仿宋" w:eastAsia="仿宋" w:cs="仿宋"/>
          <w:sz w:val="32"/>
          <w:szCs w:val="40"/>
          <w:highlight w:val="none"/>
          <w:lang w:val="en-US" w:eastAsia="zh-CN"/>
        </w:rPr>
        <w:t xml:space="preserve"> 严格工程结（决）算审计：</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（一）对已竣工验收的政府投资工程建设项目，业主单位应当在工程竣工验收后2个月内办理完成竣工结算，大型项目一般不得超过3个月；</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（二）竣工结算办理完成后在3个月内编报竣工财务决算，特殊情况确需延长的，中小型项目不得超过2个月，大型项目不得超过6个月；</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（三）竣工财务决算审计结束后完成资产交付手续，做好固定资产登记入账工作。县审计局、县财政局在监督过程中若发现相关违规违法行为，依法处理或移交。</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第四章  工程量变更监管</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第十六条 </w:t>
      </w:r>
      <w:r>
        <w:rPr>
          <w:rFonts w:hint="eastAsia" w:ascii="仿宋" w:hAnsi="仿宋" w:eastAsia="仿宋" w:cs="仿宋"/>
          <w:sz w:val="32"/>
          <w:szCs w:val="40"/>
          <w:highlight w:val="none"/>
          <w:lang w:val="en-US" w:eastAsia="zh-CN"/>
        </w:rPr>
        <w:t xml:space="preserve"> 工程变更必经事前审批。项目业主单位要做好项目前期工作，尽量减少施工过程中的变更，尤其应当严格控制增加工程量，超过原批准投资概算的，一律不予变更。施工过程中，严禁先变更实施，再补报变更资料。工程变更应当严格执行国家有关工程建设强制性标准和技术规范，满足工程质量和使用功能的要求，遵循合法、真实、科学、经济的原则。工程变更部分新增所需建设资金应当由项目业主单位自行筹措解决。</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第十七条 </w:t>
      </w:r>
      <w:r>
        <w:rPr>
          <w:rFonts w:hint="eastAsia" w:ascii="仿宋" w:hAnsi="仿宋" w:eastAsia="仿宋" w:cs="仿宋"/>
          <w:sz w:val="32"/>
          <w:szCs w:val="40"/>
          <w:highlight w:val="none"/>
          <w:lang w:val="en-US" w:eastAsia="zh-CN"/>
        </w:rPr>
        <w:t xml:space="preserve"> 规范工程减量变更管理。在不变更原批复主要建设内容、建设规模等要素情况下，项目施工过程中，合同金额内发生的工程量减少等变更情况，须遵循自求平衡的原则，由项目主管部门牵头，会同行业主管部门组织项目业主、勘察、设计、施工、监理等单位审查，在满足设计要求、符合项目实际使用需求、达到国家有关强制性标准的条件下予以变更。</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第十八条</w:t>
      </w:r>
      <w:r>
        <w:rPr>
          <w:rFonts w:hint="eastAsia" w:ascii="仿宋" w:hAnsi="仿宋" w:eastAsia="仿宋" w:cs="仿宋"/>
          <w:sz w:val="32"/>
          <w:szCs w:val="40"/>
          <w:highlight w:val="none"/>
          <w:lang w:val="en-US" w:eastAsia="zh-CN"/>
        </w:rPr>
        <w:t xml:space="preserve">  严格工程增量变更标准。由项目业主单位会同勘察、设计、施工和监理单位提出变更报告，设计单位出具变更设计，施工单位编制变更预算书，项目主管部门组织审查、出具审查意见后，经县政府分管副县长组织发展和改革局、财政局、项目主管部门、行业主管部门、项目业主单位现场踏勘、专题研究同意后，依据增加比例或金额按以下程序审定：</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（一）增加比例小于合同金额10%、且金额小于50万元的，报县政府常务副县长审批同意后予以变更；</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（二）增加比例小于合同金额10%、且金额大于50万（含）、小于100万元的，报县政府常务副县长、县长审批同意后予以变更；</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（三）增加比例大于合同价款10%或变更金额大于100万元（含）的，报县政府常务副县长、县长审批，最后经县政府常务会议审定（审议）。</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（四）单笔100万元以上（含）的预算追加须提请县委常委会议审定后按程序调整。</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第十九条  </w:t>
      </w:r>
      <w:r>
        <w:rPr>
          <w:rFonts w:hint="eastAsia" w:ascii="仿宋" w:hAnsi="仿宋" w:eastAsia="仿宋" w:cs="仿宋"/>
          <w:sz w:val="32"/>
          <w:szCs w:val="40"/>
          <w:highlight w:val="none"/>
          <w:lang w:val="en-US" w:eastAsia="zh-CN"/>
        </w:rPr>
        <w:t>规范审批资料报送。项目业主单位在报送工程量变更审批表时，需同时提交以下资料：</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（一）工程变更情况报告，报告应详细阐述项目概况、建设管理状况（或存在的问题）、工程变更的原因和内容、工程造价和投资增减变动情况以及增加工程量的资金来源或筹措情况等；</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（二）变更设计书及变更部分预算价；</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（三）五方责任主体会商会议记录或纪要、项目主管部门审核意见等前期变更工程资料；</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（四）其它相关资料。</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（五）经变更批准的预算书报县财政评审中心评审后，方可实施。业主单位应与勘察、设计、施工、监理相关单位签订变更补充协议；变更后的项目原则不允许再变更。</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第二十条 </w:t>
      </w:r>
      <w:r>
        <w:rPr>
          <w:rFonts w:hint="eastAsia" w:ascii="仿宋" w:hAnsi="仿宋" w:eastAsia="仿宋" w:cs="仿宋"/>
          <w:sz w:val="32"/>
          <w:szCs w:val="40"/>
          <w:highlight w:val="none"/>
          <w:lang w:val="en-US" w:eastAsia="zh-CN"/>
        </w:rPr>
        <w:t xml:space="preserve"> </w:t>
      </w:r>
      <w:r>
        <w:rPr>
          <w:rFonts w:hint="eastAsia" w:ascii="仿宋" w:hAnsi="仿宋" w:eastAsia="仿宋" w:cs="仿宋"/>
          <w:b/>
          <w:bCs/>
          <w:sz w:val="32"/>
          <w:szCs w:val="40"/>
          <w:highlight w:val="none"/>
          <w:lang w:val="en-US" w:eastAsia="zh-CN"/>
        </w:rPr>
        <w:t>严格责任追究。</w:t>
      </w:r>
      <w:r>
        <w:rPr>
          <w:rFonts w:hint="eastAsia" w:ascii="仿宋" w:hAnsi="仿宋" w:eastAsia="仿宋" w:cs="仿宋"/>
          <w:b w:val="0"/>
          <w:bCs w:val="0"/>
          <w:sz w:val="32"/>
          <w:szCs w:val="40"/>
          <w:highlight w:val="none"/>
          <w:lang w:val="en-US" w:eastAsia="zh-CN"/>
        </w:rPr>
        <w:t>因勘察深度不够、设计不合理或者漏项、预算漏项、施工组织不合理、监理履职不到位等人为因素导致的工程增量属于非正常调整范围</w:t>
      </w:r>
      <w:r>
        <w:rPr>
          <w:rFonts w:hint="eastAsia" w:ascii="仿宋" w:hAnsi="仿宋" w:eastAsia="仿宋" w:cs="仿宋"/>
          <w:sz w:val="32"/>
          <w:szCs w:val="40"/>
          <w:highlight w:val="none"/>
          <w:lang w:val="en-US" w:eastAsia="zh-CN"/>
        </w:rPr>
        <w:t>，一律实行责任倒查。</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第五章  保障机制</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 xml:space="preserve">第二十一条 </w:t>
      </w:r>
      <w:r>
        <w:rPr>
          <w:rFonts w:hint="eastAsia" w:ascii="仿宋" w:hAnsi="仿宋" w:eastAsia="仿宋" w:cs="仿宋"/>
          <w:sz w:val="32"/>
          <w:szCs w:val="40"/>
          <w:highlight w:val="none"/>
          <w:lang w:val="en-US" w:eastAsia="zh-CN"/>
        </w:rPr>
        <w:t xml:space="preserve"> 项目业主单位切实履行项目实施的主体责任，负责对工程建设全过程的协调管理。在项目建设过程中，发现有违反项目管理和资金使用相关规定的，应当立即提出整改和处理意见，追究违约责任，并及时报告项目主管部门。</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第二十二条</w:t>
      </w:r>
      <w:r>
        <w:rPr>
          <w:rFonts w:hint="eastAsia" w:ascii="仿宋" w:hAnsi="仿宋" w:eastAsia="仿宋" w:cs="仿宋"/>
          <w:sz w:val="32"/>
          <w:szCs w:val="40"/>
          <w:highlight w:val="none"/>
          <w:lang w:val="en-US" w:eastAsia="zh-CN"/>
        </w:rPr>
        <w:t xml:space="preserve">  县级各项目行业主管部门要按照各自职分工切实加强对本行业政府投资工程建设项目的监督管理，要督导项目建设单位和施工单位正确充分履职尽责，完善项目管理制度，落实管理责任；监督从业单位从业人员到岗正确履职；对违法违规行为依法处理，对工程质量、安全事故隐患早发现、早处理；协调解决工程建设中的矛盾和问题，公示项目建设管理信息。</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第二十三条</w:t>
      </w:r>
      <w:r>
        <w:rPr>
          <w:rFonts w:hint="eastAsia" w:ascii="仿宋" w:hAnsi="仿宋" w:eastAsia="仿宋" w:cs="仿宋"/>
          <w:sz w:val="32"/>
          <w:szCs w:val="40"/>
          <w:highlight w:val="none"/>
          <w:lang w:val="en-US" w:eastAsia="zh-CN"/>
        </w:rPr>
        <w:t xml:space="preserve">  相关监督管理职能部门按照各自职责负责工程发包活动和实施过程中的质量、安全以及合同履行情况的监督检查，发现违法违规行为及时依法查处，记载诚信档案、公示审批和信用信息。</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第二十四条</w:t>
      </w:r>
      <w:r>
        <w:rPr>
          <w:rFonts w:hint="eastAsia" w:ascii="仿宋" w:hAnsi="仿宋" w:eastAsia="仿宋" w:cs="仿宋"/>
          <w:sz w:val="32"/>
          <w:szCs w:val="40"/>
          <w:highlight w:val="none"/>
          <w:lang w:val="en-US" w:eastAsia="zh-CN"/>
        </w:rPr>
        <w:t xml:space="preserve">  项目审批部门、纪检监察、财政、审计以及项目主管部门要全面加强协调配合，形成纵横联动监管体系，切实做好政府投资项目全过程监督管理，依法查处项目建设实施过程中的违法违规行为。建立健全政府投资项目责任追究制度，对不遵守相关规定造成重大损失的，依纪依法追究有关责任人的行政和法律责任。</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第六章  附则</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第二十五条</w:t>
      </w:r>
      <w:r>
        <w:rPr>
          <w:rFonts w:hint="eastAsia" w:ascii="仿宋" w:hAnsi="仿宋" w:eastAsia="仿宋" w:cs="仿宋"/>
          <w:sz w:val="32"/>
          <w:szCs w:val="40"/>
          <w:highlight w:val="none"/>
          <w:lang w:val="en-US" w:eastAsia="zh-CN"/>
        </w:rPr>
        <w:t xml:space="preserve">  本办法由县发展和改革局会同有关部门负责解释。</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b/>
          <w:bCs/>
          <w:sz w:val="32"/>
          <w:szCs w:val="40"/>
          <w:highlight w:val="none"/>
          <w:lang w:val="en-US" w:eastAsia="zh-CN"/>
        </w:rPr>
        <w:t>第二十六条</w:t>
      </w:r>
      <w:r>
        <w:rPr>
          <w:rFonts w:hint="eastAsia" w:ascii="仿宋" w:hAnsi="仿宋" w:eastAsia="仿宋" w:cs="仿宋"/>
          <w:sz w:val="32"/>
          <w:szCs w:val="40"/>
          <w:highlight w:val="none"/>
          <w:lang w:val="en-US" w:eastAsia="zh-CN"/>
        </w:rPr>
        <w:t xml:space="preserve">  本办法自发布之日起施行，有效期3年。原《旺苍县政府投资工程建设项目监督管理办法》（旺府办发〔2019〕13号）同时废止。</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附件：1.旺苍县政府投资工程建设项目立项审签单</w:t>
      </w:r>
    </w:p>
    <w:p>
      <w:pPr>
        <w:keepNext w:val="0"/>
        <w:keepLines w:val="0"/>
        <w:pageBreakBefore w:val="0"/>
        <w:widowControl w:val="0"/>
        <w:kinsoku/>
        <w:wordWrap/>
        <w:overflowPunct w:val="0"/>
        <w:topLinePunct w:val="0"/>
        <w:autoSpaceDE/>
        <w:autoSpaceDN/>
        <w:bidi w:val="0"/>
        <w:adjustRightInd/>
        <w:snapToGrid/>
        <w:spacing w:line="576" w:lineRule="exact"/>
        <w:ind w:firstLine="1600" w:firstLineChars="5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2.旺苍县政府投资工程建设项目工程量变更审批表</w:t>
      </w:r>
    </w:p>
    <w:p>
      <w:pPr>
        <w:keepNext w:val="0"/>
        <w:keepLines w:val="0"/>
        <w:pageBreakBefore w:val="0"/>
        <w:widowControl w:val="0"/>
        <w:kinsoku/>
        <w:wordWrap/>
        <w:overflowPunct w:val="0"/>
        <w:topLinePunct w:val="0"/>
        <w:autoSpaceDE/>
        <w:autoSpaceDN/>
        <w:bidi w:val="0"/>
        <w:adjustRightInd/>
        <w:snapToGrid/>
        <w:spacing w:line="576" w:lineRule="exact"/>
        <w:ind w:firstLine="1600" w:firstLineChars="500"/>
        <w:textAlignment w:val="auto"/>
        <w:rPr>
          <w:rFonts w:hint="default"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3.旺苍县政府投资工程建设项目工作流程图</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default" w:ascii="黑体" w:hAnsi="黑体" w:eastAsia="黑体" w:cs="黑体"/>
          <w:color w:val="auto"/>
          <w:sz w:val="30"/>
          <w:szCs w:val="30"/>
          <w:highlight w:val="none"/>
          <w:u w:val="none"/>
          <w:lang w:val="en-US" w:eastAsia="zh-CN"/>
        </w:rPr>
      </w:pPr>
      <w:r>
        <w:rPr>
          <w:rFonts w:hint="eastAsia" w:ascii="黑体" w:hAnsi="黑体" w:eastAsia="黑体" w:cs="黑体"/>
          <w:color w:val="auto"/>
          <w:sz w:val="30"/>
          <w:szCs w:val="30"/>
          <w:highlight w:val="none"/>
          <w:u w:val="none"/>
          <w:lang w:val="en-US" w:eastAsia="zh-CN"/>
        </w:rPr>
        <w:t>附件1：</w:t>
      </w:r>
    </w:p>
    <w:p>
      <w:pPr>
        <w:keepNext w:val="0"/>
        <w:keepLines w:val="0"/>
        <w:pageBreakBefore w:val="0"/>
        <w:widowControl/>
        <w:kinsoku/>
        <w:wordWrap/>
        <w:overflowPunct w:val="0"/>
        <w:topLinePunct w:val="0"/>
        <w:autoSpaceDE/>
        <w:autoSpaceDN w:val="0"/>
        <w:bidi w:val="0"/>
        <w:adjustRightInd/>
        <w:snapToGrid/>
        <w:spacing w:line="576" w:lineRule="exact"/>
        <w:ind w:left="0"/>
        <w:jc w:val="center"/>
        <w:textAlignment w:val="auto"/>
        <w:outlineLvl w:val="9"/>
        <w:rPr>
          <w:rFonts w:hint="eastAsia" w:ascii="方正小标宋简体" w:hAnsi="黑体" w:eastAsia="方正小标宋简体" w:cs="宋体"/>
          <w:b w:val="0"/>
          <w:bCs w:val="0"/>
          <w:kern w:val="0"/>
          <w:sz w:val="44"/>
          <w:szCs w:val="44"/>
          <w:highlight w:val="none"/>
          <w:lang w:val="en-US" w:eastAsia="zh-CN"/>
        </w:rPr>
      </w:pPr>
      <w:r>
        <w:rPr>
          <w:rFonts w:hint="eastAsia" w:ascii="方正小标宋简体" w:hAnsi="黑体" w:eastAsia="方正小标宋简体" w:cs="宋体"/>
          <w:b w:val="0"/>
          <w:bCs w:val="0"/>
          <w:kern w:val="0"/>
          <w:sz w:val="44"/>
          <w:szCs w:val="44"/>
          <w:highlight w:val="none"/>
          <w:lang w:val="en-US" w:eastAsia="zh-CN"/>
        </w:rPr>
        <w:t>旺苍县政府投资工程建设项目立项审签单</w:t>
      </w:r>
    </w:p>
    <w:p>
      <w:pPr>
        <w:keepNext w:val="0"/>
        <w:keepLines w:val="0"/>
        <w:pageBreakBefore w:val="0"/>
        <w:widowControl/>
        <w:kinsoku/>
        <w:wordWrap/>
        <w:overflowPunct w:val="0"/>
        <w:topLinePunct w:val="0"/>
        <w:autoSpaceDE/>
        <w:autoSpaceDN w:val="0"/>
        <w:bidi w:val="0"/>
        <w:adjustRightInd/>
        <w:snapToGrid/>
        <w:spacing w:line="576" w:lineRule="exact"/>
        <w:ind w:left="0"/>
        <w:jc w:val="left"/>
        <w:textAlignment w:val="auto"/>
        <w:outlineLvl w:val="9"/>
        <w:rPr>
          <w:rFonts w:hint="eastAsia" w:ascii="宋体" w:hAnsi="宋体" w:eastAsia="宋体" w:cs="宋体"/>
          <w:b w:val="0"/>
          <w:bCs w:val="0"/>
          <w:kern w:val="0"/>
          <w:sz w:val="30"/>
          <w:szCs w:val="30"/>
          <w:highlight w:val="none"/>
          <w:lang w:val="en-US" w:eastAsia="zh-CN"/>
        </w:rPr>
      </w:pPr>
      <w:r>
        <w:rPr>
          <w:rFonts w:hint="eastAsia" w:ascii="宋体" w:hAnsi="宋体" w:eastAsia="宋体" w:cs="宋体"/>
          <w:b/>
          <w:bCs/>
          <w:kern w:val="0"/>
          <w:sz w:val="30"/>
          <w:szCs w:val="30"/>
          <w:highlight w:val="none"/>
          <w:vertAlign w:val="baseline"/>
          <w:lang w:val="en-US" w:eastAsia="zh-CN"/>
        </w:rPr>
        <w:t>申报单位（盖章）：</w:t>
      </w:r>
      <w:r>
        <w:rPr>
          <w:rFonts w:hint="eastAsia" w:ascii="宋体" w:hAnsi="宋体" w:eastAsia="宋体" w:cs="宋体"/>
          <w:b w:val="0"/>
          <w:bCs w:val="0"/>
          <w:kern w:val="0"/>
          <w:sz w:val="30"/>
          <w:szCs w:val="30"/>
          <w:highlight w:val="none"/>
          <w:lang w:val="en-US" w:eastAsia="zh-CN"/>
        </w:rPr>
        <w:t xml:space="preserve">     </w:t>
      </w:r>
      <w:r>
        <w:rPr>
          <w:rFonts w:hint="eastAsia" w:ascii="宋体" w:hAnsi="宋体" w:eastAsia="宋体" w:cs="宋体"/>
          <w:b/>
          <w:bCs/>
          <w:kern w:val="0"/>
          <w:sz w:val="30"/>
          <w:szCs w:val="30"/>
          <w:highlight w:val="none"/>
          <w:vertAlign w:val="baseline"/>
          <w:lang w:val="en-US" w:eastAsia="zh-CN"/>
        </w:rPr>
        <w:t xml:space="preserve">           主要负责人（签字）：</w:t>
      </w:r>
    </w:p>
    <w:tbl>
      <w:tblPr>
        <w:tblStyle w:val="10"/>
        <w:tblW w:w="9659"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11"/>
        <w:gridCol w:w="1410"/>
        <w:gridCol w:w="1410"/>
        <w:gridCol w:w="1410"/>
        <w:gridCol w:w="1411"/>
        <w:gridCol w:w="1486"/>
        <w:gridCol w:w="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72" w:type="dxa"/>
            <w:gridSpan w:val="2"/>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项目名称</w:t>
            </w:r>
          </w:p>
        </w:tc>
        <w:tc>
          <w:tcPr>
            <w:tcW w:w="4230" w:type="dxa"/>
            <w:gridSpan w:val="3"/>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p>
        </w:tc>
        <w:tc>
          <w:tcPr>
            <w:tcW w:w="1411" w:type="dxa"/>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业主单位</w:t>
            </w:r>
          </w:p>
        </w:tc>
        <w:tc>
          <w:tcPr>
            <w:tcW w:w="1946" w:type="dxa"/>
            <w:gridSpan w:val="2"/>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072" w:type="dxa"/>
            <w:gridSpan w:val="2"/>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eastAsia" w:ascii="宋体" w:hAnsi="宋体" w:eastAsia="宋体" w:cs="宋体"/>
                <w:b/>
                <w:bCs/>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计划总投资</w:t>
            </w:r>
          </w:p>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（万元）</w:t>
            </w:r>
          </w:p>
        </w:tc>
        <w:tc>
          <w:tcPr>
            <w:tcW w:w="1410" w:type="dxa"/>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p>
        </w:tc>
        <w:tc>
          <w:tcPr>
            <w:tcW w:w="1410" w:type="dxa"/>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资金来源</w:t>
            </w:r>
          </w:p>
        </w:tc>
        <w:tc>
          <w:tcPr>
            <w:tcW w:w="1410" w:type="dxa"/>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p>
        </w:tc>
        <w:tc>
          <w:tcPr>
            <w:tcW w:w="1411" w:type="dxa"/>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审批内容</w:t>
            </w:r>
          </w:p>
        </w:tc>
        <w:tc>
          <w:tcPr>
            <w:tcW w:w="1946" w:type="dxa"/>
            <w:gridSpan w:val="2"/>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072" w:type="dxa"/>
            <w:gridSpan w:val="2"/>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bCs/>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县发展和改革局意见</w:t>
            </w:r>
          </w:p>
        </w:tc>
        <w:tc>
          <w:tcPr>
            <w:tcW w:w="7587" w:type="dxa"/>
            <w:gridSpan w:val="6"/>
          </w:tcPr>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2072" w:type="dxa"/>
            <w:gridSpan w:val="2"/>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eastAsia" w:ascii="宋体" w:hAnsi="宋体" w:eastAsia="宋体" w:cs="宋体"/>
                <w:b/>
                <w:bCs/>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分管副县长</w:t>
            </w:r>
          </w:p>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bCs/>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意见</w:t>
            </w:r>
          </w:p>
        </w:tc>
        <w:tc>
          <w:tcPr>
            <w:tcW w:w="7587" w:type="dxa"/>
            <w:gridSpan w:val="6"/>
          </w:tcPr>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2072" w:type="dxa"/>
            <w:gridSpan w:val="2"/>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eastAsia" w:ascii="宋体" w:hAnsi="宋体" w:eastAsia="宋体" w:cs="宋体"/>
                <w:b/>
                <w:bCs/>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常务副县长</w:t>
            </w:r>
          </w:p>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bCs/>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意见</w:t>
            </w:r>
          </w:p>
        </w:tc>
        <w:tc>
          <w:tcPr>
            <w:tcW w:w="7587" w:type="dxa"/>
            <w:gridSpan w:val="6"/>
          </w:tcPr>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072" w:type="dxa"/>
            <w:gridSpan w:val="2"/>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eastAsia" w:ascii="宋体" w:hAnsi="宋体" w:eastAsia="宋体" w:cs="宋体"/>
                <w:b/>
                <w:bCs/>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县长</w:t>
            </w:r>
          </w:p>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eastAsia" w:ascii="宋体" w:hAnsi="宋体" w:eastAsia="宋体" w:cs="宋体"/>
                <w:b/>
                <w:bCs/>
                <w:kern w:val="0"/>
                <w:sz w:val="24"/>
                <w:szCs w:val="24"/>
                <w:highlight w:val="none"/>
                <w:vertAlign w:val="baseline"/>
                <w:lang w:val="en-US" w:eastAsia="zh-CN"/>
              </w:rPr>
            </w:pPr>
            <w:r>
              <w:rPr>
                <w:rFonts w:hint="eastAsia" w:ascii="宋体" w:hAnsi="宋体" w:eastAsia="宋体" w:cs="宋体"/>
                <w:b/>
                <w:bCs/>
                <w:kern w:val="0"/>
                <w:sz w:val="24"/>
                <w:szCs w:val="24"/>
                <w:highlight w:val="none"/>
                <w:vertAlign w:val="baseline"/>
                <w:lang w:val="en-US" w:eastAsia="zh-CN"/>
              </w:rPr>
              <w:t>意见</w:t>
            </w:r>
          </w:p>
        </w:tc>
        <w:tc>
          <w:tcPr>
            <w:tcW w:w="7587" w:type="dxa"/>
            <w:gridSpan w:val="6"/>
          </w:tcPr>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61" w:type="dxa"/>
          <w:wAfter w:w="460" w:type="dxa"/>
          <w:trHeight w:val="878" w:hRule="atLeast"/>
        </w:trPr>
        <w:tc>
          <w:tcPr>
            <w:tcW w:w="8538" w:type="dxa"/>
            <w:gridSpan w:val="6"/>
            <w:vAlign w:val="center"/>
          </w:tcPr>
          <w:p>
            <w:pPr>
              <w:keepNext w:val="0"/>
              <w:keepLines w:val="0"/>
              <w:pageBreakBefore w:val="0"/>
              <w:widowControl/>
              <w:kinsoku/>
              <w:wordWrap/>
              <w:overflowPunct w:val="0"/>
              <w:topLinePunct w:val="0"/>
              <w:autoSpaceDE/>
              <w:autoSpaceDN w:val="0"/>
              <w:bidi w:val="0"/>
              <w:adjustRightInd/>
              <w:snapToGrid/>
              <w:spacing w:line="576" w:lineRule="exact"/>
              <w:jc w:val="center"/>
              <w:textAlignment w:val="auto"/>
              <w:outlineLvl w:val="9"/>
              <w:rPr>
                <w:rFonts w:hint="default" w:ascii="宋体" w:hAnsi="宋体" w:eastAsia="宋体" w:cs="宋体"/>
                <w:b w:val="0"/>
                <w:bCs w:val="0"/>
                <w:kern w:val="0"/>
                <w:sz w:val="28"/>
                <w:szCs w:val="28"/>
                <w:highlight w:val="none"/>
                <w:vertAlign w:val="baseline"/>
                <w:lang w:val="en-US" w:eastAsia="zh-CN"/>
              </w:rPr>
            </w:pPr>
            <w:r>
              <w:rPr>
                <w:rFonts w:hint="eastAsia" w:ascii="宋体" w:hAnsi="宋体" w:cs="宋体"/>
                <w:b/>
                <w:bCs/>
                <w:kern w:val="0"/>
                <w:sz w:val="28"/>
                <w:szCs w:val="28"/>
                <w:highlight w:val="none"/>
                <w:vertAlign w:val="baseline"/>
                <w:lang w:val="en-US" w:eastAsia="zh-CN"/>
              </w:rPr>
              <w:t>县</w:t>
            </w:r>
            <w:r>
              <w:rPr>
                <w:rFonts w:hint="eastAsia" w:ascii="宋体" w:hAnsi="宋体" w:eastAsia="宋体" w:cs="宋体"/>
                <w:b/>
                <w:bCs/>
                <w:kern w:val="0"/>
                <w:sz w:val="28"/>
                <w:szCs w:val="28"/>
                <w:highlight w:val="none"/>
                <w:vertAlign w:val="baseline"/>
                <w:lang w:val="en-US" w:eastAsia="zh-CN"/>
              </w:rPr>
              <w:t>财政局资金审查意见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61" w:type="dxa"/>
          <w:wAfter w:w="460" w:type="dxa"/>
          <w:trHeight w:val="4672" w:hRule="atLeast"/>
        </w:trPr>
        <w:tc>
          <w:tcPr>
            <w:tcW w:w="8538" w:type="dxa"/>
            <w:gridSpan w:val="6"/>
          </w:tcPr>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p>
            <w:pPr>
              <w:keepNext w:val="0"/>
              <w:keepLines w:val="0"/>
              <w:pageBreakBefore w:val="0"/>
              <w:widowControl/>
              <w:kinsoku/>
              <w:wordWrap/>
              <w:overflowPunct w:val="0"/>
              <w:topLinePunct w:val="0"/>
              <w:autoSpaceDE/>
              <w:autoSpaceDN w:val="0"/>
              <w:bidi w:val="0"/>
              <w:adjustRightInd/>
              <w:snapToGrid/>
              <w:spacing w:line="576" w:lineRule="exact"/>
              <w:jc w:val="left"/>
              <w:textAlignment w:val="auto"/>
              <w:outlineLvl w:val="9"/>
              <w:rPr>
                <w:rFonts w:hint="default" w:ascii="宋体" w:hAnsi="宋体" w:eastAsia="宋体" w:cs="宋体"/>
                <w:b w:val="0"/>
                <w:bCs w:val="0"/>
                <w:kern w:val="0"/>
                <w:sz w:val="28"/>
                <w:szCs w:val="28"/>
                <w:highlight w:val="none"/>
                <w:vertAlign w:val="baseline"/>
                <w:lang w:val="en-US" w:eastAsia="zh-CN"/>
              </w:rPr>
            </w:pPr>
          </w:p>
        </w:tc>
      </w:tr>
    </w:tbl>
    <w:p>
      <w:pPr>
        <w:keepNext w:val="0"/>
        <w:keepLines w:val="0"/>
        <w:pageBreakBefore w:val="0"/>
        <w:widowControl/>
        <w:kinsoku/>
        <w:wordWrap/>
        <w:overflowPunct w:val="0"/>
        <w:topLinePunct w:val="0"/>
        <w:autoSpaceDE/>
        <w:autoSpaceDN w:val="0"/>
        <w:bidi w:val="0"/>
        <w:adjustRightInd/>
        <w:snapToGrid/>
        <w:spacing w:line="576" w:lineRule="exact"/>
        <w:ind w:left="0" w:firstLine="562" w:firstLineChars="200"/>
        <w:jc w:val="left"/>
        <w:textAlignment w:val="auto"/>
        <w:outlineLvl w:val="9"/>
        <w:rPr>
          <w:rFonts w:hint="eastAsia" w:ascii="楷体" w:hAnsi="楷体" w:eastAsia="楷体" w:cs="楷体"/>
          <w:b/>
          <w:bCs/>
          <w:kern w:val="0"/>
          <w:sz w:val="28"/>
          <w:szCs w:val="28"/>
          <w:highlight w:val="none"/>
          <w:lang w:val="en-US" w:eastAsia="zh-CN"/>
        </w:rPr>
      </w:pPr>
      <w:r>
        <w:rPr>
          <w:rFonts w:hint="eastAsia" w:ascii="楷体" w:hAnsi="楷体" w:eastAsia="楷体" w:cs="楷体"/>
          <w:b/>
          <w:bCs/>
          <w:kern w:val="0"/>
          <w:sz w:val="28"/>
          <w:szCs w:val="28"/>
          <w:highlight w:val="none"/>
          <w:lang w:val="en-US" w:eastAsia="zh-CN"/>
        </w:rPr>
        <w:t>备注：1、单面打印。2、此表附项目申报有关材料，首先报送至县发展和改革局审核，再报送县财政局审核项目资金性质和来源审核后，按照限额报送县政府领导审定，最后转送县发展和改革局办理审批手续。</w:t>
      </w:r>
    </w:p>
    <w:p>
      <w:pPr>
        <w:pStyle w:val="8"/>
        <w:rPr>
          <w:rFonts w:hint="eastAsia" w:ascii="楷体" w:hAnsi="楷体" w:eastAsia="楷体" w:cs="楷体"/>
          <w:b/>
          <w:bCs/>
          <w:kern w:val="0"/>
          <w:sz w:val="28"/>
          <w:szCs w:val="28"/>
          <w:highlight w:val="none"/>
          <w:lang w:val="en-US" w:eastAsia="zh-CN"/>
        </w:rPr>
      </w:pPr>
    </w:p>
    <w:p>
      <w:pPr>
        <w:pStyle w:val="8"/>
        <w:rPr>
          <w:rFonts w:hint="eastAsia" w:ascii="楷体" w:hAnsi="楷体" w:eastAsia="楷体" w:cs="楷体"/>
          <w:b/>
          <w:bCs/>
          <w:kern w:val="0"/>
          <w:sz w:val="28"/>
          <w:szCs w:val="28"/>
          <w:highlight w:val="none"/>
          <w:lang w:val="en-US" w:eastAsia="zh-CN"/>
        </w:rPr>
      </w:pPr>
    </w:p>
    <w:p>
      <w:pPr>
        <w:pStyle w:val="8"/>
        <w:rPr>
          <w:rFonts w:hint="eastAsia" w:ascii="楷体" w:hAnsi="楷体" w:eastAsia="楷体" w:cs="楷体"/>
          <w:b/>
          <w:bCs/>
          <w:kern w:val="0"/>
          <w:sz w:val="28"/>
          <w:szCs w:val="28"/>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default" w:ascii="黑体" w:hAnsi="黑体" w:eastAsia="黑体" w:cs="黑体"/>
          <w:color w:val="auto"/>
          <w:sz w:val="30"/>
          <w:szCs w:val="30"/>
          <w:highlight w:val="none"/>
          <w:u w:val="none"/>
          <w:lang w:val="en-US" w:eastAsia="zh-CN"/>
        </w:rPr>
      </w:pPr>
      <w:r>
        <w:rPr>
          <w:rFonts w:hint="eastAsia" w:ascii="黑体" w:hAnsi="黑体" w:eastAsia="黑体" w:cs="黑体"/>
          <w:color w:val="auto"/>
          <w:sz w:val="30"/>
          <w:szCs w:val="30"/>
          <w:highlight w:val="none"/>
          <w:u w:val="none"/>
          <w:lang w:val="en-US" w:eastAsia="zh-CN"/>
        </w:rPr>
        <w:t>附件2：</w:t>
      </w:r>
    </w:p>
    <w:p>
      <w:pPr>
        <w:keepNext w:val="0"/>
        <w:keepLines w:val="0"/>
        <w:pageBreakBefore w:val="0"/>
        <w:kinsoku/>
        <w:wordWrap/>
        <w:overflowPunct w:val="0"/>
        <w:topLinePunct w:val="0"/>
        <w:autoSpaceDE/>
        <w:autoSpaceDN/>
        <w:bidi w:val="0"/>
        <w:adjustRightInd/>
        <w:snapToGrid/>
        <w:spacing w:line="576" w:lineRule="exact"/>
        <w:ind w:firstLine="720" w:firstLineChars="200"/>
        <w:jc w:val="both"/>
        <w:textAlignment w:val="auto"/>
        <w:rPr>
          <w:rFonts w:hint="eastAsia" w:ascii="方正小标宋简体" w:eastAsia="方正小标宋简体"/>
          <w:b w:val="0"/>
          <w:bCs w:val="0"/>
          <w:highlight w:val="none"/>
          <w:u w:val="none"/>
        </w:rPr>
      </w:pPr>
      <w:r>
        <w:rPr>
          <w:rFonts w:hint="eastAsia" w:ascii="方正小标宋简体" w:hAnsi="宋体" w:eastAsia="方正小标宋简体" w:cs="宋体"/>
          <w:b w:val="0"/>
          <w:bCs w:val="0"/>
          <w:sz w:val="36"/>
          <w:szCs w:val="36"/>
          <w:highlight w:val="none"/>
          <w:u w:val="none"/>
        </w:rPr>
        <w:t>旺苍县政府投资工程建设项目</w:t>
      </w:r>
      <w:r>
        <w:rPr>
          <w:rFonts w:hint="eastAsia" w:ascii="方正小标宋简体" w:hAnsi="宋体" w:eastAsia="方正小标宋简体" w:cs="宋体"/>
          <w:b w:val="0"/>
          <w:bCs w:val="0"/>
          <w:sz w:val="36"/>
          <w:szCs w:val="36"/>
          <w:highlight w:val="none"/>
          <w:u w:val="none"/>
          <w:lang w:eastAsia="zh-CN"/>
        </w:rPr>
        <w:t>工程量变更审批</w:t>
      </w:r>
      <w:r>
        <w:rPr>
          <w:rFonts w:hint="eastAsia" w:ascii="方正小标宋简体" w:hAnsi="宋体" w:eastAsia="方正小标宋简体" w:cs="宋体"/>
          <w:b w:val="0"/>
          <w:bCs w:val="0"/>
          <w:sz w:val="36"/>
          <w:szCs w:val="36"/>
          <w:highlight w:val="none"/>
          <w:u w:val="none"/>
        </w:rPr>
        <w:t>表</w:t>
      </w:r>
    </w:p>
    <w:tbl>
      <w:tblPr>
        <w:tblStyle w:val="10"/>
        <w:tblW w:w="9380"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917"/>
        <w:gridCol w:w="825"/>
        <w:gridCol w:w="1558"/>
        <w:gridCol w:w="376"/>
        <w:gridCol w:w="1152"/>
        <w:gridCol w:w="608"/>
        <w:gridCol w:w="963"/>
        <w:gridCol w:w="42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项目名称</w:t>
            </w:r>
          </w:p>
        </w:tc>
        <w:tc>
          <w:tcPr>
            <w:tcW w:w="3694"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c>
          <w:tcPr>
            <w:tcW w:w="1388"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批准文号</w:t>
            </w:r>
          </w:p>
        </w:tc>
        <w:tc>
          <w:tcPr>
            <w:tcW w:w="1698"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75"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批准投资额</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（万元）</w:t>
            </w:r>
          </w:p>
        </w:tc>
        <w:tc>
          <w:tcPr>
            <w:tcW w:w="825"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c>
          <w:tcPr>
            <w:tcW w:w="193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合同金额（万元）</w:t>
            </w:r>
          </w:p>
        </w:tc>
        <w:tc>
          <w:tcPr>
            <w:tcW w:w="176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c>
          <w:tcPr>
            <w:tcW w:w="1388"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资金来源</w:t>
            </w:r>
          </w:p>
        </w:tc>
        <w:tc>
          <w:tcPr>
            <w:tcW w:w="1698"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项目当前进度</w:t>
            </w: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sym w:font="Wingdings" w:char="00A8"/>
            </w:r>
            <w:r>
              <w:rPr>
                <w:rFonts w:hint="eastAsia" w:asciiTheme="minorEastAsia" w:hAnsiTheme="minorEastAsia" w:eastAsiaTheme="minorEastAsia" w:cstheme="minorEastAsia"/>
                <w:sz w:val="21"/>
                <w:szCs w:val="21"/>
                <w:highlight w:val="none"/>
                <w:lang w:val="en-US" w:eastAsia="zh-CN"/>
              </w:rPr>
              <w:t>未开工，正在办理前期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手续。</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sym w:font="Wingdings" w:char="00A8"/>
            </w:r>
            <w:r>
              <w:rPr>
                <w:rFonts w:hint="eastAsia" w:asciiTheme="minorEastAsia" w:hAnsiTheme="minorEastAsia" w:eastAsiaTheme="minorEastAsia" w:cstheme="minorEastAsia"/>
                <w:sz w:val="21"/>
                <w:szCs w:val="21"/>
                <w:highlight w:val="none"/>
                <w:lang w:val="en-US" w:eastAsia="zh-CN"/>
              </w:rPr>
              <w:t>已开工，已完成工程量的</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sym w:font="Wingdings" w:char="00A8"/>
            </w:r>
            <w:r>
              <w:rPr>
                <w:rFonts w:hint="eastAsia" w:asciiTheme="minorEastAsia" w:hAnsiTheme="minorEastAsia" w:eastAsiaTheme="minorEastAsia" w:cstheme="minorEastAsia"/>
                <w:sz w:val="21"/>
                <w:szCs w:val="21"/>
                <w:highlight w:val="none"/>
                <w:lang w:val="en-US" w:eastAsia="zh-CN"/>
              </w:rPr>
              <w:t>已竣工，正在办理</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手续。</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sym w:font="Wingdings" w:char="00A8"/>
            </w:r>
            <w:r>
              <w:rPr>
                <w:rFonts w:hint="eastAsia" w:asciiTheme="minorEastAsia" w:hAnsiTheme="minorEastAsia" w:eastAsiaTheme="minorEastAsia" w:cstheme="minorEastAsia"/>
                <w:sz w:val="21"/>
                <w:szCs w:val="21"/>
                <w:highlight w:val="none"/>
                <w:lang w:val="en-US" w:eastAsia="zh-CN"/>
              </w:rPr>
              <w:t>已验收。</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sym w:font="Wingdings" w:char="00A8"/>
            </w:r>
            <w:r>
              <w:rPr>
                <w:rFonts w:hint="eastAsia" w:asciiTheme="minorEastAsia" w:hAnsiTheme="minorEastAsia" w:eastAsiaTheme="minorEastAsia" w:cstheme="minorEastAsia"/>
                <w:sz w:val="21"/>
                <w:szCs w:val="21"/>
                <w:highlight w:val="none"/>
                <w:lang w:val="en-US" w:eastAsia="zh-CN"/>
              </w:rPr>
              <w:t>其他情况：</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变量</w:t>
            </w:r>
            <w:r>
              <w:rPr>
                <w:rFonts w:hint="eastAsia" w:asciiTheme="minorEastAsia" w:hAnsiTheme="minorEastAsia" w:eastAsiaTheme="minorEastAsia" w:cstheme="minorEastAsia"/>
                <w:color w:val="auto"/>
                <w:sz w:val="21"/>
                <w:szCs w:val="21"/>
                <w:highlight w:val="none"/>
                <w:u w:val="none"/>
              </w:rPr>
              <w:t>原因及主要内容</w:t>
            </w: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变量</w:t>
            </w:r>
            <w:r>
              <w:rPr>
                <w:rFonts w:hint="eastAsia" w:asciiTheme="minorEastAsia" w:hAnsiTheme="minorEastAsia" w:eastAsiaTheme="minorEastAsia" w:cstheme="minorEastAsia"/>
                <w:color w:val="auto"/>
                <w:sz w:val="21"/>
                <w:szCs w:val="21"/>
                <w:highlight w:val="none"/>
                <w:u w:val="none"/>
              </w:rPr>
              <w:t>部分预算价</w:t>
            </w:r>
          </w:p>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（万元）</w:t>
            </w:r>
          </w:p>
        </w:tc>
        <w:tc>
          <w:tcPr>
            <w:tcW w:w="193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rPr>
            </w:pPr>
          </w:p>
          <w:p>
            <w:pPr>
              <w:pStyle w:val="8"/>
              <w:rPr>
                <w:rFonts w:hint="eastAsia"/>
                <w:highlight w:val="none"/>
              </w:rPr>
            </w:pPr>
          </w:p>
        </w:tc>
        <w:tc>
          <w:tcPr>
            <w:tcW w:w="3148"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rPr>
              <w:t>与</w:t>
            </w:r>
            <w:r>
              <w:rPr>
                <w:rFonts w:hint="eastAsia" w:asciiTheme="minorEastAsia" w:hAnsiTheme="minorEastAsia" w:eastAsiaTheme="minorEastAsia" w:cstheme="minorEastAsia"/>
                <w:color w:val="auto"/>
                <w:sz w:val="21"/>
                <w:szCs w:val="21"/>
                <w:highlight w:val="none"/>
                <w:u w:val="none"/>
                <w:lang w:eastAsia="zh-CN"/>
              </w:rPr>
              <w:t>合同金额相</w:t>
            </w:r>
            <w:r>
              <w:rPr>
                <w:rFonts w:hint="eastAsia" w:asciiTheme="minorEastAsia" w:hAnsiTheme="minorEastAsia" w:eastAsiaTheme="minorEastAsia" w:cstheme="minorEastAsia"/>
                <w:color w:val="auto"/>
                <w:sz w:val="21"/>
                <w:szCs w:val="21"/>
                <w:highlight w:val="none"/>
                <w:u w:val="none"/>
              </w:rPr>
              <w:t>比</w:t>
            </w:r>
            <w:r>
              <w:rPr>
                <w:rFonts w:hint="eastAsia" w:asciiTheme="minorEastAsia" w:hAnsiTheme="minorEastAsia" w:eastAsiaTheme="minorEastAsia" w:cstheme="minorEastAsia"/>
                <w:color w:val="auto"/>
                <w:sz w:val="21"/>
                <w:szCs w:val="21"/>
                <w:highlight w:val="none"/>
                <w:u w:val="none"/>
                <w:lang w:eastAsia="zh-CN"/>
              </w:rPr>
              <w:t>变更</w:t>
            </w:r>
            <w:r>
              <w:rPr>
                <w:rFonts w:hint="eastAsia" w:asciiTheme="minorEastAsia" w:hAnsiTheme="minorEastAsia" w:eastAsiaTheme="minorEastAsia" w:cstheme="minorEastAsia"/>
                <w:color w:val="auto"/>
                <w:sz w:val="21"/>
                <w:szCs w:val="21"/>
                <w:highlight w:val="none"/>
                <w:u w:val="none"/>
              </w:rPr>
              <w:t>比例</w:t>
            </w:r>
            <w:r>
              <w:rPr>
                <w:rFonts w:hint="eastAsia" w:asciiTheme="minorEastAsia" w:hAnsiTheme="minorEastAsia" w:eastAsiaTheme="minorEastAsia" w:cstheme="minorEastAsia"/>
                <w:color w:val="auto"/>
                <w:sz w:val="21"/>
                <w:szCs w:val="21"/>
                <w:highlight w:val="none"/>
                <w:u w:val="none"/>
                <w:lang w:eastAsia="zh-CN"/>
              </w:rPr>
              <w:t>（</w:t>
            </w:r>
            <w:r>
              <w:rPr>
                <w:rFonts w:hint="eastAsia" w:ascii="宋体" w:hAnsi="宋体" w:eastAsia="宋体" w:cs="宋体"/>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w:t>
            </w:r>
          </w:p>
        </w:tc>
        <w:tc>
          <w:tcPr>
            <w:tcW w:w="1698"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8" w:type="dxa"/>
            <w:vMerge w:val="restart"/>
            <w:noWrap w:val="0"/>
            <w:vAlign w:val="center"/>
          </w:tcPr>
          <w:p>
            <w:pPr>
              <w:keepNext w:val="0"/>
              <w:keepLines w:val="0"/>
              <w:pageBreakBefore w:val="0"/>
              <w:widowControl w:val="0"/>
              <w:tabs>
                <w:tab w:val="left" w:pos="292"/>
              </w:tabs>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变更申请意见</w:t>
            </w:r>
          </w:p>
        </w:tc>
        <w:tc>
          <w:tcPr>
            <w:tcW w:w="174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业主单位申请</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意见</w:t>
            </w: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8"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center"/>
              <w:textAlignment w:val="auto"/>
              <w:rPr>
                <w:rFonts w:hint="eastAsia" w:asciiTheme="minorEastAsia" w:hAnsiTheme="minorEastAsia" w:eastAsiaTheme="minorEastAsia" w:cstheme="minorEastAsia"/>
                <w:color w:val="auto"/>
                <w:sz w:val="21"/>
                <w:szCs w:val="21"/>
                <w:highlight w:val="none"/>
                <w:u w:val="none"/>
                <w:lang w:eastAsia="zh-CN"/>
              </w:rPr>
            </w:pPr>
          </w:p>
        </w:tc>
        <w:tc>
          <w:tcPr>
            <w:tcW w:w="174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勘察单位勘察</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情况说明意见</w:t>
            </w:r>
          </w:p>
        </w:tc>
        <w:tc>
          <w:tcPr>
            <w:tcW w:w="3086"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tc>
        <w:tc>
          <w:tcPr>
            <w:tcW w:w="1571"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设计单位变更设计说明意见</w:t>
            </w:r>
          </w:p>
        </w:tc>
        <w:tc>
          <w:tcPr>
            <w:tcW w:w="2123"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8"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center"/>
              <w:textAlignment w:val="auto"/>
              <w:rPr>
                <w:rFonts w:hint="eastAsia" w:asciiTheme="minorEastAsia" w:hAnsiTheme="minorEastAsia" w:eastAsiaTheme="minorEastAsia" w:cstheme="minorEastAsia"/>
                <w:color w:val="auto"/>
                <w:sz w:val="21"/>
                <w:szCs w:val="21"/>
                <w:highlight w:val="none"/>
                <w:u w:val="none"/>
                <w:lang w:eastAsia="zh-CN"/>
              </w:rPr>
            </w:pPr>
          </w:p>
        </w:tc>
        <w:tc>
          <w:tcPr>
            <w:tcW w:w="174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施工单位说明</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意见</w:t>
            </w:r>
          </w:p>
        </w:tc>
        <w:tc>
          <w:tcPr>
            <w:tcW w:w="3086"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tc>
        <w:tc>
          <w:tcPr>
            <w:tcW w:w="1571"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监理单位说明意见</w:t>
            </w:r>
          </w:p>
        </w:tc>
        <w:tc>
          <w:tcPr>
            <w:tcW w:w="2123"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项目主管部门</w:t>
            </w:r>
            <w:r>
              <w:rPr>
                <w:rFonts w:hint="eastAsia" w:asciiTheme="minorEastAsia" w:hAnsiTheme="minorEastAsia" w:eastAsiaTheme="minorEastAsia" w:cstheme="minorEastAsia"/>
                <w:color w:val="auto"/>
                <w:sz w:val="21"/>
                <w:szCs w:val="21"/>
                <w:highlight w:val="none"/>
                <w:u w:val="none"/>
                <w:lang w:eastAsia="zh-CN"/>
              </w:rPr>
              <w:t>意见</w:t>
            </w: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600" w:type="dxa"/>
            <w:gridSpan w:val="3"/>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分管副县长组织现场踏勘、专题会议研究意见</w:t>
            </w:r>
          </w:p>
        </w:tc>
        <w:tc>
          <w:tcPr>
            <w:tcW w:w="1558"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发改部门意见</w:t>
            </w:r>
          </w:p>
        </w:tc>
        <w:tc>
          <w:tcPr>
            <w:tcW w:w="5222" w:type="dxa"/>
            <w:gridSpan w:val="6"/>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600" w:type="dxa"/>
            <w:gridSpan w:val="3"/>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center"/>
              <w:textAlignment w:val="auto"/>
              <w:rPr>
                <w:rFonts w:hint="eastAsia" w:asciiTheme="minorEastAsia" w:hAnsiTheme="minorEastAsia" w:eastAsiaTheme="minorEastAsia" w:cstheme="minorEastAsia"/>
                <w:color w:val="auto"/>
                <w:sz w:val="21"/>
                <w:szCs w:val="21"/>
                <w:highlight w:val="none"/>
                <w:u w:val="none"/>
                <w:lang w:eastAsia="zh-CN"/>
              </w:rPr>
            </w:pPr>
          </w:p>
        </w:tc>
        <w:tc>
          <w:tcPr>
            <w:tcW w:w="1558"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财政部门意见</w:t>
            </w:r>
          </w:p>
        </w:tc>
        <w:tc>
          <w:tcPr>
            <w:tcW w:w="5222" w:type="dxa"/>
            <w:gridSpan w:val="6"/>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600" w:type="dxa"/>
            <w:gridSpan w:val="3"/>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center"/>
              <w:textAlignment w:val="auto"/>
              <w:rPr>
                <w:rFonts w:hint="eastAsia" w:asciiTheme="minorEastAsia" w:hAnsiTheme="minorEastAsia" w:eastAsiaTheme="minorEastAsia" w:cstheme="minorEastAsia"/>
                <w:color w:val="auto"/>
                <w:sz w:val="21"/>
                <w:szCs w:val="21"/>
                <w:highlight w:val="none"/>
                <w:u w:val="none"/>
                <w:lang w:eastAsia="zh-CN"/>
              </w:rPr>
            </w:pPr>
          </w:p>
        </w:tc>
        <w:tc>
          <w:tcPr>
            <w:tcW w:w="1558"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行业主管部门意</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lang w:eastAsia="zh-CN"/>
              </w:rPr>
              <w:t>见</w:t>
            </w:r>
          </w:p>
        </w:tc>
        <w:tc>
          <w:tcPr>
            <w:tcW w:w="5222" w:type="dxa"/>
            <w:gridSpan w:val="6"/>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分管副县长审核意见</w:t>
            </w: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exac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lang w:eastAsia="zh-CN"/>
              </w:rPr>
            </w:pP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lang w:eastAsia="zh-CN"/>
              </w:rPr>
            </w:pP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highlight w:val="none"/>
                <w:lang w:eastAsia="zh-CN"/>
              </w:rPr>
              <w:t>常务副县长审核意见</w:t>
            </w:r>
          </w:p>
          <w:p>
            <w:pPr>
              <w:pStyle w:val="8"/>
              <w:jc w:val="center"/>
              <w:rPr>
                <w:rFonts w:hint="eastAsia" w:asciiTheme="minorEastAsia" w:hAnsiTheme="minorEastAsia" w:eastAsiaTheme="minorEastAsia" w:cstheme="minorEastAsia"/>
                <w:color w:val="auto"/>
                <w:sz w:val="21"/>
                <w:szCs w:val="21"/>
                <w:highlight w:val="none"/>
                <w:u w:val="none"/>
                <w:lang w:eastAsia="zh-CN"/>
              </w:rPr>
            </w:pP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highlight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p>
            <w:pPr>
              <w:pStyle w:val="8"/>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县长审核意见</w:t>
            </w: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exac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县政府常务会议</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审定（审议）意见</w:t>
            </w: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exact"/>
        </w:trPr>
        <w:tc>
          <w:tcPr>
            <w:tcW w:w="2600"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县委常委会议</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审定意见</w:t>
            </w:r>
          </w:p>
        </w:tc>
        <w:tc>
          <w:tcPr>
            <w:tcW w:w="6780" w:type="dxa"/>
            <w:gridSpan w:val="7"/>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u w:val="none"/>
              </w:rPr>
            </w:pPr>
          </w:p>
        </w:tc>
      </w:tr>
    </w:tbl>
    <w:p>
      <w:pPr>
        <w:keepNext w:val="0"/>
        <w:keepLines w:val="0"/>
        <w:pageBreakBefore w:val="0"/>
        <w:widowControl w:val="0"/>
        <w:kinsoku/>
        <w:wordWrap/>
        <w:overflowPunct w:val="0"/>
        <w:topLinePunct w:val="0"/>
        <w:autoSpaceDE/>
        <w:autoSpaceDN/>
        <w:bidi w:val="0"/>
        <w:adjustRightInd/>
        <w:snapToGrid/>
        <w:spacing w:line="300" w:lineRule="exact"/>
        <w:ind w:firstLine="482" w:firstLineChars="200"/>
        <w:jc w:val="both"/>
        <w:textAlignment w:val="auto"/>
        <w:outlineLvl w:val="9"/>
        <w:rPr>
          <w:rFonts w:hint="eastAsia"/>
          <w:b/>
          <w:bCs/>
          <w:sz w:val="24"/>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360" w:lineRule="exact"/>
        <w:ind w:firstLine="562" w:firstLineChars="200"/>
        <w:jc w:val="both"/>
        <w:textAlignment w:val="auto"/>
        <w:outlineLvl w:val="9"/>
        <w:rPr>
          <w:rFonts w:hint="eastAsia"/>
          <w:b w:val="0"/>
          <w:bCs w:val="0"/>
          <w:sz w:val="28"/>
          <w:szCs w:val="36"/>
          <w:highlight w:val="none"/>
          <w:lang w:val="en-US" w:eastAsia="zh-CN"/>
        </w:rPr>
      </w:pPr>
      <w:r>
        <w:rPr>
          <w:rFonts w:hint="eastAsia"/>
          <w:b/>
          <w:bCs/>
          <w:sz w:val="28"/>
          <w:szCs w:val="36"/>
          <w:highlight w:val="none"/>
          <w:lang w:val="en-US" w:eastAsia="zh-CN"/>
        </w:rPr>
        <w:t>备注</w:t>
      </w:r>
      <w:r>
        <w:rPr>
          <w:rFonts w:hint="eastAsia"/>
          <w:b w:val="0"/>
          <w:bCs w:val="0"/>
          <w:sz w:val="28"/>
          <w:szCs w:val="36"/>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ind w:firstLine="482" w:firstLineChars="200"/>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1.增加比例小于合同金额10%、且金额小于50万元的，报县政府常务副县长审批同意后予以变更。</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ind w:firstLine="482" w:firstLineChars="200"/>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2.增加比例小于合同金额10%、且金额大于50万（含）、小于100万元的，报县政府常务副县长、县长审批同意后予以变更。</w:t>
      </w:r>
    </w:p>
    <w:p>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3.增加比例大于合同价款10%或变更金额大于100万元（含）的，报县政府常务副县长、县长审批，最后经县政府常务会议审定（审议）。</w:t>
      </w:r>
    </w:p>
    <w:p>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4.单笔100万元以上（含）的预算追加须提请县委常委会议审定后按程序调整。</w:t>
      </w:r>
    </w:p>
    <w:p>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4.变更申请意见应充分说明各自负责职责内的核实或者申请意见，应明确变更的症结原因、变更设计的合理性、变更设计资金来源等内容，不得表述为“同意变更”等审批意见。</w:t>
      </w:r>
    </w:p>
    <w:p>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5.审核或审批意见应明确为“同意变更”或“不同意变更”。</w:t>
      </w:r>
    </w:p>
    <w:p>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6.审批金额划分及审批层级须严格按照《旺苍县政府投资工程建设项目监督管理办法》第十八条执行。</w:t>
      </w:r>
    </w:p>
    <w:p>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7.工程增量部分所需建设资金一律由项目业主单位自行筹措解决。</w:t>
      </w:r>
    </w:p>
    <w:p>
      <w:pPr>
        <w:keepNext w:val="0"/>
        <w:keepLines w:val="0"/>
        <w:pageBreakBefore w:val="0"/>
        <w:widowControl w:val="0"/>
        <w:kinsoku/>
        <w:wordWrap/>
        <w:overflowPunct w:val="0"/>
        <w:topLinePunct w:val="0"/>
        <w:autoSpaceDE/>
        <w:autoSpaceDN/>
        <w:bidi w:val="0"/>
        <w:adjustRightInd/>
        <w:snapToGrid/>
        <w:spacing w:line="360" w:lineRule="exact"/>
        <w:ind w:firstLine="560" w:firstLineChars="200"/>
        <w:jc w:val="both"/>
        <w:textAlignment w:val="auto"/>
        <w:outlineLvl w:val="9"/>
        <w:rPr>
          <w:rFonts w:hint="eastAsia"/>
          <w:b w:val="0"/>
          <w:bCs w:val="0"/>
          <w:sz w:val="28"/>
          <w:szCs w:val="36"/>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300" w:lineRule="exact"/>
        <w:ind w:firstLine="482" w:firstLineChars="200"/>
        <w:jc w:val="both"/>
        <w:textAlignment w:val="auto"/>
        <w:outlineLvl w:val="9"/>
        <w:rPr>
          <w:rFonts w:hint="eastAsia"/>
          <w:b/>
          <w:bCs/>
          <w:sz w:val="24"/>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300" w:lineRule="exact"/>
        <w:ind w:firstLine="482" w:firstLineChars="200"/>
        <w:jc w:val="both"/>
        <w:textAlignment w:val="auto"/>
        <w:outlineLvl w:val="9"/>
        <w:rPr>
          <w:rFonts w:hint="eastAsia"/>
          <w:b/>
          <w:bCs/>
          <w:sz w:val="24"/>
          <w:szCs w:val="32"/>
          <w:highlight w:val="none"/>
          <w:lang w:val="en-US" w:eastAsia="zh-CN"/>
        </w:rPr>
      </w:pPr>
    </w:p>
    <w:p>
      <w:pPr>
        <w:pStyle w:val="2"/>
        <w:rPr>
          <w:rFonts w:hint="eastAsia"/>
          <w:b/>
          <w:bCs/>
          <w:sz w:val="24"/>
          <w:szCs w:val="32"/>
          <w:highlight w:val="none"/>
          <w:lang w:val="en-US" w:eastAsia="zh-CN"/>
        </w:rPr>
      </w:pPr>
    </w:p>
    <w:p>
      <w:pPr>
        <w:rPr>
          <w:rFonts w:hint="eastAsia"/>
          <w:b/>
          <w:bCs/>
          <w:sz w:val="24"/>
          <w:szCs w:val="32"/>
          <w:highlight w:val="none"/>
          <w:lang w:val="en-US" w:eastAsia="zh-CN"/>
        </w:rPr>
      </w:pPr>
    </w:p>
    <w:p>
      <w:pPr>
        <w:pStyle w:val="2"/>
        <w:rPr>
          <w:rFonts w:hint="eastAsia"/>
          <w:b/>
          <w:bCs/>
          <w:sz w:val="24"/>
          <w:szCs w:val="32"/>
          <w:highlight w:val="none"/>
          <w:lang w:val="en-US" w:eastAsia="zh-CN"/>
        </w:rPr>
        <w:sectPr>
          <w:footerReference r:id="rId3" w:type="default"/>
          <w:pgSz w:w="11906" w:h="16838"/>
          <w:pgMar w:top="2098" w:right="1474" w:bottom="1984" w:left="1587" w:header="851" w:footer="992" w:gutter="0"/>
          <w:pgNumType w:fmt="numberInDash"/>
          <w:cols w:space="0" w:num="1"/>
          <w:rtlGutter w:val="0"/>
          <w:docGrid w:type="lines" w:linePitch="318" w:charSpace="0"/>
        </w:sectPr>
      </w:pP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黑体" w:hAnsi="黑体" w:eastAsia="黑体" w:cs="黑体"/>
          <w:color w:val="auto"/>
          <w:sz w:val="30"/>
          <w:szCs w:val="30"/>
          <w:highlight w:val="none"/>
          <w:u w:val="none"/>
          <w:lang w:val="en-US" w:eastAsia="zh-CN"/>
        </w:rPr>
      </w:pPr>
      <w:r>
        <w:rPr>
          <w:rFonts w:hint="eastAsia" w:ascii="黑体" w:hAnsi="黑体" w:eastAsia="黑体" w:cs="黑体"/>
          <w:color w:val="auto"/>
          <w:sz w:val="30"/>
          <w:szCs w:val="30"/>
          <w:highlight w:val="none"/>
          <w:u w:val="none"/>
          <w:lang w:val="en-US" w:eastAsia="zh-CN"/>
        </w:rPr>
        <w:t>附件3：</w:t>
      </w:r>
    </w:p>
    <w:p>
      <w:pPr>
        <w:jc w:val="center"/>
        <w:rPr>
          <w:rFonts w:hint="eastAsia" w:ascii="方正小标宋简体" w:hAnsi="宋体" w:eastAsia="方正小标宋简体" w:cs="宋体"/>
          <w:b w:val="0"/>
          <w:bCs w:val="0"/>
          <w:sz w:val="40"/>
          <w:szCs w:val="40"/>
          <w:highlight w:val="none"/>
          <w:u w:val="none"/>
          <w:lang w:eastAsia="zh-CN"/>
        </w:rPr>
      </w:pPr>
      <w:r>
        <w:rPr>
          <w:rFonts w:hint="eastAsia" w:ascii="方正小标宋简体" w:hAnsi="宋体" w:eastAsia="方正小标宋简体" w:cs="宋体"/>
          <w:b w:val="0"/>
          <w:bCs w:val="0"/>
          <w:sz w:val="40"/>
          <w:szCs w:val="40"/>
          <w:highlight w:val="none"/>
          <w:u w:val="none"/>
        </w:rPr>
        <w:t>旺苍县政府投资工程建设项目</w:t>
      </w:r>
      <w:r>
        <w:rPr>
          <w:rFonts w:hint="eastAsia" w:ascii="方正小标宋简体" w:hAnsi="宋体" w:eastAsia="方正小标宋简体" w:cs="宋体"/>
          <w:b w:val="0"/>
          <w:bCs w:val="0"/>
          <w:sz w:val="40"/>
          <w:szCs w:val="40"/>
          <w:highlight w:val="none"/>
          <w:u w:val="none"/>
          <w:lang w:eastAsia="zh-CN"/>
        </w:rPr>
        <w:t>工作流程图</w:t>
      </w:r>
    </w:p>
    <w:p>
      <w:pPr>
        <w:pStyle w:val="2"/>
        <w:jc w:val="both"/>
        <w:rPr>
          <w:rFonts w:hint="eastAsia" w:ascii="方正小标宋简体" w:hAnsi="宋体" w:eastAsia="方正小标宋简体" w:cs="宋体"/>
          <w:b w:val="0"/>
          <w:bCs w:val="0"/>
          <w:sz w:val="40"/>
          <w:szCs w:val="40"/>
          <w:highlight w:val="none"/>
          <w:u w:val="none"/>
          <w:lang w:eastAsia="zh-CN"/>
        </w:rPr>
      </w:pPr>
      <w:r>
        <w:rPr>
          <w:rFonts w:hint="eastAsia" w:ascii="黑体" w:hAnsi="黑体" w:eastAsia="黑体" w:cs="黑体"/>
          <w:color w:val="auto"/>
          <w:sz w:val="30"/>
          <w:szCs w:val="30"/>
          <w:highlight w:val="none"/>
          <w:u w:val="none"/>
          <w:lang w:val="en-US" w:eastAsia="zh-CN"/>
        </w:rPr>
        <w:drawing>
          <wp:inline distT="0" distB="0" distL="114300" distR="114300">
            <wp:extent cx="9157335" cy="4661535"/>
            <wp:effectExtent l="0" t="0" r="5715" b="5715"/>
            <wp:docPr id="133" name="图片 13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1"/>
                    <pic:cNvPicPr>
                      <a:picLocks noChangeAspect="1"/>
                    </pic:cNvPicPr>
                  </pic:nvPicPr>
                  <pic:blipFill>
                    <a:blip r:embed="rId5"/>
                    <a:stretch>
                      <a:fillRect/>
                    </a:stretch>
                  </pic:blipFill>
                  <pic:spPr>
                    <a:xfrm>
                      <a:off x="0" y="0"/>
                      <a:ext cx="9157335" cy="4661535"/>
                    </a:xfrm>
                    <a:prstGeom prst="rect">
                      <a:avLst/>
                    </a:prstGeom>
                  </pic:spPr>
                </pic:pic>
              </a:graphicData>
            </a:graphic>
          </wp:inline>
        </w:drawing>
      </w:r>
    </w:p>
    <w:p>
      <w:pPr>
        <w:pStyle w:val="2"/>
        <w:rPr>
          <w:rFonts w:hint="eastAsia" w:ascii="黑体" w:hAnsi="黑体" w:eastAsia="黑体" w:cs="黑体"/>
          <w:color w:val="auto"/>
          <w:sz w:val="30"/>
          <w:szCs w:val="30"/>
          <w:highlight w:val="none"/>
          <w:u w:val="none"/>
          <w:lang w:val="en-US" w:eastAsia="zh-CN"/>
        </w:rPr>
      </w:pPr>
      <w:r>
        <w:rPr>
          <w:rFonts w:hint="eastAsia" w:ascii="黑体" w:hAnsi="黑体" w:eastAsia="黑体" w:cs="黑体"/>
          <w:color w:val="auto"/>
          <w:sz w:val="30"/>
          <w:szCs w:val="30"/>
          <w:highlight w:val="none"/>
          <w:u w:val="none"/>
          <w:lang w:val="en-US" w:eastAsia="zh-CN"/>
        </w:rPr>
        <w:drawing>
          <wp:inline distT="0" distB="0" distL="114300" distR="114300">
            <wp:extent cx="9211945" cy="5445125"/>
            <wp:effectExtent l="0" t="0" r="8255" b="3175"/>
            <wp:docPr id="132" name="图片 13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2"/>
                    <pic:cNvPicPr>
                      <a:picLocks noChangeAspect="1"/>
                    </pic:cNvPicPr>
                  </pic:nvPicPr>
                  <pic:blipFill>
                    <a:blip r:embed="rId6"/>
                    <a:stretch>
                      <a:fillRect/>
                    </a:stretch>
                  </pic:blipFill>
                  <pic:spPr>
                    <a:xfrm>
                      <a:off x="0" y="0"/>
                      <a:ext cx="9211945" cy="5445125"/>
                    </a:xfrm>
                    <a:prstGeom prst="rect">
                      <a:avLst/>
                    </a:prstGeom>
                  </pic:spPr>
                </pic:pic>
              </a:graphicData>
            </a:graphic>
          </wp:inline>
        </w:drawing>
      </w:r>
    </w:p>
    <w:p>
      <w:pPr>
        <w:pStyle w:val="2"/>
        <w:rPr>
          <w:rFonts w:hint="default"/>
          <w:highlight w:val="none"/>
          <w:lang w:val="en-US" w:eastAsia="zh-CN"/>
        </w:rPr>
      </w:pPr>
      <w:r>
        <w:rPr>
          <w:rFonts w:hint="eastAsia" w:ascii="黑体" w:hAnsi="黑体" w:eastAsia="黑体" w:cs="黑体"/>
          <w:color w:val="auto"/>
          <w:sz w:val="30"/>
          <w:szCs w:val="30"/>
          <w:highlight w:val="none"/>
          <w:u w:val="none"/>
          <w:lang w:val="en-US" w:eastAsia="zh-CN"/>
        </w:rPr>
        <w:drawing>
          <wp:inline distT="0" distB="0" distL="114300" distR="114300">
            <wp:extent cx="9293225" cy="5375910"/>
            <wp:effectExtent l="0" t="0" r="3175" b="15240"/>
            <wp:docPr id="131" name="图片 13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3"/>
                    <pic:cNvPicPr>
                      <a:picLocks noChangeAspect="1"/>
                    </pic:cNvPicPr>
                  </pic:nvPicPr>
                  <pic:blipFill>
                    <a:blip r:embed="rId7"/>
                    <a:stretch>
                      <a:fillRect/>
                    </a:stretch>
                  </pic:blipFill>
                  <pic:spPr>
                    <a:xfrm>
                      <a:off x="0" y="0"/>
                      <a:ext cx="9293225" cy="5375910"/>
                    </a:xfrm>
                    <a:prstGeom prst="rect">
                      <a:avLst/>
                    </a:prstGeom>
                  </pic:spPr>
                </pic:pic>
              </a:graphicData>
            </a:graphic>
          </wp:inline>
        </w:drawing>
      </w:r>
    </w:p>
    <w:sectPr>
      <w:pgSz w:w="16838" w:h="11906" w:orient="landscape"/>
      <w:pgMar w:top="1474" w:right="1134" w:bottom="1474" w:left="1134"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52949A8-A2CA-4E99-8466-FD79F9B38FA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5BA8A66-0F58-4EBD-803E-F8366AF3B2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embedRegular r:id="rId3" w:fontKey="{F7F2655B-33E0-4C6A-AED1-0A30C76A3917}"/>
  </w:font>
  <w:font w:name="仿宋">
    <w:panose1 w:val="02010609060101010101"/>
    <w:charset w:val="86"/>
    <w:family w:val="auto"/>
    <w:pitch w:val="default"/>
    <w:sig w:usb0="800002BF" w:usb1="38CF7CFA" w:usb2="00000016" w:usb3="00000000" w:csb0="00040001" w:csb1="00000000"/>
    <w:embedRegular r:id="rId4" w:fontKey="{4FC2E00F-E75F-4B4C-A828-C6A9BA97C44D}"/>
  </w:font>
  <w:font w:name="楷体">
    <w:panose1 w:val="02010609060101010101"/>
    <w:charset w:val="86"/>
    <w:family w:val="auto"/>
    <w:pitch w:val="default"/>
    <w:sig w:usb0="800002BF" w:usb1="38CF7CFA" w:usb2="00000016" w:usb3="00000000" w:csb0="00040001" w:csb1="00000000"/>
    <w:embedRegular r:id="rId5" w:fontKey="{7F34F33B-45CC-4A68-B6AF-0C652E3BB6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OGM5YzJkZWYzN2MwY2JjNmIxODNiNDNlOTE3OTcifQ=="/>
  </w:docVars>
  <w:rsids>
    <w:rsidRoot w:val="6D2B2B80"/>
    <w:rsid w:val="01877B89"/>
    <w:rsid w:val="0322757B"/>
    <w:rsid w:val="04012597"/>
    <w:rsid w:val="041C3CE0"/>
    <w:rsid w:val="05A54A82"/>
    <w:rsid w:val="05D51ABF"/>
    <w:rsid w:val="05F93C64"/>
    <w:rsid w:val="064D566A"/>
    <w:rsid w:val="075E138C"/>
    <w:rsid w:val="08AC25CB"/>
    <w:rsid w:val="0A893537"/>
    <w:rsid w:val="0AAB1EE2"/>
    <w:rsid w:val="0B390427"/>
    <w:rsid w:val="0CCB4D6D"/>
    <w:rsid w:val="0D12566E"/>
    <w:rsid w:val="0D4F1DF8"/>
    <w:rsid w:val="0E8F4C4E"/>
    <w:rsid w:val="0EA1777F"/>
    <w:rsid w:val="0EDD01D2"/>
    <w:rsid w:val="0F18253A"/>
    <w:rsid w:val="0F707EAE"/>
    <w:rsid w:val="14171240"/>
    <w:rsid w:val="14FB646C"/>
    <w:rsid w:val="16491459"/>
    <w:rsid w:val="1668293B"/>
    <w:rsid w:val="1BEA1840"/>
    <w:rsid w:val="1D992CC6"/>
    <w:rsid w:val="1E763007"/>
    <w:rsid w:val="205D447F"/>
    <w:rsid w:val="21DC7625"/>
    <w:rsid w:val="221548E5"/>
    <w:rsid w:val="22702C63"/>
    <w:rsid w:val="24930A94"/>
    <w:rsid w:val="251E2BA0"/>
    <w:rsid w:val="256040C9"/>
    <w:rsid w:val="286532F8"/>
    <w:rsid w:val="28FE2577"/>
    <w:rsid w:val="29EE77FA"/>
    <w:rsid w:val="2E5B7B24"/>
    <w:rsid w:val="2E841BDC"/>
    <w:rsid w:val="308A7938"/>
    <w:rsid w:val="30C01930"/>
    <w:rsid w:val="31F6028F"/>
    <w:rsid w:val="324E1E79"/>
    <w:rsid w:val="32650F71"/>
    <w:rsid w:val="329F0927"/>
    <w:rsid w:val="337C6572"/>
    <w:rsid w:val="33A503FA"/>
    <w:rsid w:val="355C665B"/>
    <w:rsid w:val="37E12ED2"/>
    <w:rsid w:val="37EF1A09"/>
    <w:rsid w:val="38B30C88"/>
    <w:rsid w:val="390C151B"/>
    <w:rsid w:val="3D4D0ABF"/>
    <w:rsid w:val="3E027FBC"/>
    <w:rsid w:val="3ED96F6F"/>
    <w:rsid w:val="3F0F0BE2"/>
    <w:rsid w:val="3FB470D4"/>
    <w:rsid w:val="410F6C78"/>
    <w:rsid w:val="42473C96"/>
    <w:rsid w:val="42EE5B8F"/>
    <w:rsid w:val="43071488"/>
    <w:rsid w:val="43BF2BD7"/>
    <w:rsid w:val="453F38A4"/>
    <w:rsid w:val="484F4F15"/>
    <w:rsid w:val="49323CC5"/>
    <w:rsid w:val="4A203EAF"/>
    <w:rsid w:val="4A830238"/>
    <w:rsid w:val="4C940745"/>
    <w:rsid w:val="4E941D5E"/>
    <w:rsid w:val="4EE031EB"/>
    <w:rsid w:val="513F72F0"/>
    <w:rsid w:val="515E7F7A"/>
    <w:rsid w:val="51B3364F"/>
    <w:rsid w:val="54914021"/>
    <w:rsid w:val="54B80855"/>
    <w:rsid w:val="58451CB8"/>
    <w:rsid w:val="58E67606"/>
    <w:rsid w:val="59564C0D"/>
    <w:rsid w:val="59CD206A"/>
    <w:rsid w:val="5A0E40B5"/>
    <w:rsid w:val="5B490B80"/>
    <w:rsid w:val="5C013209"/>
    <w:rsid w:val="5C374089"/>
    <w:rsid w:val="5DEE2118"/>
    <w:rsid w:val="5ECF7618"/>
    <w:rsid w:val="60244B24"/>
    <w:rsid w:val="607A6FC7"/>
    <w:rsid w:val="608E09A2"/>
    <w:rsid w:val="61F07FA8"/>
    <w:rsid w:val="62162B21"/>
    <w:rsid w:val="62712409"/>
    <w:rsid w:val="62976675"/>
    <w:rsid w:val="64D14994"/>
    <w:rsid w:val="64EE221E"/>
    <w:rsid w:val="64FE478A"/>
    <w:rsid w:val="659A0956"/>
    <w:rsid w:val="664F180D"/>
    <w:rsid w:val="6654480B"/>
    <w:rsid w:val="6764746E"/>
    <w:rsid w:val="676F7DE5"/>
    <w:rsid w:val="678F3DBF"/>
    <w:rsid w:val="6D0A1681"/>
    <w:rsid w:val="6D2B2B80"/>
    <w:rsid w:val="6EA23008"/>
    <w:rsid w:val="6FDA7EAD"/>
    <w:rsid w:val="70F25AEA"/>
    <w:rsid w:val="71CD3E62"/>
    <w:rsid w:val="71F86178"/>
    <w:rsid w:val="72312642"/>
    <w:rsid w:val="73137F9A"/>
    <w:rsid w:val="752D563D"/>
    <w:rsid w:val="771F396F"/>
    <w:rsid w:val="77AA2784"/>
    <w:rsid w:val="78DB3308"/>
    <w:rsid w:val="79206F6D"/>
    <w:rsid w:val="79216733"/>
    <w:rsid w:val="79BF22E2"/>
    <w:rsid w:val="7CE37192"/>
    <w:rsid w:val="7FFE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b/>
      <w:bCs/>
      <w:sz w:val="32"/>
      <w:szCs w:val="32"/>
    </w:rPr>
  </w:style>
  <w:style w:type="paragraph" w:styleId="3">
    <w:name w:val="annotation text"/>
    <w:basedOn w:val="1"/>
    <w:qFormat/>
    <w:uiPriority w:val="0"/>
    <w:pPr>
      <w:jc w:val="left"/>
    </w:pPr>
  </w:style>
  <w:style w:type="paragraph" w:styleId="4">
    <w:name w:val="Body Text"/>
    <w:basedOn w:val="1"/>
    <w:qFormat/>
    <w:uiPriority w:val="0"/>
    <w:pPr>
      <w:spacing w:after="120" w:afterLines="0" w:afterAutospacing="0"/>
    </w:p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2"/>
    <w:basedOn w:val="5"/>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Hyperlink"/>
    <w:basedOn w:val="11"/>
    <w:qFormat/>
    <w:uiPriority w:val="0"/>
    <w:rPr>
      <w:color w:val="333333"/>
      <w:u w:val="none"/>
    </w:rPr>
  </w:style>
  <w:style w:type="character" w:customStyle="1" w:styleId="14">
    <w:name w:val="ul_li_a_1"/>
    <w:basedOn w:val="11"/>
    <w:qFormat/>
    <w:uiPriority w:val="0"/>
    <w:rPr>
      <w:b/>
      <w:bCs/>
      <w:color w:val="FFFFFF"/>
    </w:rPr>
  </w:style>
  <w:style w:type="character" w:customStyle="1" w:styleId="15">
    <w:name w:val="a_p_2"/>
    <w:basedOn w:val="11"/>
    <w:qFormat/>
    <w:uiPriority w:val="0"/>
  </w:style>
  <w:style w:type="character" w:customStyle="1" w:styleId="16">
    <w:name w:val="a_p_21"/>
    <w:basedOn w:val="11"/>
    <w:qFormat/>
    <w:uiPriority w:val="0"/>
    <w:rPr>
      <w:sz w:val="21"/>
      <w:szCs w:val="21"/>
    </w:rPr>
  </w:style>
  <w:style w:type="character" w:customStyle="1" w:styleId="17">
    <w:name w:val="ban-dy"/>
    <w:basedOn w:val="11"/>
    <w:qFormat/>
    <w:uiPriority w:val="0"/>
    <w:rPr>
      <w:sz w:val="21"/>
      <w:szCs w:val="21"/>
    </w:rPr>
  </w:style>
  <w:style w:type="character" w:customStyle="1" w:styleId="18">
    <w:name w:val="cur4"/>
    <w:basedOn w:val="11"/>
    <w:qFormat/>
    <w:uiPriority w:val="0"/>
    <w:rPr>
      <w:shd w:val="clear" w:fill="3678D8"/>
    </w:rPr>
  </w:style>
  <w:style w:type="character" w:customStyle="1" w:styleId="19">
    <w:name w:val="cur5"/>
    <w:basedOn w:val="11"/>
    <w:qFormat/>
    <w:uiPriority w:val="0"/>
    <w:rPr>
      <w:color w:val="3678D8"/>
    </w:rPr>
  </w:style>
  <w:style w:type="character" w:customStyle="1" w:styleId="20">
    <w:name w:val="exap"/>
    <w:basedOn w:val="11"/>
    <w:qFormat/>
    <w:uiPriority w:val="0"/>
    <w:rPr>
      <w:sz w:val="21"/>
      <w:szCs w:val="21"/>
    </w:rPr>
  </w:style>
  <w:style w:type="character" w:customStyle="1" w:styleId="21">
    <w:name w:val="a_p_1"/>
    <w:basedOn w:val="11"/>
    <w:qFormat/>
    <w:uiPriority w:val="0"/>
    <w:rPr>
      <w:sz w:val="21"/>
      <w:szCs w:val="21"/>
    </w:rPr>
  </w:style>
  <w:style w:type="character" w:customStyle="1" w:styleId="22">
    <w:name w:val="time"/>
    <w:basedOn w:val="11"/>
    <w:qFormat/>
    <w:uiPriority w:val="0"/>
    <w:rPr>
      <w:color w:val="999999"/>
    </w:rPr>
  </w:style>
  <w:style w:type="character" w:customStyle="1" w:styleId="23">
    <w:name w:val="a_p_3"/>
    <w:basedOn w:val="11"/>
    <w:qFormat/>
    <w:uiPriority w:val="0"/>
    <w:rPr>
      <w:sz w:val="21"/>
      <w:szCs w:val="21"/>
    </w:rPr>
  </w:style>
  <w:style w:type="character" w:customStyle="1" w:styleId="24">
    <w:name w:val="rt2"/>
    <w:basedOn w:val="11"/>
    <w:qFormat/>
    <w:uiPriority w:val="0"/>
    <w:rPr>
      <w:color w:val="99999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5593</Words>
  <Characters>5665</Characters>
  <Lines>0</Lines>
  <Paragraphs>0</Paragraphs>
  <TotalTime>3</TotalTime>
  <ScaleCrop>false</ScaleCrop>
  <LinksUpToDate>false</LinksUpToDate>
  <CharactersWithSpaces>5790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2022-11-25T03:27:00Z</dcterms:created>
  <dc:creator>Administrator</dc:creator>
  <cp:lastModifiedBy>Administrator</cp:lastModifiedBy>
  <cp:lastPrinted>2023-03-10T01:18:00Z</cp:lastPrinted>
  <dcterms:modified xsi:type="dcterms:W3CDTF">2023-03-22T08:18:56Z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8AF76FBD2F88439B9163E297B5DE08A2</vt:lpwstr>
  </property>
</Properties>
</file>