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1"/>
        <w:rPr>
          <w:rFonts w:ascii="仿宋" w:hAnsi="仿宋"/>
        </w:rPr>
      </w:pPr>
    </w:p>
    <w:p/>
    <w:p>
      <w:pPr>
        <w:spacing w:before="240" w:after="240" w:line="240" w:lineRule="auto"/>
        <w:rPr>
          <w:rFonts w:hint="eastAsia" w:ascii="仿宋" w:hAnsi="仿宋" w:eastAsia="仿宋_GB2312"/>
          <w:b/>
          <w:sz w:val="28"/>
          <w:szCs w:val="28"/>
          <w:highlight w:val="none"/>
          <w:shd w:val="clear" w:color="auto" w:fill="auto"/>
        </w:rPr>
      </w:pPr>
    </w:p>
    <w:p>
      <w:pPr>
        <w:spacing w:line="240" w:lineRule="auto"/>
        <w:ind w:firstLine="0" w:firstLineChars="0"/>
        <w:jc w:val="center"/>
        <w:rPr>
          <w:rFonts w:hint="eastAsia" w:ascii="仿宋" w:hAnsi="仿宋" w:eastAsia="仿宋" w:cs="方正小标宋简体"/>
          <w:b/>
          <w:bCs/>
          <w:color w:val="auto"/>
          <w:spacing w:val="-4"/>
          <w:sz w:val="48"/>
          <w:szCs w:val="48"/>
          <w:highlight w:val="none"/>
          <w:shd w:val="clear" w:color="auto" w:fill="auto"/>
          <w:lang w:val="en-US" w:eastAsia="zh-CN"/>
        </w:rPr>
      </w:pPr>
      <w:r>
        <w:rPr>
          <w:rFonts w:hint="eastAsia" w:ascii="Times New Roman" w:hAnsi="Times New Roman" w:eastAsia="仿宋" w:cs="方正小标宋简体"/>
          <w:b/>
          <w:bCs/>
          <w:color w:val="auto"/>
          <w:spacing w:val="-4"/>
          <w:sz w:val="48"/>
          <w:szCs w:val="48"/>
          <w:highlight w:val="none"/>
          <w:shd w:val="clear" w:color="auto" w:fill="auto"/>
          <w:lang w:val="en-US" w:eastAsia="zh-CN"/>
        </w:rPr>
        <w:t>广元市</w:t>
      </w:r>
      <w:r>
        <w:rPr>
          <w:rFonts w:hint="eastAsia" w:ascii="仿宋" w:hAnsi="仿宋" w:eastAsia="仿宋" w:cs="方正小标宋简体"/>
          <w:b/>
          <w:bCs/>
          <w:color w:val="auto"/>
          <w:spacing w:val="-4"/>
          <w:sz w:val="48"/>
          <w:szCs w:val="48"/>
          <w:highlight w:val="none"/>
          <w:shd w:val="clear" w:color="auto" w:fill="auto"/>
          <w:lang w:val="en-US" w:eastAsia="zh-CN"/>
        </w:rPr>
        <w:t>旺苍县畜禽养殖污染防治“十四五”规划</w:t>
      </w:r>
    </w:p>
    <w:p>
      <w:pPr>
        <w:spacing w:line="240" w:lineRule="auto"/>
        <w:ind w:firstLine="0" w:firstLineChars="0"/>
        <w:jc w:val="both"/>
        <w:rPr>
          <w:rFonts w:hint="eastAsia" w:ascii="仿宋" w:hAnsi="仿宋" w:eastAsia="仿宋" w:cs="方正小标宋简体"/>
          <w:b/>
          <w:bCs/>
          <w:color w:val="auto"/>
          <w:spacing w:val="-4"/>
          <w:sz w:val="44"/>
          <w:szCs w:val="44"/>
          <w:highlight w:val="none"/>
          <w:shd w:val="clear" w:color="auto" w:fill="auto"/>
          <w:lang w:val="en-US" w:eastAsia="zh-CN"/>
        </w:rPr>
      </w:pPr>
    </w:p>
    <w:p>
      <w:pPr>
        <w:spacing w:line="240" w:lineRule="auto"/>
        <w:ind w:firstLine="0" w:firstLineChars="0"/>
        <w:jc w:val="center"/>
        <w:rPr>
          <w:rFonts w:hint="eastAsia" w:ascii="仿宋" w:hAnsi="仿宋" w:eastAsia="仿宋" w:cs="方正小标宋简体"/>
          <w:b/>
          <w:bCs/>
          <w:color w:val="auto"/>
          <w:spacing w:val="-4"/>
          <w:sz w:val="44"/>
          <w:szCs w:val="44"/>
          <w:highlight w:val="none"/>
          <w:shd w:val="clear" w:color="auto" w:fill="auto"/>
          <w:lang w:val="en-US" w:eastAsia="zh-CN"/>
        </w:rPr>
      </w:pPr>
    </w:p>
    <w:p>
      <w:pPr>
        <w:spacing w:line="240" w:lineRule="auto"/>
        <w:ind w:firstLine="0" w:firstLineChars="0"/>
        <w:jc w:val="center"/>
        <w:rPr>
          <w:rFonts w:hint="eastAsia" w:ascii="仿宋" w:hAnsi="仿宋" w:eastAsia="仿宋" w:cs="方正小标宋简体"/>
          <w:b/>
          <w:bCs/>
          <w:color w:val="auto"/>
          <w:spacing w:val="-4"/>
          <w:sz w:val="44"/>
          <w:szCs w:val="44"/>
          <w:highlight w:val="none"/>
          <w:shd w:val="clear" w:color="auto" w:fill="auto"/>
          <w:lang w:val="en-US" w:eastAsia="zh-CN"/>
        </w:rPr>
      </w:pPr>
      <w:r>
        <w:rPr>
          <w:rFonts w:hint="eastAsia" w:ascii="仿宋" w:hAnsi="仿宋" w:eastAsia="仿宋" w:cs="方正小标宋简体"/>
          <w:b/>
          <w:bCs/>
          <w:color w:val="auto"/>
          <w:spacing w:val="-4"/>
          <w:sz w:val="44"/>
          <w:szCs w:val="44"/>
          <w:highlight w:val="none"/>
          <w:shd w:val="clear" w:color="auto" w:fill="auto"/>
          <w:lang w:val="en-US" w:eastAsia="zh-CN"/>
        </w:rPr>
        <w:t>（</w:t>
      </w:r>
      <w:r>
        <w:rPr>
          <w:rFonts w:hint="eastAsia" w:eastAsia="仿宋" w:cs="方正小标宋简体"/>
          <w:b/>
          <w:bCs/>
          <w:color w:val="auto"/>
          <w:spacing w:val="-4"/>
          <w:sz w:val="44"/>
          <w:szCs w:val="44"/>
          <w:highlight w:val="none"/>
          <w:shd w:val="clear" w:color="auto" w:fill="auto"/>
          <w:lang w:val="en-US" w:eastAsia="zh-CN"/>
        </w:rPr>
        <w:t>征求意见</w:t>
      </w:r>
      <w:r>
        <w:rPr>
          <w:rFonts w:hint="eastAsia" w:ascii="仿宋" w:hAnsi="仿宋" w:eastAsia="仿宋" w:cs="方正小标宋简体"/>
          <w:b/>
          <w:bCs/>
          <w:color w:val="auto"/>
          <w:spacing w:val="-4"/>
          <w:sz w:val="44"/>
          <w:szCs w:val="44"/>
          <w:highlight w:val="none"/>
          <w:shd w:val="clear" w:color="auto" w:fill="auto"/>
          <w:lang w:val="en-US" w:eastAsia="zh-CN"/>
        </w:rPr>
        <w:t>稿）</w:t>
      </w:r>
    </w:p>
    <w:p>
      <w:pPr>
        <w:spacing w:before="240" w:after="240" w:line="240" w:lineRule="auto"/>
        <w:rPr>
          <w:rFonts w:ascii="仿宋" w:hAnsi="仿宋" w:eastAsia="仿宋_GB2312"/>
          <w:b/>
          <w:sz w:val="44"/>
          <w:szCs w:val="44"/>
          <w:highlight w:val="none"/>
          <w:shd w:val="clear" w:color="auto" w:fill="auto"/>
        </w:rPr>
      </w:pPr>
    </w:p>
    <w:p>
      <w:pPr>
        <w:spacing w:before="240" w:after="240" w:line="240" w:lineRule="auto"/>
        <w:rPr>
          <w:rFonts w:ascii="仿宋" w:hAnsi="仿宋" w:eastAsia="仿宋_GB2312"/>
          <w:b/>
          <w:sz w:val="44"/>
          <w:szCs w:val="44"/>
          <w:highlight w:val="none"/>
          <w:shd w:val="clear" w:color="auto" w:fill="auto"/>
        </w:rPr>
      </w:pPr>
    </w:p>
    <w:p>
      <w:pPr>
        <w:spacing w:before="240" w:after="240" w:line="240" w:lineRule="auto"/>
        <w:rPr>
          <w:rFonts w:ascii="仿宋" w:hAnsi="仿宋" w:eastAsia="仿宋_GB2312"/>
          <w:b/>
          <w:sz w:val="44"/>
          <w:szCs w:val="44"/>
          <w:highlight w:val="none"/>
          <w:shd w:val="clear" w:color="auto" w:fill="auto"/>
        </w:rPr>
      </w:pPr>
    </w:p>
    <w:p>
      <w:pPr>
        <w:spacing w:before="240" w:after="240" w:line="240" w:lineRule="auto"/>
        <w:rPr>
          <w:rFonts w:ascii="仿宋" w:hAnsi="仿宋" w:eastAsia="仿宋_GB2312"/>
          <w:b/>
          <w:sz w:val="44"/>
          <w:szCs w:val="44"/>
          <w:highlight w:val="none"/>
          <w:shd w:val="clear" w:color="auto" w:fill="auto"/>
        </w:rPr>
      </w:pPr>
    </w:p>
    <w:p>
      <w:pPr>
        <w:spacing w:before="240" w:after="240" w:line="240" w:lineRule="auto"/>
        <w:rPr>
          <w:rFonts w:ascii="仿宋" w:hAnsi="仿宋" w:eastAsia="仿宋_GB2312"/>
          <w:b/>
          <w:sz w:val="44"/>
          <w:szCs w:val="44"/>
          <w:highlight w:val="none"/>
          <w:shd w:val="clear" w:color="auto" w:fill="auto"/>
        </w:rPr>
      </w:pPr>
    </w:p>
    <w:p>
      <w:pPr>
        <w:adjustRightInd w:val="0"/>
        <w:snapToGrid w:val="0"/>
        <w:spacing w:before="240" w:after="109" w:afterLines="35" w:line="240" w:lineRule="auto"/>
        <w:rPr>
          <w:rFonts w:hint="eastAsia" w:ascii="仿宋" w:hAnsi="仿宋" w:eastAsia="仿宋_GB2312"/>
          <w:b/>
          <w:sz w:val="44"/>
          <w:szCs w:val="44"/>
          <w:highlight w:val="none"/>
          <w:shd w:val="clear" w:color="auto" w:fill="auto"/>
        </w:rPr>
      </w:pPr>
    </w:p>
    <w:p>
      <w:pPr>
        <w:autoSpaceDE w:val="0"/>
        <w:autoSpaceDN w:val="0"/>
        <w:adjustRightInd w:val="0"/>
        <w:spacing w:line="240" w:lineRule="auto"/>
        <w:ind w:firstLine="0" w:firstLineChars="0"/>
        <w:jc w:val="center"/>
        <w:rPr>
          <w:rFonts w:hint="eastAsia" w:ascii="仿宋" w:hAnsi="仿宋" w:eastAsia="仿宋" w:cs="方正小标宋简体"/>
          <w:b/>
          <w:bCs/>
          <w:color w:val="auto"/>
          <w:sz w:val="44"/>
          <w:szCs w:val="44"/>
          <w:highlight w:val="none"/>
          <w:shd w:val="clear" w:color="auto" w:fill="auto"/>
        </w:rPr>
      </w:pPr>
    </w:p>
    <w:p>
      <w:pPr>
        <w:pStyle w:val="2"/>
        <w:spacing w:line="240" w:lineRule="auto"/>
        <w:rPr>
          <w:rFonts w:hint="eastAsia" w:ascii="仿宋" w:hAnsi="仿宋"/>
          <w:highlight w:val="none"/>
          <w:shd w:val="clear" w:color="auto" w:fill="auto"/>
        </w:rPr>
      </w:pPr>
    </w:p>
    <w:p>
      <w:pPr>
        <w:autoSpaceDE w:val="0"/>
        <w:autoSpaceDN w:val="0"/>
        <w:adjustRightInd w:val="0"/>
        <w:spacing w:line="240" w:lineRule="auto"/>
        <w:ind w:firstLine="0" w:firstLineChars="0"/>
        <w:jc w:val="center"/>
        <w:rPr>
          <w:rFonts w:hint="eastAsia" w:ascii="仿宋" w:hAnsi="仿宋" w:eastAsia="仿宋" w:cs="方正小标宋简体"/>
          <w:b/>
          <w:bCs/>
          <w:color w:val="auto"/>
          <w:sz w:val="44"/>
          <w:szCs w:val="44"/>
          <w:highlight w:val="none"/>
          <w:shd w:val="clear" w:color="auto" w:fill="auto"/>
        </w:rPr>
      </w:pPr>
      <w:r>
        <w:rPr>
          <w:rFonts w:hint="eastAsia" w:ascii="仿宋" w:hAnsi="仿宋" w:eastAsia="仿宋" w:cs="方正小标宋简体"/>
          <w:b/>
          <w:bCs/>
          <w:color w:val="auto"/>
          <w:sz w:val="44"/>
          <w:szCs w:val="44"/>
          <w:highlight w:val="none"/>
          <w:shd w:val="clear" w:color="auto" w:fill="auto"/>
          <w:lang w:eastAsia="zh-CN"/>
        </w:rPr>
        <w:t>广元市旺苍生态环境局</w:t>
      </w:r>
    </w:p>
    <w:p>
      <w:pPr>
        <w:autoSpaceDE w:val="0"/>
        <w:autoSpaceDN w:val="0"/>
        <w:adjustRightInd w:val="0"/>
        <w:spacing w:line="240" w:lineRule="auto"/>
        <w:ind w:firstLine="0" w:firstLineChars="0"/>
        <w:jc w:val="center"/>
        <w:rPr>
          <w:rFonts w:hint="eastAsia" w:ascii="仿宋" w:hAnsi="仿宋" w:eastAsia="仿宋" w:cs="方正小标宋简体"/>
          <w:b/>
          <w:bCs/>
          <w:color w:val="auto"/>
          <w:sz w:val="44"/>
          <w:szCs w:val="44"/>
          <w:highlight w:val="none"/>
          <w:shd w:val="clear" w:color="auto" w:fill="auto"/>
        </w:rPr>
        <w:sectPr>
          <w:footerReference r:id="rId3" w:type="even"/>
          <w:pgSz w:w="11906" w:h="16838"/>
          <w:pgMar w:top="1440" w:right="1800" w:bottom="1440" w:left="1800" w:header="851" w:footer="992" w:gutter="0"/>
          <w:pgBorders w:offsetFrom="page">
            <w:top w:val="none" w:sz="0" w:space="0"/>
            <w:left w:val="none" w:sz="0" w:space="0"/>
            <w:bottom w:val="none" w:sz="0" w:space="0"/>
            <w:right w:val="none" w:sz="0" w:space="0"/>
          </w:pgBorders>
          <w:pgNumType w:start="1"/>
          <w:cols w:space="720" w:num="1"/>
          <w:docGrid w:type="lines" w:linePitch="312" w:charSpace="0"/>
        </w:sectPr>
      </w:pPr>
      <w:r>
        <w:rPr>
          <w:rFonts w:hint="eastAsia" w:ascii="仿宋" w:hAnsi="仿宋" w:eastAsia="仿宋" w:cs="方正小标宋简体"/>
          <w:b/>
          <w:bCs/>
          <w:color w:val="auto"/>
          <w:sz w:val="44"/>
          <w:szCs w:val="44"/>
          <w:highlight w:val="none"/>
          <w:shd w:val="clear" w:color="auto" w:fill="auto"/>
        </w:rPr>
        <w:t>202</w:t>
      </w:r>
      <w:r>
        <w:rPr>
          <w:rFonts w:hint="eastAsia" w:ascii="仿宋" w:hAnsi="仿宋" w:eastAsia="仿宋" w:cs="方正小标宋简体"/>
          <w:b/>
          <w:bCs/>
          <w:color w:val="auto"/>
          <w:sz w:val="44"/>
          <w:szCs w:val="44"/>
          <w:highlight w:val="none"/>
          <w:shd w:val="clear" w:color="auto" w:fill="auto"/>
          <w:lang w:val="en-US" w:eastAsia="zh-CN"/>
        </w:rPr>
        <w:t>2</w:t>
      </w:r>
      <w:r>
        <w:rPr>
          <w:rFonts w:hint="eastAsia" w:ascii="仿宋" w:hAnsi="仿宋" w:eastAsia="仿宋" w:cs="方正小标宋简体"/>
          <w:b/>
          <w:bCs/>
          <w:color w:val="auto"/>
          <w:sz w:val="44"/>
          <w:szCs w:val="44"/>
          <w:highlight w:val="none"/>
          <w:shd w:val="clear" w:color="auto" w:fill="auto"/>
        </w:rPr>
        <w:t>年</w:t>
      </w:r>
      <w:r>
        <w:rPr>
          <w:rFonts w:hint="eastAsia" w:ascii="仿宋" w:hAnsi="仿宋" w:eastAsia="仿宋" w:cs="方正小标宋简体"/>
          <w:b/>
          <w:bCs/>
          <w:color w:val="auto"/>
          <w:sz w:val="44"/>
          <w:szCs w:val="44"/>
          <w:highlight w:val="none"/>
          <w:shd w:val="clear" w:color="auto" w:fill="auto"/>
          <w:lang w:val="en-US" w:eastAsia="zh-CN"/>
        </w:rPr>
        <w:t>7</w:t>
      </w:r>
      <w:r>
        <w:rPr>
          <w:rFonts w:hint="eastAsia" w:ascii="仿宋" w:hAnsi="仿宋" w:eastAsia="仿宋" w:cs="方正小标宋简体"/>
          <w:b/>
          <w:bCs/>
          <w:color w:val="auto"/>
          <w:sz w:val="44"/>
          <w:szCs w:val="44"/>
          <w:highlight w:val="none"/>
          <w:shd w:val="clear" w:color="auto" w:fill="auto"/>
        </w:rPr>
        <w:t>月</w:t>
      </w:r>
    </w:p>
    <w:p>
      <w:pPr>
        <w:spacing w:line="360" w:lineRule="auto"/>
        <w:ind w:firstLine="562"/>
        <w:rPr>
          <w:rFonts w:hint="eastAsia" w:ascii="仿宋" w:hAnsi="仿宋" w:eastAsia="仿宋" w:cs="仿宋"/>
          <w:b/>
          <w:sz w:val="28"/>
          <w:szCs w:val="28"/>
          <w:highlight w:val="none"/>
        </w:rPr>
      </w:pPr>
    </w:p>
    <w:p>
      <w:pPr>
        <w:pStyle w:val="2"/>
        <w:rPr>
          <w:rFonts w:hint="eastAsia" w:ascii="仿宋" w:hAnsi="仿宋"/>
        </w:rPr>
      </w:pPr>
    </w:p>
    <w:p>
      <w:pPr>
        <w:pStyle w:val="55"/>
        <w:rPr>
          <w:rFonts w:hint="eastAsia" w:ascii="仿宋" w:hAnsi="仿宋"/>
        </w:rPr>
      </w:pPr>
    </w:p>
    <w:p>
      <w:pPr>
        <w:ind w:firstLine="687" w:firstLineChars="228"/>
        <w:jc w:val="left"/>
        <w:rPr>
          <w:rFonts w:hint="eastAsia" w:ascii="仿宋" w:hAnsi="仿宋" w:eastAsia="仿宋" w:cs="仿宋"/>
          <w:b/>
          <w:sz w:val="30"/>
          <w:szCs w:val="30"/>
          <w:highlight w:val="none"/>
        </w:rPr>
      </w:pPr>
      <w:r>
        <w:rPr>
          <w:rFonts w:hint="eastAsia" w:ascii="仿宋" w:hAnsi="仿宋" w:eastAsia="仿宋" w:cs="仿宋"/>
          <w:b/>
          <w:sz w:val="30"/>
          <w:szCs w:val="30"/>
          <w:highlight w:val="none"/>
        </w:rPr>
        <w:t>委托单位：</w:t>
      </w:r>
      <w:r>
        <w:rPr>
          <w:rFonts w:hint="eastAsia" w:ascii="仿宋" w:hAnsi="仿宋" w:eastAsia="仿宋" w:cs="仿宋"/>
          <w:b w:val="0"/>
          <w:bCs/>
          <w:sz w:val="30"/>
          <w:szCs w:val="30"/>
          <w:highlight w:val="none"/>
          <w:lang w:val="en-US" w:eastAsia="zh-CN"/>
        </w:rPr>
        <w:t>广元市旺苍</w:t>
      </w:r>
      <w:r>
        <w:rPr>
          <w:rFonts w:hint="eastAsia" w:ascii="仿宋" w:hAnsi="仿宋" w:eastAsia="仿宋" w:cs="仿宋"/>
          <w:sz w:val="30"/>
          <w:szCs w:val="30"/>
          <w:highlight w:val="none"/>
        </w:rPr>
        <w:t>生态环境局</w:t>
      </w:r>
    </w:p>
    <w:p>
      <w:pPr>
        <w:pStyle w:val="55"/>
        <w:rPr>
          <w:rFonts w:hint="eastAsia" w:ascii="仿宋" w:hAnsi="仿宋" w:eastAsia="仿宋" w:cs="仿宋"/>
          <w:sz w:val="30"/>
          <w:szCs w:val="30"/>
        </w:rPr>
      </w:pPr>
    </w:p>
    <w:p>
      <w:pPr>
        <w:spacing w:line="360" w:lineRule="auto"/>
        <w:ind w:firstLine="562"/>
        <w:rPr>
          <w:rFonts w:hint="eastAsia" w:ascii="仿宋" w:hAnsi="仿宋" w:eastAsia="仿宋" w:cs="仿宋"/>
          <w:b/>
          <w:sz w:val="30"/>
          <w:szCs w:val="30"/>
          <w:highlight w:val="none"/>
        </w:rPr>
      </w:pPr>
    </w:p>
    <w:p>
      <w:pPr>
        <w:ind w:firstLine="687" w:firstLineChars="228"/>
        <w:jc w:val="left"/>
        <w:rPr>
          <w:rFonts w:hint="eastAsia" w:ascii="仿宋" w:hAnsi="仿宋" w:eastAsia="仿宋" w:cs="仿宋"/>
          <w:b/>
          <w:sz w:val="30"/>
          <w:szCs w:val="30"/>
          <w:highlight w:val="none"/>
        </w:rPr>
      </w:pPr>
      <w:r>
        <w:rPr>
          <w:rFonts w:hint="eastAsia" w:ascii="仿宋" w:hAnsi="仿宋" w:eastAsia="仿宋" w:cs="仿宋"/>
          <w:b/>
          <w:sz w:val="30"/>
          <w:szCs w:val="30"/>
          <w:highlight w:val="none"/>
        </w:rPr>
        <w:t>编制单位：</w:t>
      </w:r>
      <w:r>
        <w:rPr>
          <w:rFonts w:hint="eastAsia" w:ascii="仿宋" w:hAnsi="仿宋" w:eastAsia="仿宋" w:cs="仿宋"/>
          <w:sz w:val="30"/>
          <w:szCs w:val="30"/>
          <w:highlight w:val="none"/>
        </w:rPr>
        <w:t>四川锦美环保股份有限公司</w:t>
      </w:r>
    </w:p>
    <w:p>
      <w:pPr>
        <w:pStyle w:val="11"/>
        <w:rPr>
          <w:rFonts w:hint="eastAsia" w:ascii="仿宋" w:hAnsi="仿宋" w:eastAsia="仿宋" w:cs="仿宋"/>
          <w:sz w:val="30"/>
          <w:szCs w:val="30"/>
          <w:highlight w:val="none"/>
        </w:rPr>
      </w:pPr>
    </w:p>
    <w:p>
      <w:pPr>
        <w:rPr>
          <w:rFonts w:hint="eastAsia" w:ascii="仿宋" w:hAnsi="仿宋"/>
        </w:rPr>
      </w:pPr>
    </w:p>
    <w:p>
      <w:pPr>
        <w:rPr>
          <w:rFonts w:hint="eastAsia" w:ascii="仿宋" w:hAnsi="仿宋"/>
        </w:rPr>
      </w:pPr>
    </w:p>
    <w:p>
      <w:pPr>
        <w:ind w:firstLine="687" w:firstLineChars="228"/>
        <w:jc w:val="left"/>
        <w:rPr>
          <w:rFonts w:hint="eastAsia" w:ascii="仿宋" w:hAnsi="仿宋" w:eastAsia="仿宋" w:cs="仿宋"/>
          <w:sz w:val="30"/>
          <w:szCs w:val="30"/>
        </w:rPr>
      </w:pPr>
      <w:r>
        <w:rPr>
          <w:rFonts w:hint="eastAsia" w:ascii="仿宋" w:hAnsi="仿宋" w:eastAsia="仿宋" w:cs="仿宋"/>
          <w:b/>
          <w:sz w:val="30"/>
          <w:szCs w:val="30"/>
          <w:highlight w:val="none"/>
        </w:rPr>
        <w:t>项目负责人：</w:t>
      </w:r>
      <w:r>
        <w:rPr>
          <w:rFonts w:hint="eastAsia" w:ascii="仿宋" w:hAnsi="仿宋" w:eastAsia="仿宋" w:cs="仿宋"/>
          <w:sz w:val="30"/>
          <w:szCs w:val="30"/>
          <w:highlight w:val="none"/>
        </w:rPr>
        <w:t>李春阳（工程师）</w:t>
      </w:r>
    </w:p>
    <w:p>
      <w:pPr>
        <w:pStyle w:val="11"/>
        <w:rPr>
          <w:rFonts w:hint="eastAsia" w:ascii="仿宋" w:hAnsi="仿宋" w:eastAsia="仿宋" w:cs="仿宋"/>
          <w:sz w:val="30"/>
          <w:szCs w:val="30"/>
          <w:highlight w:val="none"/>
        </w:rPr>
      </w:pPr>
    </w:p>
    <w:p>
      <w:pPr>
        <w:ind w:firstLine="687" w:firstLineChars="228"/>
        <w:jc w:val="left"/>
        <w:rPr>
          <w:rFonts w:hint="eastAsia" w:ascii="仿宋" w:hAnsi="仿宋" w:eastAsia="仿宋" w:cs="仿宋"/>
          <w:sz w:val="30"/>
          <w:szCs w:val="30"/>
          <w:highlight w:val="none"/>
        </w:rPr>
      </w:pPr>
      <w:r>
        <w:rPr>
          <w:rFonts w:hint="eastAsia" w:ascii="仿宋" w:hAnsi="仿宋" w:eastAsia="仿宋" w:cs="仿宋"/>
          <w:b/>
          <w:sz w:val="30"/>
          <w:szCs w:val="30"/>
          <w:highlight w:val="none"/>
        </w:rPr>
        <w:t>编制人员：</w:t>
      </w:r>
      <w:r>
        <w:rPr>
          <w:rFonts w:hint="eastAsia" w:ascii="仿宋" w:hAnsi="仿宋" w:eastAsia="仿宋" w:cs="仿宋"/>
          <w:sz w:val="30"/>
          <w:szCs w:val="30"/>
          <w:highlight w:val="none"/>
        </w:rPr>
        <w:t xml:space="preserve">李春阳（工程师） </w:t>
      </w:r>
    </w:p>
    <w:p>
      <w:pPr>
        <w:ind w:firstLine="2178" w:firstLineChars="726"/>
        <w:jc w:val="left"/>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陈婷婷</w:t>
      </w:r>
      <w:r>
        <w:rPr>
          <w:rFonts w:hint="eastAsia" w:ascii="仿宋" w:hAnsi="仿宋" w:eastAsia="仿宋" w:cs="仿宋"/>
          <w:sz w:val="30"/>
          <w:szCs w:val="30"/>
          <w:highlight w:val="none"/>
        </w:rPr>
        <w:t>（工程师）</w:t>
      </w:r>
    </w:p>
    <w:p>
      <w:pPr>
        <w:ind w:firstLine="2178" w:firstLineChars="726"/>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杨菲易（工程师）</w:t>
      </w:r>
    </w:p>
    <w:p>
      <w:pPr>
        <w:ind w:firstLine="2178" w:firstLineChars="726"/>
        <w:jc w:val="left"/>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周  磊</w:t>
      </w:r>
      <w:r>
        <w:rPr>
          <w:rFonts w:hint="eastAsia" w:ascii="仿宋" w:hAnsi="仿宋" w:eastAsia="仿宋" w:cs="仿宋"/>
          <w:sz w:val="30"/>
          <w:szCs w:val="30"/>
          <w:highlight w:val="none"/>
        </w:rPr>
        <w:t>（工程师）</w:t>
      </w:r>
    </w:p>
    <w:p>
      <w:pPr>
        <w:ind w:firstLine="2178" w:firstLineChars="726"/>
        <w:jc w:val="left"/>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胡  建</w:t>
      </w:r>
      <w:r>
        <w:rPr>
          <w:rFonts w:hint="eastAsia" w:ascii="仿宋" w:hAnsi="仿宋" w:eastAsia="仿宋" w:cs="仿宋"/>
          <w:sz w:val="30"/>
          <w:szCs w:val="30"/>
          <w:highlight w:val="none"/>
        </w:rPr>
        <w:t>（工程师）</w:t>
      </w:r>
    </w:p>
    <w:p>
      <w:pPr>
        <w:ind w:firstLine="687" w:firstLineChars="228"/>
        <w:jc w:val="left"/>
        <w:rPr>
          <w:rFonts w:hint="eastAsia" w:ascii="仿宋" w:hAnsi="仿宋" w:eastAsia="仿宋" w:cs="仿宋"/>
          <w:b/>
          <w:sz w:val="30"/>
          <w:szCs w:val="30"/>
          <w:highlight w:val="none"/>
        </w:rPr>
      </w:pPr>
    </w:p>
    <w:p>
      <w:pPr>
        <w:ind w:firstLine="687" w:firstLineChars="228"/>
        <w:jc w:val="left"/>
        <w:rPr>
          <w:rFonts w:hint="eastAsia" w:ascii="仿宋" w:hAnsi="仿宋" w:eastAsia="仿宋" w:cs="仿宋"/>
          <w:b/>
          <w:sz w:val="30"/>
          <w:szCs w:val="30"/>
          <w:highlight w:val="none"/>
        </w:rPr>
      </w:pPr>
      <w:r>
        <w:rPr>
          <w:rFonts w:hint="eastAsia" w:ascii="仿宋" w:hAnsi="仿宋" w:eastAsia="仿宋" w:cs="仿宋"/>
          <w:b/>
          <w:sz w:val="30"/>
          <w:szCs w:val="30"/>
          <w:highlight w:val="none"/>
        </w:rPr>
        <w:t>审核人员 ：</w:t>
      </w:r>
      <w:r>
        <w:rPr>
          <w:rFonts w:hint="eastAsia" w:ascii="仿宋" w:hAnsi="仿宋" w:eastAsia="仿宋" w:cs="仿宋"/>
          <w:b w:val="0"/>
          <w:bCs w:val="0"/>
          <w:sz w:val="30"/>
          <w:szCs w:val="30"/>
          <w:highlight w:val="none"/>
        </w:rPr>
        <w:t>王  伟（高级工程师）</w:t>
      </w:r>
    </w:p>
    <w:p>
      <w:pPr>
        <w:ind w:firstLine="687" w:firstLineChars="228"/>
        <w:jc w:val="left"/>
        <w:rPr>
          <w:rFonts w:hint="eastAsia" w:ascii="仿宋" w:hAnsi="仿宋" w:eastAsia="仿宋" w:cs="仿宋"/>
          <w:b/>
          <w:sz w:val="30"/>
          <w:szCs w:val="30"/>
          <w:highlight w:val="none"/>
        </w:rPr>
      </w:pPr>
    </w:p>
    <w:p>
      <w:pPr>
        <w:ind w:firstLine="687" w:firstLineChars="228"/>
        <w:jc w:val="left"/>
        <w:rPr>
          <w:rFonts w:hint="eastAsia" w:ascii="仿宋" w:hAnsi="仿宋" w:eastAsia="仿宋" w:cs="仿宋"/>
          <w:b/>
          <w:sz w:val="30"/>
          <w:szCs w:val="30"/>
          <w:highlight w:val="none"/>
        </w:rPr>
      </w:pPr>
      <w:r>
        <w:rPr>
          <w:rFonts w:hint="eastAsia" w:ascii="仿宋" w:hAnsi="仿宋" w:eastAsia="仿宋" w:cs="仿宋"/>
          <w:b/>
          <w:sz w:val="30"/>
          <w:szCs w:val="30"/>
          <w:highlight w:val="none"/>
        </w:rPr>
        <w:t>审定人员 ：</w:t>
      </w:r>
      <w:r>
        <w:rPr>
          <w:rFonts w:hint="eastAsia" w:ascii="仿宋" w:hAnsi="仿宋" w:eastAsia="仿宋" w:cs="仿宋"/>
          <w:b w:val="0"/>
          <w:bCs/>
          <w:sz w:val="30"/>
          <w:szCs w:val="30"/>
          <w:highlight w:val="none"/>
        </w:rPr>
        <w:t>陈锦文（高级工程师）</w:t>
      </w:r>
    </w:p>
    <w:p>
      <w:pPr>
        <w:spacing w:line="720" w:lineRule="auto"/>
        <w:rPr>
          <w:rFonts w:ascii="仿宋" w:hAnsi="仿宋" w:eastAsia="黑体" w:cs="黑体"/>
          <w:b/>
          <w:bCs/>
          <w:sz w:val="30"/>
          <w:szCs w:val="30"/>
          <w:highlight w:val="none"/>
        </w:rPr>
        <w:sectPr>
          <w:footerReference r:id="rId4" w:type="default"/>
          <w:pgSz w:w="11906" w:h="16838"/>
          <w:pgMar w:top="1440" w:right="1800" w:bottom="1440" w:left="1800" w:header="851" w:footer="992" w:gutter="0"/>
          <w:pgBorders w:offsetFrom="page">
            <w:top w:val="none" w:sz="0" w:space="0"/>
            <w:left w:val="none" w:sz="0" w:space="0"/>
            <w:bottom w:val="none" w:sz="0" w:space="0"/>
            <w:right w:val="none" w:sz="0" w:space="0"/>
          </w:pgBorders>
          <w:pgNumType w:fmt="upperRoman" w:start="1"/>
          <w:cols w:space="720" w:num="1"/>
          <w:docGrid w:type="lines" w:linePitch="312" w:charSpace="0"/>
        </w:sectPr>
      </w:pPr>
    </w:p>
    <w:p>
      <w:pPr>
        <w:pStyle w:val="23"/>
        <w:tabs>
          <w:tab w:val="right" w:leader="dot" w:pos="8296"/>
        </w:tabs>
        <w:spacing w:line="240" w:lineRule="auto"/>
        <w:jc w:val="center"/>
        <w:rPr>
          <w:rFonts w:hint="eastAsia" w:ascii="仿宋" w:hAnsi="仿宋" w:eastAsia="黑体"/>
          <w:b/>
          <w:bCs/>
          <w:sz w:val="44"/>
          <w:szCs w:val="44"/>
          <w:highlight w:val="none"/>
          <w:shd w:val="clear" w:color="auto" w:fill="auto"/>
        </w:rPr>
      </w:pPr>
      <w:r>
        <w:rPr>
          <w:rFonts w:hint="eastAsia" w:ascii="仿宋" w:hAnsi="仿宋" w:eastAsia="黑体"/>
          <w:b/>
          <w:bCs/>
          <w:sz w:val="44"/>
          <w:szCs w:val="44"/>
          <w:highlight w:val="none"/>
          <w:shd w:val="clear" w:color="auto" w:fill="auto"/>
        </w:rPr>
        <w:t>目</w:t>
      </w:r>
      <w:r>
        <w:rPr>
          <w:rFonts w:hint="eastAsia" w:ascii="仿宋" w:hAnsi="仿宋" w:eastAsia="黑体"/>
          <w:b/>
          <w:bCs/>
          <w:sz w:val="44"/>
          <w:szCs w:val="44"/>
          <w:highlight w:val="none"/>
          <w:shd w:val="clear" w:color="auto" w:fill="auto"/>
          <w:lang w:val="en-US" w:eastAsia="zh-CN"/>
        </w:rPr>
        <w:t xml:space="preserve"> </w:t>
      </w:r>
      <w:r>
        <w:rPr>
          <w:rFonts w:hint="eastAsia" w:ascii="仿宋" w:hAnsi="仿宋" w:eastAsia="黑体"/>
          <w:b/>
          <w:bCs/>
          <w:sz w:val="44"/>
          <w:szCs w:val="44"/>
          <w:highlight w:val="none"/>
          <w:shd w:val="clear" w:color="auto" w:fill="auto"/>
        </w:rPr>
        <w:t xml:space="preserve"> 录</w:t>
      </w:r>
    </w:p>
    <w:p>
      <w:pPr>
        <w:pStyle w:val="23"/>
        <w:tabs>
          <w:tab w:val="right" w:leader="dot" w:pos="8306"/>
        </w:tabs>
        <w:rPr>
          <w:sz w:val="32"/>
          <w:szCs w:val="32"/>
        </w:rPr>
      </w:pPr>
      <w:r>
        <w:rPr>
          <w:rFonts w:ascii="仿宋" w:hAnsi="仿宋" w:eastAsia="仿宋_GB2312"/>
          <w:sz w:val="32"/>
          <w:szCs w:val="32"/>
          <w:highlight w:val="none"/>
          <w:shd w:val="clear" w:color="auto" w:fill="auto"/>
        </w:rPr>
        <w:fldChar w:fldCharType="begin"/>
      </w:r>
      <w:r>
        <w:rPr>
          <w:rFonts w:ascii="仿宋" w:hAnsi="仿宋" w:eastAsia="仿宋_GB2312"/>
          <w:sz w:val="32"/>
          <w:szCs w:val="32"/>
          <w:highlight w:val="none"/>
          <w:shd w:val="clear" w:color="auto" w:fill="auto"/>
        </w:rPr>
        <w:instrText xml:space="preserve"> TOC \o "1-2" \h \z \u </w:instrText>
      </w:r>
      <w:r>
        <w:rPr>
          <w:rFonts w:ascii="仿宋" w:hAnsi="仿宋" w:eastAsia="仿宋_GB2312"/>
          <w:sz w:val="32"/>
          <w:szCs w:val="32"/>
          <w:highlight w:val="none"/>
          <w:shd w:val="clear" w:color="auto" w:fill="auto"/>
        </w:rPr>
        <w:fldChar w:fldCharType="separate"/>
      </w:r>
      <w:r>
        <w:rPr>
          <w:rFonts w:ascii="仿宋" w:hAnsi="仿宋" w:eastAsia="仿宋_GB2312"/>
          <w:sz w:val="32"/>
          <w:szCs w:val="32"/>
          <w:highlight w:val="none"/>
          <w:shd w:val="clear" w:color="auto" w:fill="auto"/>
        </w:rPr>
        <w:fldChar w:fldCharType="begin"/>
      </w:r>
      <w:r>
        <w:rPr>
          <w:rFonts w:ascii="仿宋" w:hAnsi="仿宋" w:eastAsia="仿宋_GB2312"/>
          <w:sz w:val="32"/>
          <w:szCs w:val="32"/>
          <w:highlight w:val="none"/>
          <w:shd w:val="clear" w:color="auto" w:fill="auto"/>
        </w:rPr>
        <w:instrText xml:space="preserve"> HYPERLINK \l _Toc24422 </w:instrText>
      </w:r>
      <w:r>
        <w:rPr>
          <w:rFonts w:ascii="仿宋" w:hAnsi="仿宋" w:eastAsia="仿宋_GB2312"/>
          <w:sz w:val="32"/>
          <w:szCs w:val="32"/>
          <w:highlight w:val="none"/>
          <w:shd w:val="clear" w:color="auto" w:fill="auto"/>
        </w:rPr>
        <w:fldChar w:fldCharType="separate"/>
      </w:r>
      <w:r>
        <w:rPr>
          <w:rFonts w:hint="eastAsia" w:ascii="仿宋" w:hAnsi="仿宋" w:eastAsia="黑体" w:cs="黑体"/>
          <w:bCs w:val="0"/>
          <w:kern w:val="44"/>
          <w:sz w:val="32"/>
          <w:szCs w:val="32"/>
          <w:highlight w:val="none"/>
          <w:shd w:val="clear" w:color="auto" w:fill="auto"/>
          <w:lang w:val="en-US" w:eastAsia="zh-CN" w:bidi="ar-SA"/>
        </w:rPr>
        <w:t>第一章 总  则</w:t>
      </w:r>
      <w:r>
        <w:rPr>
          <w:sz w:val="32"/>
          <w:szCs w:val="32"/>
        </w:rPr>
        <w:tab/>
      </w:r>
      <w:r>
        <w:rPr>
          <w:sz w:val="32"/>
          <w:szCs w:val="32"/>
        </w:rPr>
        <w:fldChar w:fldCharType="begin"/>
      </w:r>
      <w:r>
        <w:rPr>
          <w:sz w:val="32"/>
          <w:szCs w:val="32"/>
        </w:rPr>
        <w:instrText xml:space="preserve"> PAGEREF _Toc24422 \h </w:instrText>
      </w:r>
      <w:r>
        <w:rPr>
          <w:sz w:val="32"/>
          <w:szCs w:val="32"/>
        </w:rPr>
        <w:fldChar w:fldCharType="separate"/>
      </w:r>
      <w:r>
        <w:rPr>
          <w:sz w:val="32"/>
          <w:szCs w:val="32"/>
        </w:rPr>
        <w:t>3</w:t>
      </w:r>
      <w:r>
        <w:rPr>
          <w:sz w:val="32"/>
          <w:szCs w:val="32"/>
        </w:rPr>
        <w:fldChar w:fldCharType="end"/>
      </w:r>
      <w:r>
        <w:rPr>
          <w:rFonts w:ascii="仿宋" w:hAnsi="仿宋" w:eastAsia="仿宋_GB2312"/>
          <w:sz w:val="32"/>
          <w:szCs w:val="32"/>
          <w:highlight w:val="none"/>
          <w:shd w:val="clear" w:color="auto" w:fill="auto"/>
        </w:rPr>
        <w:fldChar w:fldCharType="end"/>
      </w:r>
    </w:p>
    <w:p>
      <w:pPr>
        <w:pStyle w:val="27"/>
        <w:tabs>
          <w:tab w:val="right" w:leader="dot" w:pos="8306"/>
        </w:tabs>
        <w:rPr>
          <w:sz w:val="32"/>
          <w:szCs w:val="32"/>
        </w:rPr>
      </w:pPr>
      <w:r>
        <w:rPr>
          <w:rFonts w:ascii="仿宋" w:hAnsi="仿宋" w:eastAsia="仿宋_GB2312"/>
          <w:sz w:val="32"/>
          <w:szCs w:val="32"/>
          <w:highlight w:val="none"/>
          <w:shd w:val="clear" w:color="auto" w:fill="auto"/>
        </w:rPr>
        <w:fldChar w:fldCharType="begin"/>
      </w:r>
      <w:r>
        <w:rPr>
          <w:rFonts w:ascii="仿宋" w:hAnsi="仿宋" w:eastAsia="仿宋_GB2312"/>
          <w:sz w:val="32"/>
          <w:szCs w:val="32"/>
          <w:highlight w:val="none"/>
          <w:shd w:val="clear" w:color="auto" w:fill="auto"/>
        </w:rPr>
        <w:instrText xml:space="preserve"> HYPERLINK \l _Toc5768 </w:instrText>
      </w:r>
      <w:r>
        <w:rPr>
          <w:rFonts w:ascii="仿宋" w:hAnsi="仿宋" w:eastAsia="仿宋_GB2312"/>
          <w:sz w:val="32"/>
          <w:szCs w:val="32"/>
          <w:highlight w:val="none"/>
          <w:shd w:val="clear" w:color="auto" w:fill="auto"/>
        </w:rPr>
        <w:fldChar w:fldCharType="separate"/>
      </w:r>
      <w:r>
        <w:rPr>
          <w:rFonts w:hint="eastAsia" w:ascii="仿宋" w:hAnsi="仿宋" w:eastAsia="仿宋" w:cs="Times New Roman"/>
          <w:kern w:val="2"/>
          <w:sz w:val="32"/>
          <w:szCs w:val="32"/>
          <w:highlight w:val="none"/>
          <w:shd w:val="clear" w:color="auto" w:fill="auto"/>
          <w:lang w:val="en-US" w:eastAsia="zh-CN" w:bidi="ar-SA"/>
        </w:rPr>
        <w:t>第一节 规划背景</w:t>
      </w:r>
      <w:r>
        <w:rPr>
          <w:sz w:val="32"/>
          <w:szCs w:val="32"/>
        </w:rPr>
        <w:tab/>
      </w:r>
      <w:r>
        <w:rPr>
          <w:sz w:val="32"/>
          <w:szCs w:val="32"/>
        </w:rPr>
        <w:fldChar w:fldCharType="begin"/>
      </w:r>
      <w:r>
        <w:rPr>
          <w:sz w:val="32"/>
          <w:szCs w:val="32"/>
        </w:rPr>
        <w:instrText xml:space="preserve"> PAGEREF _Toc5768 \h </w:instrText>
      </w:r>
      <w:r>
        <w:rPr>
          <w:sz w:val="32"/>
          <w:szCs w:val="32"/>
        </w:rPr>
        <w:fldChar w:fldCharType="separate"/>
      </w:r>
      <w:r>
        <w:rPr>
          <w:sz w:val="32"/>
          <w:szCs w:val="32"/>
        </w:rPr>
        <w:t>3</w:t>
      </w:r>
      <w:r>
        <w:rPr>
          <w:sz w:val="32"/>
          <w:szCs w:val="32"/>
        </w:rPr>
        <w:fldChar w:fldCharType="end"/>
      </w:r>
      <w:r>
        <w:rPr>
          <w:rFonts w:ascii="仿宋" w:hAnsi="仿宋" w:eastAsia="仿宋_GB2312"/>
          <w:sz w:val="32"/>
          <w:szCs w:val="32"/>
          <w:highlight w:val="none"/>
          <w:shd w:val="clear" w:color="auto" w:fill="auto"/>
        </w:rPr>
        <w:fldChar w:fldCharType="end"/>
      </w:r>
    </w:p>
    <w:p>
      <w:pPr>
        <w:pStyle w:val="27"/>
        <w:tabs>
          <w:tab w:val="right" w:leader="dot" w:pos="8306"/>
        </w:tabs>
        <w:rPr>
          <w:sz w:val="32"/>
          <w:szCs w:val="32"/>
        </w:rPr>
      </w:pPr>
      <w:r>
        <w:rPr>
          <w:rFonts w:ascii="仿宋" w:hAnsi="仿宋" w:eastAsia="仿宋_GB2312"/>
          <w:sz w:val="32"/>
          <w:szCs w:val="32"/>
          <w:highlight w:val="none"/>
          <w:shd w:val="clear" w:color="auto" w:fill="auto"/>
        </w:rPr>
        <w:fldChar w:fldCharType="begin"/>
      </w:r>
      <w:r>
        <w:rPr>
          <w:rFonts w:ascii="仿宋" w:hAnsi="仿宋" w:eastAsia="仿宋_GB2312"/>
          <w:sz w:val="32"/>
          <w:szCs w:val="32"/>
          <w:highlight w:val="none"/>
          <w:shd w:val="clear" w:color="auto" w:fill="auto"/>
        </w:rPr>
        <w:instrText xml:space="preserve"> HYPERLINK \l _Toc24833 </w:instrText>
      </w:r>
      <w:r>
        <w:rPr>
          <w:rFonts w:ascii="仿宋" w:hAnsi="仿宋" w:eastAsia="仿宋_GB2312"/>
          <w:sz w:val="32"/>
          <w:szCs w:val="32"/>
          <w:highlight w:val="none"/>
          <w:shd w:val="clear" w:color="auto" w:fill="auto"/>
        </w:rPr>
        <w:fldChar w:fldCharType="separate"/>
      </w:r>
      <w:r>
        <w:rPr>
          <w:rFonts w:hint="eastAsia" w:ascii="仿宋" w:hAnsi="仿宋" w:eastAsia="仿宋" w:cs="Times New Roman"/>
          <w:kern w:val="2"/>
          <w:sz w:val="32"/>
          <w:szCs w:val="32"/>
          <w:highlight w:val="none"/>
          <w:shd w:val="clear" w:color="auto" w:fill="auto"/>
          <w:lang w:val="en-US" w:eastAsia="zh-CN" w:bidi="ar-SA"/>
        </w:rPr>
        <w:t>第二节 指导思想</w:t>
      </w:r>
      <w:r>
        <w:rPr>
          <w:sz w:val="32"/>
          <w:szCs w:val="32"/>
        </w:rPr>
        <w:tab/>
      </w:r>
      <w:r>
        <w:rPr>
          <w:sz w:val="32"/>
          <w:szCs w:val="32"/>
        </w:rPr>
        <w:fldChar w:fldCharType="begin"/>
      </w:r>
      <w:r>
        <w:rPr>
          <w:sz w:val="32"/>
          <w:szCs w:val="32"/>
        </w:rPr>
        <w:instrText xml:space="preserve"> PAGEREF _Toc24833 \h </w:instrText>
      </w:r>
      <w:r>
        <w:rPr>
          <w:sz w:val="32"/>
          <w:szCs w:val="32"/>
        </w:rPr>
        <w:fldChar w:fldCharType="separate"/>
      </w:r>
      <w:r>
        <w:rPr>
          <w:sz w:val="32"/>
          <w:szCs w:val="32"/>
        </w:rPr>
        <w:t>3</w:t>
      </w:r>
      <w:r>
        <w:rPr>
          <w:sz w:val="32"/>
          <w:szCs w:val="32"/>
        </w:rPr>
        <w:fldChar w:fldCharType="end"/>
      </w:r>
      <w:r>
        <w:rPr>
          <w:rFonts w:ascii="仿宋" w:hAnsi="仿宋" w:eastAsia="仿宋_GB2312"/>
          <w:sz w:val="32"/>
          <w:szCs w:val="32"/>
          <w:highlight w:val="none"/>
          <w:shd w:val="clear" w:color="auto" w:fill="auto"/>
        </w:rPr>
        <w:fldChar w:fldCharType="end"/>
      </w:r>
    </w:p>
    <w:p>
      <w:pPr>
        <w:pStyle w:val="27"/>
        <w:tabs>
          <w:tab w:val="right" w:leader="dot" w:pos="8306"/>
        </w:tabs>
        <w:rPr>
          <w:sz w:val="32"/>
          <w:szCs w:val="32"/>
        </w:rPr>
      </w:pPr>
      <w:r>
        <w:rPr>
          <w:rFonts w:ascii="仿宋" w:hAnsi="仿宋" w:eastAsia="仿宋_GB2312"/>
          <w:sz w:val="32"/>
          <w:szCs w:val="32"/>
          <w:highlight w:val="none"/>
          <w:shd w:val="clear" w:color="auto" w:fill="auto"/>
        </w:rPr>
        <w:fldChar w:fldCharType="begin"/>
      </w:r>
      <w:r>
        <w:rPr>
          <w:rFonts w:ascii="仿宋" w:hAnsi="仿宋" w:eastAsia="仿宋_GB2312"/>
          <w:sz w:val="32"/>
          <w:szCs w:val="32"/>
          <w:highlight w:val="none"/>
          <w:shd w:val="clear" w:color="auto" w:fill="auto"/>
        </w:rPr>
        <w:instrText xml:space="preserve"> HYPERLINK \l _Toc3375 </w:instrText>
      </w:r>
      <w:r>
        <w:rPr>
          <w:rFonts w:ascii="仿宋" w:hAnsi="仿宋" w:eastAsia="仿宋_GB2312"/>
          <w:sz w:val="32"/>
          <w:szCs w:val="32"/>
          <w:highlight w:val="none"/>
          <w:shd w:val="clear" w:color="auto" w:fill="auto"/>
        </w:rPr>
        <w:fldChar w:fldCharType="separate"/>
      </w:r>
      <w:r>
        <w:rPr>
          <w:rFonts w:hint="eastAsia" w:ascii="仿宋" w:hAnsi="仿宋" w:eastAsia="仿宋" w:cs="Times New Roman"/>
          <w:kern w:val="2"/>
          <w:sz w:val="32"/>
          <w:szCs w:val="32"/>
          <w:highlight w:val="none"/>
          <w:shd w:val="clear" w:color="auto" w:fill="auto"/>
          <w:lang w:val="en-US" w:eastAsia="zh-CN" w:bidi="ar-SA"/>
        </w:rPr>
        <w:t>第三节 基本原则</w:t>
      </w:r>
      <w:r>
        <w:rPr>
          <w:sz w:val="32"/>
          <w:szCs w:val="32"/>
        </w:rPr>
        <w:tab/>
      </w:r>
      <w:r>
        <w:rPr>
          <w:sz w:val="32"/>
          <w:szCs w:val="32"/>
        </w:rPr>
        <w:fldChar w:fldCharType="begin"/>
      </w:r>
      <w:r>
        <w:rPr>
          <w:sz w:val="32"/>
          <w:szCs w:val="32"/>
        </w:rPr>
        <w:instrText xml:space="preserve"> PAGEREF _Toc3375 \h </w:instrText>
      </w:r>
      <w:r>
        <w:rPr>
          <w:sz w:val="32"/>
          <w:szCs w:val="32"/>
        </w:rPr>
        <w:fldChar w:fldCharType="separate"/>
      </w:r>
      <w:r>
        <w:rPr>
          <w:sz w:val="32"/>
          <w:szCs w:val="32"/>
        </w:rPr>
        <w:t>4</w:t>
      </w:r>
      <w:r>
        <w:rPr>
          <w:sz w:val="32"/>
          <w:szCs w:val="32"/>
        </w:rPr>
        <w:fldChar w:fldCharType="end"/>
      </w:r>
      <w:r>
        <w:rPr>
          <w:rFonts w:ascii="仿宋" w:hAnsi="仿宋" w:eastAsia="仿宋_GB2312"/>
          <w:sz w:val="32"/>
          <w:szCs w:val="32"/>
          <w:highlight w:val="none"/>
          <w:shd w:val="clear" w:color="auto" w:fill="auto"/>
        </w:rPr>
        <w:fldChar w:fldCharType="end"/>
      </w:r>
    </w:p>
    <w:p>
      <w:pPr>
        <w:pStyle w:val="27"/>
        <w:tabs>
          <w:tab w:val="right" w:leader="dot" w:pos="8306"/>
        </w:tabs>
        <w:rPr>
          <w:sz w:val="32"/>
          <w:szCs w:val="32"/>
        </w:rPr>
      </w:pPr>
      <w:r>
        <w:rPr>
          <w:rFonts w:ascii="仿宋" w:hAnsi="仿宋" w:eastAsia="仿宋_GB2312"/>
          <w:sz w:val="32"/>
          <w:szCs w:val="32"/>
          <w:highlight w:val="none"/>
          <w:shd w:val="clear" w:color="auto" w:fill="auto"/>
        </w:rPr>
        <w:fldChar w:fldCharType="begin"/>
      </w:r>
      <w:r>
        <w:rPr>
          <w:rFonts w:ascii="仿宋" w:hAnsi="仿宋" w:eastAsia="仿宋_GB2312"/>
          <w:sz w:val="32"/>
          <w:szCs w:val="32"/>
          <w:highlight w:val="none"/>
          <w:shd w:val="clear" w:color="auto" w:fill="auto"/>
        </w:rPr>
        <w:instrText xml:space="preserve"> HYPERLINK \l _Toc5194 </w:instrText>
      </w:r>
      <w:r>
        <w:rPr>
          <w:rFonts w:ascii="仿宋" w:hAnsi="仿宋" w:eastAsia="仿宋_GB2312"/>
          <w:sz w:val="32"/>
          <w:szCs w:val="32"/>
          <w:highlight w:val="none"/>
          <w:shd w:val="clear" w:color="auto" w:fill="auto"/>
        </w:rPr>
        <w:fldChar w:fldCharType="separate"/>
      </w:r>
      <w:r>
        <w:rPr>
          <w:rFonts w:hint="eastAsia" w:ascii="仿宋" w:hAnsi="仿宋" w:eastAsia="仿宋" w:cs="Times New Roman"/>
          <w:kern w:val="2"/>
          <w:sz w:val="32"/>
          <w:szCs w:val="32"/>
          <w:highlight w:val="none"/>
          <w:shd w:val="clear" w:color="auto" w:fill="auto"/>
          <w:lang w:val="en-US" w:eastAsia="zh-CN" w:bidi="ar-SA"/>
        </w:rPr>
        <w:t>第四节 主要依据</w:t>
      </w:r>
      <w:r>
        <w:rPr>
          <w:sz w:val="32"/>
          <w:szCs w:val="32"/>
        </w:rPr>
        <w:tab/>
      </w:r>
      <w:r>
        <w:rPr>
          <w:sz w:val="32"/>
          <w:szCs w:val="32"/>
        </w:rPr>
        <w:fldChar w:fldCharType="begin"/>
      </w:r>
      <w:r>
        <w:rPr>
          <w:sz w:val="32"/>
          <w:szCs w:val="32"/>
        </w:rPr>
        <w:instrText xml:space="preserve"> PAGEREF _Toc5194 \h </w:instrText>
      </w:r>
      <w:r>
        <w:rPr>
          <w:sz w:val="32"/>
          <w:szCs w:val="32"/>
        </w:rPr>
        <w:fldChar w:fldCharType="separate"/>
      </w:r>
      <w:r>
        <w:rPr>
          <w:sz w:val="32"/>
          <w:szCs w:val="32"/>
        </w:rPr>
        <w:t>5</w:t>
      </w:r>
      <w:r>
        <w:rPr>
          <w:sz w:val="32"/>
          <w:szCs w:val="32"/>
        </w:rPr>
        <w:fldChar w:fldCharType="end"/>
      </w:r>
      <w:r>
        <w:rPr>
          <w:rFonts w:ascii="仿宋" w:hAnsi="仿宋" w:eastAsia="仿宋_GB2312"/>
          <w:sz w:val="32"/>
          <w:szCs w:val="32"/>
          <w:highlight w:val="none"/>
          <w:shd w:val="clear" w:color="auto" w:fill="auto"/>
        </w:rPr>
        <w:fldChar w:fldCharType="end"/>
      </w:r>
    </w:p>
    <w:p>
      <w:pPr>
        <w:pStyle w:val="27"/>
        <w:tabs>
          <w:tab w:val="right" w:leader="dot" w:pos="8306"/>
        </w:tabs>
        <w:rPr>
          <w:sz w:val="32"/>
          <w:szCs w:val="32"/>
        </w:rPr>
      </w:pPr>
      <w:r>
        <w:rPr>
          <w:rFonts w:ascii="仿宋" w:hAnsi="仿宋" w:eastAsia="仿宋_GB2312"/>
          <w:sz w:val="32"/>
          <w:szCs w:val="32"/>
          <w:highlight w:val="none"/>
          <w:shd w:val="clear" w:color="auto" w:fill="auto"/>
        </w:rPr>
        <w:fldChar w:fldCharType="begin"/>
      </w:r>
      <w:r>
        <w:rPr>
          <w:rFonts w:ascii="仿宋" w:hAnsi="仿宋" w:eastAsia="仿宋_GB2312"/>
          <w:sz w:val="32"/>
          <w:szCs w:val="32"/>
          <w:highlight w:val="none"/>
          <w:shd w:val="clear" w:color="auto" w:fill="auto"/>
        </w:rPr>
        <w:instrText xml:space="preserve"> HYPERLINK \l _Toc4279 </w:instrText>
      </w:r>
      <w:r>
        <w:rPr>
          <w:rFonts w:ascii="仿宋" w:hAnsi="仿宋" w:eastAsia="仿宋_GB2312"/>
          <w:sz w:val="32"/>
          <w:szCs w:val="32"/>
          <w:highlight w:val="none"/>
          <w:shd w:val="clear" w:color="auto" w:fill="auto"/>
        </w:rPr>
        <w:fldChar w:fldCharType="separate"/>
      </w:r>
      <w:r>
        <w:rPr>
          <w:rFonts w:hint="eastAsia" w:ascii="仿宋" w:hAnsi="仿宋" w:eastAsia="仿宋" w:cs="Times New Roman"/>
          <w:kern w:val="2"/>
          <w:sz w:val="32"/>
          <w:szCs w:val="32"/>
          <w:highlight w:val="none"/>
          <w:shd w:val="clear" w:color="auto" w:fill="auto"/>
          <w:lang w:val="en-US" w:eastAsia="zh-CN" w:bidi="ar-SA"/>
        </w:rPr>
        <w:t>第五节 规划时限和范围</w:t>
      </w:r>
      <w:r>
        <w:rPr>
          <w:sz w:val="32"/>
          <w:szCs w:val="32"/>
        </w:rPr>
        <w:tab/>
      </w:r>
      <w:r>
        <w:rPr>
          <w:sz w:val="32"/>
          <w:szCs w:val="32"/>
        </w:rPr>
        <w:fldChar w:fldCharType="begin"/>
      </w:r>
      <w:r>
        <w:rPr>
          <w:sz w:val="32"/>
          <w:szCs w:val="32"/>
        </w:rPr>
        <w:instrText xml:space="preserve"> PAGEREF _Toc4279 \h </w:instrText>
      </w:r>
      <w:r>
        <w:rPr>
          <w:sz w:val="32"/>
          <w:szCs w:val="32"/>
        </w:rPr>
        <w:fldChar w:fldCharType="separate"/>
      </w:r>
      <w:r>
        <w:rPr>
          <w:sz w:val="32"/>
          <w:szCs w:val="32"/>
        </w:rPr>
        <w:t>9</w:t>
      </w:r>
      <w:r>
        <w:rPr>
          <w:sz w:val="32"/>
          <w:szCs w:val="32"/>
        </w:rPr>
        <w:fldChar w:fldCharType="end"/>
      </w:r>
      <w:r>
        <w:rPr>
          <w:rFonts w:ascii="仿宋" w:hAnsi="仿宋" w:eastAsia="仿宋_GB2312"/>
          <w:sz w:val="32"/>
          <w:szCs w:val="32"/>
          <w:highlight w:val="none"/>
          <w:shd w:val="clear" w:color="auto" w:fill="auto"/>
        </w:rPr>
        <w:fldChar w:fldCharType="end"/>
      </w:r>
    </w:p>
    <w:p>
      <w:pPr>
        <w:pStyle w:val="23"/>
        <w:tabs>
          <w:tab w:val="right" w:pos="3200"/>
          <w:tab w:val="right" w:leader="dot" w:pos="8306"/>
        </w:tabs>
        <w:rPr>
          <w:sz w:val="32"/>
          <w:szCs w:val="32"/>
        </w:rPr>
      </w:pPr>
      <w:r>
        <w:rPr>
          <w:rFonts w:ascii="仿宋" w:hAnsi="仿宋" w:eastAsia="仿宋_GB2312"/>
          <w:sz w:val="32"/>
          <w:szCs w:val="32"/>
          <w:highlight w:val="none"/>
          <w:shd w:val="clear" w:color="auto" w:fill="auto"/>
        </w:rPr>
        <w:fldChar w:fldCharType="begin"/>
      </w:r>
      <w:r>
        <w:rPr>
          <w:rFonts w:ascii="仿宋" w:hAnsi="仿宋" w:eastAsia="仿宋_GB2312"/>
          <w:sz w:val="32"/>
          <w:szCs w:val="32"/>
          <w:highlight w:val="none"/>
          <w:shd w:val="clear" w:color="auto" w:fill="auto"/>
        </w:rPr>
        <w:instrText xml:space="preserve"> HYPERLINK \l _Toc2081 </w:instrText>
      </w:r>
      <w:r>
        <w:rPr>
          <w:rFonts w:ascii="仿宋" w:hAnsi="仿宋" w:eastAsia="仿宋_GB2312"/>
          <w:sz w:val="32"/>
          <w:szCs w:val="32"/>
          <w:highlight w:val="none"/>
          <w:shd w:val="clear" w:color="auto" w:fill="auto"/>
        </w:rPr>
        <w:fldChar w:fldCharType="separate"/>
      </w:r>
      <w:r>
        <w:rPr>
          <w:rFonts w:hint="eastAsia" w:ascii="仿宋" w:hAnsi="仿宋" w:eastAsia="黑体" w:cs="黑体"/>
          <w:bCs w:val="0"/>
          <w:kern w:val="44"/>
          <w:sz w:val="32"/>
          <w:szCs w:val="32"/>
          <w:highlight w:val="none"/>
          <w:shd w:val="clear" w:color="auto" w:fill="auto"/>
          <w:lang w:val="en-US" w:eastAsia="zh-CN" w:bidi="ar-SA"/>
        </w:rPr>
        <w:t xml:space="preserve">第二章 </w:t>
      </w:r>
      <w:r>
        <w:rPr>
          <w:rFonts w:hint="eastAsia" w:ascii="仿宋" w:hAnsi="仿宋" w:eastAsia="黑体" w:cs="黑体"/>
          <w:bCs w:val="0"/>
          <w:kern w:val="44"/>
          <w:sz w:val="32"/>
          <w:szCs w:val="32"/>
          <w:highlight w:val="none"/>
          <w:shd w:val="clear" w:color="auto" w:fill="auto"/>
          <w:lang w:val="en-US" w:eastAsia="zh-CN" w:bidi="ar-SA"/>
        </w:rPr>
        <w:tab/>
      </w:r>
      <w:r>
        <w:rPr>
          <w:rFonts w:hint="eastAsia" w:ascii="仿宋" w:hAnsi="仿宋" w:eastAsia="黑体" w:cs="黑体"/>
          <w:bCs w:val="0"/>
          <w:kern w:val="44"/>
          <w:sz w:val="32"/>
          <w:szCs w:val="32"/>
          <w:highlight w:val="none"/>
          <w:shd w:val="clear" w:color="auto" w:fill="auto"/>
          <w:lang w:val="en-US" w:eastAsia="zh-CN" w:bidi="ar-SA"/>
        </w:rPr>
        <w:t>畜禽养殖污染防治现状</w:t>
      </w:r>
      <w:r>
        <w:rPr>
          <w:sz w:val="32"/>
          <w:szCs w:val="32"/>
        </w:rPr>
        <w:tab/>
      </w:r>
      <w:r>
        <w:rPr>
          <w:sz w:val="32"/>
          <w:szCs w:val="32"/>
        </w:rPr>
        <w:fldChar w:fldCharType="begin"/>
      </w:r>
      <w:r>
        <w:rPr>
          <w:sz w:val="32"/>
          <w:szCs w:val="32"/>
        </w:rPr>
        <w:instrText xml:space="preserve"> PAGEREF _Toc2081 \h </w:instrText>
      </w:r>
      <w:r>
        <w:rPr>
          <w:sz w:val="32"/>
          <w:szCs w:val="32"/>
        </w:rPr>
        <w:fldChar w:fldCharType="separate"/>
      </w:r>
      <w:r>
        <w:rPr>
          <w:sz w:val="32"/>
          <w:szCs w:val="32"/>
        </w:rPr>
        <w:t>10</w:t>
      </w:r>
      <w:r>
        <w:rPr>
          <w:sz w:val="32"/>
          <w:szCs w:val="32"/>
        </w:rPr>
        <w:fldChar w:fldCharType="end"/>
      </w:r>
      <w:r>
        <w:rPr>
          <w:rFonts w:ascii="仿宋" w:hAnsi="仿宋" w:eastAsia="仿宋_GB2312"/>
          <w:sz w:val="32"/>
          <w:szCs w:val="32"/>
          <w:highlight w:val="none"/>
          <w:shd w:val="clear" w:color="auto" w:fill="auto"/>
        </w:rPr>
        <w:fldChar w:fldCharType="end"/>
      </w:r>
    </w:p>
    <w:p>
      <w:pPr>
        <w:pStyle w:val="27"/>
        <w:tabs>
          <w:tab w:val="right" w:leader="dot" w:pos="8306"/>
        </w:tabs>
        <w:rPr>
          <w:sz w:val="32"/>
          <w:szCs w:val="32"/>
        </w:rPr>
      </w:pPr>
      <w:r>
        <w:rPr>
          <w:rFonts w:ascii="仿宋" w:hAnsi="仿宋" w:eastAsia="仿宋_GB2312"/>
          <w:sz w:val="32"/>
          <w:szCs w:val="32"/>
          <w:highlight w:val="none"/>
          <w:shd w:val="clear" w:color="auto" w:fill="auto"/>
        </w:rPr>
        <w:fldChar w:fldCharType="begin"/>
      </w:r>
      <w:r>
        <w:rPr>
          <w:rFonts w:ascii="仿宋" w:hAnsi="仿宋" w:eastAsia="仿宋_GB2312"/>
          <w:sz w:val="32"/>
          <w:szCs w:val="32"/>
          <w:highlight w:val="none"/>
          <w:shd w:val="clear" w:color="auto" w:fill="auto"/>
        </w:rPr>
        <w:instrText xml:space="preserve"> HYPERLINK \l _Toc13825 </w:instrText>
      </w:r>
      <w:r>
        <w:rPr>
          <w:rFonts w:ascii="仿宋" w:hAnsi="仿宋" w:eastAsia="仿宋_GB2312"/>
          <w:sz w:val="32"/>
          <w:szCs w:val="32"/>
          <w:highlight w:val="none"/>
          <w:shd w:val="clear" w:color="auto" w:fill="auto"/>
        </w:rPr>
        <w:fldChar w:fldCharType="separate"/>
      </w:r>
      <w:r>
        <w:rPr>
          <w:rFonts w:hint="eastAsia" w:ascii="仿宋" w:hAnsi="仿宋" w:eastAsia="仿宋" w:cs="Times New Roman"/>
          <w:kern w:val="2"/>
          <w:sz w:val="32"/>
          <w:szCs w:val="32"/>
          <w:highlight w:val="none"/>
          <w:shd w:val="clear" w:color="auto" w:fill="auto"/>
          <w:lang w:val="en-US" w:eastAsia="zh-CN" w:bidi="ar-SA"/>
        </w:rPr>
        <w:t>第一节 自然气候条件</w:t>
      </w:r>
      <w:r>
        <w:rPr>
          <w:sz w:val="32"/>
          <w:szCs w:val="32"/>
        </w:rPr>
        <w:tab/>
      </w:r>
      <w:r>
        <w:rPr>
          <w:sz w:val="32"/>
          <w:szCs w:val="32"/>
        </w:rPr>
        <w:fldChar w:fldCharType="begin"/>
      </w:r>
      <w:r>
        <w:rPr>
          <w:sz w:val="32"/>
          <w:szCs w:val="32"/>
        </w:rPr>
        <w:instrText xml:space="preserve"> PAGEREF _Toc13825 \h </w:instrText>
      </w:r>
      <w:r>
        <w:rPr>
          <w:sz w:val="32"/>
          <w:szCs w:val="32"/>
        </w:rPr>
        <w:fldChar w:fldCharType="separate"/>
      </w:r>
      <w:r>
        <w:rPr>
          <w:sz w:val="32"/>
          <w:szCs w:val="32"/>
        </w:rPr>
        <w:t>10</w:t>
      </w:r>
      <w:r>
        <w:rPr>
          <w:sz w:val="32"/>
          <w:szCs w:val="32"/>
        </w:rPr>
        <w:fldChar w:fldCharType="end"/>
      </w:r>
      <w:r>
        <w:rPr>
          <w:rFonts w:ascii="仿宋" w:hAnsi="仿宋" w:eastAsia="仿宋_GB2312"/>
          <w:sz w:val="32"/>
          <w:szCs w:val="32"/>
          <w:highlight w:val="none"/>
          <w:shd w:val="clear" w:color="auto" w:fill="auto"/>
        </w:rPr>
        <w:fldChar w:fldCharType="end"/>
      </w:r>
    </w:p>
    <w:p>
      <w:pPr>
        <w:pStyle w:val="27"/>
        <w:tabs>
          <w:tab w:val="right" w:leader="dot" w:pos="8306"/>
        </w:tabs>
        <w:rPr>
          <w:sz w:val="32"/>
          <w:szCs w:val="32"/>
        </w:rPr>
      </w:pPr>
      <w:r>
        <w:rPr>
          <w:rFonts w:ascii="仿宋" w:hAnsi="仿宋" w:eastAsia="仿宋_GB2312"/>
          <w:sz w:val="32"/>
          <w:szCs w:val="32"/>
          <w:highlight w:val="none"/>
          <w:shd w:val="clear" w:color="auto" w:fill="auto"/>
        </w:rPr>
        <w:fldChar w:fldCharType="begin"/>
      </w:r>
      <w:r>
        <w:rPr>
          <w:rFonts w:ascii="仿宋" w:hAnsi="仿宋" w:eastAsia="仿宋_GB2312"/>
          <w:sz w:val="32"/>
          <w:szCs w:val="32"/>
          <w:highlight w:val="none"/>
          <w:shd w:val="clear" w:color="auto" w:fill="auto"/>
        </w:rPr>
        <w:instrText xml:space="preserve"> HYPERLINK \l _Toc8568 </w:instrText>
      </w:r>
      <w:r>
        <w:rPr>
          <w:rFonts w:ascii="仿宋" w:hAnsi="仿宋" w:eastAsia="仿宋_GB2312"/>
          <w:sz w:val="32"/>
          <w:szCs w:val="32"/>
          <w:highlight w:val="none"/>
          <w:shd w:val="clear" w:color="auto" w:fill="auto"/>
        </w:rPr>
        <w:fldChar w:fldCharType="separate"/>
      </w:r>
      <w:r>
        <w:rPr>
          <w:rFonts w:hint="eastAsia" w:ascii="仿宋" w:hAnsi="仿宋" w:eastAsia="仿宋" w:cs="Times New Roman"/>
          <w:kern w:val="2"/>
          <w:sz w:val="32"/>
          <w:szCs w:val="32"/>
          <w:highlight w:val="none"/>
          <w:shd w:val="clear" w:color="auto" w:fill="auto"/>
          <w:lang w:val="en-US" w:eastAsia="zh-CN" w:bidi="ar-SA"/>
        </w:rPr>
        <w:t>第二节 社会经济状况</w:t>
      </w:r>
      <w:r>
        <w:rPr>
          <w:sz w:val="32"/>
          <w:szCs w:val="32"/>
        </w:rPr>
        <w:tab/>
      </w:r>
      <w:r>
        <w:rPr>
          <w:sz w:val="32"/>
          <w:szCs w:val="32"/>
        </w:rPr>
        <w:fldChar w:fldCharType="begin"/>
      </w:r>
      <w:r>
        <w:rPr>
          <w:sz w:val="32"/>
          <w:szCs w:val="32"/>
        </w:rPr>
        <w:instrText xml:space="preserve"> PAGEREF _Toc8568 \h </w:instrText>
      </w:r>
      <w:r>
        <w:rPr>
          <w:sz w:val="32"/>
          <w:szCs w:val="32"/>
        </w:rPr>
        <w:fldChar w:fldCharType="separate"/>
      </w:r>
      <w:r>
        <w:rPr>
          <w:sz w:val="32"/>
          <w:szCs w:val="32"/>
        </w:rPr>
        <w:t>11</w:t>
      </w:r>
      <w:r>
        <w:rPr>
          <w:sz w:val="32"/>
          <w:szCs w:val="32"/>
        </w:rPr>
        <w:fldChar w:fldCharType="end"/>
      </w:r>
      <w:r>
        <w:rPr>
          <w:rFonts w:ascii="仿宋" w:hAnsi="仿宋" w:eastAsia="仿宋_GB2312"/>
          <w:sz w:val="32"/>
          <w:szCs w:val="32"/>
          <w:highlight w:val="none"/>
          <w:shd w:val="clear" w:color="auto" w:fill="auto"/>
        </w:rPr>
        <w:fldChar w:fldCharType="end"/>
      </w:r>
    </w:p>
    <w:p>
      <w:pPr>
        <w:pStyle w:val="27"/>
        <w:tabs>
          <w:tab w:val="right" w:leader="dot" w:pos="8306"/>
        </w:tabs>
        <w:rPr>
          <w:sz w:val="32"/>
          <w:szCs w:val="32"/>
        </w:rPr>
      </w:pPr>
      <w:r>
        <w:rPr>
          <w:rFonts w:ascii="仿宋" w:hAnsi="仿宋" w:eastAsia="仿宋_GB2312"/>
          <w:sz w:val="32"/>
          <w:szCs w:val="32"/>
          <w:highlight w:val="none"/>
          <w:shd w:val="clear" w:color="auto" w:fill="auto"/>
        </w:rPr>
        <w:fldChar w:fldCharType="begin"/>
      </w:r>
      <w:r>
        <w:rPr>
          <w:rFonts w:ascii="仿宋" w:hAnsi="仿宋" w:eastAsia="仿宋_GB2312"/>
          <w:sz w:val="32"/>
          <w:szCs w:val="32"/>
          <w:highlight w:val="none"/>
          <w:shd w:val="clear" w:color="auto" w:fill="auto"/>
        </w:rPr>
        <w:instrText xml:space="preserve"> HYPERLINK \l _Toc11134 </w:instrText>
      </w:r>
      <w:r>
        <w:rPr>
          <w:rFonts w:ascii="仿宋" w:hAnsi="仿宋" w:eastAsia="仿宋_GB2312"/>
          <w:sz w:val="32"/>
          <w:szCs w:val="32"/>
          <w:highlight w:val="none"/>
          <w:shd w:val="clear" w:color="auto" w:fill="auto"/>
        </w:rPr>
        <w:fldChar w:fldCharType="separate"/>
      </w:r>
      <w:r>
        <w:rPr>
          <w:rFonts w:hint="eastAsia" w:ascii="仿宋" w:hAnsi="仿宋" w:eastAsia="仿宋" w:cs="Times New Roman"/>
          <w:kern w:val="2"/>
          <w:sz w:val="32"/>
          <w:szCs w:val="32"/>
          <w:highlight w:val="none"/>
          <w:shd w:val="clear" w:color="auto" w:fill="auto"/>
          <w:lang w:val="en-US" w:eastAsia="zh-CN" w:bidi="ar-SA"/>
        </w:rPr>
        <w:t>第三节 生态环境概况</w:t>
      </w:r>
      <w:r>
        <w:rPr>
          <w:sz w:val="32"/>
          <w:szCs w:val="32"/>
        </w:rPr>
        <w:tab/>
      </w:r>
      <w:r>
        <w:rPr>
          <w:sz w:val="32"/>
          <w:szCs w:val="32"/>
        </w:rPr>
        <w:fldChar w:fldCharType="begin"/>
      </w:r>
      <w:r>
        <w:rPr>
          <w:sz w:val="32"/>
          <w:szCs w:val="32"/>
        </w:rPr>
        <w:instrText xml:space="preserve"> PAGEREF _Toc11134 \h </w:instrText>
      </w:r>
      <w:r>
        <w:rPr>
          <w:sz w:val="32"/>
          <w:szCs w:val="32"/>
        </w:rPr>
        <w:fldChar w:fldCharType="separate"/>
      </w:r>
      <w:r>
        <w:rPr>
          <w:sz w:val="32"/>
          <w:szCs w:val="32"/>
        </w:rPr>
        <w:t>11</w:t>
      </w:r>
      <w:r>
        <w:rPr>
          <w:sz w:val="32"/>
          <w:szCs w:val="32"/>
        </w:rPr>
        <w:fldChar w:fldCharType="end"/>
      </w:r>
      <w:r>
        <w:rPr>
          <w:rFonts w:ascii="仿宋" w:hAnsi="仿宋" w:eastAsia="仿宋_GB2312"/>
          <w:sz w:val="32"/>
          <w:szCs w:val="32"/>
          <w:highlight w:val="none"/>
          <w:shd w:val="clear" w:color="auto" w:fill="auto"/>
        </w:rPr>
        <w:fldChar w:fldCharType="end"/>
      </w:r>
    </w:p>
    <w:p>
      <w:pPr>
        <w:pStyle w:val="27"/>
        <w:tabs>
          <w:tab w:val="right" w:leader="dot" w:pos="8306"/>
        </w:tabs>
        <w:rPr>
          <w:sz w:val="32"/>
          <w:szCs w:val="32"/>
        </w:rPr>
      </w:pPr>
      <w:r>
        <w:rPr>
          <w:rFonts w:ascii="仿宋" w:hAnsi="仿宋" w:eastAsia="仿宋_GB2312"/>
          <w:sz w:val="32"/>
          <w:szCs w:val="32"/>
          <w:highlight w:val="none"/>
          <w:shd w:val="clear" w:color="auto" w:fill="auto"/>
        </w:rPr>
        <w:fldChar w:fldCharType="begin"/>
      </w:r>
      <w:r>
        <w:rPr>
          <w:rFonts w:ascii="仿宋" w:hAnsi="仿宋" w:eastAsia="仿宋_GB2312"/>
          <w:sz w:val="32"/>
          <w:szCs w:val="32"/>
          <w:highlight w:val="none"/>
          <w:shd w:val="clear" w:color="auto" w:fill="auto"/>
        </w:rPr>
        <w:instrText xml:space="preserve"> HYPERLINK \l _Toc25884 </w:instrText>
      </w:r>
      <w:r>
        <w:rPr>
          <w:rFonts w:ascii="仿宋" w:hAnsi="仿宋" w:eastAsia="仿宋_GB2312"/>
          <w:sz w:val="32"/>
          <w:szCs w:val="32"/>
          <w:highlight w:val="none"/>
          <w:shd w:val="clear" w:color="auto" w:fill="auto"/>
        </w:rPr>
        <w:fldChar w:fldCharType="separate"/>
      </w:r>
      <w:r>
        <w:rPr>
          <w:rFonts w:hint="eastAsia" w:ascii="仿宋" w:hAnsi="仿宋" w:eastAsia="仿宋" w:cs="Times New Roman"/>
          <w:kern w:val="2"/>
          <w:sz w:val="32"/>
          <w:szCs w:val="32"/>
          <w:highlight w:val="none"/>
          <w:shd w:val="clear" w:color="auto" w:fill="auto"/>
          <w:lang w:val="en-US" w:eastAsia="zh-CN" w:bidi="ar-SA"/>
        </w:rPr>
        <w:t>第四节 旺苍县畜禽养殖现状</w:t>
      </w:r>
      <w:r>
        <w:rPr>
          <w:sz w:val="32"/>
          <w:szCs w:val="32"/>
        </w:rPr>
        <w:tab/>
      </w:r>
      <w:r>
        <w:rPr>
          <w:sz w:val="32"/>
          <w:szCs w:val="32"/>
        </w:rPr>
        <w:fldChar w:fldCharType="begin"/>
      </w:r>
      <w:r>
        <w:rPr>
          <w:sz w:val="32"/>
          <w:szCs w:val="32"/>
        </w:rPr>
        <w:instrText xml:space="preserve"> PAGEREF _Toc25884 \h </w:instrText>
      </w:r>
      <w:r>
        <w:rPr>
          <w:sz w:val="32"/>
          <w:szCs w:val="32"/>
        </w:rPr>
        <w:fldChar w:fldCharType="separate"/>
      </w:r>
      <w:r>
        <w:rPr>
          <w:sz w:val="32"/>
          <w:szCs w:val="32"/>
        </w:rPr>
        <w:t>13</w:t>
      </w:r>
      <w:r>
        <w:rPr>
          <w:sz w:val="32"/>
          <w:szCs w:val="32"/>
        </w:rPr>
        <w:fldChar w:fldCharType="end"/>
      </w:r>
      <w:r>
        <w:rPr>
          <w:rFonts w:ascii="仿宋" w:hAnsi="仿宋" w:eastAsia="仿宋_GB2312"/>
          <w:sz w:val="32"/>
          <w:szCs w:val="32"/>
          <w:highlight w:val="none"/>
          <w:shd w:val="clear" w:color="auto" w:fill="auto"/>
        </w:rPr>
        <w:fldChar w:fldCharType="end"/>
      </w:r>
    </w:p>
    <w:p>
      <w:pPr>
        <w:pStyle w:val="27"/>
        <w:tabs>
          <w:tab w:val="right" w:leader="dot" w:pos="8306"/>
        </w:tabs>
        <w:rPr>
          <w:sz w:val="32"/>
          <w:szCs w:val="32"/>
        </w:rPr>
      </w:pPr>
      <w:r>
        <w:rPr>
          <w:rFonts w:ascii="仿宋" w:hAnsi="仿宋" w:eastAsia="仿宋_GB2312"/>
          <w:sz w:val="32"/>
          <w:szCs w:val="32"/>
          <w:highlight w:val="none"/>
          <w:shd w:val="clear" w:color="auto" w:fill="auto"/>
        </w:rPr>
        <w:fldChar w:fldCharType="begin"/>
      </w:r>
      <w:r>
        <w:rPr>
          <w:rFonts w:ascii="仿宋" w:hAnsi="仿宋" w:eastAsia="仿宋_GB2312"/>
          <w:sz w:val="32"/>
          <w:szCs w:val="32"/>
          <w:highlight w:val="none"/>
          <w:shd w:val="clear" w:color="auto" w:fill="auto"/>
        </w:rPr>
        <w:instrText xml:space="preserve"> HYPERLINK \l _Toc14945 </w:instrText>
      </w:r>
      <w:r>
        <w:rPr>
          <w:rFonts w:ascii="仿宋" w:hAnsi="仿宋" w:eastAsia="仿宋_GB2312"/>
          <w:sz w:val="32"/>
          <w:szCs w:val="32"/>
          <w:highlight w:val="none"/>
          <w:shd w:val="clear" w:color="auto" w:fill="auto"/>
        </w:rPr>
        <w:fldChar w:fldCharType="separate"/>
      </w:r>
      <w:r>
        <w:rPr>
          <w:rFonts w:hint="eastAsia" w:ascii="仿宋" w:hAnsi="仿宋" w:eastAsia="仿宋" w:cs="Times New Roman"/>
          <w:kern w:val="2"/>
          <w:sz w:val="32"/>
          <w:szCs w:val="32"/>
          <w:highlight w:val="none"/>
          <w:shd w:val="clear" w:color="auto" w:fill="auto"/>
          <w:lang w:val="en-US" w:eastAsia="zh-CN" w:bidi="ar-SA"/>
        </w:rPr>
        <w:t>第五节 污染防治现状</w:t>
      </w:r>
      <w:r>
        <w:rPr>
          <w:sz w:val="32"/>
          <w:szCs w:val="32"/>
        </w:rPr>
        <w:tab/>
      </w:r>
      <w:r>
        <w:rPr>
          <w:sz w:val="32"/>
          <w:szCs w:val="32"/>
        </w:rPr>
        <w:fldChar w:fldCharType="begin"/>
      </w:r>
      <w:r>
        <w:rPr>
          <w:sz w:val="32"/>
          <w:szCs w:val="32"/>
        </w:rPr>
        <w:instrText xml:space="preserve"> PAGEREF _Toc14945 \h </w:instrText>
      </w:r>
      <w:r>
        <w:rPr>
          <w:sz w:val="32"/>
          <w:szCs w:val="32"/>
        </w:rPr>
        <w:fldChar w:fldCharType="separate"/>
      </w:r>
      <w:r>
        <w:rPr>
          <w:sz w:val="32"/>
          <w:szCs w:val="32"/>
        </w:rPr>
        <w:t>23</w:t>
      </w:r>
      <w:r>
        <w:rPr>
          <w:sz w:val="32"/>
          <w:szCs w:val="32"/>
        </w:rPr>
        <w:fldChar w:fldCharType="end"/>
      </w:r>
      <w:r>
        <w:rPr>
          <w:rFonts w:ascii="仿宋" w:hAnsi="仿宋" w:eastAsia="仿宋_GB2312"/>
          <w:sz w:val="32"/>
          <w:szCs w:val="32"/>
          <w:highlight w:val="none"/>
          <w:shd w:val="clear" w:color="auto" w:fill="auto"/>
        </w:rPr>
        <w:fldChar w:fldCharType="end"/>
      </w:r>
    </w:p>
    <w:p>
      <w:pPr>
        <w:pStyle w:val="27"/>
        <w:tabs>
          <w:tab w:val="right" w:leader="dot" w:pos="8306"/>
        </w:tabs>
        <w:rPr>
          <w:sz w:val="32"/>
          <w:szCs w:val="32"/>
        </w:rPr>
      </w:pPr>
      <w:r>
        <w:rPr>
          <w:rFonts w:ascii="仿宋" w:hAnsi="仿宋" w:eastAsia="仿宋_GB2312"/>
          <w:sz w:val="32"/>
          <w:szCs w:val="32"/>
          <w:highlight w:val="none"/>
          <w:shd w:val="clear" w:color="auto" w:fill="auto"/>
        </w:rPr>
        <w:fldChar w:fldCharType="begin"/>
      </w:r>
      <w:r>
        <w:rPr>
          <w:rFonts w:ascii="仿宋" w:hAnsi="仿宋" w:eastAsia="仿宋_GB2312"/>
          <w:sz w:val="32"/>
          <w:szCs w:val="32"/>
          <w:highlight w:val="none"/>
          <w:shd w:val="clear" w:color="auto" w:fill="auto"/>
        </w:rPr>
        <w:instrText xml:space="preserve"> HYPERLINK \l _Toc22695 </w:instrText>
      </w:r>
      <w:r>
        <w:rPr>
          <w:rFonts w:ascii="仿宋" w:hAnsi="仿宋" w:eastAsia="仿宋_GB2312"/>
          <w:sz w:val="32"/>
          <w:szCs w:val="32"/>
          <w:highlight w:val="none"/>
          <w:shd w:val="clear" w:color="auto" w:fill="auto"/>
        </w:rPr>
        <w:fldChar w:fldCharType="separate"/>
      </w:r>
      <w:r>
        <w:rPr>
          <w:rFonts w:hint="eastAsia" w:ascii="仿宋" w:hAnsi="仿宋" w:eastAsia="仿宋" w:cs="Times New Roman"/>
          <w:kern w:val="2"/>
          <w:sz w:val="32"/>
          <w:szCs w:val="32"/>
          <w:highlight w:val="none"/>
          <w:shd w:val="clear" w:color="auto" w:fill="auto"/>
          <w:lang w:val="en-US" w:eastAsia="zh-CN" w:bidi="ar-SA"/>
        </w:rPr>
        <w:t>第六节 旺苍县畜禽养殖现状种养结合现状</w:t>
      </w:r>
      <w:r>
        <w:rPr>
          <w:sz w:val="32"/>
          <w:szCs w:val="32"/>
        </w:rPr>
        <w:tab/>
      </w:r>
      <w:r>
        <w:rPr>
          <w:sz w:val="32"/>
          <w:szCs w:val="32"/>
        </w:rPr>
        <w:fldChar w:fldCharType="begin"/>
      </w:r>
      <w:r>
        <w:rPr>
          <w:sz w:val="32"/>
          <w:szCs w:val="32"/>
        </w:rPr>
        <w:instrText xml:space="preserve"> PAGEREF _Toc22695 \h </w:instrText>
      </w:r>
      <w:r>
        <w:rPr>
          <w:sz w:val="32"/>
          <w:szCs w:val="32"/>
        </w:rPr>
        <w:fldChar w:fldCharType="separate"/>
      </w:r>
      <w:r>
        <w:rPr>
          <w:sz w:val="32"/>
          <w:szCs w:val="32"/>
        </w:rPr>
        <w:t>31</w:t>
      </w:r>
      <w:r>
        <w:rPr>
          <w:sz w:val="32"/>
          <w:szCs w:val="32"/>
        </w:rPr>
        <w:fldChar w:fldCharType="end"/>
      </w:r>
      <w:r>
        <w:rPr>
          <w:rFonts w:ascii="仿宋" w:hAnsi="仿宋" w:eastAsia="仿宋_GB2312"/>
          <w:sz w:val="32"/>
          <w:szCs w:val="32"/>
          <w:highlight w:val="none"/>
          <w:shd w:val="clear" w:color="auto" w:fill="auto"/>
        </w:rPr>
        <w:fldChar w:fldCharType="end"/>
      </w:r>
    </w:p>
    <w:p>
      <w:pPr>
        <w:pStyle w:val="27"/>
        <w:tabs>
          <w:tab w:val="right" w:leader="dot" w:pos="8306"/>
        </w:tabs>
        <w:rPr>
          <w:sz w:val="32"/>
          <w:szCs w:val="32"/>
        </w:rPr>
      </w:pPr>
      <w:r>
        <w:rPr>
          <w:rFonts w:ascii="仿宋" w:hAnsi="仿宋" w:eastAsia="仿宋_GB2312"/>
          <w:sz w:val="32"/>
          <w:szCs w:val="32"/>
          <w:highlight w:val="none"/>
          <w:shd w:val="clear" w:color="auto" w:fill="auto"/>
        </w:rPr>
        <w:fldChar w:fldCharType="begin"/>
      </w:r>
      <w:r>
        <w:rPr>
          <w:rFonts w:ascii="仿宋" w:hAnsi="仿宋" w:eastAsia="仿宋_GB2312"/>
          <w:sz w:val="32"/>
          <w:szCs w:val="32"/>
          <w:highlight w:val="none"/>
          <w:shd w:val="clear" w:color="auto" w:fill="auto"/>
        </w:rPr>
        <w:instrText xml:space="preserve"> HYPERLINK \l _Toc30277 </w:instrText>
      </w:r>
      <w:r>
        <w:rPr>
          <w:rFonts w:ascii="仿宋" w:hAnsi="仿宋" w:eastAsia="仿宋_GB2312"/>
          <w:sz w:val="32"/>
          <w:szCs w:val="32"/>
          <w:highlight w:val="none"/>
          <w:shd w:val="clear" w:color="auto" w:fill="auto"/>
        </w:rPr>
        <w:fldChar w:fldCharType="separate"/>
      </w:r>
      <w:r>
        <w:rPr>
          <w:rFonts w:hint="eastAsia" w:ascii="仿宋" w:hAnsi="仿宋" w:eastAsia="仿宋" w:cs="Times New Roman"/>
          <w:kern w:val="2"/>
          <w:sz w:val="32"/>
          <w:szCs w:val="32"/>
          <w:highlight w:val="none"/>
          <w:shd w:val="clear" w:color="auto" w:fill="auto"/>
          <w:lang w:val="en-US" w:eastAsia="zh-CN" w:bidi="ar-SA"/>
        </w:rPr>
        <w:t>第七节 主要问题</w:t>
      </w:r>
      <w:r>
        <w:rPr>
          <w:sz w:val="32"/>
          <w:szCs w:val="32"/>
        </w:rPr>
        <w:tab/>
      </w:r>
      <w:r>
        <w:rPr>
          <w:sz w:val="32"/>
          <w:szCs w:val="32"/>
        </w:rPr>
        <w:fldChar w:fldCharType="begin"/>
      </w:r>
      <w:r>
        <w:rPr>
          <w:sz w:val="32"/>
          <w:szCs w:val="32"/>
        </w:rPr>
        <w:instrText xml:space="preserve"> PAGEREF _Toc30277 \h </w:instrText>
      </w:r>
      <w:r>
        <w:rPr>
          <w:sz w:val="32"/>
          <w:szCs w:val="32"/>
        </w:rPr>
        <w:fldChar w:fldCharType="separate"/>
      </w:r>
      <w:r>
        <w:rPr>
          <w:sz w:val="32"/>
          <w:szCs w:val="32"/>
        </w:rPr>
        <w:t>34</w:t>
      </w:r>
      <w:r>
        <w:rPr>
          <w:sz w:val="32"/>
          <w:szCs w:val="32"/>
        </w:rPr>
        <w:fldChar w:fldCharType="end"/>
      </w:r>
      <w:r>
        <w:rPr>
          <w:rFonts w:ascii="仿宋" w:hAnsi="仿宋" w:eastAsia="仿宋_GB2312"/>
          <w:sz w:val="32"/>
          <w:szCs w:val="32"/>
          <w:highlight w:val="none"/>
          <w:shd w:val="clear" w:color="auto" w:fill="auto"/>
        </w:rPr>
        <w:fldChar w:fldCharType="end"/>
      </w:r>
    </w:p>
    <w:p>
      <w:pPr>
        <w:pStyle w:val="23"/>
        <w:tabs>
          <w:tab w:val="right" w:leader="dot" w:pos="8306"/>
        </w:tabs>
        <w:rPr>
          <w:sz w:val="32"/>
          <w:szCs w:val="32"/>
        </w:rPr>
      </w:pPr>
      <w:r>
        <w:rPr>
          <w:rFonts w:ascii="仿宋" w:hAnsi="仿宋" w:eastAsia="仿宋_GB2312"/>
          <w:sz w:val="32"/>
          <w:szCs w:val="32"/>
          <w:highlight w:val="none"/>
          <w:shd w:val="clear" w:color="auto" w:fill="auto"/>
        </w:rPr>
        <w:fldChar w:fldCharType="begin"/>
      </w:r>
      <w:r>
        <w:rPr>
          <w:rFonts w:ascii="仿宋" w:hAnsi="仿宋" w:eastAsia="仿宋_GB2312"/>
          <w:sz w:val="32"/>
          <w:szCs w:val="32"/>
          <w:highlight w:val="none"/>
          <w:shd w:val="clear" w:color="auto" w:fill="auto"/>
        </w:rPr>
        <w:instrText xml:space="preserve"> HYPERLINK \l _Toc31753 </w:instrText>
      </w:r>
      <w:r>
        <w:rPr>
          <w:rFonts w:ascii="仿宋" w:hAnsi="仿宋" w:eastAsia="仿宋_GB2312"/>
          <w:sz w:val="32"/>
          <w:szCs w:val="32"/>
          <w:highlight w:val="none"/>
          <w:shd w:val="clear" w:color="auto" w:fill="auto"/>
        </w:rPr>
        <w:fldChar w:fldCharType="separate"/>
      </w:r>
      <w:r>
        <w:rPr>
          <w:rFonts w:hint="eastAsia" w:ascii="仿宋" w:hAnsi="仿宋" w:eastAsia="黑体" w:cs="黑体"/>
          <w:bCs w:val="0"/>
          <w:kern w:val="44"/>
          <w:sz w:val="32"/>
          <w:szCs w:val="32"/>
          <w:highlight w:val="none"/>
          <w:shd w:val="clear" w:color="auto" w:fill="auto"/>
          <w:lang w:val="en-US" w:eastAsia="zh-CN" w:bidi="ar-SA"/>
        </w:rPr>
        <w:t>第三章 规划目标</w:t>
      </w:r>
      <w:r>
        <w:rPr>
          <w:sz w:val="32"/>
          <w:szCs w:val="32"/>
        </w:rPr>
        <w:tab/>
      </w:r>
      <w:r>
        <w:rPr>
          <w:sz w:val="32"/>
          <w:szCs w:val="32"/>
        </w:rPr>
        <w:fldChar w:fldCharType="begin"/>
      </w:r>
      <w:r>
        <w:rPr>
          <w:sz w:val="32"/>
          <w:szCs w:val="32"/>
        </w:rPr>
        <w:instrText xml:space="preserve"> PAGEREF _Toc31753 \h </w:instrText>
      </w:r>
      <w:r>
        <w:rPr>
          <w:sz w:val="32"/>
          <w:szCs w:val="32"/>
        </w:rPr>
        <w:fldChar w:fldCharType="separate"/>
      </w:r>
      <w:r>
        <w:rPr>
          <w:sz w:val="32"/>
          <w:szCs w:val="32"/>
        </w:rPr>
        <w:t>37</w:t>
      </w:r>
      <w:r>
        <w:rPr>
          <w:sz w:val="32"/>
          <w:szCs w:val="32"/>
        </w:rPr>
        <w:fldChar w:fldCharType="end"/>
      </w:r>
      <w:r>
        <w:rPr>
          <w:rFonts w:ascii="仿宋" w:hAnsi="仿宋" w:eastAsia="仿宋_GB2312"/>
          <w:sz w:val="32"/>
          <w:szCs w:val="32"/>
          <w:highlight w:val="none"/>
          <w:shd w:val="clear" w:color="auto" w:fill="auto"/>
        </w:rPr>
        <w:fldChar w:fldCharType="end"/>
      </w:r>
    </w:p>
    <w:p>
      <w:pPr>
        <w:pStyle w:val="27"/>
        <w:tabs>
          <w:tab w:val="right" w:leader="dot" w:pos="8306"/>
        </w:tabs>
        <w:rPr>
          <w:sz w:val="32"/>
          <w:szCs w:val="32"/>
        </w:rPr>
      </w:pPr>
      <w:r>
        <w:rPr>
          <w:rFonts w:ascii="仿宋" w:hAnsi="仿宋" w:eastAsia="仿宋_GB2312"/>
          <w:sz w:val="32"/>
          <w:szCs w:val="32"/>
          <w:highlight w:val="none"/>
          <w:shd w:val="clear" w:color="auto" w:fill="auto"/>
        </w:rPr>
        <w:fldChar w:fldCharType="begin"/>
      </w:r>
      <w:r>
        <w:rPr>
          <w:rFonts w:ascii="仿宋" w:hAnsi="仿宋" w:eastAsia="仿宋_GB2312"/>
          <w:sz w:val="32"/>
          <w:szCs w:val="32"/>
          <w:highlight w:val="none"/>
          <w:shd w:val="clear" w:color="auto" w:fill="auto"/>
        </w:rPr>
        <w:instrText xml:space="preserve"> HYPERLINK \l _Toc14104 </w:instrText>
      </w:r>
      <w:r>
        <w:rPr>
          <w:rFonts w:ascii="仿宋" w:hAnsi="仿宋" w:eastAsia="仿宋_GB2312"/>
          <w:sz w:val="32"/>
          <w:szCs w:val="32"/>
          <w:highlight w:val="none"/>
          <w:shd w:val="clear" w:color="auto" w:fill="auto"/>
        </w:rPr>
        <w:fldChar w:fldCharType="separate"/>
      </w:r>
      <w:r>
        <w:rPr>
          <w:rFonts w:hint="eastAsia" w:ascii="仿宋" w:hAnsi="仿宋" w:eastAsia="仿宋" w:cs="Times New Roman"/>
          <w:kern w:val="2"/>
          <w:sz w:val="32"/>
          <w:szCs w:val="32"/>
          <w:highlight w:val="none"/>
          <w:shd w:val="clear" w:color="auto" w:fill="auto"/>
          <w:lang w:val="en-US" w:eastAsia="zh-CN" w:bidi="ar-SA"/>
        </w:rPr>
        <w:t>第一节 目  标</w:t>
      </w:r>
      <w:r>
        <w:rPr>
          <w:sz w:val="32"/>
          <w:szCs w:val="32"/>
        </w:rPr>
        <w:tab/>
      </w:r>
      <w:r>
        <w:rPr>
          <w:sz w:val="32"/>
          <w:szCs w:val="32"/>
        </w:rPr>
        <w:fldChar w:fldCharType="begin"/>
      </w:r>
      <w:r>
        <w:rPr>
          <w:sz w:val="32"/>
          <w:szCs w:val="32"/>
        </w:rPr>
        <w:instrText xml:space="preserve"> PAGEREF _Toc14104 \h </w:instrText>
      </w:r>
      <w:r>
        <w:rPr>
          <w:sz w:val="32"/>
          <w:szCs w:val="32"/>
        </w:rPr>
        <w:fldChar w:fldCharType="separate"/>
      </w:r>
      <w:r>
        <w:rPr>
          <w:sz w:val="32"/>
          <w:szCs w:val="32"/>
        </w:rPr>
        <w:t>37</w:t>
      </w:r>
      <w:r>
        <w:rPr>
          <w:sz w:val="32"/>
          <w:szCs w:val="32"/>
        </w:rPr>
        <w:fldChar w:fldCharType="end"/>
      </w:r>
      <w:r>
        <w:rPr>
          <w:rFonts w:ascii="仿宋" w:hAnsi="仿宋" w:eastAsia="仿宋_GB2312"/>
          <w:sz w:val="32"/>
          <w:szCs w:val="32"/>
          <w:highlight w:val="none"/>
          <w:shd w:val="clear" w:color="auto" w:fill="auto"/>
        </w:rPr>
        <w:fldChar w:fldCharType="end"/>
      </w:r>
    </w:p>
    <w:p>
      <w:pPr>
        <w:pStyle w:val="27"/>
        <w:tabs>
          <w:tab w:val="right" w:leader="dot" w:pos="8306"/>
        </w:tabs>
        <w:rPr>
          <w:sz w:val="32"/>
          <w:szCs w:val="32"/>
        </w:rPr>
      </w:pPr>
      <w:r>
        <w:rPr>
          <w:rFonts w:ascii="仿宋" w:hAnsi="仿宋" w:eastAsia="仿宋_GB2312"/>
          <w:sz w:val="32"/>
          <w:szCs w:val="32"/>
          <w:highlight w:val="none"/>
          <w:shd w:val="clear" w:color="auto" w:fill="auto"/>
        </w:rPr>
        <w:fldChar w:fldCharType="begin"/>
      </w:r>
      <w:r>
        <w:rPr>
          <w:rFonts w:ascii="仿宋" w:hAnsi="仿宋" w:eastAsia="仿宋_GB2312"/>
          <w:sz w:val="32"/>
          <w:szCs w:val="32"/>
          <w:highlight w:val="none"/>
          <w:shd w:val="clear" w:color="auto" w:fill="auto"/>
        </w:rPr>
        <w:instrText xml:space="preserve"> HYPERLINK \l _Toc10312 </w:instrText>
      </w:r>
      <w:r>
        <w:rPr>
          <w:rFonts w:ascii="仿宋" w:hAnsi="仿宋" w:eastAsia="仿宋_GB2312"/>
          <w:sz w:val="32"/>
          <w:szCs w:val="32"/>
          <w:highlight w:val="none"/>
          <w:shd w:val="clear" w:color="auto" w:fill="auto"/>
        </w:rPr>
        <w:fldChar w:fldCharType="separate"/>
      </w:r>
      <w:r>
        <w:rPr>
          <w:rFonts w:hint="eastAsia" w:ascii="仿宋" w:hAnsi="仿宋" w:eastAsia="仿宋" w:cs="Times New Roman"/>
          <w:kern w:val="2"/>
          <w:sz w:val="32"/>
          <w:szCs w:val="32"/>
          <w:highlight w:val="none"/>
          <w:shd w:val="clear" w:color="auto" w:fill="auto"/>
          <w:lang w:val="en-US" w:eastAsia="zh-CN" w:bidi="ar-SA"/>
        </w:rPr>
        <w:t>第二节 畜禽养殖环境承载力分析</w:t>
      </w:r>
      <w:r>
        <w:rPr>
          <w:sz w:val="32"/>
          <w:szCs w:val="32"/>
        </w:rPr>
        <w:tab/>
      </w:r>
      <w:r>
        <w:rPr>
          <w:sz w:val="32"/>
          <w:szCs w:val="32"/>
        </w:rPr>
        <w:fldChar w:fldCharType="begin"/>
      </w:r>
      <w:r>
        <w:rPr>
          <w:sz w:val="32"/>
          <w:szCs w:val="32"/>
        </w:rPr>
        <w:instrText xml:space="preserve"> PAGEREF _Toc10312 \h </w:instrText>
      </w:r>
      <w:r>
        <w:rPr>
          <w:sz w:val="32"/>
          <w:szCs w:val="32"/>
        </w:rPr>
        <w:fldChar w:fldCharType="separate"/>
      </w:r>
      <w:r>
        <w:rPr>
          <w:sz w:val="32"/>
          <w:szCs w:val="32"/>
        </w:rPr>
        <w:t>37</w:t>
      </w:r>
      <w:r>
        <w:rPr>
          <w:sz w:val="32"/>
          <w:szCs w:val="32"/>
        </w:rPr>
        <w:fldChar w:fldCharType="end"/>
      </w:r>
      <w:r>
        <w:rPr>
          <w:rFonts w:ascii="仿宋" w:hAnsi="仿宋" w:eastAsia="仿宋_GB2312"/>
          <w:sz w:val="32"/>
          <w:szCs w:val="32"/>
          <w:highlight w:val="none"/>
          <w:shd w:val="clear" w:color="auto" w:fill="auto"/>
        </w:rPr>
        <w:fldChar w:fldCharType="end"/>
      </w:r>
    </w:p>
    <w:p>
      <w:pPr>
        <w:pStyle w:val="27"/>
        <w:tabs>
          <w:tab w:val="right" w:leader="dot" w:pos="8306"/>
        </w:tabs>
        <w:rPr>
          <w:sz w:val="32"/>
          <w:szCs w:val="32"/>
        </w:rPr>
      </w:pPr>
      <w:r>
        <w:rPr>
          <w:rFonts w:ascii="仿宋" w:hAnsi="仿宋" w:eastAsia="仿宋_GB2312"/>
          <w:sz w:val="32"/>
          <w:szCs w:val="32"/>
          <w:highlight w:val="none"/>
          <w:shd w:val="clear" w:color="auto" w:fill="auto"/>
        </w:rPr>
        <w:fldChar w:fldCharType="begin"/>
      </w:r>
      <w:r>
        <w:rPr>
          <w:rFonts w:ascii="仿宋" w:hAnsi="仿宋" w:eastAsia="仿宋_GB2312"/>
          <w:sz w:val="32"/>
          <w:szCs w:val="32"/>
          <w:highlight w:val="none"/>
          <w:shd w:val="clear" w:color="auto" w:fill="auto"/>
        </w:rPr>
        <w:instrText xml:space="preserve"> HYPERLINK \l _Toc5966 </w:instrText>
      </w:r>
      <w:r>
        <w:rPr>
          <w:rFonts w:ascii="仿宋" w:hAnsi="仿宋" w:eastAsia="仿宋_GB2312"/>
          <w:sz w:val="32"/>
          <w:szCs w:val="32"/>
          <w:highlight w:val="none"/>
          <w:shd w:val="clear" w:color="auto" w:fill="auto"/>
        </w:rPr>
        <w:fldChar w:fldCharType="separate"/>
      </w:r>
      <w:r>
        <w:rPr>
          <w:rFonts w:hint="eastAsia" w:ascii="仿宋" w:hAnsi="仿宋" w:eastAsia="仿宋" w:cs="Times New Roman"/>
          <w:kern w:val="2"/>
          <w:sz w:val="32"/>
          <w:szCs w:val="32"/>
          <w:highlight w:val="none"/>
          <w:shd w:val="clear" w:color="auto" w:fill="auto"/>
          <w:lang w:val="en-US" w:eastAsia="zh-CN" w:bidi="ar-SA"/>
        </w:rPr>
        <w:t>第三节 目标可实现性分析</w:t>
      </w:r>
      <w:r>
        <w:rPr>
          <w:sz w:val="32"/>
          <w:szCs w:val="32"/>
        </w:rPr>
        <w:tab/>
      </w:r>
      <w:r>
        <w:rPr>
          <w:sz w:val="32"/>
          <w:szCs w:val="32"/>
        </w:rPr>
        <w:fldChar w:fldCharType="begin"/>
      </w:r>
      <w:r>
        <w:rPr>
          <w:sz w:val="32"/>
          <w:szCs w:val="32"/>
        </w:rPr>
        <w:instrText xml:space="preserve"> PAGEREF _Toc5966 \h </w:instrText>
      </w:r>
      <w:r>
        <w:rPr>
          <w:sz w:val="32"/>
          <w:szCs w:val="32"/>
        </w:rPr>
        <w:fldChar w:fldCharType="separate"/>
      </w:r>
      <w:r>
        <w:rPr>
          <w:sz w:val="32"/>
          <w:szCs w:val="32"/>
        </w:rPr>
        <w:t>44</w:t>
      </w:r>
      <w:r>
        <w:rPr>
          <w:sz w:val="32"/>
          <w:szCs w:val="32"/>
        </w:rPr>
        <w:fldChar w:fldCharType="end"/>
      </w:r>
      <w:r>
        <w:rPr>
          <w:rFonts w:ascii="仿宋" w:hAnsi="仿宋" w:eastAsia="仿宋_GB2312"/>
          <w:sz w:val="32"/>
          <w:szCs w:val="32"/>
          <w:highlight w:val="none"/>
          <w:shd w:val="clear" w:color="auto" w:fill="auto"/>
        </w:rPr>
        <w:fldChar w:fldCharType="end"/>
      </w:r>
    </w:p>
    <w:p>
      <w:pPr>
        <w:pStyle w:val="23"/>
        <w:tabs>
          <w:tab w:val="right" w:leader="dot" w:pos="8306"/>
        </w:tabs>
        <w:rPr>
          <w:sz w:val="32"/>
          <w:szCs w:val="32"/>
        </w:rPr>
      </w:pPr>
      <w:r>
        <w:rPr>
          <w:rFonts w:ascii="仿宋" w:hAnsi="仿宋" w:eastAsia="仿宋_GB2312"/>
          <w:sz w:val="32"/>
          <w:szCs w:val="32"/>
          <w:highlight w:val="none"/>
          <w:shd w:val="clear" w:color="auto" w:fill="auto"/>
        </w:rPr>
        <w:fldChar w:fldCharType="begin"/>
      </w:r>
      <w:r>
        <w:rPr>
          <w:rFonts w:ascii="仿宋" w:hAnsi="仿宋" w:eastAsia="仿宋_GB2312"/>
          <w:sz w:val="32"/>
          <w:szCs w:val="32"/>
          <w:highlight w:val="none"/>
          <w:shd w:val="clear" w:color="auto" w:fill="auto"/>
        </w:rPr>
        <w:instrText xml:space="preserve"> HYPERLINK \l _Toc17775 </w:instrText>
      </w:r>
      <w:r>
        <w:rPr>
          <w:rFonts w:ascii="仿宋" w:hAnsi="仿宋" w:eastAsia="仿宋_GB2312"/>
          <w:sz w:val="32"/>
          <w:szCs w:val="32"/>
          <w:highlight w:val="none"/>
          <w:shd w:val="clear" w:color="auto" w:fill="auto"/>
        </w:rPr>
        <w:fldChar w:fldCharType="separate"/>
      </w:r>
      <w:r>
        <w:rPr>
          <w:rFonts w:hint="eastAsia" w:ascii="仿宋" w:hAnsi="仿宋" w:eastAsia="黑体" w:cs="黑体"/>
          <w:bCs w:val="0"/>
          <w:kern w:val="44"/>
          <w:sz w:val="32"/>
          <w:szCs w:val="32"/>
          <w:highlight w:val="none"/>
          <w:shd w:val="clear" w:color="auto" w:fill="auto"/>
          <w:lang w:val="en-US" w:eastAsia="zh-CN" w:bidi="ar-SA"/>
        </w:rPr>
        <w:t>第四章 主要任务</w:t>
      </w:r>
      <w:r>
        <w:rPr>
          <w:sz w:val="32"/>
          <w:szCs w:val="32"/>
        </w:rPr>
        <w:tab/>
      </w:r>
      <w:r>
        <w:rPr>
          <w:sz w:val="32"/>
          <w:szCs w:val="32"/>
        </w:rPr>
        <w:fldChar w:fldCharType="begin"/>
      </w:r>
      <w:r>
        <w:rPr>
          <w:sz w:val="32"/>
          <w:szCs w:val="32"/>
        </w:rPr>
        <w:instrText xml:space="preserve"> PAGEREF _Toc17775 \h </w:instrText>
      </w:r>
      <w:r>
        <w:rPr>
          <w:sz w:val="32"/>
          <w:szCs w:val="32"/>
        </w:rPr>
        <w:fldChar w:fldCharType="separate"/>
      </w:r>
      <w:r>
        <w:rPr>
          <w:sz w:val="32"/>
          <w:szCs w:val="32"/>
        </w:rPr>
        <w:t>49</w:t>
      </w:r>
      <w:r>
        <w:rPr>
          <w:sz w:val="32"/>
          <w:szCs w:val="32"/>
        </w:rPr>
        <w:fldChar w:fldCharType="end"/>
      </w:r>
      <w:r>
        <w:rPr>
          <w:rFonts w:ascii="仿宋" w:hAnsi="仿宋" w:eastAsia="仿宋_GB2312"/>
          <w:sz w:val="32"/>
          <w:szCs w:val="32"/>
          <w:highlight w:val="none"/>
          <w:shd w:val="clear" w:color="auto" w:fill="auto"/>
        </w:rPr>
        <w:fldChar w:fldCharType="end"/>
      </w:r>
    </w:p>
    <w:p>
      <w:pPr>
        <w:pStyle w:val="27"/>
        <w:tabs>
          <w:tab w:val="right" w:leader="dot" w:pos="8306"/>
        </w:tabs>
        <w:rPr>
          <w:sz w:val="32"/>
          <w:szCs w:val="32"/>
        </w:rPr>
      </w:pPr>
      <w:r>
        <w:rPr>
          <w:rFonts w:ascii="仿宋" w:hAnsi="仿宋" w:eastAsia="仿宋_GB2312"/>
          <w:sz w:val="32"/>
          <w:szCs w:val="32"/>
          <w:highlight w:val="none"/>
          <w:shd w:val="clear" w:color="auto" w:fill="auto"/>
        </w:rPr>
        <w:fldChar w:fldCharType="begin"/>
      </w:r>
      <w:r>
        <w:rPr>
          <w:rFonts w:ascii="仿宋" w:hAnsi="仿宋" w:eastAsia="仿宋_GB2312"/>
          <w:sz w:val="32"/>
          <w:szCs w:val="32"/>
          <w:highlight w:val="none"/>
          <w:shd w:val="clear" w:color="auto" w:fill="auto"/>
        </w:rPr>
        <w:instrText xml:space="preserve"> HYPERLINK \l _Toc16543 </w:instrText>
      </w:r>
      <w:r>
        <w:rPr>
          <w:rFonts w:ascii="仿宋" w:hAnsi="仿宋" w:eastAsia="仿宋_GB2312"/>
          <w:sz w:val="32"/>
          <w:szCs w:val="32"/>
          <w:highlight w:val="none"/>
          <w:shd w:val="clear" w:color="auto" w:fill="auto"/>
        </w:rPr>
        <w:fldChar w:fldCharType="separate"/>
      </w:r>
      <w:r>
        <w:rPr>
          <w:rFonts w:hint="eastAsia" w:ascii="仿宋" w:hAnsi="仿宋" w:eastAsia="仿宋" w:cs="Times New Roman"/>
          <w:kern w:val="2"/>
          <w:sz w:val="32"/>
          <w:szCs w:val="32"/>
          <w:highlight w:val="none"/>
          <w:shd w:val="clear" w:color="auto" w:fill="auto"/>
          <w:lang w:val="en-US" w:eastAsia="zh-CN" w:bidi="ar-SA"/>
        </w:rPr>
        <w:t>第一节 明确畜禽养殖污染总体要求</w:t>
      </w:r>
      <w:r>
        <w:rPr>
          <w:sz w:val="32"/>
          <w:szCs w:val="32"/>
        </w:rPr>
        <w:tab/>
      </w:r>
      <w:r>
        <w:rPr>
          <w:sz w:val="32"/>
          <w:szCs w:val="32"/>
        </w:rPr>
        <w:fldChar w:fldCharType="begin"/>
      </w:r>
      <w:r>
        <w:rPr>
          <w:sz w:val="32"/>
          <w:szCs w:val="32"/>
        </w:rPr>
        <w:instrText xml:space="preserve"> PAGEREF _Toc16543 \h </w:instrText>
      </w:r>
      <w:r>
        <w:rPr>
          <w:sz w:val="32"/>
          <w:szCs w:val="32"/>
        </w:rPr>
        <w:fldChar w:fldCharType="separate"/>
      </w:r>
      <w:r>
        <w:rPr>
          <w:sz w:val="32"/>
          <w:szCs w:val="32"/>
        </w:rPr>
        <w:t>49</w:t>
      </w:r>
      <w:r>
        <w:rPr>
          <w:sz w:val="32"/>
          <w:szCs w:val="32"/>
        </w:rPr>
        <w:fldChar w:fldCharType="end"/>
      </w:r>
      <w:r>
        <w:rPr>
          <w:rFonts w:ascii="仿宋" w:hAnsi="仿宋" w:eastAsia="仿宋_GB2312"/>
          <w:sz w:val="32"/>
          <w:szCs w:val="32"/>
          <w:highlight w:val="none"/>
          <w:shd w:val="clear" w:color="auto" w:fill="auto"/>
        </w:rPr>
        <w:fldChar w:fldCharType="end"/>
      </w:r>
    </w:p>
    <w:p>
      <w:pPr>
        <w:pStyle w:val="27"/>
        <w:tabs>
          <w:tab w:val="right" w:leader="dot" w:pos="8306"/>
        </w:tabs>
        <w:rPr>
          <w:sz w:val="32"/>
          <w:szCs w:val="32"/>
        </w:rPr>
      </w:pPr>
      <w:r>
        <w:rPr>
          <w:rFonts w:ascii="仿宋" w:hAnsi="仿宋" w:eastAsia="仿宋_GB2312"/>
          <w:sz w:val="32"/>
          <w:szCs w:val="32"/>
          <w:highlight w:val="none"/>
          <w:shd w:val="clear" w:color="auto" w:fill="auto"/>
        </w:rPr>
        <w:fldChar w:fldCharType="begin"/>
      </w:r>
      <w:r>
        <w:rPr>
          <w:rFonts w:ascii="仿宋" w:hAnsi="仿宋" w:eastAsia="仿宋_GB2312"/>
          <w:sz w:val="32"/>
          <w:szCs w:val="32"/>
          <w:highlight w:val="none"/>
          <w:shd w:val="clear" w:color="auto" w:fill="auto"/>
        </w:rPr>
        <w:instrText xml:space="preserve"> HYPERLINK \l _Toc6339 </w:instrText>
      </w:r>
      <w:r>
        <w:rPr>
          <w:rFonts w:ascii="仿宋" w:hAnsi="仿宋" w:eastAsia="仿宋_GB2312"/>
          <w:sz w:val="32"/>
          <w:szCs w:val="32"/>
          <w:highlight w:val="none"/>
          <w:shd w:val="clear" w:color="auto" w:fill="auto"/>
        </w:rPr>
        <w:fldChar w:fldCharType="separate"/>
      </w:r>
      <w:r>
        <w:rPr>
          <w:rFonts w:hint="eastAsia" w:ascii="仿宋" w:hAnsi="仿宋" w:eastAsia="仿宋" w:cs="Times New Roman"/>
          <w:kern w:val="2"/>
          <w:sz w:val="32"/>
          <w:szCs w:val="32"/>
          <w:highlight w:val="none"/>
          <w:shd w:val="clear" w:color="auto" w:fill="auto"/>
          <w:lang w:val="en-US" w:eastAsia="zh-CN" w:bidi="ar-SA"/>
        </w:rPr>
        <w:t>第二节 提升畜禽粪污资源化利用水平</w:t>
      </w:r>
      <w:r>
        <w:rPr>
          <w:sz w:val="32"/>
          <w:szCs w:val="32"/>
        </w:rPr>
        <w:tab/>
      </w:r>
      <w:r>
        <w:rPr>
          <w:sz w:val="32"/>
          <w:szCs w:val="32"/>
        </w:rPr>
        <w:fldChar w:fldCharType="begin"/>
      </w:r>
      <w:r>
        <w:rPr>
          <w:sz w:val="32"/>
          <w:szCs w:val="32"/>
        </w:rPr>
        <w:instrText xml:space="preserve"> PAGEREF _Toc6339 \h </w:instrText>
      </w:r>
      <w:r>
        <w:rPr>
          <w:sz w:val="32"/>
          <w:szCs w:val="32"/>
        </w:rPr>
        <w:fldChar w:fldCharType="separate"/>
      </w:r>
      <w:r>
        <w:rPr>
          <w:sz w:val="32"/>
          <w:szCs w:val="32"/>
        </w:rPr>
        <w:t>50</w:t>
      </w:r>
      <w:r>
        <w:rPr>
          <w:sz w:val="32"/>
          <w:szCs w:val="32"/>
        </w:rPr>
        <w:fldChar w:fldCharType="end"/>
      </w:r>
      <w:r>
        <w:rPr>
          <w:rFonts w:ascii="仿宋" w:hAnsi="仿宋" w:eastAsia="仿宋_GB2312"/>
          <w:sz w:val="32"/>
          <w:szCs w:val="32"/>
          <w:highlight w:val="none"/>
          <w:shd w:val="clear" w:color="auto" w:fill="auto"/>
        </w:rPr>
        <w:fldChar w:fldCharType="end"/>
      </w:r>
    </w:p>
    <w:p>
      <w:pPr>
        <w:pStyle w:val="27"/>
        <w:tabs>
          <w:tab w:val="right" w:leader="dot" w:pos="8306"/>
        </w:tabs>
        <w:rPr>
          <w:sz w:val="32"/>
          <w:szCs w:val="32"/>
        </w:rPr>
      </w:pPr>
      <w:r>
        <w:rPr>
          <w:rFonts w:ascii="仿宋" w:hAnsi="仿宋" w:eastAsia="仿宋_GB2312"/>
          <w:sz w:val="32"/>
          <w:szCs w:val="32"/>
          <w:highlight w:val="none"/>
          <w:shd w:val="clear" w:color="auto" w:fill="auto"/>
        </w:rPr>
        <w:fldChar w:fldCharType="begin"/>
      </w:r>
      <w:r>
        <w:rPr>
          <w:rFonts w:ascii="仿宋" w:hAnsi="仿宋" w:eastAsia="仿宋_GB2312"/>
          <w:sz w:val="32"/>
          <w:szCs w:val="32"/>
          <w:highlight w:val="none"/>
          <w:shd w:val="clear" w:color="auto" w:fill="auto"/>
        </w:rPr>
        <w:instrText xml:space="preserve"> HYPERLINK \l _Toc25578 </w:instrText>
      </w:r>
      <w:r>
        <w:rPr>
          <w:rFonts w:ascii="仿宋" w:hAnsi="仿宋" w:eastAsia="仿宋_GB2312"/>
          <w:sz w:val="32"/>
          <w:szCs w:val="32"/>
          <w:highlight w:val="none"/>
          <w:shd w:val="clear" w:color="auto" w:fill="auto"/>
        </w:rPr>
        <w:fldChar w:fldCharType="separate"/>
      </w:r>
      <w:r>
        <w:rPr>
          <w:rFonts w:hint="eastAsia" w:ascii="仿宋" w:hAnsi="仿宋" w:eastAsia="仿宋" w:cs="Times New Roman"/>
          <w:kern w:val="2"/>
          <w:sz w:val="32"/>
          <w:szCs w:val="32"/>
          <w:highlight w:val="none"/>
          <w:shd w:val="clear" w:color="auto" w:fill="auto"/>
          <w:lang w:val="en-US" w:eastAsia="zh-CN" w:bidi="ar-SA"/>
        </w:rPr>
        <w:t>第三节 完善粪污处理和利用设施</w:t>
      </w:r>
      <w:r>
        <w:rPr>
          <w:sz w:val="32"/>
          <w:szCs w:val="32"/>
        </w:rPr>
        <w:tab/>
      </w:r>
      <w:r>
        <w:rPr>
          <w:sz w:val="32"/>
          <w:szCs w:val="32"/>
        </w:rPr>
        <w:fldChar w:fldCharType="begin"/>
      </w:r>
      <w:r>
        <w:rPr>
          <w:sz w:val="32"/>
          <w:szCs w:val="32"/>
        </w:rPr>
        <w:instrText xml:space="preserve"> PAGEREF _Toc25578 \h </w:instrText>
      </w:r>
      <w:r>
        <w:rPr>
          <w:sz w:val="32"/>
          <w:szCs w:val="32"/>
        </w:rPr>
        <w:fldChar w:fldCharType="separate"/>
      </w:r>
      <w:r>
        <w:rPr>
          <w:sz w:val="32"/>
          <w:szCs w:val="32"/>
        </w:rPr>
        <w:t>56</w:t>
      </w:r>
      <w:r>
        <w:rPr>
          <w:sz w:val="32"/>
          <w:szCs w:val="32"/>
        </w:rPr>
        <w:fldChar w:fldCharType="end"/>
      </w:r>
      <w:r>
        <w:rPr>
          <w:rFonts w:ascii="仿宋" w:hAnsi="仿宋" w:eastAsia="仿宋_GB2312"/>
          <w:sz w:val="32"/>
          <w:szCs w:val="32"/>
          <w:highlight w:val="none"/>
          <w:shd w:val="clear" w:color="auto" w:fill="auto"/>
        </w:rPr>
        <w:fldChar w:fldCharType="end"/>
      </w:r>
    </w:p>
    <w:p>
      <w:pPr>
        <w:pStyle w:val="27"/>
        <w:tabs>
          <w:tab w:val="right" w:leader="dot" w:pos="8306"/>
        </w:tabs>
        <w:rPr>
          <w:sz w:val="32"/>
          <w:szCs w:val="32"/>
        </w:rPr>
      </w:pPr>
      <w:r>
        <w:rPr>
          <w:rFonts w:ascii="仿宋" w:hAnsi="仿宋" w:eastAsia="仿宋_GB2312"/>
          <w:sz w:val="32"/>
          <w:szCs w:val="32"/>
          <w:highlight w:val="none"/>
          <w:shd w:val="clear" w:color="auto" w:fill="auto"/>
        </w:rPr>
        <w:fldChar w:fldCharType="begin"/>
      </w:r>
      <w:r>
        <w:rPr>
          <w:rFonts w:ascii="仿宋" w:hAnsi="仿宋" w:eastAsia="仿宋_GB2312"/>
          <w:sz w:val="32"/>
          <w:szCs w:val="32"/>
          <w:highlight w:val="none"/>
          <w:shd w:val="clear" w:color="auto" w:fill="auto"/>
        </w:rPr>
        <w:instrText xml:space="preserve"> HYPERLINK \l _Toc13741 </w:instrText>
      </w:r>
      <w:r>
        <w:rPr>
          <w:rFonts w:ascii="仿宋" w:hAnsi="仿宋" w:eastAsia="仿宋_GB2312"/>
          <w:sz w:val="32"/>
          <w:szCs w:val="32"/>
          <w:highlight w:val="none"/>
          <w:shd w:val="clear" w:color="auto" w:fill="auto"/>
        </w:rPr>
        <w:fldChar w:fldCharType="separate"/>
      </w:r>
      <w:r>
        <w:rPr>
          <w:rFonts w:hint="eastAsia" w:ascii="仿宋" w:hAnsi="仿宋" w:eastAsia="仿宋" w:cs="Times New Roman"/>
          <w:kern w:val="2"/>
          <w:sz w:val="32"/>
          <w:szCs w:val="32"/>
          <w:highlight w:val="none"/>
          <w:shd w:val="clear" w:color="auto" w:fill="auto"/>
          <w:lang w:val="en-US" w:eastAsia="zh-CN" w:bidi="ar-SA"/>
        </w:rPr>
        <w:t>第四节 建立健全台账管理制度</w:t>
      </w:r>
      <w:r>
        <w:rPr>
          <w:sz w:val="32"/>
          <w:szCs w:val="32"/>
        </w:rPr>
        <w:tab/>
      </w:r>
      <w:r>
        <w:rPr>
          <w:sz w:val="32"/>
          <w:szCs w:val="32"/>
        </w:rPr>
        <w:fldChar w:fldCharType="begin"/>
      </w:r>
      <w:r>
        <w:rPr>
          <w:sz w:val="32"/>
          <w:szCs w:val="32"/>
        </w:rPr>
        <w:instrText xml:space="preserve"> PAGEREF _Toc13741 \h </w:instrText>
      </w:r>
      <w:r>
        <w:rPr>
          <w:sz w:val="32"/>
          <w:szCs w:val="32"/>
        </w:rPr>
        <w:fldChar w:fldCharType="separate"/>
      </w:r>
      <w:r>
        <w:rPr>
          <w:sz w:val="32"/>
          <w:szCs w:val="32"/>
        </w:rPr>
        <w:t>58</w:t>
      </w:r>
      <w:r>
        <w:rPr>
          <w:sz w:val="32"/>
          <w:szCs w:val="32"/>
        </w:rPr>
        <w:fldChar w:fldCharType="end"/>
      </w:r>
      <w:r>
        <w:rPr>
          <w:rFonts w:ascii="仿宋" w:hAnsi="仿宋" w:eastAsia="仿宋_GB2312"/>
          <w:sz w:val="32"/>
          <w:szCs w:val="32"/>
          <w:highlight w:val="none"/>
          <w:shd w:val="clear" w:color="auto" w:fill="auto"/>
        </w:rPr>
        <w:fldChar w:fldCharType="end"/>
      </w:r>
    </w:p>
    <w:p>
      <w:pPr>
        <w:pStyle w:val="27"/>
        <w:tabs>
          <w:tab w:val="right" w:leader="dot" w:pos="8306"/>
        </w:tabs>
        <w:rPr>
          <w:sz w:val="32"/>
          <w:szCs w:val="32"/>
        </w:rPr>
      </w:pPr>
      <w:r>
        <w:rPr>
          <w:rFonts w:ascii="仿宋" w:hAnsi="仿宋" w:eastAsia="仿宋_GB2312"/>
          <w:sz w:val="32"/>
          <w:szCs w:val="32"/>
          <w:highlight w:val="none"/>
          <w:shd w:val="clear" w:color="auto" w:fill="auto"/>
        </w:rPr>
        <w:fldChar w:fldCharType="begin"/>
      </w:r>
      <w:r>
        <w:rPr>
          <w:rFonts w:ascii="仿宋" w:hAnsi="仿宋" w:eastAsia="仿宋_GB2312"/>
          <w:sz w:val="32"/>
          <w:szCs w:val="32"/>
          <w:highlight w:val="none"/>
          <w:shd w:val="clear" w:color="auto" w:fill="auto"/>
        </w:rPr>
        <w:instrText xml:space="preserve"> HYPERLINK \l _Toc23789 </w:instrText>
      </w:r>
      <w:r>
        <w:rPr>
          <w:rFonts w:ascii="仿宋" w:hAnsi="仿宋" w:eastAsia="仿宋_GB2312"/>
          <w:sz w:val="32"/>
          <w:szCs w:val="32"/>
          <w:highlight w:val="none"/>
          <w:shd w:val="clear" w:color="auto" w:fill="auto"/>
        </w:rPr>
        <w:fldChar w:fldCharType="separate"/>
      </w:r>
      <w:r>
        <w:rPr>
          <w:rFonts w:hint="eastAsia" w:ascii="仿宋" w:hAnsi="仿宋" w:eastAsia="仿宋" w:cs="Times New Roman"/>
          <w:kern w:val="2"/>
          <w:sz w:val="32"/>
          <w:szCs w:val="32"/>
          <w:highlight w:val="none"/>
          <w:shd w:val="clear" w:color="auto" w:fill="auto"/>
          <w:lang w:val="en-US" w:eastAsia="zh-CN" w:bidi="ar-SA"/>
        </w:rPr>
        <w:t>第五节 强化环境监管</w:t>
      </w:r>
      <w:r>
        <w:rPr>
          <w:sz w:val="32"/>
          <w:szCs w:val="32"/>
        </w:rPr>
        <w:tab/>
      </w:r>
      <w:r>
        <w:rPr>
          <w:sz w:val="32"/>
          <w:szCs w:val="32"/>
        </w:rPr>
        <w:fldChar w:fldCharType="begin"/>
      </w:r>
      <w:r>
        <w:rPr>
          <w:sz w:val="32"/>
          <w:szCs w:val="32"/>
        </w:rPr>
        <w:instrText xml:space="preserve"> PAGEREF _Toc23789 \h </w:instrText>
      </w:r>
      <w:r>
        <w:rPr>
          <w:sz w:val="32"/>
          <w:szCs w:val="32"/>
        </w:rPr>
        <w:fldChar w:fldCharType="separate"/>
      </w:r>
      <w:r>
        <w:rPr>
          <w:sz w:val="32"/>
          <w:szCs w:val="32"/>
        </w:rPr>
        <w:t>59</w:t>
      </w:r>
      <w:r>
        <w:rPr>
          <w:sz w:val="32"/>
          <w:szCs w:val="32"/>
        </w:rPr>
        <w:fldChar w:fldCharType="end"/>
      </w:r>
      <w:r>
        <w:rPr>
          <w:rFonts w:ascii="仿宋" w:hAnsi="仿宋" w:eastAsia="仿宋_GB2312"/>
          <w:sz w:val="32"/>
          <w:szCs w:val="32"/>
          <w:highlight w:val="none"/>
          <w:shd w:val="clear" w:color="auto" w:fill="auto"/>
        </w:rPr>
        <w:fldChar w:fldCharType="end"/>
      </w:r>
    </w:p>
    <w:p>
      <w:pPr>
        <w:pStyle w:val="23"/>
        <w:tabs>
          <w:tab w:val="right" w:leader="dot" w:pos="8306"/>
        </w:tabs>
        <w:rPr>
          <w:sz w:val="32"/>
          <w:szCs w:val="32"/>
        </w:rPr>
      </w:pPr>
      <w:r>
        <w:rPr>
          <w:rFonts w:ascii="仿宋" w:hAnsi="仿宋" w:eastAsia="仿宋_GB2312"/>
          <w:sz w:val="32"/>
          <w:szCs w:val="32"/>
          <w:highlight w:val="none"/>
          <w:shd w:val="clear" w:color="auto" w:fill="auto"/>
        </w:rPr>
        <w:fldChar w:fldCharType="begin"/>
      </w:r>
      <w:r>
        <w:rPr>
          <w:rFonts w:ascii="仿宋" w:hAnsi="仿宋" w:eastAsia="仿宋_GB2312"/>
          <w:sz w:val="32"/>
          <w:szCs w:val="32"/>
          <w:highlight w:val="none"/>
          <w:shd w:val="clear" w:color="auto" w:fill="auto"/>
        </w:rPr>
        <w:instrText xml:space="preserve"> HYPERLINK \l _Toc12036 </w:instrText>
      </w:r>
      <w:r>
        <w:rPr>
          <w:rFonts w:ascii="仿宋" w:hAnsi="仿宋" w:eastAsia="仿宋_GB2312"/>
          <w:sz w:val="32"/>
          <w:szCs w:val="32"/>
          <w:highlight w:val="none"/>
          <w:shd w:val="clear" w:color="auto" w:fill="auto"/>
        </w:rPr>
        <w:fldChar w:fldCharType="separate"/>
      </w:r>
      <w:r>
        <w:rPr>
          <w:rFonts w:hint="eastAsia" w:ascii="仿宋" w:hAnsi="仿宋" w:eastAsia="黑体" w:cs="黑体"/>
          <w:bCs w:val="0"/>
          <w:kern w:val="44"/>
          <w:sz w:val="32"/>
          <w:szCs w:val="32"/>
          <w:highlight w:val="none"/>
          <w:shd w:val="clear" w:color="auto" w:fill="auto"/>
          <w:lang w:val="en-US" w:eastAsia="zh-CN" w:bidi="ar-SA"/>
        </w:rPr>
        <w:t>第五章  重点工程</w:t>
      </w:r>
      <w:r>
        <w:rPr>
          <w:sz w:val="32"/>
          <w:szCs w:val="32"/>
        </w:rPr>
        <w:tab/>
      </w:r>
      <w:r>
        <w:rPr>
          <w:sz w:val="32"/>
          <w:szCs w:val="32"/>
        </w:rPr>
        <w:fldChar w:fldCharType="begin"/>
      </w:r>
      <w:r>
        <w:rPr>
          <w:sz w:val="32"/>
          <w:szCs w:val="32"/>
        </w:rPr>
        <w:instrText xml:space="preserve"> PAGEREF _Toc12036 \h </w:instrText>
      </w:r>
      <w:r>
        <w:rPr>
          <w:sz w:val="32"/>
          <w:szCs w:val="32"/>
        </w:rPr>
        <w:fldChar w:fldCharType="separate"/>
      </w:r>
      <w:r>
        <w:rPr>
          <w:sz w:val="32"/>
          <w:szCs w:val="32"/>
        </w:rPr>
        <w:t>64</w:t>
      </w:r>
      <w:r>
        <w:rPr>
          <w:sz w:val="32"/>
          <w:szCs w:val="32"/>
        </w:rPr>
        <w:fldChar w:fldCharType="end"/>
      </w:r>
      <w:r>
        <w:rPr>
          <w:rFonts w:ascii="仿宋" w:hAnsi="仿宋" w:eastAsia="仿宋_GB2312"/>
          <w:sz w:val="32"/>
          <w:szCs w:val="32"/>
          <w:highlight w:val="none"/>
          <w:shd w:val="clear" w:color="auto" w:fill="auto"/>
        </w:rPr>
        <w:fldChar w:fldCharType="end"/>
      </w:r>
    </w:p>
    <w:p>
      <w:pPr>
        <w:pStyle w:val="27"/>
        <w:tabs>
          <w:tab w:val="right" w:leader="dot" w:pos="8306"/>
        </w:tabs>
        <w:rPr>
          <w:sz w:val="32"/>
          <w:szCs w:val="32"/>
        </w:rPr>
      </w:pPr>
      <w:r>
        <w:rPr>
          <w:rFonts w:ascii="仿宋" w:hAnsi="仿宋" w:eastAsia="仿宋_GB2312"/>
          <w:sz w:val="32"/>
          <w:szCs w:val="32"/>
          <w:highlight w:val="none"/>
          <w:shd w:val="clear" w:color="auto" w:fill="auto"/>
        </w:rPr>
        <w:fldChar w:fldCharType="begin"/>
      </w:r>
      <w:r>
        <w:rPr>
          <w:rFonts w:ascii="仿宋" w:hAnsi="仿宋" w:eastAsia="仿宋_GB2312"/>
          <w:sz w:val="32"/>
          <w:szCs w:val="32"/>
          <w:highlight w:val="none"/>
          <w:shd w:val="clear" w:color="auto" w:fill="auto"/>
        </w:rPr>
        <w:instrText xml:space="preserve"> HYPERLINK \l _Toc18669 </w:instrText>
      </w:r>
      <w:r>
        <w:rPr>
          <w:rFonts w:ascii="仿宋" w:hAnsi="仿宋" w:eastAsia="仿宋_GB2312"/>
          <w:sz w:val="32"/>
          <w:szCs w:val="32"/>
          <w:highlight w:val="none"/>
          <w:shd w:val="clear" w:color="auto" w:fill="auto"/>
        </w:rPr>
        <w:fldChar w:fldCharType="separate"/>
      </w:r>
      <w:r>
        <w:rPr>
          <w:rFonts w:hint="eastAsia" w:ascii="仿宋" w:hAnsi="仿宋" w:eastAsia="仿宋" w:cs="Times New Roman"/>
          <w:kern w:val="2"/>
          <w:sz w:val="32"/>
          <w:szCs w:val="32"/>
          <w:highlight w:val="none"/>
          <w:shd w:val="clear" w:color="auto" w:fill="auto"/>
          <w:lang w:val="en-US" w:eastAsia="zh-CN" w:bidi="ar-SA"/>
        </w:rPr>
        <w:t>第一节 畜禽粪污处理设施选取</w:t>
      </w:r>
      <w:r>
        <w:rPr>
          <w:sz w:val="32"/>
          <w:szCs w:val="32"/>
        </w:rPr>
        <w:tab/>
      </w:r>
      <w:r>
        <w:rPr>
          <w:sz w:val="32"/>
          <w:szCs w:val="32"/>
        </w:rPr>
        <w:fldChar w:fldCharType="begin"/>
      </w:r>
      <w:r>
        <w:rPr>
          <w:sz w:val="32"/>
          <w:szCs w:val="32"/>
        </w:rPr>
        <w:instrText xml:space="preserve"> PAGEREF _Toc18669 \h </w:instrText>
      </w:r>
      <w:r>
        <w:rPr>
          <w:sz w:val="32"/>
          <w:szCs w:val="32"/>
        </w:rPr>
        <w:fldChar w:fldCharType="separate"/>
      </w:r>
      <w:r>
        <w:rPr>
          <w:sz w:val="32"/>
          <w:szCs w:val="32"/>
        </w:rPr>
        <w:t>64</w:t>
      </w:r>
      <w:r>
        <w:rPr>
          <w:sz w:val="32"/>
          <w:szCs w:val="32"/>
        </w:rPr>
        <w:fldChar w:fldCharType="end"/>
      </w:r>
      <w:r>
        <w:rPr>
          <w:rFonts w:ascii="仿宋" w:hAnsi="仿宋" w:eastAsia="仿宋_GB2312"/>
          <w:sz w:val="32"/>
          <w:szCs w:val="32"/>
          <w:highlight w:val="none"/>
          <w:shd w:val="clear" w:color="auto" w:fill="auto"/>
        </w:rPr>
        <w:fldChar w:fldCharType="end"/>
      </w:r>
    </w:p>
    <w:p>
      <w:pPr>
        <w:pStyle w:val="27"/>
        <w:tabs>
          <w:tab w:val="right" w:leader="dot" w:pos="8306"/>
        </w:tabs>
        <w:rPr>
          <w:sz w:val="32"/>
          <w:szCs w:val="32"/>
        </w:rPr>
      </w:pPr>
      <w:r>
        <w:rPr>
          <w:rFonts w:ascii="仿宋" w:hAnsi="仿宋" w:eastAsia="仿宋_GB2312"/>
          <w:sz w:val="32"/>
          <w:szCs w:val="32"/>
          <w:highlight w:val="none"/>
          <w:shd w:val="clear" w:color="auto" w:fill="auto"/>
        </w:rPr>
        <w:fldChar w:fldCharType="begin"/>
      </w:r>
      <w:r>
        <w:rPr>
          <w:rFonts w:ascii="仿宋" w:hAnsi="仿宋" w:eastAsia="仿宋_GB2312"/>
          <w:sz w:val="32"/>
          <w:szCs w:val="32"/>
          <w:highlight w:val="none"/>
          <w:shd w:val="clear" w:color="auto" w:fill="auto"/>
        </w:rPr>
        <w:instrText xml:space="preserve"> HYPERLINK \l _Toc21401 </w:instrText>
      </w:r>
      <w:r>
        <w:rPr>
          <w:rFonts w:ascii="仿宋" w:hAnsi="仿宋" w:eastAsia="仿宋_GB2312"/>
          <w:sz w:val="32"/>
          <w:szCs w:val="32"/>
          <w:highlight w:val="none"/>
          <w:shd w:val="clear" w:color="auto" w:fill="auto"/>
        </w:rPr>
        <w:fldChar w:fldCharType="separate"/>
      </w:r>
      <w:r>
        <w:rPr>
          <w:rFonts w:hint="eastAsia" w:ascii="仿宋" w:hAnsi="仿宋" w:eastAsia="仿宋" w:cs="Times New Roman"/>
          <w:kern w:val="2"/>
          <w:sz w:val="32"/>
          <w:szCs w:val="32"/>
          <w:highlight w:val="none"/>
          <w:shd w:val="clear" w:color="auto" w:fill="auto"/>
          <w:lang w:val="en-US" w:eastAsia="zh-CN" w:bidi="ar-SA"/>
        </w:rPr>
        <w:t>第二节 畜禽养殖场户粪污处理设施建设</w:t>
      </w:r>
      <w:r>
        <w:rPr>
          <w:sz w:val="32"/>
          <w:szCs w:val="32"/>
        </w:rPr>
        <w:tab/>
      </w:r>
      <w:r>
        <w:rPr>
          <w:sz w:val="32"/>
          <w:szCs w:val="32"/>
        </w:rPr>
        <w:fldChar w:fldCharType="begin"/>
      </w:r>
      <w:r>
        <w:rPr>
          <w:sz w:val="32"/>
          <w:szCs w:val="32"/>
        </w:rPr>
        <w:instrText xml:space="preserve"> PAGEREF _Toc21401 \h </w:instrText>
      </w:r>
      <w:r>
        <w:rPr>
          <w:sz w:val="32"/>
          <w:szCs w:val="32"/>
        </w:rPr>
        <w:fldChar w:fldCharType="separate"/>
      </w:r>
      <w:r>
        <w:rPr>
          <w:sz w:val="32"/>
          <w:szCs w:val="32"/>
        </w:rPr>
        <w:t>65</w:t>
      </w:r>
      <w:r>
        <w:rPr>
          <w:sz w:val="32"/>
          <w:szCs w:val="32"/>
        </w:rPr>
        <w:fldChar w:fldCharType="end"/>
      </w:r>
      <w:r>
        <w:rPr>
          <w:rFonts w:ascii="仿宋" w:hAnsi="仿宋" w:eastAsia="仿宋_GB2312"/>
          <w:sz w:val="32"/>
          <w:szCs w:val="32"/>
          <w:highlight w:val="none"/>
          <w:shd w:val="clear" w:color="auto" w:fill="auto"/>
        </w:rPr>
        <w:fldChar w:fldCharType="end"/>
      </w:r>
    </w:p>
    <w:p>
      <w:pPr>
        <w:pStyle w:val="27"/>
        <w:tabs>
          <w:tab w:val="right" w:leader="dot" w:pos="8306"/>
        </w:tabs>
        <w:rPr>
          <w:sz w:val="32"/>
          <w:szCs w:val="32"/>
        </w:rPr>
      </w:pPr>
      <w:r>
        <w:rPr>
          <w:rFonts w:ascii="仿宋" w:hAnsi="仿宋" w:eastAsia="仿宋_GB2312"/>
          <w:sz w:val="32"/>
          <w:szCs w:val="32"/>
          <w:highlight w:val="none"/>
          <w:shd w:val="clear" w:color="auto" w:fill="auto"/>
        </w:rPr>
        <w:fldChar w:fldCharType="begin"/>
      </w:r>
      <w:r>
        <w:rPr>
          <w:rFonts w:ascii="仿宋" w:hAnsi="仿宋" w:eastAsia="仿宋_GB2312"/>
          <w:sz w:val="32"/>
          <w:szCs w:val="32"/>
          <w:highlight w:val="none"/>
          <w:shd w:val="clear" w:color="auto" w:fill="auto"/>
        </w:rPr>
        <w:instrText xml:space="preserve"> HYPERLINK \l _Toc20365 </w:instrText>
      </w:r>
      <w:r>
        <w:rPr>
          <w:rFonts w:ascii="仿宋" w:hAnsi="仿宋" w:eastAsia="仿宋_GB2312"/>
          <w:sz w:val="32"/>
          <w:szCs w:val="32"/>
          <w:highlight w:val="none"/>
          <w:shd w:val="clear" w:color="auto" w:fill="auto"/>
        </w:rPr>
        <w:fldChar w:fldCharType="separate"/>
      </w:r>
      <w:r>
        <w:rPr>
          <w:rFonts w:hint="eastAsia" w:ascii="仿宋" w:hAnsi="仿宋" w:eastAsia="仿宋" w:cs="Times New Roman"/>
          <w:kern w:val="2"/>
          <w:sz w:val="32"/>
          <w:szCs w:val="32"/>
          <w:highlight w:val="none"/>
          <w:shd w:val="clear" w:color="auto" w:fill="auto"/>
          <w:lang w:val="en-US" w:eastAsia="zh-CN" w:bidi="ar-SA"/>
        </w:rPr>
        <w:t>第三节 畜禽粪污集中处理设施建设</w:t>
      </w:r>
      <w:r>
        <w:rPr>
          <w:sz w:val="32"/>
          <w:szCs w:val="32"/>
        </w:rPr>
        <w:tab/>
      </w:r>
      <w:r>
        <w:rPr>
          <w:sz w:val="32"/>
          <w:szCs w:val="32"/>
        </w:rPr>
        <w:fldChar w:fldCharType="begin"/>
      </w:r>
      <w:r>
        <w:rPr>
          <w:sz w:val="32"/>
          <w:szCs w:val="32"/>
        </w:rPr>
        <w:instrText xml:space="preserve"> PAGEREF _Toc20365 \h </w:instrText>
      </w:r>
      <w:r>
        <w:rPr>
          <w:sz w:val="32"/>
          <w:szCs w:val="32"/>
        </w:rPr>
        <w:fldChar w:fldCharType="separate"/>
      </w:r>
      <w:r>
        <w:rPr>
          <w:sz w:val="32"/>
          <w:szCs w:val="32"/>
        </w:rPr>
        <w:t>66</w:t>
      </w:r>
      <w:r>
        <w:rPr>
          <w:sz w:val="32"/>
          <w:szCs w:val="32"/>
        </w:rPr>
        <w:fldChar w:fldCharType="end"/>
      </w:r>
      <w:r>
        <w:rPr>
          <w:rFonts w:ascii="仿宋" w:hAnsi="仿宋" w:eastAsia="仿宋_GB2312"/>
          <w:sz w:val="32"/>
          <w:szCs w:val="32"/>
          <w:highlight w:val="none"/>
          <w:shd w:val="clear" w:color="auto" w:fill="auto"/>
        </w:rPr>
        <w:fldChar w:fldCharType="end"/>
      </w:r>
    </w:p>
    <w:p>
      <w:pPr>
        <w:pStyle w:val="27"/>
        <w:tabs>
          <w:tab w:val="right" w:leader="dot" w:pos="8306"/>
        </w:tabs>
        <w:rPr>
          <w:sz w:val="32"/>
          <w:szCs w:val="32"/>
        </w:rPr>
      </w:pPr>
      <w:r>
        <w:rPr>
          <w:rFonts w:ascii="仿宋" w:hAnsi="仿宋" w:eastAsia="仿宋_GB2312"/>
          <w:sz w:val="32"/>
          <w:szCs w:val="32"/>
          <w:highlight w:val="none"/>
          <w:shd w:val="clear" w:color="auto" w:fill="auto"/>
        </w:rPr>
        <w:fldChar w:fldCharType="begin"/>
      </w:r>
      <w:r>
        <w:rPr>
          <w:rFonts w:ascii="仿宋" w:hAnsi="仿宋" w:eastAsia="仿宋_GB2312"/>
          <w:sz w:val="32"/>
          <w:szCs w:val="32"/>
          <w:highlight w:val="none"/>
          <w:shd w:val="clear" w:color="auto" w:fill="auto"/>
        </w:rPr>
        <w:instrText xml:space="preserve"> HYPERLINK \l _Toc22582 </w:instrText>
      </w:r>
      <w:r>
        <w:rPr>
          <w:rFonts w:ascii="仿宋" w:hAnsi="仿宋" w:eastAsia="仿宋_GB2312"/>
          <w:sz w:val="32"/>
          <w:szCs w:val="32"/>
          <w:highlight w:val="none"/>
          <w:shd w:val="clear" w:color="auto" w:fill="auto"/>
        </w:rPr>
        <w:fldChar w:fldCharType="separate"/>
      </w:r>
      <w:r>
        <w:rPr>
          <w:rFonts w:hint="eastAsia" w:ascii="仿宋" w:hAnsi="仿宋" w:eastAsia="仿宋" w:cs="Times New Roman"/>
          <w:kern w:val="2"/>
          <w:sz w:val="32"/>
          <w:szCs w:val="32"/>
          <w:highlight w:val="none"/>
          <w:shd w:val="clear" w:color="auto" w:fill="auto"/>
          <w:lang w:val="en-US" w:eastAsia="zh-CN" w:bidi="ar-SA"/>
        </w:rPr>
        <w:t>第四节 田间配套设施建设</w:t>
      </w:r>
      <w:r>
        <w:rPr>
          <w:sz w:val="32"/>
          <w:szCs w:val="32"/>
        </w:rPr>
        <w:tab/>
      </w:r>
      <w:r>
        <w:rPr>
          <w:sz w:val="32"/>
          <w:szCs w:val="32"/>
        </w:rPr>
        <w:fldChar w:fldCharType="begin"/>
      </w:r>
      <w:r>
        <w:rPr>
          <w:sz w:val="32"/>
          <w:szCs w:val="32"/>
        </w:rPr>
        <w:instrText xml:space="preserve"> PAGEREF _Toc22582 \h </w:instrText>
      </w:r>
      <w:r>
        <w:rPr>
          <w:sz w:val="32"/>
          <w:szCs w:val="32"/>
        </w:rPr>
        <w:fldChar w:fldCharType="separate"/>
      </w:r>
      <w:r>
        <w:rPr>
          <w:sz w:val="32"/>
          <w:szCs w:val="32"/>
        </w:rPr>
        <w:t>68</w:t>
      </w:r>
      <w:r>
        <w:rPr>
          <w:sz w:val="32"/>
          <w:szCs w:val="32"/>
        </w:rPr>
        <w:fldChar w:fldCharType="end"/>
      </w:r>
      <w:r>
        <w:rPr>
          <w:rFonts w:ascii="仿宋" w:hAnsi="仿宋" w:eastAsia="仿宋_GB2312"/>
          <w:sz w:val="32"/>
          <w:szCs w:val="32"/>
          <w:highlight w:val="none"/>
          <w:shd w:val="clear" w:color="auto" w:fill="auto"/>
        </w:rPr>
        <w:fldChar w:fldCharType="end"/>
      </w:r>
    </w:p>
    <w:p>
      <w:pPr>
        <w:pStyle w:val="27"/>
        <w:tabs>
          <w:tab w:val="right" w:leader="dot" w:pos="8306"/>
        </w:tabs>
        <w:rPr>
          <w:sz w:val="32"/>
          <w:szCs w:val="32"/>
        </w:rPr>
      </w:pPr>
      <w:r>
        <w:rPr>
          <w:rFonts w:ascii="仿宋" w:hAnsi="仿宋" w:eastAsia="仿宋_GB2312"/>
          <w:sz w:val="32"/>
          <w:szCs w:val="32"/>
          <w:highlight w:val="none"/>
          <w:shd w:val="clear" w:color="auto" w:fill="auto"/>
        </w:rPr>
        <w:fldChar w:fldCharType="begin"/>
      </w:r>
      <w:r>
        <w:rPr>
          <w:rFonts w:ascii="仿宋" w:hAnsi="仿宋" w:eastAsia="仿宋_GB2312"/>
          <w:sz w:val="32"/>
          <w:szCs w:val="32"/>
          <w:highlight w:val="none"/>
          <w:shd w:val="clear" w:color="auto" w:fill="auto"/>
        </w:rPr>
        <w:instrText xml:space="preserve"> HYPERLINK \l _Toc5983 </w:instrText>
      </w:r>
      <w:r>
        <w:rPr>
          <w:rFonts w:ascii="仿宋" w:hAnsi="仿宋" w:eastAsia="仿宋_GB2312"/>
          <w:sz w:val="32"/>
          <w:szCs w:val="32"/>
          <w:highlight w:val="none"/>
          <w:shd w:val="clear" w:color="auto" w:fill="auto"/>
        </w:rPr>
        <w:fldChar w:fldCharType="separate"/>
      </w:r>
      <w:r>
        <w:rPr>
          <w:rFonts w:hint="eastAsia" w:ascii="仿宋" w:hAnsi="仿宋" w:eastAsia="仿宋" w:cs="Times New Roman"/>
          <w:kern w:val="2"/>
          <w:sz w:val="32"/>
          <w:szCs w:val="32"/>
          <w:highlight w:val="none"/>
          <w:shd w:val="clear" w:color="auto" w:fill="auto"/>
          <w:lang w:val="en-US" w:eastAsia="zh-CN" w:bidi="ar-SA"/>
        </w:rPr>
        <w:t>第五节 监管体系建设</w:t>
      </w:r>
      <w:r>
        <w:rPr>
          <w:sz w:val="32"/>
          <w:szCs w:val="32"/>
        </w:rPr>
        <w:tab/>
      </w:r>
      <w:r>
        <w:rPr>
          <w:sz w:val="32"/>
          <w:szCs w:val="32"/>
        </w:rPr>
        <w:fldChar w:fldCharType="begin"/>
      </w:r>
      <w:r>
        <w:rPr>
          <w:sz w:val="32"/>
          <w:szCs w:val="32"/>
        </w:rPr>
        <w:instrText xml:space="preserve"> PAGEREF _Toc5983 \h </w:instrText>
      </w:r>
      <w:r>
        <w:rPr>
          <w:sz w:val="32"/>
          <w:szCs w:val="32"/>
        </w:rPr>
        <w:fldChar w:fldCharType="separate"/>
      </w:r>
      <w:r>
        <w:rPr>
          <w:sz w:val="32"/>
          <w:szCs w:val="32"/>
        </w:rPr>
        <w:t>69</w:t>
      </w:r>
      <w:r>
        <w:rPr>
          <w:sz w:val="32"/>
          <w:szCs w:val="32"/>
        </w:rPr>
        <w:fldChar w:fldCharType="end"/>
      </w:r>
      <w:r>
        <w:rPr>
          <w:rFonts w:ascii="仿宋" w:hAnsi="仿宋" w:eastAsia="仿宋_GB2312"/>
          <w:sz w:val="32"/>
          <w:szCs w:val="32"/>
          <w:highlight w:val="none"/>
          <w:shd w:val="clear" w:color="auto" w:fill="auto"/>
        </w:rPr>
        <w:fldChar w:fldCharType="end"/>
      </w:r>
    </w:p>
    <w:p>
      <w:pPr>
        <w:pStyle w:val="23"/>
        <w:tabs>
          <w:tab w:val="right" w:leader="dot" w:pos="8306"/>
        </w:tabs>
        <w:rPr>
          <w:sz w:val="32"/>
          <w:szCs w:val="32"/>
        </w:rPr>
      </w:pPr>
      <w:r>
        <w:rPr>
          <w:rFonts w:ascii="仿宋" w:hAnsi="仿宋" w:eastAsia="仿宋_GB2312"/>
          <w:sz w:val="32"/>
          <w:szCs w:val="32"/>
          <w:highlight w:val="none"/>
          <w:shd w:val="clear" w:color="auto" w:fill="auto"/>
        </w:rPr>
        <w:fldChar w:fldCharType="begin"/>
      </w:r>
      <w:r>
        <w:rPr>
          <w:rFonts w:ascii="仿宋" w:hAnsi="仿宋" w:eastAsia="仿宋_GB2312"/>
          <w:sz w:val="32"/>
          <w:szCs w:val="32"/>
          <w:highlight w:val="none"/>
          <w:shd w:val="clear" w:color="auto" w:fill="auto"/>
        </w:rPr>
        <w:instrText xml:space="preserve"> HYPERLINK \l _Toc8808 </w:instrText>
      </w:r>
      <w:r>
        <w:rPr>
          <w:rFonts w:ascii="仿宋" w:hAnsi="仿宋" w:eastAsia="仿宋_GB2312"/>
          <w:sz w:val="32"/>
          <w:szCs w:val="32"/>
          <w:highlight w:val="none"/>
          <w:shd w:val="clear" w:color="auto" w:fill="auto"/>
        </w:rPr>
        <w:fldChar w:fldCharType="separate"/>
      </w:r>
      <w:r>
        <w:rPr>
          <w:rFonts w:hint="eastAsia" w:ascii="仿宋" w:hAnsi="仿宋" w:eastAsia="黑体" w:cs="黑体"/>
          <w:bCs w:val="0"/>
          <w:kern w:val="44"/>
          <w:sz w:val="32"/>
          <w:szCs w:val="32"/>
          <w:highlight w:val="none"/>
          <w:shd w:val="clear" w:color="auto" w:fill="auto"/>
          <w:lang w:val="en-US" w:eastAsia="zh-CN" w:bidi="ar-SA"/>
        </w:rPr>
        <w:t>第六章  工程投资估算与资金筹措</w:t>
      </w:r>
      <w:r>
        <w:rPr>
          <w:sz w:val="32"/>
          <w:szCs w:val="32"/>
        </w:rPr>
        <w:tab/>
      </w:r>
      <w:r>
        <w:rPr>
          <w:sz w:val="32"/>
          <w:szCs w:val="32"/>
        </w:rPr>
        <w:fldChar w:fldCharType="begin"/>
      </w:r>
      <w:r>
        <w:rPr>
          <w:sz w:val="32"/>
          <w:szCs w:val="32"/>
        </w:rPr>
        <w:instrText xml:space="preserve"> PAGEREF _Toc8808 \h </w:instrText>
      </w:r>
      <w:r>
        <w:rPr>
          <w:sz w:val="32"/>
          <w:szCs w:val="32"/>
        </w:rPr>
        <w:fldChar w:fldCharType="separate"/>
      </w:r>
      <w:r>
        <w:rPr>
          <w:sz w:val="32"/>
          <w:szCs w:val="32"/>
        </w:rPr>
        <w:t>73</w:t>
      </w:r>
      <w:r>
        <w:rPr>
          <w:sz w:val="32"/>
          <w:szCs w:val="32"/>
        </w:rPr>
        <w:fldChar w:fldCharType="end"/>
      </w:r>
      <w:r>
        <w:rPr>
          <w:rFonts w:ascii="仿宋" w:hAnsi="仿宋" w:eastAsia="仿宋_GB2312"/>
          <w:sz w:val="32"/>
          <w:szCs w:val="32"/>
          <w:highlight w:val="none"/>
          <w:shd w:val="clear" w:color="auto" w:fill="auto"/>
        </w:rPr>
        <w:fldChar w:fldCharType="end"/>
      </w:r>
    </w:p>
    <w:p>
      <w:pPr>
        <w:pStyle w:val="27"/>
        <w:tabs>
          <w:tab w:val="right" w:leader="dot" w:pos="8306"/>
        </w:tabs>
        <w:rPr>
          <w:sz w:val="32"/>
          <w:szCs w:val="32"/>
        </w:rPr>
      </w:pPr>
      <w:r>
        <w:rPr>
          <w:rFonts w:ascii="仿宋" w:hAnsi="仿宋" w:eastAsia="仿宋_GB2312"/>
          <w:sz w:val="32"/>
          <w:szCs w:val="32"/>
          <w:highlight w:val="none"/>
          <w:shd w:val="clear" w:color="auto" w:fill="auto"/>
        </w:rPr>
        <w:fldChar w:fldCharType="begin"/>
      </w:r>
      <w:r>
        <w:rPr>
          <w:rFonts w:ascii="仿宋" w:hAnsi="仿宋" w:eastAsia="仿宋_GB2312"/>
          <w:sz w:val="32"/>
          <w:szCs w:val="32"/>
          <w:highlight w:val="none"/>
          <w:shd w:val="clear" w:color="auto" w:fill="auto"/>
        </w:rPr>
        <w:instrText xml:space="preserve"> HYPERLINK \l _Toc27635 </w:instrText>
      </w:r>
      <w:r>
        <w:rPr>
          <w:rFonts w:ascii="仿宋" w:hAnsi="仿宋" w:eastAsia="仿宋_GB2312"/>
          <w:sz w:val="32"/>
          <w:szCs w:val="32"/>
          <w:highlight w:val="none"/>
          <w:shd w:val="clear" w:color="auto" w:fill="auto"/>
        </w:rPr>
        <w:fldChar w:fldCharType="separate"/>
      </w:r>
      <w:r>
        <w:rPr>
          <w:rFonts w:hint="eastAsia" w:ascii="仿宋" w:hAnsi="仿宋" w:eastAsia="仿宋" w:cs="Times New Roman"/>
          <w:kern w:val="2"/>
          <w:sz w:val="32"/>
          <w:szCs w:val="32"/>
          <w:highlight w:val="none"/>
          <w:shd w:val="clear" w:color="auto" w:fill="auto"/>
          <w:lang w:val="en-US" w:eastAsia="zh-CN" w:bidi="ar-SA"/>
        </w:rPr>
        <w:t>第一节 工程投资估算</w:t>
      </w:r>
      <w:r>
        <w:rPr>
          <w:sz w:val="32"/>
          <w:szCs w:val="32"/>
        </w:rPr>
        <w:tab/>
      </w:r>
      <w:r>
        <w:rPr>
          <w:sz w:val="32"/>
          <w:szCs w:val="32"/>
        </w:rPr>
        <w:fldChar w:fldCharType="begin"/>
      </w:r>
      <w:r>
        <w:rPr>
          <w:sz w:val="32"/>
          <w:szCs w:val="32"/>
        </w:rPr>
        <w:instrText xml:space="preserve"> PAGEREF _Toc27635 \h </w:instrText>
      </w:r>
      <w:r>
        <w:rPr>
          <w:sz w:val="32"/>
          <w:szCs w:val="32"/>
        </w:rPr>
        <w:fldChar w:fldCharType="separate"/>
      </w:r>
      <w:r>
        <w:rPr>
          <w:sz w:val="32"/>
          <w:szCs w:val="32"/>
        </w:rPr>
        <w:t>73</w:t>
      </w:r>
      <w:r>
        <w:rPr>
          <w:sz w:val="32"/>
          <w:szCs w:val="32"/>
        </w:rPr>
        <w:fldChar w:fldCharType="end"/>
      </w:r>
      <w:r>
        <w:rPr>
          <w:rFonts w:ascii="仿宋" w:hAnsi="仿宋" w:eastAsia="仿宋_GB2312"/>
          <w:sz w:val="32"/>
          <w:szCs w:val="32"/>
          <w:highlight w:val="none"/>
          <w:shd w:val="clear" w:color="auto" w:fill="auto"/>
        </w:rPr>
        <w:fldChar w:fldCharType="end"/>
      </w:r>
    </w:p>
    <w:p>
      <w:pPr>
        <w:pStyle w:val="27"/>
        <w:tabs>
          <w:tab w:val="right" w:leader="dot" w:pos="8306"/>
        </w:tabs>
        <w:rPr>
          <w:sz w:val="32"/>
          <w:szCs w:val="32"/>
        </w:rPr>
      </w:pPr>
      <w:r>
        <w:rPr>
          <w:rFonts w:ascii="仿宋" w:hAnsi="仿宋" w:eastAsia="仿宋_GB2312"/>
          <w:sz w:val="32"/>
          <w:szCs w:val="32"/>
          <w:highlight w:val="none"/>
          <w:shd w:val="clear" w:color="auto" w:fill="auto"/>
        </w:rPr>
        <w:fldChar w:fldCharType="begin"/>
      </w:r>
      <w:r>
        <w:rPr>
          <w:rFonts w:ascii="仿宋" w:hAnsi="仿宋" w:eastAsia="仿宋_GB2312"/>
          <w:sz w:val="32"/>
          <w:szCs w:val="32"/>
          <w:highlight w:val="none"/>
          <w:shd w:val="clear" w:color="auto" w:fill="auto"/>
        </w:rPr>
        <w:instrText xml:space="preserve"> HYPERLINK \l _Toc17102 </w:instrText>
      </w:r>
      <w:r>
        <w:rPr>
          <w:rFonts w:ascii="仿宋" w:hAnsi="仿宋" w:eastAsia="仿宋_GB2312"/>
          <w:sz w:val="32"/>
          <w:szCs w:val="32"/>
          <w:highlight w:val="none"/>
          <w:shd w:val="clear" w:color="auto" w:fill="auto"/>
        </w:rPr>
        <w:fldChar w:fldCharType="separate"/>
      </w:r>
      <w:r>
        <w:rPr>
          <w:rFonts w:hint="eastAsia" w:ascii="仿宋" w:hAnsi="仿宋" w:eastAsia="仿宋" w:cs="Times New Roman"/>
          <w:kern w:val="2"/>
          <w:sz w:val="32"/>
          <w:szCs w:val="32"/>
          <w:highlight w:val="none"/>
          <w:shd w:val="clear" w:color="auto" w:fill="auto"/>
          <w:lang w:val="en-US" w:eastAsia="zh-CN" w:bidi="ar-SA"/>
        </w:rPr>
        <w:t>第二节 资金筹措</w:t>
      </w:r>
      <w:r>
        <w:rPr>
          <w:sz w:val="32"/>
          <w:szCs w:val="32"/>
        </w:rPr>
        <w:tab/>
      </w:r>
      <w:r>
        <w:rPr>
          <w:sz w:val="32"/>
          <w:szCs w:val="32"/>
        </w:rPr>
        <w:fldChar w:fldCharType="begin"/>
      </w:r>
      <w:r>
        <w:rPr>
          <w:sz w:val="32"/>
          <w:szCs w:val="32"/>
        </w:rPr>
        <w:instrText xml:space="preserve"> PAGEREF _Toc17102 \h </w:instrText>
      </w:r>
      <w:r>
        <w:rPr>
          <w:sz w:val="32"/>
          <w:szCs w:val="32"/>
        </w:rPr>
        <w:fldChar w:fldCharType="separate"/>
      </w:r>
      <w:r>
        <w:rPr>
          <w:sz w:val="32"/>
          <w:szCs w:val="32"/>
        </w:rPr>
        <w:t>80</w:t>
      </w:r>
      <w:r>
        <w:rPr>
          <w:sz w:val="32"/>
          <w:szCs w:val="32"/>
        </w:rPr>
        <w:fldChar w:fldCharType="end"/>
      </w:r>
      <w:r>
        <w:rPr>
          <w:rFonts w:ascii="仿宋" w:hAnsi="仿宋" w:eastAsia="仿宋_GB2312"/>
          <w:sz w:val="32"/>
          <w:szCs w:val="32"/>
          <w:highlight w:val="none"/>
          <w:shd w:val="clear" w:color="auto" w:fill="auto"/>
        </w:rPr>
        <w:fldChar w:fldCharType="end"/>
      </w:r>
    </w:p>
    <w:p>
      <w:pPr>
        <w:pStyle w:val="23"/>
        <w:tabs>
          <w:tab w:val="right" w:leader="dot" w:pos="8306"/>
        </w:tabs>
        <w:rPr>
          <w:sz w:val="32"/>
          <w:szCs w:val="32"/>
        </w:rPr>
      </w:pPr>
      <w:r>
        <w:rPr>
          <w:rFonts w:ascii="仿宋" w:hAnsi="仿宋" w:eastAsia="仿宋_GB2312"/>
          <w:sz w:val="32"/>
          <w:szCs w:val="32"/>
          <w:highlight w:val="none"/>
          <w:shd w:val="clear" w:color="auto" w:fill="auto"/>
        </w:rPr>
        <w:fldChar w:fldCharType="begin"/>
      </w:r>
      <w:r>
        <w:rPr>
          <w:rFonts w:ascii="仿宋" w:hAnsi="仿宋" w:eastAsia="仿宋_GB2312"/>
          <w:sz w:val="32"/>
          <w:szCs w:val="32"/>
          <w:highlight w:val="none"/>
          <w:shd w:val="clear" w:color="auto" w:fill="auto"/>
        </w:rPr>
        <w:instrText xml:space="preserve"> HYPERLINK \l _Toc2420 </w:instrText>
      </w:r>
      <w:r>
        <w:rPr>
          <w:rFonts w:ascii="仿宋" w:hAnsi="仿宋" w:eastAsia="仿宋_GB2312"/>
          <w:sz w:val="32"/>
          <w:szCs w:val="32"/>
          <w:highlight w:val="none"/>
          <w:shd w:val="clear" w:color="auto" w:fill="auto"/>
        </w:rPr>
        <w:fldChar w:fldCharType="separate"/>
      </w:r>
      <w:r>
        <w:rPr>
          <w:rFonts w:hint="eastAsia" w:ascii="仿宋" w:hAnsi="仿宋" w:eastAsia="黑体" w:cs="黑体"/>
          <w:bCs w:val="0"/>
          <w:kern w:val="44"/>
          <w:sz w:val="32"/>
          <w:szCs w:val="32"/>
          <w:highlight w:val="none"/>
          <w:shd w:val="clear" w:color="auto" w:fill="auto"/>
          <w:lang w:val="en-US" w:eastAsia="zh-CN" w:bidi="ar-SA"/>
        </w:rPr>
        <w:t>第七章  效益分析</w:t>
      </w:r>
      <w:r>
        <w:rPr>
          <w:sz w:val="32"/>
          <w:szCs w:val="32"/>
        </w:rPr>
        <w:tab/>
      </w:r>
      <w:r>
        <w:rPr>
          <w:sz w:val="32"/>
          <w:szCs w:val="32"/>
        </w:rPr>
        <w:fldChar w:fldCharType="begin"/>
      </w:r>
      <w:r>
        <w:rPr>
          <w:sz w:val="32"/>
          <w:szCs w:val="32"/>
        </w:rPr>
        <w:instrText xml:space="preserve"> PAGEREF _Toc2420 \h </w:instrText>
      </w:r>
      <w:r>
        <w:rPr>
          <w:sz w:val="32"/>
          <w:szCs w:val="32"/>
        </w:rPr>
        <w:fldChar w:fldCharType="separate"/>
      </w:r>
      <w:r>
        <w:rPr>
          <w:sz w:val="32"/>
          <w:szCs w:val="32"/>
        </w:rPr>
        <w:t>82</w:t>
      </w:r>
      <w:r>
        <w:rPr>
          <w:sz w:val="32"/>
          <w:szCs w:val="32"/>
        </w:rPr>
        <w:fldChar w:fldCharType="end"/>
      </w:r>
      <w:r>
        <w:rPr>
          <w:rFonts w:ascii="仿宋" w:hAnsi="仿宋" w:eastAsia="仿宋_GB2312"/>
          <w:sz w:val="32"/>
          <w:szCs w:val="32"/>
          <w:highlight w:val="none"/>
          <w:shd w:val="clear" w:color="auto" w:fill="auto"/>
        </w:rPr>
        <w:fldChar w:fldCharType="end"/>
      </w:r>
    </w:p>
    <w:p>
      <w:pPr>
        <w:pStyle w:val="27"/>
        <w:tabs>
          <w:tab w:val="right" w:leader="dot" w:pos="8306"/>
        </w:tabs>
        <w:rPr>
          <w:sz w:val="32"/>
          <w:szCs w:val="32"/>
        </w:rPr>
      </w:pPr>
      <w:r>
        <w:rPr>
          <w:rFonts w:ascii="仿宋" w:hAnsi="仿宋" w:eastAsia="仿宋_GB2312"/>
          <w:sz w:val="32"/>
          <w:szCs w:val="32"/>
          <w:highlight w:val="none"/>
          <w:shd w:val="clear" w:color="auto" w:fill="auto"/>
        </w:rPr>
        <w:fldChar w:fldCharType="begin"/>
      </w:r>
      <w:r>
        <w:rPr>
          <w:rFonts w:ascii="仿宋" w:hAnsi="仿宋" w:eastAsia="仿宋_GB2312"/>
          <w:sz w:val="32"/>
          <w:szCs w:val="32"/>
          <w:highlight w:val="none"/>
          <w:shd w:val="clear" w:color="auto" w:fill="auto"/>
        </w:rPr>
        <w:instrText xml:space="preserve"> HYPERLINK \l _Toc25294 </w:instrText>
      </w:r>
      <w:r>
        <w:rPr>
          <w:rFonts w:ascii="仿宋" w:hAnsi="仿宋" w:eastAsia="仿宋_GB2312"/>
          <w:sz w:val="32"/>
          <w:szCs w:val="32"/>
          <w:highlight w:val="none"/>
          <w:shd w:val="clear" w:color="auto" w:fill="auto"/>
        </w:rPr>
        <w:fldChar w:fldCharType="separate"/>
      </w:r>
      <w:r>
        <w:rPr>
          <w:rFonts w:hint="eastAsia" w:ascii="仿宋" w:hAnsi="仿宋" w:eastAsia="仿宋" w:cs="Times New Roman"/>
          <w:kern w:val="2"/>
          <w:sz w:val="32"/>
          <w:szCs w:val="32"/>
          <w:highlight w:val="none"/>
          <w:shd w:val="clear" w:color="auto" w:fill="auto"/>
          <w:lang w:val="en-US" w:eastAsia="zh-CN" w:bidi="ar-SA"/>
        </w:rPr>
        <w:t>第一节 社会效益</w:t>
      </w:r>
      <w:r>
        <w:rPr>
          <w:sz w:val="32"/>
          <w:szCs w:val="32"/>
        </w:rPr>
        <w:tab/>
      </w:r>
      <w:r>
        <w:rPr>
          <w:sz w:val="32"/>
          <w:szCs w:val="32"/>
        </w:rPr>
        <w:fldChar w:fldCharType="begin"/>
      </w:r>
      <w:r>
        <w:rPr>
          <w:sz w:val="32"/>
          <w:szCs w:val="32"/>
        </w:rPr>
        <w:instrText xml:space="preserve"> PAGEREF _Toc25294 \h </w:instrText>
      </w:r>
      <w:r>
        <w:rPr>
          <w:sz w:val="32"/>
          <w:szCs w:val="32"/>
        </w:rPr>
        <w:fldChar w:fldCharType="separate"/>
      </w:r>
      <w:r>
        <w:rPr>
          <w:sz w:val="32"/>
          <w:szCs w:val="32"/>
        </w:rPr>
        <w:t>82</w:t>
      </w:r>
      <w:r>
        <w:rPr>
          <w:sz w:val="32"/>
          <w:szCs w:val="32"/>
        </w:rPr>
        <w:fldChar w:fldCharType="end"/>
      </w:r>
      <w:r>
        <w:rPr>
          <w:rFonts w:ascii="仿宋" w:hAnsi="仿宋" w:eastAsia="仿宋_GB2312"/>
          <w:sz w:val="32"/>
          <w:szCs w:val="32"/>
          <w:highlight w:val="none"/>
          <w:shd w:val="clear" w:color="auto" w:fill="auto"/>
        </w:rPr>
        <w:fldChar w:fldCharType="end"/>
      </w:r>
    </w:p>
    <w:p>
      <w:pPr>
        <w:pStyle w:val="27"/>
        <w:tabs>
          <w:tab w:val="right" w:leader="dot" w:pos="8306"/>
        </w:tabs>
        <w:rPr>
          <w:sz w:val="32"/>
          <w:szCs w:val="32"/>
        </w:rPr>
      </w:pPr>
      <w:r>
        <w:rPr>
          <w:rFonts w:ascii="仿宋" w:hAnsi="仿宋" w:eastAsia="仿宋_GB2312"/>
          <w:sz w:val="32"/>
          <w:szCs w:val="32"/>
          <w:highlight w:val="none"/>
          <w:shd w:val="clear" w:color="auto" w:fill="auto"/>
        </w:rPr>
        <w:fldChar w:fldCharType="begin"/>
      </w:r>
      <w:r>
        <w:rPr>
          <w:rFonts w:ascii="仿宋" w:hAnsi="仿宋" w:eastAsia="仿宋_GB2312"/>
          <w:sz w:val="32"/>
          <w:szCs w:val="32"/>
          <w:highlight w:val="none"/>
          <w:shd w:val="clear" w:color="auto" w:fill="auto"/>
        </w:rPr>
        <w:instrText xml:space="preserve"> HYPERLINK \l _Toc25104 </w:instrText>
      </w:r>
      <w:r>
        <w:rPr>
          <w:rFonts w:ascii="仿宋" w:hAnsi="仿宋" w:eastAsia="仿宋_GB2312"/>
          <w:sz w:val="32"/>
          <w:szCs w:val="32"/>
          <w:highlight w:val="none"/>
          <w:shd w:val="clear" w:color="auto" w:fill="auto"/>
        </w:rPr>
        <w:fldChar w:fldCharType="separate"/>
      </w:r>
      <w:r>
        <w:rPr>
          <w:rFonts w:hint="eastAsia" w:ascii="仿宋" w:hAnsi="仿宋" w:eastAsia="仿宋" w:cs="Times New Roman"/>
          <w:kern w:val="2"/>
          <w:sz w:val="32"/>
          <w:szCs w:val="32"/>
          <w:highlight w:val="none"/>
          <w:shd w:val="clear" w:color="auto" w:fill="auto"/>
          <w:lang w:val="en-US" w:eastAsia="zh-CN" w:bidi="ar-SA"/>
        </w:rPr>
        <w:t>第二节 经济效益</w:t>
      </w:r>
      <w:r>
        <w:rPr>
          <w:sz w:val="32"/>
          <w:szCs w:val="32"/>
        </w:rPr>
        <w:tab/>
      </w:r>
      <w:r>
        <w:rPr>
          <w:sz w:val="32"/>
          <w:szCs w:val="32"/>
        </w:rPr>
        <w:fldChar w:fldCharType="begin"/>
      </w:r>
      <w:r>
        <w:rPr>
          <w:sz w:val="32"/>
          <w:szCs w:val="32"/>
        </w:rPr>
        <w:instrText xml:space="preserve"> PAGEREF _Toc25104 \h </w:instrText>
      </w:r>
      <w:r>
        <w:rPr>
          <w:sz w:val="32"/>
          <w:szCs w:val="32"/>
        </w:rPr>
        <w:fldChar w:fldCharType="separate"/>
      </w:r>
      <w:r>
        <w:rPr>
          <w:sz w:val="32"/>
          <w:szCs w:val="32"/>
        </w:rPr>
        <w:t>82</w:t>
      </w:r>
      <w:r>
        <w:rPr>
          <w:sz w:val="32"/>
          <w:szCs w:val="32"/>
        </w:rPr>
        <w:fldChar w:fldCharType="end"/>
      </w:r>
      <w:r>
        <w:rPr>
          <w:rFonts w:ascii="仿宋" w:hAnsi="仿宋" w:eastAsia="仿宋_GB2312"/>
          <w:sz w:val="32"/>
          <w:szCs w:val="32"/>
          <w:highlight w:val="none"/>
          <w:shd w:val="clear" w:color="auto" w:fill="auto"/>
        </w:rPr>
        <w:fldChar w:fldCharType="end"/>
      </w:r>
    </w:p>
    <w:p>
      <w:pPr>
        <w:pStyle w:val="27"/>
        <w:tabs>
          <w:tab w:val="right" w:leader="dot" w:pos="8306"/>
        </w:tabs>
        <w:rPr>
          <w:sz w:val="32"/>
          <w:szCs w:val="32"/>
        </w:rPr>
      </w:pPr>
      <w:r>
        <w:rPr>
          <w:rFonts w:ascii="仿宋" w:hAnsi="仿宋" w:eastAsia="仿宋_GB2312"/>
          <w:sz w:val="32"/>
          <w:szCs w:val="32"/>
          <w:highlight w:val="none"/>
          <w:shd w:val="clear" w:color="auto" w:fill="auto"/>
        </w:rPr>
        <w:fldChar w:fldCharType="begin"/>
      </w:r>
      <w:r>
        <w:rPr>
          <w:rFonts w:ascii="仿宋" w:hAnsi="仿宋" w:eastAsia="仿宋_GB2312"/>
          <w:sz w:val="32"/>
          <w:szCs w:val="32"/>
          <w:highlight w:val="none"/>
          <w:shd w:val="clear" w:color="auto" w:fill="auto"/>
        </w:rPr>
        <w:instrText xml:space="preserve"> HYPERLINK \l _Toc18636 </w:instrText>
      </w:r>
      <w:r>
        <w:rPr>
          <w:rFonts w:ascii="仿宋" w:hAnsi="仿宋" w:eastAsia="仿宋_GB2312"/>
          <w:sz w:val="32"/>
          <w:szCs w:val="32"/>
          <w:highlight w:val="none"/>
          <w:shd w:val="clear" w:color="auto" w:fill="auto"/>
        </w:rPr>
        <w:fldChar w:fldCharType="separate"/>
      </w:r>
      <w:r>
        <w:rPr>
          <w:rFonts w:hint="eastAsia" w:ascii="仿宋" w:hAnsi="仿宋" w:eastAsia="仿宋" w:cs="Times New Roman"/>
          <w:kern w:val="2"/>
          <w:sz w:val="32"/>
          <w:szCs w:val="32"/>
          <w:highlight w:val="none"/>
          <w:shd w:val="clear" w:color="auto" w:fill="auto"/>
          <w:lang w:val="en-US" w:eastAsia="zh-CN" w:bidi="ar-SA"/>
        </w:rPr>
        <w:t>第三节 生态效益</w:t>
      </w:r>
      <w:r>
        <w:rPr>
          <w:sz w:val="32"/>
          <w:szCs w:val="32"/>
        </w:rPr>
        <w:tab/>
      </w:r>
      <w:r>
        <w:rPr>
          <w:sz w:val="32"/>
          <w:szCs w:val="32"/>
        </w:rPr>
        <w:fldChar w:fldCharType="begin"/>
      </w:r>
      <w:r>
        <w:rPr>
          <w:sz w:val="32"/>
          <w:szCs w:val="32"/>
        </w:rPr>
        <w:instrText xml:space="preserve"> PAGEREF _Toc18636 \h </w:instrText>
      </w:r>
      <w:r>
        <w:rPr>
          <w:sz w:val="32"/>
          <w:szCs w:val="32"/>
        </w:rPr>
        <w:fldChar w:fldCharType="separate"/>
      </w:r>
      <w:r>
        <w:rPr>
          <w:sz w:val="32"/>
          <w:szCs w:val="32"/>
        </w:rPr>
        <w:t>82</w:t>
      </w:r>
      <w:r>
        <w:rPr>
          <w:sz w:val="32"/>
          <w:szCs w:val="32"/>
        </w:rPr>
        <w:fldChar w:fldCharType="end"/>
      </w:r>
      <w:r>
        <w:rPr>
          <w:rFonts w:ascii="仿宋" w:hAnsi="仿宋" w:eastAsia="仿宋_GB2312"/>
          <w:sz w:val="32"/>
          <w:szCs w:val="32"/>
          <w:highlight w:val="none"/>
          <w:shd w:val="clear" w:color="auto" w:fill="auto"/>
        </w:rPr>
        <w:fldChar w:fldCharType="end"/>
      </w:r>
    </w:p>
    <w:p>
      <w:pPr>
        <w:pStyle w:val="23"/>
        <w:tabs>
          <w:tab w:val="right" w:leader="dot" w:pos="8306"/>
        </w:tabs>
        <w:rPr>
          <w:sz w:val="32"/>
          <w:szCs w:val="32"/>
        </w:rPr>
      </w:pPr>
      <w:r>
        <w:rPr>
          <w:rFonts w:ascii="仿宋" w:hAnsi="仿宋" w:eastAsia="仿宋_GB2312"/>
          <w:sz w:val="32"/>
          <w:szCs w:val="32"/>
          <w:highlight w:val="none"/>
          <w:shd w:val="clear" w:color="auto" w:fill="auto"/>
        </w:rPr>
        <w:fldChar w:fldCharType="begin"/>
      </w:r>
      <w:r>
        <w:rPr>
          <w:rFonts w:ascii="仿宋" w:hAnsi="仿宋" w:eastAsia="仿宋_GB2312"/>
          <w:sz w:val="32"/>
          <w:szCs w:val="32"/>
          <w:highlight w:val="none"/>
          <w:shd w:val="clear" w:color="auto" w:fill="auto"/>
        </w:rPr>
        <w:instrText xml:space="preserve"> HYPERLINK \l _Toc5054 </w:instrText>
      </w:r>
      <w:r>
        <w:rPr>
          <w:rFonts w:ascii="仿宋" w:hAnsi="仿宋" w:eastAsia="仿宋_GB2312"/>
          <w:sz w:val="32"/>
          <w:szCs w:val="32"/>
          <w:highlight w:val="none"/>
          <w:shd w:val="clear" w:color="auto" w:fill="auto"/>
        </w:rPr>
        <w:fldChar w:fldCharType="separate"/>
      </w:r>
      <w:r>
        <w:rPr>
          <w:rFonts w:hint="eastAsia" w:ascii="仿宋" w:hAnsi="仿宋" w:eastAsia="黑体" w:cs="黑体"/>
          <w:bCs w:val="0"/>
          <w:kern w:val="44"/>
          <w:sz w:val="32"/>
          <w:szCs w:val="32"/>
          <w:highlight w:val="none"/>
          <w:shd w:val="clear" w:color="auto" w:fill="auto"/>
          <w:lang w:val="en-US" w:eastAsia="zh-CN" w:bidi="ar-SA"/>
        </w:rPr>
        <w:t>第八章 保障措施</w:t>
      </w:r>
      <w:r>
        <w:rPr>
          <w:sz w:val="32"/>
          <w:szCs w:val="32"/>
        </w:rPr>
        <w:tab/>
      </w:r>
      <w:r>
        <w:rPr>
          <w:sz w:val="32"/>
          <w:szCs w:val="32"/>
        </w:rPr>
        <w:fldChar w:fldCharType="begin"/>
      </w:r>
      <w:r>
        <w:rPr>
          <w:sz w:val="32"/>
          <w:szCs w:val="32"/>
        </w:rPr>
        <w:instrText xml:space="preserve"> PAGEREF _Toc5054 \h </w:instrText>
      </w:r>
      <w:r>
        <w:rPr>
          <w:sz w:val="32"/>
          <w:szCs w:val="32"/>
        </w:rPr>
        <w:fldChar w:fldCharType="separate"/>
      </w:r>
      <w:r>
        <w:rPr>
          <w:sz w:val="32"/>
          <w:szCs w:val="32"/>
        </w:rPr>
        <w:t>83</w:t>
      </w:r>
      <w:r>
        <w:rPr>
          <w:sz w:val="32"/>
          <w:szCs w:val="32"/>
        </w:rPr>
        <w:fldChar w:fldCharType="end"/>
      </w:r>
      <w:r>
        <w:rPr>
          <w:rFonts w:ascii="仿宋" w:hAnsi="仿宋" w:eastAsia="仿宋_GB2312"/>
          <w:sz w:val="32"/>
          <w:szCs w:val="32"/>
          <w:highlight w:val="none"/>
          <w:shd w:val="clear" w:color="auto" w:fill="auto"/>
        </w:rPr>
        <w:fldChar w:fldCharType="end"/>
      </w:r>
    </w:p>
    <w:p>
      <w:pPr>
        <w:pStyle w:val="27"/>
        <w:tabs>
          <w:tab w:val="right" w:leader="dot" w:pos="8306"/>
        </w:tabs>
        <w:rPr>
          <w:sz w:val="32"/>
          <w:szCs w:val="32"/>
        </w:rPr>
      </w:pPr>
      <w:r>
        <w:rPr>
          <w:rFonts w:ascii="仿宋" w:hAnsi="仿宋" w:eastAsia="仿宋_GB2312"/>
          <w:sz w:val="32"/>
          <w:szCs w:val="32"/>
          <w:highlight w:val="none"/>
          <w:shd w:val="clear" w:color="auto" w:fill="auto"/>
        </w:rPr>
        <w:fldChar w:fldCharType="begin"/>
      </w:r>
      <w:r>
        <w:rPr>
          <w:rFonts w:ascii="仿宋" w:hAnsi="仿宋" w:eastAsia="仿宋_GB2312"/>
          <w:sz w:val="32"/>
          <w:szCs w:val="32"/>
          <w:highlight w:val="none"/>
          <w:shd w:val="clear" w:color="auto" w:fill="auto"/>
        </w:rPr>
        <w:instrText xml:space="preserve"> HYPERLINK \l _Toc28517 </w:instrText>
      </w:r>
      <w:r>
        <w:rPr>
          <w:rFonts w:ascii="仿宋" w:hAnsi="仿宋" w:eastAsia="仿宋_GB2312"/>
          <w:sz w:val="32"/>
          <w:szCs w:val="32"/>
          <w:highlight w:val="none"/>
          <w:shd w:val="clear" w:color="auto" w:fill="auto"/>
        </w:rPr>
        <w:fldChar w:fldCharType="separate"/>
      </w:r>
      <w:r>
        <w:rPr>
          <w:rFonts w:hint="eastAsia" w:ascii="仿宋" w:hAnsi="仿宋" w:eastAsia="仿宋" w:cs="Times New Roman"/>
          <w:kern w:val="2"/>
          <w:sz w:val="32"/>
          <w:szCs w:val="32"/>
          <w:highlight w:val="none"/>
          <w:shd w:val="clear" w:color="auto" w:fill="auto"/>
          <w:lang w:val="en-US" w:eastAsia="zh-CN" w:bidi="ar-SA"/>
        </w:rPr>
        <w:t>第一节 加强组织领导</w:t>
      </w:r>
      <w:r>
        <w:rPr>
          <w:sz w:val="32"/>
          <w:szCs w:val="32"/>
        </w:rPr>
        <w:tab/>
      </w:r>
      <w:r>
        <w:rPr>
          <w:sz w:val="32"/>
          <w:szCs w:val="32"/>
        </w:rPr>
        <w:fldChar w:fldCharType="begin"/>
      </w:r>
      <w:r>
        <w:rPr>
          <w:sz w:val="32"/>
          <w:szCs w:val="32"/>
        </w:rPr>
        <w:instrText xml:space="preserve"> PAGEREF _Toc28517 \h </w:instrText>
      </w:r>
      <w:r>
        <w:rPr>
          <w:sz w:val="32"/>
          <w:szCs w:val="32"/>
        </w:rPr>
        <w:fldChar w:fldCharType="separate"/>
      </w:r>
      <w:r>
        <w:rPr>
          <w:sz w:val="32"/>
          <w:szCs w:val="32"/>
        </w:rPr>
        <w:t>83</w:t>
      </w:r>
      <w:r>
        <w:rPr>
          <w:sz w:val="32"/>
          <w:szCs w:val="32"/>
        </w:rPr>
        <w:fldChar w:fldCharType="end"/>
      </w:r>
      <w:r>
        <w:rPr>
          <w:rFonts w:ascii="仿宋" w:hAnsi="仿宋" w:eastAsia="仿宋_GB2312"/>
          <w:sz w:val="32"/>
          <w:szCs w:val="32"/>
          <w:highlight w:val="none"/>
          <w:shd w:val="clear" w:color="auto" w:fill="auto"/>
        </w:rPr>
        <w:fldChar w:fldCharType="end"/>
      </w:r>
    </w:p>
    <w:p>
      <w:pPr>
        <w:pStyle w:val="27"/>
        <w:tabs>
          <w:tab w:val="right" w:leader="dot" w:pos="8306"/>
        </w:tabs>
        <w:rPr>
          <w:sz w:val="32"/>
          <w:szCs w:val="32"/>
        </w:rPr>
      </w:pPr>
      <w:r>
        <w:rPr>
          <w:rFonts w:ascii="仿宋" w:hAnsi="仿宋" w:eastAsia="仿宋_GB2312"/>
          <w:sz w:val="32"/>
          <w:szCs w:val="32"/>
          <w:highlight w:val="none"/>
          <w:shd w:val="clear" w:color="auto" w:fill="auto"/>
        </w:rPr>
        <w:fldChar w:fldCharType="begin"/>
      </w:r>
      <w:r>
        <w:rPr>
          <w:rFonts w:ascii="仿宋" w:hAnsi="仿宋" w:eastAsia="仿宋_GB2312"/>
          <w:sz w:val="32"/>
          <w:szCs w:val="32"/>
          <w:highlight w:val="none"/>
          <w:shd w:val="clear" w:color="auto" w:fill="auto"/>
        </w:rPr>
        <w:instrText xml:space="preserve"> HYPERLINK \l _Toc14628 </w:instrText>
      </w:r>
      <w:r>
        <w:rPr>
          <w:rFonts w:ascii="仿宋" w:hAnsi="仿宋" w:eastAsia="仿宋_GB2312"/>
          <w:sz w:val="32"/>
          <w:szCs w:val="32"/>
          <w:highlight w:val="none"/>
          <w:shd w:val="clear" w:color="auto" w:fill="auto"/>
        </w:rPr>
        <w:fldChar w:fldCharType="separate"/>
      </w:r>
      <w:r>
        <w:rPr>
          <w:rFonts w:hint="eastAsia" w:ascii="仿宋" w:hAnsi="仿宋" w:eastAsia="仿宋" w:cs="Times New Roman"/>
          <w:kern w:val="2"/>
          <w:sz w:val="32"/>
          <w:szCs w:val="32"/>
          <w:highlight w:val="none"/>
          <w:shd w:val="clear" w:color="auto" w:fill="auto"/>
          <w:lang w:val="en-US" w:eastAsia="zh-CN" w:bidi="ar-SA"/>
        </w:rPr>
        <w:t>第二节 强化监督管理</w:t>
      </w:r>
      <w:r>
        <w:rPr>
          <w:sz w:val="32"/>
          <w:szCs w:val="32"/>
        </w:rPr>
        <w:tab/>
      </w:r>
      <w:r>
        <w:rPr>
          <w:sz w:val="32"/>
          <w:szCs w:val="32"/>
        </w:rPr>
        <w:fldChar w:fldCharType="begin"/>
      </w:r>
      <w:r>
        <w:rPr>
          <w:sz w:val="32"/>
          <w:szCs w:val="32"/>
        </w:rPr>
        <w:instrText xml:space="preserve"> PAGEREF _Toc14628 \h </w:instrText>
      </w:r>
      <w:r>
        <w:rPr>
          <w:sz w:val="32"/>
          <w:szCs w:val="32"/>
        </w:rPr>
        <w:fldChar w:fldCharType="separate"/>
      </w:r>
      <w:r>
        <w:rPr>
          <w:sz w:val="32"/>
          <w:szCs w:val="32"/>
        </w:rPr>
        <w:t>83</w:t>
      </w:r>
      <w:r>
        <w:rPr>
          <w:sz w:val="32"/>
          <w:szCs w:val="32"/>
        </w:rPr>
        <w:fldChar w:fldCharType="end"/>
      </w:r>
      <w:r>
        <w:rPr>
          <w:rFonts w:ascii="仿宋" w:hAnsi="仿宋" w:eastAsia="仿宋_GB2312"/>
          <w:sz w:val="32"/>
          <w:szCs w:val="32"/>
          <w:highlight w:val="none"/>
          <w:shd w:val="clear" w:color="auto" w:fill="auto"/>
        </w:rPr>
        <w:fldChar w:fldCharType="end"/>
      </w:r>
    </w:p>
    <w:p>
      <w:pPr>
        <w:pStyle w:val="27"/>
        <w:tabs>
          <w:tab w:val="right" w:leader="dot" w:pos="8306"/>
        </w:tabs>
        <w:rPr>
          <w:sz w:val="32"/>
          <w:szCs w:val="32"/>
        </w:rPr>
      </w:pPr>
      <w:r>
        <w:rPr>
          <w:rFonts w:ascii="仿宋" w:hAnsi="仿宋" w:eastAsia="仿宋_GB2312"/>
          <w:sz w:val="32"/>
          <w:szCs w:val="32"/>
          <w:highlight w:val="none"/>
          <w:shd w:val="clear" w:color="auto" w:fill="auto"/>
        </w:rPr>
        <w:fldChar w:fldCharType="begin"/>
      </w:r>
      <w:r>
        <w:rPr>
          <w:rFonts w:ascii="仿宋" w:hAnsi="仿宋" w:eastAsia="仿宋_GB2312"/>
          <w:sz w:val="32"/>
          <w:szCs w:val="32"/>
          <w:highlight w:val="none"/>
          <w:shd w:val="clear" w:color="auto" w:fill="auto"/>
        </w:rPr>
        <w:instrText xml:space="preserve"> HYPERLINK \l _Toc20285 </w:instrText>
      </w:r>
      <w:r>
        <w:rPr>
          <w:rFonts w:ascii="仿宋" w:hAnsi="仿宋" w:eastAsia="仿宋_GB2312"/>
          <w:sz w:val="32"/>
          <w:szCs w:val="32"/>
          <w:highlight w:val="none"/>
          <w:shd w:val="clear" w:color="auto" w:fill="auto"/>
        </w:rPr>
        <w:fldChar w:fldCharType="separate"/>
      </w:r>
      <w:r>
        <w:rPr>
          <w:rFonts w:hint="eastAsia" w:ascii="仿宋" w:hAnsi="仿宋" w:eastAsia="仿宋" w:cs="Times New Roman"/>
          <w:kern w:val="2"/>
          <w:sz w:val="32"/>
          <w:szCs w:val="32"/>
          <w:highlight w:val="none"/>
          <w:shd w:val="clear" w:color="auto" w:fill="auto"/>
          <w:lang w:val="en-US" w:eastAsia="zh-CN" w:bidi="ar-SA"/>
        </w:rPr>
        <w:t>第三节 加大政策和技术支撑</w:t>
      </w:r>
      <w:r>
        <w:rPr>
          <w:sz w:val="32"/>
          <w:szCs w:val="32"/>
        </w:rPr>
        <w:tab/>
      </w:r>
      <w:r>
        <w:rPr>
          <w:sz w:val="32"/>
          <w:szCs w:val="32"/>
        </w:rPr>
        <w:fldChar w:fldCharType="begin"/>
      </w:r>
      <w:r>
        <w:rPr>
          <w:sz w:val="32"/>
          <w:szCs w:val="32"/>
        </w:rPr>
        <w:instrText xml:space="preserve"> PAGEREF _Toc20285 \h </w:instrText>
      </w:r>
      <w:r>
        <w:rPr>
          <w:sz w:val="32"/>
          <w:szCs w:val="32"/>
        </w:rPr>
        <w:fldChar w:fldCharType="separate"/>
      </w:r>
      <w:r>
        <w:rPr>
          <w:sz w:val="32"/>
          <w:szCs w:val="32"/>
        </w:rPr>
        <w:t>84</w:t>
      </w:r>
      <w:r>
        <w:rPr>
          <w:sz w:val="32"/>
          <w:szCs w:val="32"/>
        </w:rPr>
        <w:fldChar w:fldCharType="end"/>
      </w:r>
      <w:r>
        <w:rPr>
          <w:rFonts w:ascii="仿宋" w:hAnsi="仿宋" w:eastAsia="仿宋_GB2312"/>
          <w:sz w:val="32"/>
          <w:szCs w:val="32"/>
          <w:highlight w:val="none"/>
          <w:shd w:val="clear" w:color="auto" w:fill="auto"/>
        </w:rPr>
        <w:fldChar w:fldCharType="end"/>
      </w:r>
    </w:p>
    <w:p>
      <w:pPr>
        <w:pStyle w:val="27"/>
        <w:tabs>
          <w:tab w:val="right" w:leader="dot" w:pos="8306"/>
        </w:tabs>
      </w:pPr>
      <w:r>
        <w:rPr>
          <w:rFonts w:ascii="仿宋" w:hAnsi="仿宋" w:eastAsia="仿宋_GB2312"/>
          <w:sz w:val="32"/>
          <w:szCs w:val="32"/>
          <w:highlight w:val="none"/>
          <w:shd w:val="clear" w:color="auto" w:fill="auto"/>
        </w:rPr>
        <w:fldChar w:fldCharType="begin"/>
      </w:r>
      <w:r>
        <w:rPr>
          <w:rFonts w:ascii="仿宋" w:hAnsi="仿宋" w:eastAsia="仿宋_GB2312"/>
          <w:sz w:val="32"/>
          <w:szCs w:val="32"/>
          <w:highlight w:val="none"/>
          <w:shd w:val="clear" w:color="auto" w:fill="auto"/>
        </w:rPr>
        <w:instrText xml:space="preserve"> HYPERLINK \l _Toc22178 </w:instrText>
      </w:r>
      <w:r>
        <w:rPr>
          <w:rFonts w:ascii="仿宋" w:hAnsi="仿宋" w:eastAsia="仿宋_GB2312"/>
          <w:sz w:val="32"/>
          <w:szCs w:val="32"/>
          <w:highlight w:val="none"/>
          <w:shd w:val="clear" w:color="auto" w:fill="auto"/>
        </w:rPr>
        <w:fldChar w:fldCharType="separate"/>
      </w:r>
      <w:r>
        <w:rPr>
          <w:rFonts w:hint="eastAsia" w:ascii="仿宋" w:hAnsi="仿宋" w:eastAsia="仿宋" w:cs="Times New Roman"/>
          <w:kern w:val="2"/>
          <w:sz w:val="32"/>
          <w:szCs w:val="32"/>
          <w:highlight w:val="none"/>
          <w:shd w:val="clear" w:color="auto" w:fill="auto"/>
          <w:lang w:val="en-US" w:eastAsia="zh-CN" w:bidi="ar-SA"/>
        </w:rPr>
        <w:t>第四节 强化宣传教育</w:t>
      </w:r>
      <w:r>
        <w:rPr>
          <w:sz w:val="32"/>
          <w:szCs w:val="32"/>
        </w:rPr>
        <w:tab/>
      </w:r>
      <w:r>
        <w:rPr>
          <w:sz w:val="32"/>
          <w:szCs w:val="32"/>
        </w:rPr>
        <w:fldChar w:fldCharType="begin"/>
      </w:r>
      <w:r>
        <w:rPr>
          <w:sz w:val="32"/>
          <w:szCs w:val="32"/>
        </w:rPr>
        <w:instrText xml:space="preserve"> PAGEREF _Toc22178 \h </w:instrText>
      </w:r>
      <w:r>
        <w:rPr>
          <w:sz w:val="32"/>
          <w:szCs w:val="32"/>
        </w:rPr>
        <w:fldChar w:fldCharType="separate"/>
      </w:r>
      <w:r>
        <w:rPr>
          <w:sz w:val="32"/>
          <w:szCs w:val="32"/>
        </w:rPr>
        <w:t>84</w:t>
      </w:r>
      <w:r>
        <w:rPr>
          <w:sz w:val="32"/>
          <w:szCs w:val="32"/>
        </w:rPr>
        <w:fldChar w:fldCharType="end"/>
      </w:r>
      <w:r>
        <w:rPr>
          <w:rFonts w:ascii="仿宋" w:hAnsi="仿宋" w:eastAsia="仿宋_GB2312"/>
          <w:sz w:val="32"/>
          <w:szCs w:val="32"/>
          <w:highlight w:val="none"/>
          <w:shd w:val="clear" w:color="auto" w:fill="auto"/>
        </w:rPr>
        <w:fldChar w:fldCharType="end"/>
      </w:r>
    </w:p>
    <w:p>
      <w:pPr>
        <w:spacing w:line="240" w:lineRule="auto"/>
        <w:jc w:val="center"/>
        <w:rPr>
          <w:rFonts w:ascii="仿宋" w:hAnsi="仿宋" w:eastAsia="仿宋_GB2312"/>
          <w:szCs w:val="32"/>
          <w:highlight w:val="none"/>
          <w:shd w:val="clear" w:color="auto" w:fill="auto"/>
        </w:rPr>
        <w:sectPr>
          <w:footerReference r:id="rId5" w:type="default"/>
          <w:pgSz w:w="11906" w:h="16838"/>
          <w:pgMar w:top="1440" w:right="1800" w:bottom="1440" w:left="1800" w:header="851" w:footer="992" w:gutter="0"/>
          <w:pgBorders w:offsetFrom="page">
            <w:top w:val="none" w:sz="0" w:space="0"/>
            <w:left w:val="none" w:sz="0" w:space="0"/>
            <w:bottom w:val="none" w:sz="0" w:space="0"/>
            <w:right w:val="none" w:sz="0" w:space="0"/>
          </w:pgBorders>
          <w:pgNumType w:fmt="upperRoman" w:start="1"/>
          <w:cols w:space="720" w:num="1"/>
          <w:docGrid w:type="lines" w:linePitch="312" w:charSpace="0"/>
        </w:sectPr>
      </w:pPr>
      <w:r>
        <w:rPr>
          <w:rFonts w:ascii="仿宋" w:hAnsi="仿宋" w:eastAsia="仿宋_GB2312"/>
          <w:szCs w:val="32"/>
          <w:highlight w:val="none"/>
          <w:shd w:val="clear" w:color="auto" w:fill="auto"/>
        </w:rPr>
        <w:fldChar w:fldCharType="end"/>
      </w:r>
    </w:p>
    <w:p>
      <w:pPr>
        <w:keepNext/>
        <w:keepLines/>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center"/>
        <w:textAlignment w:val="auto"/>
        <w:outlineLvl w:val="0"/>
        <w:rPr>
          <w:rFonts w:hint="default" w:ascii="仿宋" w:hAnsi="仿宋" w:eastAsia="黑体" w:cs="黑体"/>
          <w:b w:val="0"/>
          <w:bCs w:val="0"/>
          <w:color w:val="auto"/>
          <w:kern w:val="44"/>
          <w:sz w:val="44"/>
          <w:szCs w:val="44"/>
          <w:highlight w:val="none"/>
          <w:shd w:val="clear" w:color="auto" w:fill="auto"/>
          <w:lang w:val="en-US" w:eastAsia="zh-CN" w:bidi="ar-SA"/>
        </w:rPr>
      </w:pPr>
      <w:bookmarkStart w:id="0" w:name="_bookmark3"/>
      <w:bookmarkEnd w:id="0"/>
      <w:bookmarkStart w:id="1" w:name="二、指导思想、原则与目标"/>
      <w:bookmarkEnd w:id="1"/>
      <w:bookmarkStart w:id="2" w:name="_Toc17654"/>
      <w:bookmarkStart w:id="3" w:name="_Toc24422"/>
      <w:r>
        <w:rPr>
          <w:rFonts w:hint="eastAsia" w:ascii="仿宋" w:hAnsi="仿宋" w:eastAsia="黑体" w:cs="黑体"/>
          <w:b w:val="0"/>
          <w:bCs w:val="0"/>
          <w:color w:val="auto"/>
          <w:kern w:val="44"/>
          <w:sz w:val="44"/>
          <w:szCs w:val="44"/>
          <w:highlight w:val="none"/>
          <w:shd w:val="clear" w:color="auto" w:fill="auto"/>
          <w:lang w:val="en-US" w:eastAsia="zh-CN" w:bidi="ar-SA"/>
        </w:rPr>
        <w:t xml:space="preserve">第一章 </w:t>
      </w:r>
      <w:bookmarkEnd w:id="2"/>
      <w:r>
        <w:rPr>
          <w:rFonts w:hint="eastAsia" w:ascii="仿宋" w:hAnsi="仿宋" w:eastAsia="黑体" w:cs="黑体"/>
          <w:b w:val="0"/>
          <w:bCs w:val="0"/>
          <w:color w:val="auto"/>
          <w:kern w:val="44"/>
          <w:sz w:val="44"/>
          <w:szCs w:val="44"/>
          <w:highlight w:val="none"/>
          <w:shd w:val="clear" w:color="auto" w:fill="auto"/>
          <w:lang w:val="en-US" w:eastAsia="zh-CN" w:bidi="ar-SA"/>
        </w:rPr>
        <w:t>总  则</w:t>
      </w:r>
      <w:bookmarkEnd w:id="3"/>
    </w:p>
    <w:p>
      <w:pPr>
        <w:keepNext/>
        <w:keepLines/>
        <w:pageBreakBefore w:val="0"/>
        <w:widowControl w:val="0"/>
        <w:kinsoku/>
        <w:wordWrap/>
        <w:overflowPunct/>
        <w:topLinePunct w:val="0"/>
        <w:bidi w:val="0"/>
        <w:snapToGrid/>
        <w:spacing w:line="240" w:lineRule="auto"/>
        <w:ind w:firstLine="0" w:firstLineChars="0"/>
        <w:jc w:val="center"/>
        <w:textAlignment w:val="auto"/>
        <w:outlineLvl w:val="1"/>
        <w:rPr>
          <w:rFonts w:hint="eastAsia" w:ascii="仿宋" w:hAnsi="仿宋" w:eastAsia="仿宋" w:cs="Times New Roman"/>
          <w:b/>
          <w:color w:val="auto"/>
          <w:kern w:val="2"/>
          <w:sz w:val="36"/>
          <w:szCs w:val="36"/>
          <w:highlight w:val="none"/>
          <w:shd w:val="clear" w:color="auto" w:fill="auto"/>
          <w:lang w:val="en-US" w:eastAsia="zh-CN" w:bidi="ar-SA"/>
        </w:rPr>
      </w:pPr>
      <w:bookmarkStart w:id="4" w:name="（一）指导思想"/>
      <w:bookmarkEnd w:id="4"/>
      <w:bookmarkStart w:id="5" w:name="_bookmark4"/>
      <w:bookmarkEnd w:id="5"/>
      <w:bookmarkStart w:id="6" w:name="_Toc31485"/>
      <w:bookmarkStart w:id="7" w:name="_Toc5768"/>
      <w:r>
        <w:rPr>
          <w:rFonts w:hint="eastAsia" w:ascii="仿宋" w:hAnsi="仿宋" w:eastAsia="仿宋" w:cs="Times New Roman"/>
          <w:b/>
          <w:color w:val="auto"/>
          <w:kern w:val="2"/>
          <w:sz w:val="36"/>
          <w:szCs w:val="36"/>
          <w:highlight w:val="none"/>
          <w:shd w:val="clear" w:color="auto" w:fill="auto"/>
          <w:lang w:val="en-US" w:eastAsia="zh-CN" w:bidi="ar-SA"/>
        </w:rPr>
        <w:t xml:space="preserve">第一节 </w:t>
      </w:r>
      <w:bookmarkEnd w:id="6"/>
      <w:r>
        <w:rPr>
          <w:rFonts w:hint="eastAsia" w:ascii="仿宋" w:hAnsi="仿宋" w:eastAsia="仿宋" w:cs="Times New Roman"/>
          <w:b/>
          <w:color w:val="auto"/>
          <w:kern w:val="2"/>
          <w:sz w:val="36"/>
          <w:szCs w:val="36"/>
          <w:highlight w:val="none"/>
          <w:shd w:val="clear" w:color="auto" w:fill="auto"/>
          <w:lang w:val="en-US" w:eastAsia="zh-CN" w:bidi="ar-SA"/>
        </w:rPr>
        <w:t>规划背景</w:t>
      </w:r>
      <w:bookmarkEnd w:id="7"/>
    </w:p>
    <w:p>
      <w:pPr>
        <w:pStyle w:val="14"/>
        <w:spacing w:after="0" w:line="240" w:lineRule="auto"/>
        <w:ind w:left="0" w:leftChars="0" w:right="0" w:rightChars="0" w:firstLine="640" w:firstLineChars="200"/>
        <w:rPr>
          <w:rFonts w:ascii="仿宋" w:hAnsi="仿宋"/>
          <w:szCs w:val="32"/>
          <w:highlight w:val="none"/>
          <w:shd w:val="clear" w:color="auto" w:fill="auto"/>
        </w:rPr>
      </w:pPr>
      <w:bookmarkStart w:id="8" w:name="_Toc70256286"/>
      <w:r>
        <w:rPr>
          <w:rFonts w:ascii="仿宋" w:hAnsi="仿宋"/>
          <w:szCs w:val="32"/>
          <w:highlight w:val="none"/>
          <w:shd w:val="clear" w:color="auto" w:fill="auto"/>
        </w:rPr>
        <w:t>为进一步加快</w:t>
      </w:r>
      <w:r>
        <w:rPr>
          <w:rFonts w:hint="eastAsia" w:ascii="仿宋" w:hAnsi="仿宋"/>
          <w:szCs w:val="32"/>
          <w:highlight w:val="none"/>
          <w:shd w:val="clear" w:color="auto" w:fill="auto"/>
          <w:lang w:eastAsia="zh-CN"/>
        </w:rPr>
        <w:t>旺苍</w:t>
      </w:r>
      <w:r>
        <w:rPr>
          <w:rFonts w:hint="eastAsia" w:ascii="仿宋" w:hAnsi="仿宋"/>
          <w:szCs w:val="32"/>
          <w:highlight w:val="none"/>
          <w:shd w:val="clear" w:color="auto" w:fill="auto"/>
        </w:rPr>
        <w:t>县畜牧</w:t>
      </w:r>
      <w:r>
        <w:rPr>
          <w:rFonts w:ascii="仿宋" w:hAnsi="仿宋"/>
          <w:szCs w:val="32"/>
          <w:highlight w:val="none"/>
          <w:shd w:val="clear" w:color="auto" w:fill="auto"/>
        </w:rPr>
        <w:t>高质量发展，</w:t>
      </w:r>
      <w:r>
        <w:rPr>
          <w:rFonts w:hint="eastAsia" w:ascii="仿宋" w:hAnsi="仿宋"/>
          <w:szCs w:val="32"/>
          <w:highlight w:val="none"/>
          <w:shd w:val="clear" w:color="auto" w:fill="auto"/>
        </w:rPr>
        <w:t>构建现代化畜牧业污染防治体系，</w:t>
      </w:r>
      <w:r>
        <w:rPr>
          <w:rFonts w:ascii="仿宋" w:hAnsi="仿宋"/>
          <w:szCs w:val="32"/>
          <w:highlight w:val="none"/>
          <w:shd w:val="clear" w:color="auto" w:fill="auto"/>
        </w:rPr>
        <w:t>根据</w:t>
      </w:r>
      <w:r>
        <w:rPr>
          <w:rFonts w:hint="eastAsia" w:ascii="仿宋" w:hAnsi="仿宋"/>
          <w:szCs w:val="32"/>
          <w:highlight w:val="none"/>
          <w:shd w:val="clear" w:color="auto" w:fill="auto"/>
        </w:rPr>
        <w:t>《中华人民共和国环境保护法》《</w:t>
      </w:r>
      <w:r>
        <w:rPr>
          <w:rFonts w:ascii="仿宋" w:hAnsi="仿宋"/>
          <w:szCs w:val="32"/>
          <w:highlight w:val="none"/>
          <w:shd w:val="clear" w:color="auto" w:fill="auto"/>
        </w:rPr>
        <w:t>中华人民共和国畜牧法》</w:t>
      </w:r>
      <w:r>
        <w:rPr>
          <w:rFonts w:hint="eastAsia" w:ascii="仿宋" w:hAnsi="仿宋"/>
          <w:szCs w:val="32"/>
          <w:highlight w:val="none"/>
          <w:shd w:val="clear" w:color="auto" w:fill="auto"/>
        </w:rPr>
        <w:t>《中华人民共和国水污染防治法》</w:t>
      </w:r>
      <w:r>
        <w:rPr>
          <w:rFonts w:ascii="仿宋" w:hAnsi="仿宋"/>
          <w:szCs w:val="32"/>
          <w:highlight w:val="none"/>
          <w:shd w:val="clear" w:color="auto" w:fill="auto"/>
        </w:rPr>
        <w:t>《中华人民共和国动物防疫法》《畜禽规模养殖污染防治条例》等法律法规规定和</w:t>
      </w:r>
      <w:r>
        <w:rPr>
          <w:rFonts w:hint="eastAsia" w:ascii="仿宋" w:hAnsi="仿宋"/>
          <w:szCs w:val="32"/>
          <w:highlight w:val="none"/>
          <w:shd w:val="clear" w:color="auto" w:fill="auto"/>
        </w:rPr>
        <w:t>省、市</w:t>
      </w:r>
      <w:r>
        <w:rPr>
          <w:rFonts w:ascii="仿宋" w:hAnsi="仿宋"/>
          <w:szCs w:val="32"/>
          <w:highlight w:val="none"/>
          <w:shd w:val="clear" w:color="auto" w:fill="auto"/>
        </w:rPr>
        <w:t>关于推进畜牧业绿色发展重大决策部署，由</w:t>
      </w:r>
      <w:r>
        <w:rPr>
          <w:rFonts w:hint="eastAsia" w:ascii="仿宋" w:hAnsi="仿宋"/>
          <w:szCs w:val="32"/>
          <w:highlight w:val="none"/>
          <w:shd w:val="clear" w:color="auto" w:fill="auto"/>
          <w:lang w:eastAsia="zh-CN"/>
        </w:rPr>
        <w:t>广元市旺苍生态环境局</w:t>
      </w:r>
      <w:r>
        <w:rPr>
          <w:rFonts w:hint="eastAsia" w:ascii="仿宋" w:hAnsi="仿宋"/>
          <w:szCs w:val="32"/>
          <w:highlight w:val="none"/>
          <w:shd w:val="clear" w:color="auto" w:fill="auto"/>
          <w:lang w:val="en-US" w:eastAsia="zh-CN"/>
        </w:rPr>
        <w:t>组织</w:t>
      </w:r>
      <w:r>
        <w:rPr>
          <w:rFonts w:ascii="仿宋" w:hAnsi="仿宋"/>
          <w:szCs w:val="32"/>
          <w:highlight w:val="none"/>
          <w:shd w:val="clear" w:color="auto" w:fill="auto"/>
        </w:rPr>
        <w:t>编制</w:t>
      </w:r>
      <w:r>
        <w:rPr>
          <w:rFonts w:hint="eastAsia" w:ascii="仿宋" w:hAnsi="仿宋"/>
          <w:szCs w:val="32"/>
          <w:highlight w:val="none"/>
          <w:shd w:val="clear" w:color="auto" w:fill="auto"/>
          <w:lang w:val="en-US" w:eastAsia="zh-CN"/>
        </w:rPr>
        <w:t>了</w:t>
      </w:r>
      <w:r>
        <w:rPr>
          <w:rFonts w:ascii="仿宋" w:hAnsi="仿宋"/>
          <w:szCs w:val="32"/>
          <w:highlight w:val="none"/>
          <w:shd w:val="clear" w:color="auto" w:fill="auto"/>
        </w:rPr>
        <w:t>本规划，作为</w:t>
      </w:r>
      <w:r>
        <w:rPr>
          <w:rFonts w:hint="eastAsia" w:ascii="仿宋" w:hAnsi="仿宋"/>
          <w:szCs w:val="32"/>
          <w:highlight w:val="none"/>
          <w:shd w:val="clear" w:color="auto" w:fill="auto"/>
          <w:lang w:eastAsia="zh-CN"/>
        </w:rPr>
        <w:t>“</w:t>
      </w:r>
      <w:r>
        <w:rPr>
          <w:rFonts w:ascii="仿宋" w:hAnsi="仿宋"/>
          <w:szCs w:val="32"/>
          <w:highlight w:val="none"/>
          <w:shd w:val="clear" w:color="auto" w:fill="auto"/>
        </w:rPr>
        <w:t>十四五</w:t>
      </w:r>
      <w:r>
        <w:rPr>
          <w:rFonts w:hint="eastAsia" w:ascii="仿宋" w:hAnsi="仿宋"/>
          <w:szCs w:val="32"/>
          <w:highlight w:val="none"/>
          <w:shd w:val="clear" w:color="auto" w:fill="auto"/>
          <w:lang w:eastAsia="zh-CN"/>
        </w:rPr>
        <w:t>”</w:t>
      </w:r>
      <w:r>
        <w:rPr>
          <w:rFonts w:ascii="仿宋" w:hAnsi="仿宋"/>
          <w:szCs w:val="32"/>
          <w:highlight w:val="none"/>
          <w:shd w:val="clear" w:color="auto" w:fill="auto"/>
        </w:rPr>
        <w:t>时期</w:t>
      </w:r>
      <w:r>
        <w:rPr>
          <w:rFonts w:hint="eastAsia" w:ascii="仿宋" w:hAnsi="仿宋"/>
          <w:szCs w:val="32"/>
          <w:highlight w:val="none"/>
          <w:shd w:val="clear" w:color="auto" w:fill="auto"/>
          <w:lang w:eastAsia="zh-CN"/>
        </w:rPr>
        <w:t>旺苍</w:t>
      </w:r>
      <w:r>
        <w:rPr>
          <w:rFonts w:hint="eastAsia" w:ascii="仿宋" w:hAnsi="仿宋"/>
          <w:szCs w:val="32"/>
          <w:highlight w:val="none"/>
          <w:shd w:val="clear" w:color="auto" w:fill="auto"/>
        </w:rPr>
        <w:t>县</w:t>
      </w:r>
      <w:r>
        <w:rPr>
          <w:rFonts w:ascii="仿宋" w:hAnsi="仿宋"/>
          <w:szCs w:val="32"/>
          <w:highlight w:val="none"/>
          <w:shd w:val="clear" w:color="auto" w:fill="auto"/>
        </w:rPr>
        <w:t>畜禽养殖污染防治工作指导性文件。</w:t>
      </w:r>
    </w:p>
    <w:p>
      <w:pPr>
        <w:bidi w:val="0"/>
        <w:rPr>
          <w:rFonts w:ascii="仿宋" w:hAnsi="仿宋"/>
          <w:highlight w:val="none"/>
        </w:rPr>
      </w:pPr>
    </w:p>
    <w:p>
      <w:pPr>
        <w:keepNext/>
        <w:keepLines/>
        <w:pageBreakBefore w:val="0"/>
        <w:widowControl w:val="0"/>
        <w:kinsoku/>
        <w:wordWrap/>
        <w:overflowPunct/>
        <w:topLinePunct w:val="0"/>
        <w:bidi w:val="0"/>
        <w:snapToGrid/>
        <w:spacing w:line="240" w:lineRule="auto"/>
        <w:ind w:firstLine="0" w:firstLineChars="0"/>
        <w:jc w:val="center"/>
        <w:textAlignment w:val="auto"/>
        <w:outlineLvl w:val="1"/>
        <w:rPr>
          <w:rFonts w:hint="default" w:ascii="仿宋" w:hAnsi="仿宋" w:eastAsia="仿宋" w:cs="Times New Roman"/>
          <w:b/>
          <w:color w:val="auto"/>
          <w:kern w:val="2"/>
          <w:sz w:val="36"/>
          <w:szCs w:val="36"/>
          <w:highlight w:val="none"/>
          <w:shd w:val="clear" w:color="auto" w:fill="auto"/>
          <w:lang w:val="en-US" w:eastAsia="zh-CN" w:bidi="ar-SA"/>
        </w:rPr>
      </w:pPr>
      <w:bookmarkStart w:id="9" w:name="_Toc24833"/>
      <w:r>
        <w:rPr>
          <w:rFonts w:hint="eastAsia" w:ascii="仿宋" w:hAnsi="仿宋" w:eastAsia="仿宋" w:cs="Times New Roman"/>
          <w:b/>
          <w:color w:val="auto"/>
          <w:kern w:val="2"/>
          <w:sz w:val="36"/>
          <w:szCs w:val="36"/>
          <w:highlight w:val="none"/>
          <w:shd w:val="clear" w:color="auto" w:fill="auto"/>
          <w:lang w:val="en-US" w:eastAsia="zh-CN" w:bidi="ar-SA"/>
        </w:rPr>
        <w:t>第二节 指导思想</w:t>
      </w:r>
      <w:bookmarkEnd w:id="9"/>
    </w:p>
    <w:p>
      <w:pPr>
        <w:pStyle w:val="14"/>
        <w:spacing w:after="0" w:line="240" w:lineRule="auto"/>
        <w:ind w:left="0" w:leftChars="0" w:right="0" w:rightChars="0" w:firstLine="640" w:firstLineChars="200"/>
        <w:rPr>
          <w:rFonts w:hint="eastAsia" w:ascii="仿宋" w:hAnsi="仿宋" w:eastAsia="仿宋_GB2312" w:cs="仿宋_GB2312"/>
          <w:b/>
          <w:bCs/>
          <w:sz w:val="32"/>
          <w:szCs w:val="32"/>
          <w:highlight w:val="none"/>
          <w:shd w:val="clear" w:color="auto" w:fill="auto"/>
        </w:rPr>
      </w:pPr>
      <w:r>
        <w:rPr>
          <w:rFonts w:ascii="仿宋" w:hAnsi="仿宋" w:eastAsia="仿宋_GB2312" w:cs="仿宋_GB2312"/>
          <w:sz w:val="32"/>
          <w:szCs w:val="32"/>
          <w:highlight w:val="none"/>
          <w:shd w:val="clear" w:color="auto" w:fill="auto"/>
        </w:rPr>
        <w:t>坚持以习近平生态文明思想为指导，</w:t>
      </w:r>
      <w:r>
        <w:rPr>
          <w:rFonts w:hint="eastAsia" w:ascii="仿宋" w:hAnsi="仿宋" w:eastAsia="仿宋_GB2312" w:cs="仿宋_GB2312"/>
          <w:sz w:val="32"/>
          <w:szCs w:val="32"/>
          <w:highlight w:val="none"/>
          <w:shd w:val="clear" w:color="auto" w:fill="auto"/>
        </w:rPr>
        <w:t>贯彻落实《畜禽规模养殖污染防治条例》和《四川省畜禽养殖污染防治技术指南（试行）》，深入践行创新、协调、绿色、开放、共享的发展理念，以改善区域环境质量、促进畜牧业高质量发展为核心</w:t>
      </w:r>
      <w:r>
        <w:rPr>
          <w:rFonts w:ascii="仿宋" w:hAnsi="仿宋" w:eastAsia="仿宋_GB2312" w:cs="仿宋_GB2312"/>
          <w:sz w:val="32"/>
          <w:szCs w:val="32"/>
          <w:highlight w:val="none"/>
          <w:shd w:val="clear" w:color="auto" w:fill="auto"/>
        </w:rPr>
        <w:t>，以畜禽养殖业可持续发展和改善</w:t>
      </w:r>
      <w:r>
        <w:rPr>
          <w:rFonts w:hint="eastAsia" w:ascii="仿宋" w:hAnsi="仿宋" w:eastAsia="仿宋_GB2312" w:cs="仿宋_GB2312"/>
          <w:sz w:val="32"/>
          <w:szCs w:val="32"/>
          <w:highlight w:val="none"/>
          <w:shd w:val="clear" w:color="auto" w:fill="auto"/>
        </w:rPr>
        <w:t>污染防治水平</w:t>
      </w:r>
      <w:r>
        <w:rPr>
          <w:rFonts w:ascii="仿宋" w:hAnsi="仿宋" w:eastAsia="仿宋_GB2312" w:cs="仿宋_GB2312"/>
          <w:sz w:val="32"/>
          <w:szCs w:val="32"/>
          <w:highlight w:val="none"/>
          <w:shd w:val="clear" w:color="auto" w:fill="auto"/>
        </w:rPr>
        <w:t>为切入点，结合</w:t>
      </w:r>
      <w:r>
        <w:rPr>
          <w:rFonts w:hint="eastAsia" w:ascii="仿宋" w:hAnsi="仿宋" w:eastAsia="仿宋_GB2312" w:cs="仿宋_GB2312"/>
          <w:sz w:val="32"/>
          <w:szCs w:val="32"/>
          <w:highlight w:val="none"/>
          <w:shd w:val="clear" w:color="auto" w:fill="auto"/>
          <w:lang w:eastAsia="zh-CN"/>
        </w:rPr>
        <w:t>旺苍</w:t>
      </w:r>
      <w:r>
        <w:rPr>
          <w:rFonts w:hint="eastAsia" w:ascii="仿宋" w:hAnsi="仿宋" w:eastAsia="仿宋_GB2312" w:cs="仿宋_GB2312"/>
          <w:sz w:val="32"/>
          <w:szCs w:val="32"/>
          <w:highlight w:val="none"/>
          <w:shd w:val="clear" w:color="auto" w:fill="auto"/>
        </w:rPr>
        <w:t>县</w:t>
      </w:r>
      <w:r>
        <w:rPr>
          <w:rFonts w:ascii="仿宋" w:hAnsi="仿宋" w:eastAsia="仿宋_GB2312" w:cs="仿宋_GB2312"/>
          <w:sz w:val="32"/>
          <w:szCs w:val="32"/>
          <w:highlight w:val="none"/>
          <w:shd w:val="clear" w:color="auto" w:fill="auto"/>
        </w:rPr>
        <w:t>生态文明建设要求，调整优化全县畜禽养殖业的生产布局，开展畜禽养殖污染综合防治，改善生态环境质量，保障人民群众身体健康，实现畜禽养殖废物减量化、无害化、资源化和生态化，促进畜牧业生产与生态环境</w:t>
      </w:r>
      <w:r>
        <w:rPr>
          <w:rFonts w:hint="eastAsia" w:ascii="仿宋" w:hAnsi="仿宋" w:cs="仿宋_GB2312"/>
          <w:sz w:val="32"/>
          <w:szCs w:val="32"/>
          <w:highlight w:val="none"/>
          <w:shd w:val="clear" w:color="auto" w:fill="auto"/>
          <w:lang w:val="en-US" w:eastAsia="zh-CN"/>
        </w:rPr>
        <w:t>保护</w:t>
      </w:r>
      <w:r>
        <w:rPr>
          <w:rFonts w:ascii="仿宋" w:hAnsi="仿宋" w:eastAsia="仿宋_GB2312" w:cs="仿宋_GB2312"/>
          <w:sz w:val="32"/>
          <w:szCs w:val="32"/>
          <w:highlight w:val="none"/>
          <w:shd w:val="clear" w:color="auto" w:fill="auto"/>
        </w:rPr>
        <w:t>全面协调</w:t>
      </w:r>
      <w:r>
        <w:rPr>
          <w:rFonts w:hint="eastAsia" w:ascii="仿宋" w:hAnsi="仿宋" w:cs="仿宋_GB2312"/>
          <w:sz w:val="32"/>
          <w:szCs w:val="32"/>
          <w:highlight w:val="none"/>
          <w:shd w:val="clear" w:color="auto" w:fill="auto"/>
          <w:lang w:val="en-US" w:eastAsia="zh-CN"/>
        </w:rPr>
        <w:t>发展</w:t>
      </w:r>
      <w:r>
        <w:rPr>
          <w:rFonts w:hint="eastAsia" w:ascii="仿宋" w:hAnsi="仿宋" w:eastAsia="仿宋_GB2312" w:cs="仿宋_GB2312"/>
          <w:sz w:val="32"/>
          <w:szCs w:val="32"/>
          <w:highlight w:val="none"/>
          <w:shd w:val="clear" w:color="auto" w:fill="auto"/>
        </w:rPr>
        <w:t>，为实施乡村振兴战略提供有力支撑。</w:t>
      </w:r>
      <w:bookmarkEnd w:id="8"/>
    </w:p>
    <w:p>
      <w:pPr>
        <w:bidi w:val="0"/>
        <w:rPr>
          <w:rFonts w:ascii="仿宋" w:hAnsi="仿宋"/>
          <w:highlight w:val="none"/>
        </w:rPr>
      </w:pPr>
    </w:p>
    <w:p>
      <w:pPr>
        <w:keepNext/>
        <w:keepLines/>
        <w:pageBreakBefore w:val="0"/>
        <w:widowControl w:val="0"/>
        <w:kinsoku/>
        <w:wordWrap/>
        <w:overflowPunct/>
        <w:topLinePunct w:val="0"/>
        <w:bidi w:val="0"/>
        <w:snapToGrid/>
        <w:spacing w:line="240" w:lineRule="auto"/>
        <w:ind w:firstLine="0" w:firstLineChars="0"/>
        <w:jc w:val="center"/>
        <w:textAlignment w:val="auto"/>
        <w:outlineLvl w:val="1"/>
        <w:rPr>
          <w:rFonts w:hint="eastAsia" w:ascii="仿宋" w:hAnsi="仿宋" w:eastAsia="仿宋" w:cs="Times New Roman"/>
          <w:b/>
          <w:color w:val="auto"/>
          <w:kern w:val="2"/>
          <w:sz w:val="36"/>
          <w:szCs w:val="36"/>
          <w:highlight w:val="none"/>
          <w:shd w:val="clear" w:color="auto" w:fill="auto"/>
          <w:lang w:val="en-US" w:eastAsia="zh-CN" w:bidi="ar-SA"/>
        </w:rPr>
      </w:pPr>
      <w:bookmarkStart w:id="10" w:name="（二）基本原则"/>
      <w:bookmarkEnd w:id="10"/>
      <w:bookmarkStart w:id="11" w:name="_bookmark5"/>
      <w:bookmarkEnd w:id="11"/>
      <w:bookmarkStart w:id="12" w:name="_Toc3375"/>
      <w:bookmarkStart w:id="13" w:name="_Toc7080"/>
      <w:r>
        <w:rPr>
          <w:rFonts w:hint="eastAsia" w:ascii="仿宋" w:hAnsi="仿宋" w:eastAsia="仿宋" w:cs="Times New Roman"/>
          <w:b/>
          <w:color w:val="auto"/>
          <w:kern w:val="2"/>
          <w:sz w:val="36"/>
          <w:szCs w:val="36"/>
          <w:highlight w:val="none"/>
          <w:shd w:val="clear" w:color="auto" w:fill="auto"/>
          <w:lang w:val="en-US" w:eastAsia="zh-CN" w:bidi="ar-SA"/>
        </w:rPr>
        <w:t>第三节 基本原则</w:t>
      </w:r>
      <w:bookmarkEnd w:id="12"/>
      <w:bookmarkEnd w:id="13"/>
    </w:p>
    <w:p>
      <w:pPr>
        <w:pStyle w:val="14"/>
        <w:spacing w:after="0" w:line="240" w:lineRule="auto"/>
        <w:ind w:left="0" w:leftChars="0" w:right="0" w:rightChars="0" w:firstLine="643" w:firstLineChars="200"/>
        <w:rPr>
          <w:rFonts w:hint="eastAsia" w:ascii="仿宋" w:hAnsi="仿宋"/>
          <w:b/>
          <w:bCs/>
          <w:szCs w:val="32"/>
          <w:highlight w:val="none"/>
          <w:shd w:val="clear" w:color="auto" w:fill="auto"/>
        </w:rPr>
      </w:pPr>
      <w:r>
        <w:rPr>
          <w:rFonts w:ascii="仿宋" w:hAnsi="仿宋"/>
          <w:b/>
          <w:bCs/>
          <w:szCs w:val="32"/>
          <w:highlight w:val="none"/>
          <w:shd w:val="clear" w:color="auto" w:fill="auto"/>
        </w:rPr>
        <w:t>1、空间优化</w:t>
      </w:r>
      <w:r>
        <w:rPr>
          <w:rFonts w:hint="eastAsia" w:ascii="仿宋" w:hAnsi="仿宋"/>
          <w:b/>
          <w:bCs/>
          <w:szCs w:val="32"/>
          <w:highlight w:val="none"/>
          <w:shd w:val="clear" w:color="auto" w:fill="auto"/>
          <w:lang w:eastAsia="zh-CN"/>
        </w:rPr>
        <w:t>、</w:t>
      </w:r>
      <w:r>
        <w:rPr>
          <w:rFonts w:ascii="仿宋" w:hAnsi="仿宋"/>
          <w:b/>
          <w:bCs/>
          <w:szCs w:val="32"/>
          <w:highlight w:val="none"/>
          <w:shd w:val="clear" w:color="auto" w:fill="auto"/>
        </w:rPr>
        <w:t>合理布局</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ascii="仿宋" w:hAnsi="仿宋"/>
          <w:szCs w:val="32"/>
          <w:highlight w:val="none"/>
          <w:shd w:val="clear" w:color="auto" w:fill="auto"/>
        </w:rPr>
        <w:t>通过畜禽养殖禁养区划定方案、</w:t>
      </w:r>
      <w:r>
        <w:rPr>
          <w:rFonts w:hint="eastAsia" w:ascii="仿宋" w:hAnsi="仿宋"/>
          <w:szCs w:val="32"/>
          <w:highlight w:val="none"/>
          <w:shd w:val="clear" w:color="auto" w:fill="auto"/>
          <w:lang w:eastAsia="zh-CN"/>
        </w:rPr>
        <w:t>“</w:t>
      </w:r>
      <w:r>
        <w:rPr>
          <w:rFonts w:ascii="仿宋" w:hAnsi="仿宋"/>
          <w:szCs w:val="32"/>
          <w:highlight w:val="none"/>
          <w:shd w:val="clear" w:color="auto" w:fill="auto"/>
        </w:rPr>
        <w:t>三线一单</w:t>
      </w:r>
      <w:r>
        <w:rPr>
          <w:rFonts w:hint="eastAsia" w:ascii="仿宋" w:hAnsi="仿宋"/>
          <w:szCs w:val="32"/>
          <w:highlight w:val="none"/>
          <w:shd w:val="clear" w:color="auto" w:fill="auto"/>
          <w:lang w:eastAsia="zh-CN"/>
        </w:rPr>
        <w:t>”</w:t>
      </w:r>
      <w:r>
        <w:rPr>
          <w:rFonts w:ascii="仿宋" w:hAnsi="仿宋"/>
          <w:szCs w:val="32"/>
          <w:highlight w:val="none"/>
          <w:shd w:val="clear" w:color="auto" w:fill="auto"/>
        </w:rPr>
        <w:t>生态环境分区管控方案等进一步优化养殖业布局，调整养殖规模，完善治理模式，整合</w:t>
      </w:r>
      <w:r>
        <w:rPr>
          <w:rFonts w:hint="eastAsia" w:ascii="仿宋" w:hAnsi="仿宋"/>
          <w:szCs w:val="32"/>
          <w:highlight w:val="none"/>
          <w:shd w:val="clear" w:color="auto" w:fill="auto"/>
        </w:rPr>
        <w:t>县域</w:t>
      </w:r>
      <w:r>
        <w:rPr>
          <w:rFonts w:ascii="仿宋" w:hAnsi="仿宋"/>
          <w:szCs w:val="32"/>
          <w:highlight w:val="none"/>
          <w:shd w:val="clear" w:color="auto" w:fill="auto"/>
        </w:rPr>
        <w:t>农牧资源，确保规模养殖场与居民集聚区之间留有适当的生态缓冲空间，打造环境友好的畜禽养殖业发展氛围</w:t>
      </w:r>
      <w:r>
        <w:rPr>
          <w:rFonts w:hint="eastAsia" w:ascii="仿宋" w:hAnsi="仿宋"/>
          <w:szCs w:val="32"/>
          <w:highlight w:val="none"/>
          <w:shd w:val="clear" w:color="auto" w:fill="auto"/>
        </w:rPr>
        <w:t>。</w:t>
      </w:r>
    </w:p>
    <w:p>
      <w:pPr>
        <w:pStyle w:val="14"/>
        <w:spacing w:after="0" w:line="240" w:lineRule="auto"/>
        <w:ind w:left="0" w:leftChars="0" w:right="0" w:rightChars="0" w:firstLine="643" w:firstLineChars="200"/>
        <w:rPr>
          <w:rFonts w:hint="eastAsia" w:ascii="仿宋" w:hAnsi="仿宋"/>
          <w:b/>
          <w:bCs/>
          <w:szCs w:val="32"/>
          <w:highlight w:val="none"/>
          <w:shd w:val="clear" w:color="auto" w:fill="auto"/>
        </w:rPr>
      </w:pPr>
      <w:r>
        <w:rPr>
          <w:rFonts w:ascii="仿宋" w:hAnsi="仿宋"/>
          <w:b/>
          <w:bCs/>
          <w:szCs w:val="32"/>
          <w:highlight w:val="none"/>
          <w:shd w:val="clear" w:color="auto" w:fill="auto"/>
        </w:rPr>
        <w:t>2、</w:t>
      </w:r>
      <w:r>
        <w:rPr>
          <w:rFonts w:hint="eastAsia" w:ascii="仿宋" w:hAnsi="仿宋"/>
          <w:b/>
          <w:bCs/>
          <w:szCs w:val="32"/>
          <w:highlight w:val="none"/>
          <w:shd w:val="clear" w:color="auto" w:fill="auto"/>
        </w:rPr>
        <w:t>转变方式</w:t>
      </w:r>
      <w:r>
        <w:rPr>
          <w:rFonts w:hint="eastAsia" w:ascii="仿宋" w:hAnsi="仿宋"/>
          <w:b/>
          <w:bCs/>
          <w:szCs w:val="32"/>
          <w:highlight w:val="none"/>
          <w:shd w:val="clear" w:color="auto" w:fill="auto"/>
          <w:lang w:eastAsia="zh-CN"/>
        </w:rPr>
        <w:t>、</w:t>
      </w:r>
      <w:r>
        <w:rPr>
          <w:rFonts w:hint="eastAsia" w:ascii="仿宋" w:hAnsi="仿宋"/>
          <w:b/>
          <w:bCs/>
          <w:szCs w:val="32"/>
          <w:highlight w:val="none"/>
          <w:shd w:val="clear" w:color="auto" w:fill="auto"/>
        </w:rPr>
        <w:t>绿色发展</w:t>
      </w:r>
    </w:p>
    <w:p>
      <w:pPr>
        <w:pStyle w:val="14"/>
        <w:spacing w:after="0" w:line="240" w:lineRule="auto"/>
        <w:ind w:left="0" w:leftChars="0" w:right="0" w:rightChars="0" w:firstLine="640" w:firstLineChars="200"/>
        <w:rPr>
          <w:rFonts w:hint="eastAsia" w:ascii="仿宋" w:hAnsi="仿宋" w:eastAsia="仿宋_GB2312"/>
          <w:sz w:val="32"/>
          <w:szCs w:val="32"/>
          <w:highlight w:val="none"/>
          <w:shd w:val="clear" w:color="auto" w:fill="auto"/>
          <w:lang w:eastAsia="zh-CN"/>
        </w:rPr>
      </w:pPr>
      <w:r>
        <w:rPr>
          <w:rFonts w:hint="eastAsia" w:ascii="仿宋" w:hAnsi="仿宋" w:eastAsia="仿宋_GB2312"/>
          <w:sz w:val="32"/>
          <w:szCs w:val="32"/>
          <w:highlight w:val="none"/>
          <w:shd w:val="clear" w:color="auto" w:fill="auto"/>
          <w:lang w:eastAsia="zh-CN"/>
        </w:rPr>
        <w:t>把转变农业发展方式作为根本途径，优化种养布局和结构，大力发展绿色、生态、循环农业。全面推进</w:t>
      </w:r>
      <w:r>
        <w:rPr>
          <w:rFonts w:ascii="仿宋" w:hAnsi="仿宋"/>
          <w:szCs w:val="32"/>
          <w:highlight w:val="none"/>
          <w:shd w:val="clear" w:color="auto" w:fill="auto"/>
        </w:rPr>
        <w:t>源头减量、过程控制、综合利用</w:t>
      </w:r>
      <w:r>
        <w:rPr>
          <w:rFonts w:hint="eastAsia" w:ascii="仿宋" w:hAnsi="仿宋" w:eastAsia="仿宋_GB2312"/>
          <w:sz w:val="32"/>
          <w:szCs w:val="32"/>
          <w:highlight w:val="none"/>
          <w:shd w:val="clear" w:color="auto" w:fill="auto"/>
          <w:lang w:eastAsia="zh-CN"/>
        </w:rPr>
        <w:t>，</w:t>
      </w:r>
      <w:r>
        <w:rPr>
          <w:rFonts w:ascii="仿宋" w:hAnsi="仿宋"/>
          <w:szCs w:val="32"/>
          <w:highlight w:val="none"/>
          <w:shd w:val="clear" w:color="auto" w:fill="auto"/>
        </w:rPr>
        <w:t>对畜禽养殖全过程进行监督和管理，完善畜禽养殖企业污染治理技术和配套设施，以提高畜禽养殖废弃物综合利用水平为核心，最大限度地实现畜禽养殖污染物综合利用，对无法实现综合利用的污染物进行无害化处理，</w:t>
      </w:r>
      <w:r>
        <w:rPr>
          <w:rFonts w:hint="eastAsia" w:ascii="仿宋" w:hAnsi="仿宋"/>
          <w:sz w:val="32"/>
          <w:szCs w:val="32"/>
          <w:highlight w:val="none"/>
          <w:shd w:val="clear" w:color="auto" w:fill="auto"/>
          <w:lang w:val="en-US" w:eastAsia="zh-CN"/>
        </w:rPr>
        <w:t>达到</w:t>
      </w:r>
      <w:r>
        <w:rPr>
          <w:rFonts w:hint="eastAsia" w:ascii="仿宋" w:hAnsi="仿宋" w:eastAsia="仿宋_GB2312"/>
          <w:sz w:val="32"/>
          <w:szCs w:val="32"/>
          <w:highlight w:val="none"/>
          <w:shd w:val="clear" w:color="auto" w:fill="auto"/>
          <w:lang w:eastAsia="zh-CN"/>
        </w:rPr>
        <w:t>农业投入品减量化、生产清洁化、废弃物资源化（畜禽粪污无害化处理后肥料化、肥水化利用等）、产业模式生态化</w:t>
      </w:r>
      <w:r>
        <w:rPr>
          <w:rFonts w:hint="eastAsia" w:ascii="仿宋" w:hAnsi="仿宋"/>
          <w:sz w:val="32"/>
          <w:szCs w:val="32"/>
          <w:highlight w:val="none"/>
          <w:shd w:val="clear" w:color="auto" w:fill="auto"/>
          <w:lang w:eastAsia="zh-CN"/>
        </w:rPr>
        <w:t>，</w:t>
      </w:r>
      <w:r>
        <w:rPr>
          <w:rFonts w:ascii="仿宋" w:hAnsi="仿宋"/>
          <w:szCs w:val="32"/>
          <w:highlight w:val="none"/>
          <w:shd w:val="clear" w:color="auto" w:fill="auto"/>
        </w:rPr>
        <w:t>最终实现污染物处理的低成本、高效率</w:t>
      </w:r>
      <w:r>
        <w:rPr>
          <w:rFonts w:hint="eastAsia" w:ascii="仿宋" w:hAnsi="仿宋" w:eastAsia="仿宋_GB2312"/>
          <w:sz w:val="32"/>
          <w:szCs w:val="32"/>
          <w:highlight w:val="none"/>
          <w:shd w:val="clear" w:color="auto" w:fill="auto"/>
          <w:lang w:eastAsia="zh-CN"/>
        </w:rPr>
        <w:t>。</w:t>
      </w:r>
    </w:p>
    <w:p>
      <w:pPr>
        <w:pStyle w:val="14"/>
        <w:spacing w:after="0" w:line="240" w:lineRule="auto"/>
        <w:ind w:left="0" w:leftChars="0" w:right="0" w:rightChars="0" w:firstLine="643" w:firstLineChars="200"/>
        <w:rPr>
          <w:rFonts w:hint="eastAsia" w:ascii="仿宋" w:hAnsi="仿宋"/>
          <w:b/>
          <w:bCs/>
          <w:szCs w:val="32"/>
          <w:highlight w:val="none"/>
          <w:shd w:val="clear" w:color="auto" w:fill="auto"/>
        </w:rPr>
      </w:pPr>
      <w:r>
        <w:rPr>
          <w:rFonts w:ascii="仿宋" w:hAnsi="仿宋"/>
          <w:b/>
          <w:bCs/>
          <w:szCs w:val="32"/>
          <w:highlight w:val="none"/>
          <w:shd w:val="clear" w:color="auto" w:fill="auto"/>
        </w:rPr>
        <w:t>3、分区分类</w:t>
      </w:r>
      <w:r>
        <w:rPr>
          <w:rFonts w:hint="eastAsia" w:ascii="仿宋" w:hAnsi="仿宋"/>
          <w:b/>
          <w:bCs/>
          <w:szCs w:val="32"/>
          <w:highlight w:val="none"/>
          <w:shd w:val="clear" w:color="auto" w:fill="auto"/>
          <w:lang w:eastAsia="zh-CN"/>
        </w:rPr>
        <w:t>、</w:t>
      </w:r>
      <w:r>
        <w:rPr>
          <w:rFonts w:ascii="仿宋" w:hAnsi="仿宋"/>
          <w:b/>
          <w:bCs/>
          <w:szCs w:val="32"/>
          <w:highlight w:val="none"/>
          <w:shd w:val="clear" w:color="auto" w:fill="auto"/>
        </w:rPr>
        <w:t>因地制宜</w:t>
      </w:r>
    </w:p>
    <w:p>
      <w:pPr>
        <w:pStyle w:val="14"/>
        <w:spacing w:after="0" w:line="240" w:lineRule="auto"/>
        <w:ind w:left="0" w:leftChars="0" w:right="0" w:rightChars="0" w:firstLine="640" w:firstLineChars="200"/>
        <w:rPr>
          <w:rFonts w:hint="default" w:ascii="仿宋" w:hAnsi="仿宋" w:eastAsia="仿宋_GB2312"/>
          <w:sz w:val="32"/>
          <w:szCs w:val="32"/>
          <w:highlight w:val="none"/>
          <w:shd w:val="clear" w:color="auto" w:fill="auto"/>
          <w:lang w:val="en-US" w:eastAsia="zh-CN"/>
        </w:rPr>
      </w:pPr>
      <w:r>
        <w:rPr>
          <w:rFonts w:ascii="仿宋" w:hAnsi="仿宋"/>
          <w:szCs w:val="32"/>
          <w:highlight w:val="none"/>
          <w:shd w:val="clear" w:color="auto" w:fill="auto"/>
        </w:rPr>
        <w:t>对不同养殖类型、不同养殖规模、不同养殖技术、位于</w:t>
      </w:r>
      <w:r>
        <w:rPr>
          <w:rFonts w:hint="eastAsia" w:ascii="仿宋" w:hAnsi="仿宋"/>
          <w:szCs w:val="32"/>
          <w:highlight w:val="none"/>
          <w:shd w:val="clear" w:color="auto" w:fill="auto"/>
        </w:rPr>
        <w:t>不</w:t>
      </w:r>
      <w:r>
        <w:rPr>
          <w:rFonts w:ascii="仿宋" w:hAnsi="仿宋"/>
          <w:szCs w:val="32"/>
          <w:highlight w:val="none"/>
          <w:shd w:val="clear" w:color="auto" w:fill="auto"/>
        </w:rPr>
        <w:t>同类型地区的养殖场制定不同的养殖污染管理要求，因地制宜地采取资源综合利用、建设专门的污染物治理设施等方式处置养殖废弃物。</w:t>
      </w:r>
      <w:r>
        <w:rPr>
          <w:rFonts w:hint="eastAsia" w:ascii="仿宋" w:hAnsi="仿宋" w:eastAsia="仿宋_GB2312"/>
          <w:sz w:val="32"/>
          <w:szCs w:val="32"/>
          <w:highlight w:val="none"/>
          <w:shd w:val="clear" w:color="auto" w:fill="auto"/>
          <w:lang w:eastAsia="zh-CN"/>
        </w:rPr>
        <w:t>根据不同地区、不同阶段的治理重点，紧扣关键环节和主要矛盾，优先解决养殖污染和重点区域、敏感区域的污染问题，做到重点突破和统筹推进相统一。</w:t>
      </w:r>
    </w:p>
    <w:p>
      <w:pPr>
        <w:pStyle w:val="14"/>
        <w:spacing w:after="0" w:line="240" w:lineRule="auto"/>
        <w:ind w:left="0" w:leftChars="0" w:right="0" w:rightChars="0" w:firstLine="643" w:firstLineChars="200"/>
        <w:rPr>
          <w:rFonts w:hint="eastAsia" w:ascii="仿宋" w:hAnsi="仿宋"/>
          <w:b/>
          <w:bCs/>
          <w:szCs w:val="32"/>
          <w:highlight w:val="none"/>
          <w:shd w:val="clear" w:color="auto" w:fill="auto"/>
        </w:rPr>
      </w:pPr>
      <w:r>
        <w:rPr>
          <w:rFonts w:ascii="仿宋" w:hAnsi="仿宋"/>
          <w:b/>
          <w:bCs/>
          <w:szCs w:val="32"/>
          <w:highlight w:val="none"/>
          <w:shd w:val="clear" w:color="auto" w:fill="auto"/>
        </w:rPr>
        <w:t>4、规范化</w:t>
      </w:r>
      <w:r>
        <w:rPr>
          <w:rFonts w:hint="eastAsia" w:ascii="仿宋" w:hAnsi="仿宋"/>
          <w:b/>
          <w:bCs/>
          <w:szCs w:val="32"/>
          <w:highlight w:val="none"/>
          <w:shd w:val="clear" w:color="auto" w:fill="auto"/>
          <w:lang w:eastAsia="zh-CN"/>
        </w:rPr>
        <w:t>、</w:t>
      </w:r>
      <w:r>
        <w:rPr>
          <w:rFonts w:ascii="仿宋" w:hAnsi="仿宋"/>
          <w:b/>
          <w:bCs/>
          <w:szCs w:val="32"/>
          <w:highlight w:val="none"/>
          <w:shd w:val="clear" w:color="auto" w:fill="auto"/>
        </w:rPr>
        <w:t>制度化</w:t>
      </w:r>
    </w:p>
    <w:p>
      <w:pPr>
        <w:pStyle w:val="14"/>
        <w:spacing w:after="0" w:line="240" w:lineRule="auto"/>
        <w:ind w:left="0" w:leftChars="0" w:right="0" w:rightChars="0" w:firstLine="640" w:firstLineChars="200"/>
        <w:rPr>
          <w:rFonts w:ascii="仿宋" w:hAnsi="仿宋"/>
          <w:szCs w:val="32"/>
          <w:highlight w:val="none"/>
          <w:shd w:val="clear" w:color="auto" w:fill="auto"/>
        </w:rPr>
      </w:pPr>
      <w:r>
        <w:rPr>
          <w:rFonts w:ascii="仿宋" w:hAnsi="仿宋"/>
          <w:szCs w:val="32"/>
          <w:highlight w:val="none"/>
          <w:shd w:val="clear" w:color="auto" w:fill="auto"/>
        </w:rPr>
        <w:t>加强畜禽养殖业的污染防治工作，进一步促进畜禽养殖业生态消纳和污染治理工作的规范化、制度化，建立健全规范的养殖业准入和退出机制，补充完善相应的监督、管理制度，用制度规范企业的污染治理和排放行为，促进养殖业健康可持续发展。</w:t>
      </w:r>
    </w:p>
    <w:p>
      <w:pPr>
        <w:pStyle w:val="14"/>
        <w:spacing w:after="0" w:line="240" w:lineRule="auto"/>
        <w:ind w:left="0" w:leftChars="0" w:right="0" w:rightChars="0" w:firstLine="643" w:firstLineChars="200"/>
        <w:rPr>
          <w:rFonts w:hint="eastAsia" w:ascii="仿宋" w:hAnsi="仿宋" w:cs="Times New Roman"/>
          <w:b/>
          <w:bCs/>
          <w:szCs w:val="32"/>
          <w:highlight w:val="none"/>
          <w:shd w:val="clear" w:color="auto" w:fill="auto"/>
        </w:rPr>
      </w:pPr>
      <w:r>
        <w:rPr>
          <w:rFonts w:hint="eastAsia" w:ascii="仿宋" w:hAnsi="仿宋" w:cs="Times New Roman"/>
          <w:b/>
          <w:bCs/>
          <w:szCs w:val="32"/>
          <w:highlight w:val="none"/>
          <w:shd w:val="clear" w:color="auto" w:fill="auto"/>
          <w:lang w:val="en-US" w:eastAsia="zh-CN"/>
        </w:rPr>
        <w:t>5、</w:t>
      </w:r>
      <w:r>
        <w:rPr>
          <w:rFonts w:hint="eastAsia" w:ascii="仿宋" w:hAnsi="仿宋" w:cs="Times New Roman"/>
          <w:b/>
          <w:bCs/>
          <w:szCs w:val="32"/>
          <w:highlight w:val="none"/>
          <w:shd w:val="clear" w:color="auto" w:fill="auto"/>
        </w:rPr>
        <w:t>政府引导</w:t>
      </w:r>
      <w:r>
        <w:rPr>
          <w:rFonts w:hint="eastAsia" w:ascii="仿宋" w:hAnsi="仿宋" w:cs="Times New Roman"/>
          <w:b/>
          <w:bCs/>
          <w:szCs w:val="32"/>
          <w:highlight w:val="none"/>
          <w:shd w:val="clear" w:color="auto" w:fill="auto"/>
          <w:lang w:eastAsia="zh-CN"/>
        </w:rPr>
        <w:t>、</w:t>
      </w:r>
      <w:r>
        <w:rPr>
          <w:rFonts w:hint="eastAsia" w:ascii="仿宋" w:hAnsi="仿宋" w:cs="Times New Roman"/>
          <w:b/>
          <w:bCs/>
          <w:szCs w:val="32"/>
          <w:highlight w:val="none"/>
          <w:shd w:val="clear" w:color="auto" w:fill="auto"/>
        </w:rPr>
        <w:t>多元共治</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szCs w:val="32"/>
          <w:highlight w:val="none"/>
          <w:shd w:val="clear" w:color="auto" w:fill="auto"/>
        </w:rPr>
        <w:t>强化政府在统筹规划、政策引导、组织动员等方面的作用，综合运用经济、法律和必要的行政手段，注重激励性措施与强制性措施相结合。广泛调动社会各界的积极性，共同参与建设美丽乡村，保护生态环境。</w:t>
      </w:r>
    </w:p>
    <w:p>
      <w:pPr>
        <w:pStyle w:val="14"/>
        <w:spacing w:after="0" w:line="240" w:lineRule="auto"/>
        <w:ind w:left="0" w:leftChars="0" w:right="0" w:rightChars="0" w:firstLine="643" w:firstLineChars="200"/>
        <w:rPr>
          <w:rFonts w:hint="eastAsia" w:ascii="仿宋" w:hAnsi="仿宋" w:cs="Times New Roman"/>
          <w:b/>
          <w:bCs/>
          <w:szCs w:val="32"/>
          <w:highlight w:val="none"/>
          <w:shd w:val="clear" w:color="auto" w:fill="auto"/>
          <w:lang w:val="en-US" w:eastAsia="zh-CN"/>
        </w:rPr>
      </w:pPr>
      <w:r>
        <w:rPr>
          <w:rFonts w:hint="eastAsia" w:ascii="仿宋" w:hAnsi="仿宋" w:cs="Times New Roman"/>
          <w:b/>
          <w:bCs/>
          <w:szCs w:val="32"/>
          <w:highlight w:val="none"/>
          <w:shd w:val="clear" w:color="auto" w:fill="auto"/>
          <w:lang w:val="en-US" w:eastAsia="zh-CN"/>
        </w:rPr>
        <w:t>6、落实责任、健全机制</w:t>
      </w:r>
    </w:p>
    <w:p>
      <w:pPr>
        <w:pStyle w:val="14"/>
        <w:spacing w:after="0" w:line="240" w:lineRule="auto"/>
        <w:ind w:left="0" w:leftChars="0" w:right="0" w:rightChars="0" w:firstLine="640" w:firstLineChars="200"/>
        <w:rPr>
          <w:rFonts w:ascii="仿宋" w:hAnsi="仿宋"/>
          <w:szCs w:val="32"/>
          <w:highlight w:val="none"/>
          <w:shd w:val="clear" w:color="auto" w:fill="auto"/>
        </w:rPr>
      </w:pPr>
      <w:r>
        <w:rPr>
          <w:rFonts w:hint="eastAsia" w:ascii="仿宋" w:hAnsi="仿宋"/>
          <w:szCs w:val="32"/>
          <w:highlight w:val="none"/>
          <w:shd w:val="clear" w:color="auto" w:fill="auto"/>
        </w:rPr>
        <w:t>落实地方政府统筹推进和监管主体责任，明确部门职责分工，推动</w:t>
      </w:r>
      <w:r>
        <w:rPr>
          <w:rFonts w:hint="eastAsia" w:ascii="仿宋" w:hAnsi="仿宋" w:cs="Times New Roman"/>
          <w:szCs w:val="32"/>
          <w:highlight w:val="none"/>
          <w:shd w:val="clear" w:color="auto" w:fill="auto"/>
        </w:rPr>
        <w:t>部门</w:t>
      </w:r>
      <w:r>
        <w:rPr>
          <w:rFonts w:hint="eastAsia" w:ascii="仿宋" w:hAnsi="仿宋"/>
          <w:szCs w:val="32"/>
          <w:highlight w:val="none"/>
          <w:shd w:val="clear" w:color="auto" w:fill="auto"/>
        </w:rPr>
        <w:t>协同、齐抓共管。坚持“谁污染谁治理，谁受益谁付费”，强化规模化种养主体防治污染的首要责任，健全污染防治投入、建设、运行和管护机制。</w:t>
      </w:r>
    </w:p>
    <w:p>
      <w:pPr>
        <w:bidi w:val="0"/>
        <w:rPr>
          <w:rFonts w:hint="eastAsia" w:ascii="仿宋" w:hAnsi="仿宋"/>
          <w:highlight w:val="none"/>
          <w:shd w:val="clear" w:color="auto" w:fill="auto"/>
        </w:rPr>
      </w:pPr>
      <w:bookmarkStart w:id="14" w:name="_bookmark6"/>
      <w:bookmarkEnd w:id="14"/>
      <w:bookmarkStart w:id="15" w:name="（三）主要依据"/>
      <w:bookmarkEnd w:id="15"/>
    </w:p>
    <w:p>
      <w:pPr>
        <w:keepNext/>
        <w:keepLines/>
        <w:pageBreakBefore w:val="0"/>
        <w:widowControl w:val="0"/>
        <w:kinsoku/>
        <w:wordWrap/>
        <w:overflowPunct/>
        <w:topLinePunct w:val="0"/>
        <w:bidi w:val="0"/>
        <w:snapToGrid/>
        <w:spacing w:line="240" w:lineRule="auto"/>
        <w:ind w:firstLine="0" w:firstLineChars="0"/>
        <w:jc w:val="center"/>
        <w:textAlignment w:val="auto"/>
        <w:outlineLvl w:val="1"/>
        <w:rPr>
          <w:rFonts w:hint="eastAsia" w:ascii="仿宋" w:hAnsi="仿宋" w:eastAsia="仿宋" w:cs="Times New Roman"/>
          <w:b/>
          <w:color w:val="auto"/>
          <w:kern w:val="2"/>
          <w:sz w:val="36"/>
          <w:szCs w:val="36"/>
          <w:highlight w:val="none"/>
          <w:shd w:val="clear" w:color="auto" w:fill="auto"/>
          <w:lang w:val="en-US" w:eastAsia="zh-CN" w:bidi="ar-SA"/>
        </w:rPr>
      </w:pPr>
      <w:bookmarkStart w:id="16" w:name="_Toc5194"/>
      <w:bookmarkStart w:id="17" w:name="_Toc28372"/>
      <w:r>
        <w:rPr>
          <w:rFonts w:hint="eastAsia" w:ascii="仿宋" w:hAnsi="仿宋" w:eastAsia="仿宋" w:cs="Times New Roman"/>
          <w:b/>
          <w:color w:val="auto"/>
          <w:kern w:val="2"/>
          <w:sz w:val="36"/>
          <w:szCs w:val="36"/>
          <w:highlight w:val="none"/>
          <w:shd w:val="clear" w:color="auto" w:fill="auto"/>
          <w:lang w:val="en-US" w:eastAsia="zh-CN" w:bidi="ar-SA"/>
        </w:rPr>
        <w:t>第四节 主要依据</w:t>
      </w:r>
      <w:bookmarkEnd w:id="16"/>
      <w:bookmarkEnd w:id="17"/>
    </w:p>
    <w:p>
      <w:pPr>
        <w:spacing w:line="240" w:lineRule="auto"/>
        <w:ind w:firstLine="643" w:firstLineChars="200"/>
        <w:rPr>
          <w:rFonts w:ascii="仿宋" w:hAnsi="仿宋" w:eastAsia="仿宋_GB2312"/>
          <w:b/>
          <w:bCs/>
          <w:color w:val="000000"/>
          <w:sz w:val="32"/>
          <w:szCs w:val="32"/>
          <w:highlight w:val="none"/>
          <w:shd w:val="clear" w:color="auto" w:fill="auto"/>
        </w:rPr>
      </w:pPr>
      <w:bookmarkStart w:id="18" w:name="_Toc7656"/>
      <w:bookmarkStart w:id="19" w:name="_Toc18137"/>
      <w:bookmarkStart w:id="20" w:name="_Toc25070"/>
      <w:bookmarkStart w:id="21" w:name="_Toc22402534"/>
      <w:r>
        <w:rPr>
          <w:rFonts w:hint="eastAsia" w:ascii="仿宋" w:hAnsi="仿宋" w:eastAsia="仿宋_GB2312"/>
          <w:b/>
          <w:bCs/>
          <w:color w:val="000000"/>
          <w:sz w:val="32"/>
          <w:szCs w:val="32"/>
          <w:highlight w:val="none"/>
          <w:shd w:val="clear" w:color="auto" w:fill="auto"/>
          <w:lang w:val="en-US" w:eastAsia="zh-CN"/>
        </w:rPr>
        <w:t>一</w:t>
      </w:r>
      <w:r>
        <w:rPr>
          <w:rFonts w:ascii="仿宋" w:hAnsi="仿宋" w:eastAsia="仿宋_GB2312"/>
          <w:b/>
          <w:bCs/>
          <w:color w:val="000000"/>
          <w:sz w:val="32"/>
          <w:szCs w:val="32"/>
          <w:highlight w:val="none"/>
          <w:shd w:val="clear" w:color="auto" w:fill="auto"/>
        </w:rPr>
        <w:t>、法律法规</w:t>
      </w:r>
      <w:bookmarkEnd w:id="18"/>
      <w:bookmarkEnd w:id="19"/>
      <w:bookmarkEnd w:id="20"/>
      <w:bookmarkEnd w:id="21"/>
    </w:p>
    <w:p>
      <w:pPr>
        <w:pStyle w:val="14"/>
        <w:keepNext w:val="0"/>
        <w:keepLines w:val="0"/>
        <w:pageBreakBefore w:val="0"/>
        <w:widowControl w:val="0"/>
        <w:numPr>
          <w:ilvl w:val="0"/>
          <w:numId w:val="2"/>
        </w:numPr>
        <w:kinsoku/>
        <w:wordWrap/>
        <w:overflowPunct/>
        <w:topLinePunct w:val="0"/>
        <w:bidi w:val="0"/>
        <w:snapToGrid/>
        <w:spacing w:after="0" w:line="240" w:lineRule="auto"/>
        <w:ind w:left="0" w:leftChars="0" w:right="0" w:rightChars="0" w:firstLine="640" w:firstLineChars="200"/>
        <w:textAlignment w:val="auto"/>
        <w:rPr>
          <w:rFonts w:hint="eastAsia" w:ascii="仿宋" w:hAnsi="仿宋" w:eastAsia="仿宋_GB2312"/>
          <w:szCs w:val="32"/>
          <w:highlight w:val="none"/>
          <w:shd w:val="clear" w:color="auto" w:fill="auto"/>
          <w:lang w:eastAsia="zh-CN"/>
        </w:rPr>
      </w:pPr>
      <w:r>
        <w:rPr>
          <w:rFonts w:ascii="仿宋" w:hAnsi="仿宋"/>
          <w:szCs w:val="32"/>
          <w:highlight w:val="none"/>
          <w:shd w:val="clear" w:color="auto" w:fill="auto"/>
        </w:rPr>
        <w:t>《中华人民共和国环境保护法》（2014年修订）</w:t>
      </w:r>
      <w:r>
        <w:rPr>
          <w:rFonts w:hint="eastAsia" w:ascii="仿宋" w:hAnsi="仿宋"/>
          <w:szCs w:val="32"/>
          <w:highlight w:val="none"/>
          <w:shd w:val="clear" w:color="auto" w:fill="auto"/>
          <w:lang w:eastAsia="zh-CN"/>
        </w:rPr>
        <w:t>；</w:t>
      </w:r>
    </w:p>
    <w:p>
      <w:pPr>
        <w:pStyle w:val="14"/>
        <w:keepNext w:val="0"/>
        <w:keepLines w:val="0"/>
        <w:pageBreakBefore w:val="0"/>
        <w:widowControl w:val="0"/>
        <w:numPr>
          <w:ilvl w:val="0"/>
          <w:numId w:val="2"/>
        </w:numPr>
        <w:kinsoku/>
        <w:wordWrap/>
        <w:overflowPunct/>
        <w:topLinePunct w:val="0"/>
        <w:bidi w:val="0"/>
        <w:snapToGrid/>
        <w:spacing w:after="0" w:line="240" w:lineRule="auto"/>
        <w:ind w:left="0" w:leftChars="0" w:right="0" w:rightChars="0" w:firstLine="640" w:firstLineChars="200"/>
        <w:textAlignment w:val="auto"/>
        <w:rPr>
          <w:rFonts w:hint="eastAsia" w:ascii="仿宋" w:hAnsi="仿宋" w:eastAsia="仿宋_GB2312"/>
          <w:szCs w:val="32"/>
          <w:highlight w:val="none"/>
          <w:shd w:val="clear" w:color="auto" w:fill="auto"/>
          <w:lang w:eastAsia="zh-CN"/>
        </w:rPr>
      </w:pPr>
      <w:r>
        <w:rPr>
          <w:rFonts w:hint="eastAsia" w:ascii="仿宋" w:hAnsi="仿宋" w:eastAsia="仿宋_GB2312"/>
          <w:szCs w:val="32"/>
          <w:highlight w:val="none"/>
          <w:shd w:val="clear" w:color="auto" w:fill="auto"/>
          <w:lang w:eastAsia="zh-CN"/>
        </w:rPr>
        <w:t>《中华人民共和国水污染防治法》</w:t>
      </w:r>
      <w:r>
        <w:rPr>
          <w:rFonts w:ascii="仿宋" w:hAnsi="仿宋"/>
          <w:szCs w:val="32"/>
          <w:highlight w:val="none"/>
          <w:shd w:val="clear" w:color="auto" w:fill="auto"/>
        </w:rPr>
        <w:t>（201</w:t>
      </w:r>
      <w:r>
        <w:rPr>
          <w:rFonts w:hint="eastAsia" w:ascii="仿宋" w:hAnsi="仿宋"/>
          <w:szCs w:val="32"/>
          <w:highlight w:val="none"/>
          <w:shd w:val="clear" w:color="auto" w:fill="auto"/>
          <w:lang w:val="en-US" w:eastAsia="zh-CN"/>
        </w:rPr>
        <w:t>7</w:t>
      </w:r>
      <w:r>
        <w:rPr>
          <w:rFonts w:ascii="仿宋" w:hAnsi="仿宋"/>
          <w:szCs w:val="32"/>
          <w:highlight w:val="none"/>
          <w:shd w:val="clear" w:color="auto" w:fill="auto"/>
        </w:rPr>
        <w:t>年修订）</w:t>
      </w:r>
      <w:r>
        <w:rPr>
          <w:rFonts w:hint="eastAsia" w:ascii="仿宋" w:hAnsi="仿宋"/>
          <w:szCs w:val="32"/>
          <w:highlight w:val="none"/>
          <w:shd w:val="clear" w:color="auto" w:fill="auto"/>
          <w:lang w:eastAsia="zh-CN"/>
        </w:rPr>
        <w:t>；</w:t>
      </w:r>
    </w:p>
    <w:p>
      <w:pPr>
        <w:pStyle w:val="14"/>
        <w:keepNext w:val="0"/>
        <w:keepLines w:val="0"/>
        <w:pageBreakBefore w:val="0"/>
        <w:widowControl w:val="0"/>
        <w:numPr>
          <w:ilvl w:val="0"/>
          <w:numId w:val="2"/>
        </w:numPr>
        <w:kinsoku/>
        <w:wordWrap/>
        <w:overflowPunct/>
        <w:topLinePunct w:val="0"/>
        <w:bidi w:val="0"/>
        <w:snapToGrid/>
        <w:spacing w:after="0" w:line="240" w:lineRule="auto"/>
        <w:ind w:left="0" w:leftChars="0" w:right="0" w:rightChars="0" w:firstLine="640" w:firstLineChars="200"/>
        <w:textAlignment w:val="auto"/>
        <w:rPr>
          <w:rFonts w:hint="eastAsia" w:ascii="仿宋" w:hAnsi="仿宋" w:eastAsia="仿宋_GB2312"/>
          <w:szCs w:val="32"/>
          <w:highlight w:val="none"/>
          <w:shd w:val="clear" w:color="auto" w:fill="auto"/>
          <w:lang w:eastAsia="zh-CN"/>
        </w:rPr>
      </w:pPr>
      <w:r>
        <w:rPr>
          <w:rFonts w:hint="eastAsia" w:ascii="仿宋" w:hAnsi="仿宋" w:eastAsia="仿宋_GB2312"/>
          <w:szCs w:val="32"/>
          <w:highlight w:val="none"/>
          <w:shd w:val="clear" w:color="auto" w:fill="auto"/>
          <w:lang w:eastAsia="zh-CN"/>
        </w:rPr>
        <w:t>《中华人民共和国大气污染防治法》</w:t>
      </w:r>
      <w:r>
        <w:rPr>
          <w:rFonts w:ascii="仿宋" w:hAnsi="仿宋"/>
          <w:szCs w:val="32"/>
          <w:highlight w:val="none"/>
          <w:shd w:val="clear" w:color="auto" w:fill="auto"/>
        </w:rPr>
        <w:t>（201</w:t>
      </w:r>
      <w:r>
        <w:rPr>
          <w:rFonts w:hint="eastAsia" w:ascii="仿宋" w:hAnsi="仿宋"/>
          <w:szCs w:val="32"/>
          <w:highlight w:val="none"/>
          <w:shd w:val="clear" w:color="auto" w:fill="auto"/>
          <w:lang w:val="en-US" w:eastAsia="zh-CN"/>
        </w:rPr>
        <w:t>8</w:t>
      </w:r>
      <w:r>
        <w:rPr>
          <w:rFonts w:ascii="仿宋" w:hAnsi="仿宋"/>
          <w:szCs w:val="32"/>
          <w:highlight w:val="none"/>
          <w:shd w:val="clear" w:color="auto" w:fill="auto"/>
        </w:rPr>
        <w:t>年修订）</w:t>
      </w:r>
      <w:r>
        <w:rPr>
          <w:rFonts w:hint="eastAsia" w:ascii="仿宋" w:hAnsi="仿宋"/>
          <w:szCs w:val="32"/>
          <w:highlight w:val="none"/>
          <w:shd w:val="clear" w:color="auto" w:fill="auto"/>
          <w:lang w:eastAsia="zh-CN"/>
        </w:rPr>
        <w:t>；</w:t>
      </w:r>
    </w:p>
    <w:p>
      <w:pPr>
        <w:pStyle w:val="14"/>
        <w:keepNext w:val="0"/>
        <w:keepLines w:val="0"/>
        <w:pageBreakBefore w:val="0"/>
        <w:widowControl w:val="0"/>
        <w:numPr>
          <w:ilvl w:val="0"/>
          <w:numId w:val="2"/>
        </w:numPr>
        <w:kinsoku/>
        <w:wordWrap/>
        <w:overflowPunct/>
        <w:topLinePunct w:val="0"/>
        <w:bidi w:val="0"/>
        <w:snapToGrid/>
        <w:spacing w:after="0" w:line="240" w:lineRule="auto"/>
        <w:ind w:left="0" w:leftChars="0" w:right="0" w:rightChars="0" w:firstLine="640" w:firstLineChars="200"/>
        <w:textAlignment w:val="auto"/>
        <w:rPr>
          <w:rFonts w:hint="eastAsia" w:ascii="仿宋" w:hAnsi="仿宋" w:eastAsia="仿宋_GB2312"/>
          <w:szCs w:val="32"/>
          <w:highlight w:val="none"/>
          <w:shd w:val="clear" w:color="auto" w:fill="auto"/>
          <w:lang w:eastAsia="zh-CN"/>
        </w:rPr>
      </w:pPr>
      <w:r>
        <w:rPr>
          <w:rFonts w:hint="eastAsia" w:ascii="仿宋" w:hAnsi="仿宋" w:eastAsia="仿宋_GB2312"/>
          <w:szCs w:val="32"/>
          <w:highlight w:val="none"/>
          <w:shd w:val="clear" w:color="auto" w:fill="auto"/>
          <w:lang w:eastAsia="zh-CN"/>
        </w:rPr>
        <w:t>《中华人民共和国土壤污染防治法》</w:t>
      </w:r>
      <w:r>
        <w:rPr>
          <w:rFonts w:ascii="仿宋" w:hAnsi="仿宋"/>
          <w:szCs w:val="32"/>
          <w:highlight w:val="none"/>
          <w:shd w:val="clear" w:color="auto" w:fill="auto"/>
        </w:rPr>
        <w:t>（201</w:t>
      </w:r>
      <w:r>
        <w:rPr>
          <w:rFonts w:hint="eastAsia" w:ascii="仿宋" w:hAnsi="仿宋"/>
          <w:szCs w:val="32"/>
          <w:highlight w:val="none"/>
          <w:shd w:val="clear" w:color="auto" w:fill="auto"/>
          <w:lang w:val="en-US" w:eastAsia="zh-CN"/>
        </w:rPr>
        <w:t>8</w:t>
      </w:r>
      <w:r>
        <w:rPr>
          <w:rFonts w:ascii="仿宋" w:hAnsi="仿宋"/>
          <w:szCs w:val="32"/>
          <w:highlight w:val="none"/>
          <w:shd w:val="clear" w:color="auto" w:fill="auto"/>
        </w:rPr>
        <w:t>年）</w:t>
      </w:r>
      <w:r>
        <w:rPr>
          <w:rFonts w:hint="eastAsia" w:ascii="仿宋" w:hAnsi="仿宋"/>
          <w:szCs w:val="32"/>
          <w:highlight w:val="none"/>
          <w:shd w:val="clear" w:color="auto" w:fill="auto"/>
          <w:lang w:eastAsia="zh-CN"/>
        </w:rPr>
        <w:t>；</w:t>
      </w:r>
    </w:p>
    <w:p>
      <w:pPr>
        <w:pStyle w:val="14"/>
        <w:keepNext w:val="0"/>
        <w:keepLines w:val="0"/>
        <w:pageBreakBefore w:val="0"/>
        <w:widowControl w:val="0"/>
        <w:numPr>
          <w:ilvl w:val="0"/>
          <w:numId w:val="2"/>
        </w:numPr>
        <w:kinsoku/>
        <w:wordWrap/>
        <w:overflowPunct/>
        <w:topLinePunct w:val="0"/>
        <w:bidi w:val="0"/>
        <w:snapToGrid/>
        <w:spacing w:after="0" w:line="240" w:lineRule="auto"/>
        <w:ind w:left="0" w:leftChars="0" w:right="0" w:rightChars="0" w:firstLine="640" w:firstLineChars="200"/>
        <w:textAlignment w:val="auto"/>
        <w:rPr>
          <w:rFonts w:hint="eastAsia" w:ascii="仿宋" w:hAnsi="仿宋" w:eastAsia="仿宋_GB2312"/>
          <w:szCs w:val="32"/>
          <w:highlight w:val="none"/>
          <w:shd w:val="clear" w:color="auto" w:fill="auto"/>
          <w:lang w:eastAsia="zh-CN"/>
        </w:rPr>
      </w:pPr>
      <w:r>
        <w:rPr>
          <w:rFonts w:hint="eastAsia" w:ascii="仿宋" w:hAnsi="仿宋" w:eastAsia="仿宋_GB2312"/>
          <w:szCs w:val="32"/>
          <w:highlight w:val="none"/>
          <w:shd w:val="clear" w:color="auto" w:fill="auto"/>
          <w:lang w:eastAsia="zh-CN"/>
        </w:rPr>
        <w:t>《中华人民共和国固体废物污染环境防治法》</w:t>
      </w:r>
      <w:r>
        <w:rPr>
          <w:rFonts w:ascii="仿宋" w:hAnsi="仿宋"/>
          <w:szCs w:val="32"/>
          <w:highlight w:val="none"/>
          <w:shd w:val="clear" w:color="auto" w:fill="auto"/>
        </w:rPr>
        <w:t>（20</w:t>
      </w:r>
      <w:r>
        <w:rPr>
          <w:rFonts w:hint="eastAsia" w:ascii="仿宋" w:hAnsi="仿宋"/>
          <w:szCs w:val="32"/>
          <w:highlight w:val="none"/>
          <w:shd w:val="clear" w:color="auto" w:fill="auto"/>
          <w:lang w:val="en-US" w:eastAsia="zh-CN"/>
        </w:rPr>
        <w:t>20</w:t>
      </w:r>
      <w:r>
        <w:rPr>
          <w:rFonts w:ascii="仿宋" w:hAnsi="仿宋"/>
          <w:szCs w:val="32"/>
          <w:highlight w:val="none"/>
          <w:shd w:val="clear" w:color="auto" w:fill="auto"/>
        </w:rPr>
        <w:t>年修订）</w:t>
      </w:r>
      <w:r>
        <w:rPr>
          <w:rFonts w:hint="eastAsia" w:ascii="仿宋" w:hAnsi="仿宋"/>
          <w:szCs w:val="32"/>
          <w:highlight w:val="none"/>
          <w:shd w:val="clear" w:color="auto" w:fill="auto"/>
          <w:lang w:eastAsia="zh-CN"/>
        </w:rPr>
        <w:t>；</w:t>
      </w:r>
    </w:p>
    <w:p>
      <w:pPr>
        <w:pStyle w:val="14"/>
        <w:keepNext w:val="0"/>
        <w:keepLines w:val="0"/>
        <w:pageBreakBefore w:val="0"/>
        <w:widowControl w:val="0"/>
        <w:numPr>
          <w:ilvl w:val="0"/>
          <w:numId w:val="2"/>
        </w:numPr>
        <w:kinsoku/>
        <w:wordWrap/>
        <w:overflowPunct/>
        <w:topLinePunct w:val="0"/>
        <w:bidi w:val="0"/>
        <w:snapToGrid/>
        <w:spacing w:after="0" w:line="240" w:lineRule="auto"/>
        <w:ind w:left="0" w:leftChars="0" w:right="0" w:rightChars="0" w:firstLine="640" w:firstLineChars="200"/>
        <w:textAlignment w:val="auto"/>
        <w:rPr>
          <w:rFonts w:hint="eastAsia" w:ascii="仿宋" w:hAnsi="仿宋" w:eastAsia="仿宋_GB2312"/>
          <w:szCs w:val="32"/>
          <w:highlight w:val="none"/>
          <w:shd w:val="clear" w:color="auto" w:fill="auto"/>
          <w:lang w:eastAsia="zh-CN"/>
        </w:rPr>
      </w:pPr>
      <w:r>
        <w:rPr>
          <w:rFonts w:ascii="仿宋" w:hAnsi="仿宋"/>
          <w:szCs w:val="32"/>
          <w:highlight w:val="none"/>
          <w:shd w:val="clear" w:color="auto" w:fill="auto"/>
        </w:rPr>
        <w:t>《中华人民共和国畜牧法》（2015年）</w:t>
      </w:r>
      <w:r>
        <w:rPr>
          <w:rFonts w:hint="eastAsia" w:ascii="仿宋" w:hAnsi="仿宋"/>
          <w:szCs w:val="32"/>
          <w:highlight w:val="none"/>
          <w:shd w:val="clear" w:color="auto" w:fill="auto"/>
          <w:lang w:eastAsia="zh-CN"/>
        </w:rPr>
        <w:t>；</w:t>
      </w:r>
    </w:p>
    <w:p>
      <w:pPr>
        <w:pStyle w:val="14"/>
        <w:keepNext w:val="0"/>
        <w:keepLines w:val="0"/>
        <w:pageBreakBefore w:val="0"/>
        <w:widowControl w:val="0"/>
        <w:numPr>
          <w:ilvl w:val="0"/>
          <w:numId w:val="2"/>
        </w:numPr>
        <w:kinsoku/>
        <w:wordWrap/>
        <w:overflowPunct/>
        <w:topLinePunct w:val="0"/>
        <w:bidi w:val="0"/>
        <w:snapToGrid/>
        <w:spacing w:after="0" w:line="240" w:lineRule="auto"/>
        <w:ind w:left="0" w:leftChars="0" w:right="0" w:rightChars="0" w:firstLine="640" w:firstLineChars="200"/>
        <w:textAlignment w:val="auto"/>
        <w:rPr>
          <w:rFonts w:hint="eastAsia" w:ascii="仿宋" w:hAnsi="仿宋" w:eastAsia="仿宋_GB2312"/>
          <w:szCs w:val="32"/>
          <w:highlight w:val="none"/>
          <w:shd w:val="clear" w:color="auto" w:fill="auto"/>
          <w:lang w:eastAsia="zh-CN"/>
        </w:rPr>
      </w:pPr>
      <w:r>
        <w:rPr>
          <w:rFonts w:ascii="仿宋" w:hAnsi="仿宋"/>
          <w:szCs w:val="32"/>
          <w:highlight w:val="none"/>
          <w:shd w:val="clear" w:color="auto" w:fill="auto"/>
        </w:rPr>
        <w:t>《畜禽规模养殖污染防治条例》（国务院643号令）</w:t>
      </w:r>
      <w:r>
        <w:rPr>
          <w:rFonts w:hint="eastAsia" w:ascii="仿宋" w:hAnsi="仿宋"/>
          <w:szCs w:val="32"/>
          <w:highlight w:val="none"/>
          <w:shd w:val="clear" w:color="auto" w:fill="auto"/>
          <w:lang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240" w:lineRule="auto"/>
        <w:ind w:left="0" w:leftChars="0" w:firstLine="640" w:firstLineChars="200"/>
        <w:textAlignment w:val="auto"/>
        <w:rPr>
          <w:rFonts w:hint="eastAsia" w:ascii="仿宋" w:hAnsi="仿宋" w:eastAsia="仿宋_GB2312"/>
          <w:sz w:val="32"/>
          <w:szCs w:val="32"/>
          <w:highlight w:val="none"/>
          <w:shd w:val="clear" w:color="auto" w:fill="auto"/>
          <w:lang w:val="en-US" w:eastAsia="zh-CN"/>
        </w:rPr>
      </w:pPr>
      <w:r>
        <w:rPr>
          <w:rFonts w:hint="eastAsia" w:ascii="仿宋" w:hAnsi="仿宋" w:eastAsia="仿宋_GB2312"/>
          <w:sz w:val="32"/>
          <w:szCs w:val="32"/>
          <w:highlight w:val="none"/>
          <w:shd w:val="clear" w:color="auto" w:fill="auto"/>
        </w:rPr>
        <w:t>《动物防疫法》（2021年）</w:t>
      </w:r>
      <w:r>
        <w:rPr>
          <w:rFonts w:hint="eastAsia" w:ascii="仿宋" w:hAnsi="仿宋" w:eastAsia="仿宋_GB2312"/>
          <w:sz w:val="32"/>
          <w:szCs w:val="32"/>
          <w:highlight w:val="none"/>
          <w:shd w:val="clear" w:color="auto" w:fill="auto"/>
          <w:lang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240" w:lineRule="auto"/>
        <w:ind w:left="0" w:leftChars="0" w:firstLine="640" w:firstLineChars="200"/>
        <w:textAlignment w:val="auto"/>
        <w:rPr>
          <w:rFonts w:ascii="仿宋" w:hAnsi="仿宋" w:eastAsia="仿宋_GB2312"/>
          <w:color w:val="000000"/>
          <w:sz w:val="32"/>
          <w:szCs w:val="32"/>
          <w:highlight w:val="none"/>
          <w:shd w:val="clear" w:color="auto" w:fill="auto"/>
        </w:rPr>
      </w:pPr>
      <w:r>
        <w:rPr>
          <w:rFonts w:hint="eastAsia" w:ascii="仿宋" w:hAnsi="仿宋" w:eastAsia="仿宋_GB2312"/>
          <w:color w:val="000000"/>
          <w:sz w:val="32"/>
          <w:szCs w:val="32"/>
          <w:highlight w:val="none"/>
          <w:shd w:val="clear" w:color="auto" w:fill="auto"/>
        </w:rPr>
        <w:t>《基本农田保护条例》</w:t>
      </w:r>
      <w:r>
        <w:rPr>
          <w:rFonts w:hint="eastAsia" w:ascii="仿宋" w:hAnsi="仿宋" w:eastAsia="仿宋_GB2312"/>
          <w:color w:val="000000"/>
          <w:sz w:val="32"/>
          <w:szCs w:val="32"/>
          <w:highlight w:val="none"/>
          <w:shd w:val="clear" w:color="auto" w:fill="auto"/>
          <w:lang w:eastAsia="zh-CN"/>
        </w:rPr>
        <w:t>（</w:t>
      </w:r>
      <w:r>
        <w:rPr>
          <w:rFonts w:hint="eastAsia" w:ascii="仿宋" w:hAnsi="仿宋" w:eastAsia="仿宋_GB2312"/>
          <w:color w:val="000000"/>
          <w:sz w:val="32"/>
          <w:szCs w:val="32"/>
          <w:highlight w:val="none"/>
          <w:shd w:val="clear" w:color="auto" w:fill="auto"/>
        </w:rPr>
        <w:t>2</w:t>
      </w:r>
      <w:r>
        <w:rPr>
          <w:rFonts w:ascii="仿宋" w:hAnsi="仿宋" w:eastAsia="仿宋_GB2312"/>
          <w:color w:val="000000"/>
          <w:sz w:val="32"/>
          <w:szCs w:val="32"/>
          <w:highlight w:val="none"/>
          <w:shd w:val="clear" w:color="auto" w:fill="auto"/>
        </w:rPr>
        <w:t>011</w:t>
      </w:r>
      <w:r>
        <w:rPr>
          <w:rFonts w:hint="eastAsia" w:ascii="仿宋" w:hAnsi="仿宋" w:eastAsia="仿宋_GB2312"/>
          <w:color w:val="000000"/>
          <w:sz w:val="32"/>
          <w:szCs w:val="32"/>
          <w:highlight w:val="none"/>
          <w:shd w:val="clear" w:color="auto" w:fill="auto"/>
        </w:rPr>
        <w:t>年修订</w:t>
      </w:r>
      <w:r>
        <w:rPr>
          <w:rFonts w:hint="eastAsia" w:ascii="仿宋" w:hAnsi="仿宋" w:eastAsia="仿宋_GB2312"/>
          <w:color w:val="000000"/>
          <w:sz w:val="32"/>
          <w:szCs w:val="32"/>
          <w:highlight w:val="none"/>
          <w:shd w:val="clear" w:color="auto" w:fill="auto"/>
          <w:lang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240" w:lineRule="auto"/>
        <w:ind w:left="0" w:leftChars="0" w:firstLine="640" w:firstLineChars="200"/>
        <w:textAlignment w:val="auto"/>
        <w:rPr>
          <w:rFonts w:hint="eastAsia" w:ascii="仿宋" w:hAnsi="仿宋" w:eastAsia="仿宋_GB2312"/>
          <w:color w:val="000000"/>
          <w:sz w:val="32"/>
          <w:szCs w:val="32"/>
          <w:highlight w:val="none"/>
          <w:shd w:val="clear" w:color="auto" w:fill="auto"/>
        </w:rPr>
      </w:pPr>
      <w:r>
        <w:rPr>
          <w:rFonts w:hint="eastAsia" w:ascii="仿宋" w:hAnsi="仿宋" w:eastAsia="仿宋_GB2312"/>
          <w:color w:val="000000"/>
          <w:sz w:val="32"/>
          <w:szCs w:val="32"/>
          <w:highlight w:val="none"/>
          <w:shd w:val="clear" w:color="auto" w:fill="auto"/>
          <w:lang w:eastAsia="zh-CN"/>
        </w:rPr>
        <w:t>《风景名胜区条例》（国务院</w:t>
      </w:r>
      <w:r>
        <w:rPr>
          <w:rFonts w:hint="eastAsia" w:ascii="仿宋" w:hAnsi="仿宋" w:eastAsia="仿宋_GB2312"/>
          <w:color w:val="000000"/>
          <w:sz w:val="32"/>
          <w:szCs w:val="32"/>
          <w:highlight w:val="none"/>
          <w:shd w:val="clear" w:color="auto" w:fill="auto"/>
          <w:lang w:val="en-US" w:eastAsia="zh-CN"/>
        </w:rPr>
        <w:t>474号</w:t>
      </w:r>
      <w:r>
        <w:rPr>
          <w:rFonts w:hint="eastAsia" w:ascii="仿宋" w:hAnsi="仿宋" w:eastAsia="仿宋_GB2312"/>
          <w:color w:val="000000"/>
          <w:sz w:val="32"/>
          <w:szCs w:val="32"/>
          <w:highlight w:val="none"/>
          <w:shd w:val="clear" w:color="auto" w:fill="auto"/>
          <w:lang w:eastAsia="zh-CN"/>
        </w:rPr>
        <w:t>令）；</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240" w:lineRule="auto"/>
        <w:ind w:left="0" w:leftChars="0" w:firstLine="640" w:firstLineChars="200"/>
        <w:textAlignment w:val="auto"/>
        <w:rPr>
          <w:rFonts w:hint="eastAsia" w:ascii="仿宋" w:hAnsi="仿宋" w:eastAsia="仿宋_GB2312"/>
          <w:color w:val="000000"/>
          <w:sz w:val="32"/>
          <w:szCs w:val="32"/>
          <w:highlight w:val="none"/>
          <w:shd w:val="clear" w:color="auto" w:fill="auto"/>
        </w:rPr>
      </w:pPr>
      <w:r>
        <w:rPr>
          <w:rFonts w:hint="eastAsia" w:ascii="仿宋" w:hAnsi="仿宋" w:eastAsia="仿宋_GB2312"/>
          <w:color w:val="000000"/>
          <w:sz w:val="32"/>
          <w:szCs w:val="32"/>
          <w:highlight w:val="none"/>
          <w:shd w:val="clear" w:color="auto" w:fill="auto"/>
          <w:lang w:eastAsia="zh-CN"/>
        </w:rPr>
        <w:t>《四川省风景名胜区条例》（</w:t>
      </w:r>
      <w:r>
        <w:rPr>
          <w:rFonts w:hint="eastAsia" w:ascii="仿宋" w:hAnsi="仿宋" w:eastAsia="仿宋_GB2312"/>
          <w:color w:val="000000"/>
          <w:sz w:val="32"/>
          <w:szCs w:val="32"/>
          <w:highlight w:val="none"/>
          <w:shd w:val="clear" w:color="auto" w:fill="auto"/>
          <w:lang w:val="en-US" w:eastAsia="zh-CN"/>
        </w:rPr>
        <w:t>2010年</w:t>
      </w:r>
      <w:r>
        <w:rPr>
          <w:rFonts w:hint="eastAsia" w:ascii="仿宋" w:hAnsi="仿宋" w:eastAsia="仿宋_GB2312"/>
          <w:color w:val="000000"/>
          <w:sz w:val="32"/>
          <w:szCs w:val="32"/>
          <w:highlight w:val="none"/>
          <w:shd w:val="clear" w:color="auto" w:fill="auto"/>
          <w:lang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240" w:lineRule="auto"/>
        <w:ind w:left="0" w:leftChars="0" w:firstLine="640" w:firstLineChars="200"/>
        <w:textAlignment w:val="auto"/>
        <w:rPr>
          <w:rFonts w:hint="eastAsia" w:ascii="仿宋" w:hAnsi="仿宋" w:eastAsia="仿宋_GB2312"/>
          <w:color w:val="000000"/>
          <w:sz w:val="32"/>
          <w:szCs w:val="32"/>
          <w:highlight w:val="none"/>
          <w:shd w:val="clear" w:color="auto" w:fill="auto"/>
        </w:rPr>
      </w:pPr>
      <w:r>
        <w:rPr>
          <w:rFonts w:hint="eastAsia" w:ascii="仿宋" w:hAnsi="仿宋" w:eastAsia="仿宋_GB2312"/>
          <w:color w:val="000000"/>
          <w:sz w:val="32"/>
          <w:szCs w:val="32"/>
          <w:highlight w:val="none"/>
          <w:shd w:val="clear" w:color="auto" w:fill="auto"/>
        </w:rPr>
        <w:t>《</w:t>
      </w:r>
      <w:r>
        <w:rPr>
          <w:rFonts w:hint="eastAsia" w:ascii="仿宋" w:hAnsi="仿宋" w:eastAsia="仿宋_GB2312"/>
          <w:color w:val="000000"/>
          <w:sz w:val="32"/>
          <w:szCs w:val="32"/>
          <w:highlight w:val="none"/>
          <w:shd w:val="clear" w:color="auto" w:fill="auto"/>
          <w:lang w:eastAsia="zh-CN"/>
        </w:rPr>
        <w:t>四川</w:t>
      </w:r>
      <w:r>
        <w:rPr>
          <w:rFonts w:hint="eastAsia" w:ascii="仿宋" w:hAnsi="仿宋" w:eastAsia="仿宋_GB2312"/>
          <w:color w:val="000000"/>
          <w:sz w:val="32"/>
          <w:szCs w:val="32"/>
          <w:highlight w:val="none"/>
          <w:shd w:val="clear" w:color="auto" w:fill="auto"/>
        </w:rPr>
        <w:t>省饮用水水源保护</w:t>
      </w:r>
      <w:r>
        <w:rPr>
          <w:rFonts w:hint="eastAsia" w:ascii="仿宋" w:hAnsi="仿宋" w:eastAsia="仿宋_GB2312"/>
          <w:color w:val="000000"/>
          <w:sz w:val="32"/>
          <w:szCs w:val="32"/>
          <w:highlight w:val="none"/>
          <w:shd w:val="clear" w:color="auto" w:fill="auto"/>
          <w:lang w:eastAsia="zh-CN"/>
        </w:rPr>
        <w:t>管理</w:t>
      </w:r>
      <w:bookmarkStart w:id="122" w:name="_GoBack"/>
      <w:bookmarkEnd w:id="122"/>
      <w:r>
        <w:rPr>
          <w:rFonts w:hint="eastAsia" w:ascii="仿宋" w:hAnsi="仿宋" w:eastAsia="仿宋_GB2312"/>
          <w:color w:val="000000"/>
          <w:sz w:val="32"/>
          <w:szCs w:val="32"/>
          <w:highlight w:val="none"/>
          <w:shd w:val="clear" w:color="auto" w:fill="auto"/>
        </w:rPr>
        <w:t>条例》</w:t>
      </w:r>
      <w:r>
        <w:rPr>
          <w:rFonts w:hint="eastAsia" w:ascii="仿宋" w:hAnsi="仿宋" w:eastAsia="仿宋_GB2312"/>
          <w:color w:val="000000"/>
          <w:sz w:val="32"/>
          <w:szCs w:val="32"/>
          <w:highlight w:val="none"/>
          <w:shd w:val="clear" w:color="auto" w:fill="auto"/>
          <w:lang w:eastAsia="zh-CN"/>
        </w:rPr>
        <w:t>（</w:t>
      </w:r>
      <w:r>
        <w:rPr>
          <w:rFonts w:ascii="仿宋" w:hAnsi="仿宋" w:eastAsia="仿宋_GB2312"/>
          <w:color w:val="000000"/>
          <w:sz w:val="32"/>
          <w:szCs w:val="32"/>
          <w:highlight w:val="none"/>
          <w:shd w:val="clear" w:color="auto" w:fill="auto"/>
        </w:rPr>
        <w:t>201</w:t>
      </w:r>
      <w:r>
        <w:rPr>
          <w:rFonts w:hint="eastAsia" w:ascii="仿宋" w:hAnsi="仿宋" w:eastAsia="仿宋_GB2312"/>
          <w:color w:val="000000"/>
          <w:sz w:val="32"/>
          <w:szCs w:val="32"/>
          <w:highlight w:val="none"/>
          <w:shd w:val="clear" w:color="auto" w:fill="auto"/>
          <w:lang w:val="en-US" w:eastAsia="zh-CN"/>
        </w:rPr>
        <w:t>1</w:t>
      </w:r>
      <w:r>
        <w:rPr>
          <w:rFonts w:hint="eastAsia" w:ascii="仿宋" w:hAnsi="仿宋" w:eastAsia="仿宋_GB2312"/>
          <w:color w:val="000000"/>
          <w:sz w:val="32"/>
          <w:szCs w:val="32"/>
          <w:highlight w:val="none"/>
          <w:shd w:val="clear" w:color="auto" w:fill="auto"/>
        </w:rPr>
        <w:t>年修订</w:t>
      </w:r>
      <w:r>
        <w:rPr>
          <w:rFonts w:hint="eastAsia" w:ascii="仿宋" w:hAnsi="仿宋" w:eastAsia="仿宋_GB2312"/>
          <w:color w:val="000000"/>
          <w:sz w:val="32"/>
          <w:szCs w:val="32"/>
          <w:highlight w:val="none"/>
          <w:shd w:val="clear" w:color="auto" w:fill="auto"/>
          <w:lang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240" w:lineRule="auto"/>
        <w:ind w:left="0" w:leftChars="0" w:firstLine="640" w:firstLineChars="200"/>
        <w:textAlignment w:val="auto"/>
        <w:rPr>
          <w:rFonts w:ascii="仿宋" w:hAnsi="仿宋" w:eastAsia="仿宋_GB2312"/>
          <w:color w:val="000000"/>
          <w:sz w:val="32"/>
          <w:szCs w:val="32"/>
          <w:highlight w:val="none"/>
          <w:shd w:val="clear" w:color="auto" w:fill="auto"/>
        </w:rPr>
      </w:pPr>
      <w:r>
        <w:rPr>
          <w:rFonts w:hint="eastAsia" w:ascii="仿宋" w:hAnsi="仿宋" w:eastAsia="仿宋_GB2312"/>
          <w:color w:val="000000"/>
          <w:sz w:val="32"/>
          <w:szCs w:val="32"/>
          <w:highlight w:val="none"/>
          <w:shd w:val="clear" w:color="auto" w:fill="auto"/>
        </w:rPr>
        <w:t>《</w:t>
      </w:r>
      <w:r>
        <w:rPr>
          <w:rFonts w:hint="eastAsia" w:ascii="仿宋" w:hAnsi="仿宋" w:eastAsia="仿宋_GB2312"/>
          <w:color w:val="000000"/>
          <w:sz w:val="32"/>
          <w:szCs w:val="32"/>
          <w:highlight w:val="none"/>
          <w:shd w:val="clear" w:color="auto" w:fill="auto"/>
          <w:lang w:eastAsia="zh-CN"/>
        </w:rPr>
        <w:t>四川省嘉陵江流域生态环境保护条例</w:t>
      </w:r>
      <w:r>
        <w:rPr>
          <w:rFonts w:hint="eastAsia" w:ascii="仿宋" w:hAnsi="仿宋" w:eastAsia="仿宋_GB2312"/>
          <w:color w:val="000000"/>
          <w:sz w:val="32"/>
          <w:szCs w:val="32"/>
          <w:highlight w:val="none"/>
          <w:shd w:val="clear" w:color="auto" w:fill="auto"/>
        </w:rPr>
        <w:t>》</w:t>
      </w:r>
      <w:r>
        <w:rPr>
          <w:rFonts w:hint="eastAsia" w:ascii="仿宋" w:hAnsi="仿宋" w:eastAsia="仿宋_GB2312"/>
          <w:color w:val="000000"/>
          <w:sz w:val="32"/>
          <w:szCs w:val="32"/>
          <w:highlight w:val="none"/>
          <w:shd w:val="clear" w:color="auto" w:fill="auto"/>
          <w:lang w:eastAsia="zh-CN"/>
        </w:rPr>
        <w:t>（</w:t>
      </w:r>
      <w:r>
        <w:rPr>
          <w:rFonts w:hint="eastAsia" w:ascii="仿宋" w:hAnsi="仿宋" w:eastAsia="仿宋_GB2312"/>
          <w:color w:val="000000"/>
          <w:sz w:val="32"/>
          <w:szCs w:val="32"/>
          <w:highlight w:val="none"/>
          <w:shd w:val="clear" w:color="auto" w:fill="auto"/>
          <w:lang w:val="en-US" w:eastAsia="zh-CN"/>
        </w:rPr>
        <w:t>2021</w:t>
      </w:r>
      <w:r>
        <w:rPr>
          <w:rFonts w:hint="eastAsia" w:ascii="仿宋" w:hAnsi="仿宋" w:eastAsia="仿宋_GB2312"/>
          <w:color w:val="000000"/>
          <w:sz w:val="32"/>
          <w:szCs w:val="32"/>
          <w:highlight w:val="none"/>
          <w:shd w:val="clear" w:color="auto" w:fill="auto"/>
        </w:rPr>
        <w:t>年</w:t>
      </w:r>
      <w:r>
        <w:rPr>
          <w:rFonts w:hint="eastAsia" w:ascii="仿宋" w:hAnsi="仿宋" w:eastAsia="仿宋_GB2312"/>
          <w:color w:val="000000"/>
          <w:sz w:val="32"/>
          <w:szCs w:val="32"/>
          <w:highlight w:val="none"/>
          <w:shd w:val="clear" w:color="auto" w:fill="auto"/>
          <w:lang w:eastAsia="zh-CN"/>
        </w:rPr>
        <w:t>）。</w:t>
      </w:r>
    </w:p>
    <w:p>
      <w:pPr>
        <w:numPr>
          <w:ilvl w:val="0"/>
          <w:numId w:val="3"/>
        </w:numPr>
        <w:spacing w:line="240" w:lineRule="auto"/>
        <w:ind w:left="197" w:leftChars="0" w:firstLine="643" w:firstLineChars="0"/>
        <w:rPr>
          <w:rFonts w:hint="eastAsia" w:ascii="仿宋" w:hAnsi="仿宋" w:eastAsia="仿宋_GB2312"/>
          <w:b/>
          <w:bCs/>
          <w:color w:val="000000"/>
          <w:sz w:val="32"/>
          <w:szCs w:val="32"/>
          <w:highlight w:val="none"/>
          <w:shd w:val="clear" w:color="auto" w:fill="auto"/>
        </w:rPr>
      </w:pPr>
      <w:bookmarkStart w:id="22" w:name="_Toc15061"/>
      <w:bookmarkStart w:id="23" w:name="_Toc10913"/>
      <w:bookmarkStart w:id="24" w:name="_Toc22402535"/>
      <w:bookmarkStart w:id="25" w:name="_Toc27478"/>
      <w:r>
        <w:rPr>
          <w:rFonts w:hint="eastAsia" w:ascii="仿宋" w:hAnsi="仿宋" w:eastAsia="仿宋_GB2312"/>
          <w:b/>
          <w:bCs/>
          <w:color w:val="000000"/>
          <w:sz w:val="32"/>
          <w:szCs w:val="32"/>
          <w:highlight w:val="none"/>
          <w:shd w:val="clear" w:color="auto" w:fill="auto"/>
          <w:lang w:val="en-US" w:eastAsia="zh-CN"/>
        </w:rPr>
        <w:t>标准</w:t>
      </w:r>
      <w:r>
        <w:rPr>
          <w:rFonts w:hint="eastAsia" w:ascii="仿宋" w:hAnsi="仿宋" w:eastAsia="仿宋_GB2312"/>
          <w:b/>
          <w:bCs/>
          <w:color w:val="000000"/>
          <w:sz w:val="32"/>
          <w:szCs w:val="32"/>
          <w:highlight w:val="none"/>
          <w:shd w:val="clear" w:color="auto" w:fill="auto"/>
        </w:rPr>
        <w:t>规范</w:t>
      </w:r>
    </w:p>
    <w:p>
      <w:pPr>
        <w:keepNext w:val="0"/>
        <w:keepLines w:val="0"/>
        <w:pageBreakBefore w:val="0"/>
        <w:widowControl w:val="0"/>
        <w:numPr>
          <w:ilvl w:val="0"/>
          <w:numId w:val="4"/>
        </w:numPr>
        <w:kinsoku/>
        <w:wordWrap/>
        <w:overflowPunct/>
        <w:topLinePunct w:val="0"/>
        <w:autoSpaceDE w:val="0"/>
        <w:autoSpaceDN w:val="0"/>
        <w:bidi w:val="0"/>
        <w:adjustRightInd w:val="0"/>
        <w:snapToGrid/>
        <w:spacing w:line="240" w:lineRule="auto"/>
        <w:ind w:left="0" w:leftChars="0" w:firstLine="640" w:firstLineChars="200"/>
        <w:textAlignment w:val="auto"/>
        <w:rPr>
          <w:rFonts w:hint="eastAsia" w:ascii="仿宋" w:hAnsi="仿宋" w:eastAsia="仿宋_GB2312"/>
          <w:color w:val="000000"/>
          <w:sz w:val="32"/>
          <w:szCs w:val="32"/>
          <w:highlight w:val="none"/>
          <w:shd w:val="clear" w:color="auto" w:fill="auto"/>
          <w:lang w:eastAsia="zh-CN"/>
        </w:rPr>
      </w:pPr>
      <w:r>
        <w:rPr>
          <w:rFonts w:hint="eastAsia" w:ascii="仿宋" w:hAnsi="仿宋" w:eastAsia="仿宋_GB2312"/>
          <w:color w:val="000000"/>
          <w:sz w:val="32"/>
          <w:szCs w:val="32"/>
          <w:highlight w:val="none"/>
          <w:shd w:val="clear" w:color="auto" w:fill="auto"/>
          <w:lang w:eastAsia="zh-CN"/>
        </w:rPr>
        <w:t>《畜禽规模养殖场粪污资源化利用设施建设规范（试行）》（农办牧〔2018〕2号）；</w:t>
      </w:r>
    </w:p>
    <w:p>
      <w:pPr>
        <w:keepNext w:val="0"/>
        <w:keepLines w:val="0"/>
        <w:pageBreakBefore w:val="0"/>
        <w:widowControl w:val="0"/>
        <w:numPr>
          <w:ilvl w:val="0"/>
          <w:numId w:val="4"/>
        </w:numPr>
        <w:kinsoku/>
        <w:wordWrap/>
        <w:overflowPunct/>
        <w:topLinePunct w:val="0"/>
        <w:autoSpaceDE w:val="0"/>
        <w:autoSpaceDN w:val="0"/>
        <w:bidi w:val="0"/>
        <w:adjustRightInd w:val="0"/>
        <w:snapToGrid/>
        <w:spacing w:line="240" w:lineRule="auto"/>
        <w:ind w:left="0" w:leftChars="0" w:firstLine="640" w:firstLineChars="200"/>
        <w:textAlignment w:val="auto"/>
        <w:rPr>
          <w:rFonts w:hint="eastAsia" w:ascii="仿宋" w:hAnsi="仿宋" w:eastAsia="仿宋_GB2312"/>
          <w:color w:val="000000"/>
          <w:sz w:val="32"/>
          <w:szCs w:val="32"/>
          <w:highlight w:val="none"/>
          <w:shd w:val="clear" w:color="auto" w:fill="auto"/>
          <w:lang w:eastAsia="zh-CN"/>
        </w:rPr>
      </w:pPr>
      <w:r>
        <w:rPr>
          <w:rFonts w:hint="eastAsia" w:ascii="仿宋" w:hAnsi="仿宋" w:eastAsia="仿宋_GB2312"/>
          <w:color w:val="000000"/>
          <w:sz w:val="32"/>
          <w:szCs w:val="32"/>
          <w:highlight w:val="none"/>
          <w:shd w:val="clear" w:color="auto" w:fill="auto"/>
          <w:lang w:eastAsia="zh-CN"/>
        </w:rPr>
        <w:t>《病死及病害动物无害化处理技术规范》（农医发〔2017〕25号）；</w:t>
      </w:r>
    </w:p>
    <w:p>
      <w:pPr>
        <w:keepNext w:val="0"/>
        <w:keepLines w:val="0"/>
        <w:pageBreakBefore w:val="0"/>
        <w:widowControl w:val="0"/>
        <w:numPr>
          <w:ilvl w:val="0"/>
          <w:numId w:val="4"/>
        </w:numPr>
        <w:kinsoku/>
        <w:wordWrap/>
        <w:overflowPunct/>
        <w:topLinePunct w:val="0"/>
        <w:autoSpaceDE w:val="0"/>
        <w:autoSpaceDN w:val="0"/>
        <w:bidi w:val="0"/>
        <w:adjustRightInd w:val="0"/>
        <w:snapToGrid/>
        <w:spacing w:line="240" w:lineRule="auto"/>
        <w:ind w:left="0" w:leftChars="0" w:firstLine="640" w:firstLineChars="200"/>
        <w:textAlignment w:val="auto"/>
        <w:rPr>
          <w:rFonts w:hint="eastAsia" w:ascii="仿宋" w:hAnsi="仿宋" w:eastAsia="仿宋_GB2312"/>
          <w:color w:val="000000"/>
          <w:sz w:val="32"/>
          <w:szCs w:val="32"/>
          <w:highlight w:val="none"/>
          <w:shd w:val="clear" w:color="auto" w:fill="auto"/>
          <w:lang w:eastAsia="zh-CN"/>
        </w:rPr>
      </w:pPr>
      <w:r>
        <w:rPr>
          <w:rFonts w:hint="eastAsia" w:ascii="仿宋" w:hAnsi="仿宋" w:eastAsia="仿宋_GB2312"/>
          <w:color w:val="000000"/>
          <w:sz w:val="32"/>
          <w:szCs w:val="32"/>
          <w:highlight w:val="none"/>
          <w:shd w:val="clear" w:color="auto" w:fill="auto"/>
          <w:lang w:eastAsia="zh-CN"/>
        </w:rPr>
        <w:t>《畜禽养殖业污染防治技术规范》（HJ/T</w:t>
      </w:r>
      <w:r>
        <w:rPr>
          <w:rFonts w:hint="eastAsia" w:ascii="仿宋" w:hAnsi="仿宋" w:eastAsia="仿宋_GB2312"/>
          <w:color w:val="000000"/>
          <w:sz w:val="32"/>
          <w:szCs w:val="32"/>
          <w:highlight w:val="none"/>
          <w:shd w:val="clear" w:color="auto" w:fill="auto"/>
          <w:lang w:val="en-US" w:eastAsia="zh-CN"/>
        </w:rPr>
        <w:t xml:space="preserve"> </w:t>
      </w:r>
      <w:r>
        <w:rPr>
          <w:rFonts w:hint="eastAsia" w:ascii="仿宋" w:hAnsi="仿宋" w:eastAsia="仿宋_GB2312"/>
          <w:color w:val="000000"/>
          <w:sz w:val="32"/>
          <w:szCs w:val="32"/>
          <w:highlight w:val="none"/>
          <w:shd w:val="clear" w:color="auto" w:fill="auto"/>
          <w:lang w:eastAsia="zh-CN"/>
        </w:rPr>
        <w:t>81-2001）；</w:t>
      </w:r>
    </w:p>
    <w:p>
      <w:pPr>
        <w:keepNext w:val="0"/>
        <w:keepLines w:val="0"/>
        <w:pageBreakBefore w:val="0"/>
        <w:widowControl w:val="0"/>
        <w:numPr>
          <w:ilvl w:val="0"/>
          <w:numId w:val="4"/>
        </w:numPr>
        <w:kinsoku/>
        <w:wordWrap/>
        <w:overflowPunct/>
        <w:topLinePunct w:val="0"/>
        <w:autoSpaceDE w:val="0"/>
        <w:autoSpaceDN w:val="0"/>
        <w:bidi w:val="0"/>
        <w:adjustRightInd w:val="0"/>
        <w:snapToGrid/>
        <w:spacing w:line="240" w:lineRule="auto"/>
        <w:ind w:left="0" w:leftChars="0" w:firstLine="640" w:firstLineChars="200"/>
        <w:textAlignment w:val="auto"/>
        <w:rPr>
          <w:rFonts w:hint="eastAsia" w:ascii="仿宋" w:hAnsi="仿宋" w:eastAsia="仿宋_GB2312"/>
          <w:color w:val="000000"/>
          <w:sz w:val="32"/>
          <w:szCs w:val="32"/>
          <w:highlight w:val="none"/>
          <w:shd w:val="clear" w:color="auto" w:fill="auto"/>
          <w:lang w:eastAsia="zh-CN"/>
        </w:rPr>
      </w:pPr>
      <w:r>
        <w:rPr>
          <w:rFonts w:hint="eastAsia" w:ascii="仿宋" w:hAnsi="仿宋" w:eastAsia="仿宋_GB2312"/>
          <w:color w:val="000000"/>
          <w:sz w:val="32"/>
          <w:szCs w:val="32"/>
          <w:highlight w:val="none"/>
          <w:shd w:val="clear" w:color="auto" w:fill="auto"/>
          <w:lang w:eastAsia="zh-CN"/>
        </w:rPr>
        <w:t>《畜禽粪便无害化处理技术规范》（GB/T</w:t>
      </w:r>
      <w:r>
        <w:rPr>
          <w:rFonts w:hint="eastAsia" w:ascii="仿宋" w:hAnsi="仿宋" w:eastAsia="仿宋_GB2312"/>
          <w:color w:val="000000"/>
          <w:sz w:val="32"/>
          <w:szCs w:val="32"/>
          <w:highlight w:val="none"/>
          <w:shd w:val="clear" w:color="auto" w:fill="auto"/>
          <w:lang w:val="en-US" w:eastAsia="zh-CN"/>
        </w:rPr>
        <w:t xml:space="preserve"> </w:t>
      </w:r>
      <w:r>
        <w:rPr>
          <w:rFonts w:hint="eastAsia" w:ascii="仿宋" w:hAnsi="仿宋" w:eastAsia="仿宋_GB2312"/>
          <w:color w:val="000000"/>
          <w:sz w:val="32"/>
          <w:szCs w:val="32"/>
          <w:highlight w:val="none"/>
          <w:shd w:val="clear" w:color="auto" w:fill="auto"/>
          <w:lang w:eastAsia="zh-CN"/>
        </w:rPr>
        <w:t>36195-2018）；</w:t>
      </w:r>
    </w:p>
    <w:p>
      <w:pPr>
        <w:keepNext w:val="0"/>
        <w:keepLines w:val="0"/>
        <w:pageBreakBefore w:val="0"/>
        <w:widowControl w:val="0"/>
        <w:numPr>
          <w:ilvl w:val="0"/>
          <w:numId w:val="4"/>
        </w:numPr>
        <w:kinsoku/>
        <w:wordWrap/>
        <w:overflowPunct/>
        <w:topLinePunct w:val="0"/>
        <w:autoSpaceDE w:val="0"/>
        <w:autoSpaceDN w:val="0"/>
        <w:bidi w:val="0"/>
        <w:adjustRightInd w:val="0"/>
        <w:snapToGrid/>
        <w:spacing w:line="240" w:lineRule="auto"/>
        <w:ind w:left="0" w:leftChars="0" w:firstLine="640" w:firstLineChars="200"/>
        <w:textAlignment w:val="auto"/>
        <w:rPr>
          <w:rFonts w:hint="eastAsia" w:ascii="仿宋" w:hAnsi="仿宋" w:eastAsia="仿宋_GB2312"/>
          <w:color w:val="000000"/>
          <w:sz w:val="32"/>
          <w:szCs w:val="32"/>
          <w:highlight w:val="none"/>
          <w:shd w:val="clear" w:color="auto" w:fill="auto"/>
          <w:lang w:eastAsia="zh-CN"/>
        </w:rPr>
      </w:pPr>
      <w:r>
        <w:rPr>
          <w:rFonts w:hint="eastAsia" w:ascii="仿宋" w:hAnsi="仿宋" w:eastAsia="仿宋_GB2312"/>
          <w:color w:val="000000"/>
          <w:sz w:val="32"/>
          <w:szCs w:val="32"/>
          <w:highlight w:val="none"/>
          <w:shd w:val="clear" w:color="auto" w:fill="auto"/>
          <w:lang w:eastAsia="zh-CN"/>
        </w:rPr>
        <w:t>《畜禽粪便贮存设施设计要求》（GB/T</w:t>
      </w:r>
      <w:r>
        <w:rPr>
          <w:rFonts w:hint="eastAsia" w:ascii="仿宋" w:hAnsi="仿宋" w:eastAsia="仿宋_GB2312"/>
          <w:color w:val="000000"/>
          <w:sz w:val="32"/>
          <w:szCs w:val="32"/>
          <w:highlight w:val="none"/>
          <w:shd w:val="clear" w:color="auto" w:fill="auto"/>
          <w:lang w:val="en-US" w:eastAsia="zh-CN"/>
        </w:rPr>
        <w:t xml:space="preserve"> </w:t>
      </w:r>
      <w:r>
        <w:rPr>
          <w:rFonts w:hint="eastAsia" w:ascii="仿宋" w:hAnsi="仿宋" w:eastAsia="仿宋_GB2312"/>
          <w:color w:val="000000"/>
          <w:sz w:val="32"/>
          <w:szCs w:val="32"/>
          <w:highlight w:val="none"/>
          <w:shd w:val="clear" w:color="auto" w:fill="auto"/>
          <w:lang w:eastAsia="zh-CN"/>
        </w:rPr>
        <w:t>27622-2011）；</w:t>
      </w:r>
    </w:p>
    <w:p>
      <w:pPr>
        <w:keepNext w:val="0"/>
        <w:keepLines w:val="0"/>
        <w:pageBreakBefore w:val="0"/>
        <w:widowControl w:val="0"/>
        <w:numPr>
          <w:ilvl w:val="0"/>
          <w:numId w:val="4"/>
        </w:numPr>
        <w:kinsoku/>
        <w:wordWrap/>
        <w:overflowPunct/>
        <w:topLinePunct w:val="0"/>
        <w:autoSpaceDE w:val="0"/>
        <w:autoSpaceDN w:val="0"/>
        <w:bidi w:val="0"/>
        <w:adjustRightInd w:val="0"/>
        <w:snapToGrid/>
        <w:spacing w:line="240" w:lineRule="auto"/>
        <w:ind w:left="0" w:leftChars="0" w:firstLine="640" w:firstLineChars="200"/>
        <w:textAlignment w:val="auto"/>
        <w:rPr>
          <w:rFonts w:hint="eastAsia" w:ascii="仿宋" w:hAnsi="仿宋" w:eastAsia="仿宋_GB2312"/>
          <w:color w:val="000000"/>
          <w:sz w:val="32"/>
          <w:szCs w:val="32"/>
          <w:highlight w:val="none"/>
          <w:shd w:val="clear" w:color="auto" w:fill="auto"/>
          <w:lang w:eastAsia="zh-CN"/>
        </w:rPr>
      </w:pPr>
      <w:r>
        <w:rPr>
          <w:rFonts w:hint="eastAsia" w:ascii="仿宋" w:hAnsi="仿宋" w:eastAsia="仿宋_GB2312"/>
          <w:color w:val="000000"/>
          <w:sz w:val="32"/>
          <w:szCs w:val="32"/>
          <w:highlight w:val="none"/>
          <w:shd w:val="clear" w:color="auto" w:fill="auto"/>
          <w:lang w:eastAsia="zh-CN"/>
        </w:rPr>
        <w:t>《畜禽养殖污水贮存设施设计要求》（GB/T 26624-2011）；</w:t>
      </w:r>
    </w:p>
    <w:p>
      <w:pPr>
        <w:keepNext w:val="0"/>
        <w:keepLines w:val="0"/>
        <w:pageBreakBefore w:val="0"/>
        <w:widowControl w:val="0"/>
        <w:numPr>
          <w:ilvl w:val="0"/>
          <w:numId w:val="4"/>
        </w:numPr>
        <w:kinsoku/>
        <w:wordWrap/>
        <w:overflowPunct/>
        <w:topLinePunct w:val="0"/>
        <w:autoSpaceDE w:val="0"/>
        <w:autoSpaceDN w:val="0"/>
        <w:bidi w:val="0"/>
        <w:adjustRightInd w:val="0"/>
        <w:snapToGrid/>
        <w:spacing w:line="240" w:lineRule="auto"/>
        <w:ind w:left="0" w:leftChars="0" w:firstLine="640" w:firstLineChars="200"/>
        <w:textAlignment w:val="auto"/>
        <w:rPr>
          <w:rFonts w:hint="eastAsia" w:ascii="仿宋" w:hAnsi="仿宋" w:eastAsia="仿宋_GB2312"/>
          <w:color w:val="000000"/>
          <w:sz w:val="32"/>
          <w:szCs w:val="32"/>
          <w:highlight w:val="none"/>
          <w:shd w:val="clear" w:color="auto" w:fill="auto"/>
          <w:lang w:eastAsia="zh-CN"/>
        </w:rPr>
      </w:pPr>
      <w:r>
        <w:rPr>
          <w:rFonts w:hint="eastAsia" w:ascii="仿宋" w:hAnsi="仿宋" w:eastAsia="仿宋_GB2312"/>
          <w:color w:val="000000"/>
          <w:sz w:val="32"/>
          <w:szCs w:val="32"/>
          <w:highlight w:val="none"/>
          <w:shd w:val="clear" w:color="auto" w:fill="auto"/>
          <w:lang w:val="en-US" w:eastAsia="zh-CN"/>
        </w:rPr>
        <w:t>《</w:t>
      </w:r>
      <w:r>
        <w:rPr>
          <w:rFonts w:hint="eastAsia" w:ascii="仿宋" w:hAnsi="仿宋" w:eastAsia="仿宋_GB2312"/>
          <w:color w:val="000000"/>
          <w:sz w:val="32"/>
          <w:szCs w:val="32"/>
          <w:highlight w:val="none"/>
          <w:shd w:val="clear" w:color="auto" w:fill="auto"/>
          <w:lang w:eastAsia="zh-CN"/>
        </w:rPr>
        <w:t>畜禽养殖业污染物排放标准</w:t>
      </w:r>
      <w:r>
        <w:rPr>
          <w:rFonts w:hint="eastAsia" w:ascii="仿宋" w:hAnsi="仿宋" w:eastAsia="仿宋_GB2312"/>
          <w:color w:val="000000"/>
          <w:sz w:val="32"/>
          <w:szCs w:val="32"/>
          <w:highlight w:val="none"/>
          <w:shd w:val="clear" w:color="auto" w:fill="auto"/>
          <w:lang w:val="en-US" w:eastAsia="zh-CN"/>
        </w:rPr>
        <w:t>》（</w:t>
      </w:r>
      <w:r>
        <w:rPr>
          <w:rFonts w:hint="eastAsia" w:ascii="仿宋" w:hAnsi="仿宋" w:eastAsia="仿宋_GB2312"/>
          <w:color w:val="000000"/>
          <w:sz w:val="32"/>
          <w:szCs w:val="32"/>
          <w:highlight w:val="none"/>
          <w:shd w:val="clear" w:color="auto" w:fill="auto"/>
          <w:lang w:eastAsia="zh-CN"/>
        </w:rPr>
        <w:t>GB</w:t>
      </w:r>
      <w:r>
        <w:rPr>
          <w:rFonts w:hint="eastAsia" w:ascii="仿宋" w:hAnsi="仿宋" w:eastAsia="仿宋_GB2312"/>
          <w:color w:val="000000"/>
          <w:sz w:val="32"/>
          <w:szCs w:val="32"/>
          <w:highlight w:val="none"/>
          <w:shd w:val="clear" w:color="auto" w:fill="auto"/>
          <w:lang w:val="en-US" w:eastAsia="zh-CN"/>
        </w:rPr>
        <w:t xml:space="preserve"> </w:t>
      </w:r>
      <w:r>
        <w:rPr>
          <w:rFonts w:hint="eastAsia" w:ascii="仿宋" w:hAnsi="仿宋" w:eastAsia="仿宋_GB2312"/>
          <w:color w:val="000000"/>
          <w:sz w:val="32"/>
          <w:szCs w:val="32"/>
          <w:highlight w:val="none"/>
          <w:shd w:val="clear" w:color="auto" w:fill="auto"/>
          <w:lang w:eastAsia="zh-CN"/>
        </w:rPr>
        <w:t>18596</w:t>
      </w:r>
      <w:r>
        <w:rPr>
          <w:rFonts w:hint="eastAsia" w:ascii="仿宋" w:hAnsi="仿宋" w:eastAsia="仿宋_GB2312"/>
          <w:color w:val="000000"/>
          <w:sz w:val="32"/>
          <w:szCs w:val="32"/>
          <w:highlight w:val="none"/>
          <w:shd w:val="clear" w:color="auto" w:fill="auto"/>
          <w:lang w:val="en-US" w:eastAsia="zh-CN"/>
        </w:rPr>
        <w:t>-2001）</w:t>
      </w:r>
      <w:r>
        <w:rPr>
          <w:rFonts w:hint="eastAsia" w:ascii="仿宋" w:hAnsi="仿宋" w:eastAsia="仿宋_GB2312"/>
          <w:color w:val="000000"/>
          <w:sz w:val="32"/>
          <w:szCs w:val="32"/>
          <w:highlight w:val="none"/>
          <w:shd w:val="clear" w:color="auto" w:fill="auto"/>
          <w:lang w:eastAsia="zh-CN"/>
        </w:rPr>
        <w:t>；</w:t>
      </w:r>
    </w:p>
    <w:p>
      <w:pPr>
        <w:keepNext w:val="0"/>
        <w:keepLines w:val="0"/>
        <w:pageBreakBefore w:val="0"/>
        <w:widowControl w:val="0"/>
        <w:numPr>
          <w:ilvl w:val="0"/>
          <w:numId w:val="4"/>
        </w:numPr>
        <w:kinsoku/>
        <w:wordWrap/>
        <w:overflowPunct/>
        <w:topLinePunct w:val="0"/>
        <w:autoSpaceDE w:val="0"/>
        <w:autoSpaceDN w:val="0"/>
        <w:bidi w:val="0"/>
        <w:adjustRightInd w:val="0"/>
        <w:snapToGrid/>
        <w:spacing w:line="240" w:lineRule="auto"/>
        <w:ind w:left="0" w:leftChars="0" w:firstLine="640" w:firstLineChars="200"/>
        <w:textAlignment w:val="auto"/>
        <w:rPr>
          <w:rFonts w:hint="eastAsia" w:ascii="仿宋" w:hAnsi="仿宋" w:eastAsia="仿宋_GB2312"/>
          <w:color w:val="000000"/>
          <w:sz w:val="32"/>
          <w:szCs w:val="32"/>
          <w:highlight w:val="none"/>
          <w:shd w:val="clear" w:color="auto" w:fill="auto"/>
          <w:lang w:eastAsia="zh-CN"/>
        </w:rPr>
      </w:pPr>
      <w:r>
        <w:rPr>
          <w:rFonts w:hint="eastAsia" w:ascii="仿宋" w:hAnsi="仿宋" w:eastAsia="仿宋_GB2312"/>
          <w:color w:val="000000"/>
          <w:sz w:val="32"/>
          <w:szCs w:val="32"/>
          <w:highlight w:val="none"/>
          <w:shd w:val="clear" w:color="auto" w:fill="auto"/>
          <w:lang w:val="en-US" w:eastAsia="zh-CN"/>
        </w:rPr>
        <w:t>《</w:t>
      </w:r>
      <w:r>
        <w:rPr>
          <w:rFonts w:hint="eastAsia" w:ascii="仿宋" w:hAnsi="仿宋" w:eastAsia="仿宋_GB2312"/>
          <w:color w:val="000000"/>
          <w:sz w:val="32"/>
          <w:szCs w:val="32"/>
          <w:highlight w:val="none"/>
          <w:shd w:val="clear" w:color="auto" w:fill="auto"/>
          <w:lang w:eastAsia="zh-CN"/>
        </w:rPr>
        <w:t>有机无机复混肥料</w:t>
      </w:r>
      <w:r>
        <w:rPr>
          <w:rFonts w:hint="eastAsia" w:ascii="仿宋" w:hAnsi="仿宋" w:eastAsia="仿宋_GB2312"/>
          <w:color w:val="000000"/>
          <w:sz w:val="32"/>
          <w:szCs w:val="32"/>
          <w:highlight w:val="none"/>
          <w:shd w:val="clear" w:color="auto" w:fill="auto"/>
          <w:lang w:val="en-US" w:eastAsia="zh-CN"/>
        </w:rPr>
        <w:t>》（</w:t>
      </w:r>
      <w:r>
        <w:rPr>
          <w:rFonts w:hint="eastAsia" w:ascii="仿宋" w:hAnsi="仿宋" w:eastAsia="仿宋_GB2312"/>
          <w:color w:val="000000"/>
          <w:sz w:val="32"/>
          <w:szCs w:val="32"/>
          <w:highlight w:val="none"/>
          <w:shd w:val="clear" w:color="auto" w:fill="auto"/>
          <w:lang w:eastAsia="zh-CN"/>
        </w:rPr>
        <w:t>GB/T 18877</w:t>
      </w:r>
      <w:r>
        <w:rPr>
          <w:rFonts w:hint="eastAsia" w:ascii="仿宋" w:hAnsi="仿宋" w:eastAsia="仿宋_GB2312"/>
          <w:color w:val="000000"/>
          <w:sz w:val="32"/>
          <w:szCs w:val="32"/>
          <w:highlight w:val="none"/>
          <w:shd w:val="clear" w:color="auto" w:fill="auto"/>
          <w:lang w:val="en-US" w:eastAsia="zh-CN"/>
        </w:rPr>
        <w:t>-2020）</w:t>
      </w:r>
      <w:r>
        <w:rPr>
          <w:rFonts w:hint="eastAsia" w:ascii="仿宋" w:hAnsi="仿宋" w:eastAsia="仿宋_GB2312"/>
          <w:color w:val="000000"/>
          <w:sz w:val="32"/>
          <w:szCs w:val="32"/>
          <w:highlight w:val="none"/>
          <w:shd w:val="clear" w:color="auto" w:fill="auto"/>
          <w:lang w:eastAsia="zh-CN"/>
        </w:rPr>
        <w:t>；</w:t>
      </w:r>
    </w:p>
    <w:p>
      <w:pPr>
        <w:keepNext w:val="0"/>
        <w:keepLines w:val="0"/>
        <w:pageBreakBefore w:val="0"/>
        <w:widowControl w:val="0"/>
        <w:numPr>
          <w:ilvl w:val="0"/>
          <w:numId w:val="4"/>
        </w:numPr>
        <w:kinsoku/>
        <w:wordWrap/>
        <w:overflowPunct/>
        <w:topLinePunct w:val="0"/>
        <w:autoSpaceDE w:val="0"/>
        <w:autoSpaceDN w:val="0"/>
        <w:bidi w:val="0"/>
        <w:adjustRightInd w:val="0"/>
        <w:snapToGrid/>
        <w:spacing w:line="240" w:lineRule="auto"/>
        <w:ind w:left="0" w:leftChars="0" w:firstLine="640" w:firstLineChars="200"/>
        <w:textAlignment w:val="auto"/>
        <w:rPr>
          <w:rFonts w:hint="eastAsia" w:ascii="仿宋" w:hAnsi="仿宋" w:eastAsia="仿宋_GB2312"/>
          <w:color w:val="000000"/>
          <w:sz w:val="32"/>
          <w:szCs w:val="32"/>
          <w:highlight w:val="none"/>
          <w:shd w:val="clear" w:color="auto" w:fill="auto"/>
          <w:lang w:eastAsia="zh-CN"/>
        </w:rPr>
      </w:pPr>
      <w:r>
        <w:rPr>
          <w:rFonts w:hint="eastAsia" w:ascii="仿宋" w:hAnsi="仿宋" w:eastAsia="仿宋_GB2312"/>
          <w:color w:val="000000"/>
          <w:sz w:val="32"/>
          <w:szCs w:val="32"/>
          <w:highlight w:val="none"/>
          <w:shd w:val="clear" w:color="auto" w:fill="auto"/>
          <w:lang w:val="en-US" w:eastAsia="zh-CN"/>
        </w:rPr>
        <w:t>《</w:t>
      </w:r>
      <w:r>
        <w:rPr>
          <w:rFonts w:hint="eastAsia" w:ascii="仿宋" w:hAnsi="仿宋" w:eastAsia="仿宋_GB2312"/>
          <w:color w:val="000000"/>
          <w:sz w:val="32"/>
          <w:szCs w:val="32"/>
          <w:highlight w:val="none"/>
          <w:shd w:val="clear" w:color="auto" w:fill="auto"/>
          <w:lang w:eastAsia="zh-CN"/>
        </w:rPr>
        <w:t>畜禽粪便监测技术规范</w:t>
      </w:r>
      <w:r>
        <w:rPr>
          <w:rFonts w:hint="eastAsia" w:ascii="仿宋" w:hAnsi="仿宋" w:eastAsia="仿宋_GB2312"/>
          <w:color w:val="000000"/>
          <w:sz w:val="32"/>
          <w:szCs w:val="32"/>
          <w:highlight w:val="none"/>
          <w:shd w:val="clear" w:color="auto" w:fill="auto"/>
          <w:lang w:val="en-US" w:eastAsia="zh-CN"/>
        </w:rPr>
        <w:t>》（</w:t>
      </w:r>
      <w:r>
        <w:rPr>
          <w:rFonts w:hint="eastAsia" w:ascii="仿宋" w:hAnsi="仿宋" w:eastAsia="仿宋_GB2312"/>
          <w:color w:val="000000"/>
          <w:sz w:val="32"/>
          <w:szCs w:val="32"/>
          <w:highlight w:val="none"/>
          <w:shd w:val="clear" w:color="auto" w:fill="auto"/>
          <w:lang w:eastAsia="zh-CN"/>
        </w:rPr>
        <w:t>GB/T 25169</w:t>
      </w:r>
      <w:r>
        <w:rPr>
          <w:rFonts w:hint="eastAsia" w:ascii="仿宋" w:hAnsi="仿宋" w:eastAsia="仿宋_GB2312"/>
          <w:color w:val="000000"/>
          <w:sz w:val="32"/>
          <w:szCs w:val="32"/>
          <w:highlight w:val="none"/>
          <w:shd w:val="clear" w:color="auto" w:fill="auto"/>
          <w:lang w:val="en-US" w:eastAsia="zh-CN"/>
        </w:rPr>
        <w:t>-2010）</w:t>
      </w:r>
      <w:r>
        <w:rPr>
          <w:rFonts w:hint="eastAsia" w:ascii="仿宋" w:hAnsi="仿宋" w:eastAsia="仿宋_GB2312"/>
          <w:color w:val="000000"/>
          <w:sz w:val="32"/>
          <w:szCs w:val="32"/>
          <w:highlight w:val="none"/>
          <w:shd w:val="clear" w:color="auto" w:fill="auto"/>
          <w:lang w:eastAsia="zh-CN"/>
        </w:rPr>
        <w:t>；</w:t>
      </w:r>
    </w:p>
    <w:p>
      <w:pPr>
        <w:keepNext w:val="0"/>
        <w:keepLines w:val="0"/>
        <w:pageBreakBefore w:val="0"/>
        <w:widowControl w:val="0"/>
        <w:numPr>
          <w:ilvl w:val="0"/>
          <w:numId w:val="4"/>
        </w:numPr>
        <w:kinsoku/>
        <w:wordWrap/>
        <w:overflowPunct/>
        <w:topLinePunct w:val="0"/>
        <w:autoSpaceDE w:val="0"/>
        <w:autoSpaceDN w:val="0"/>
        <w:bidi w:val="0"/>
        <w:adjustRightInd w:val="0"/>
        <w:snapToGrid/>
        <w:spacing w:line="240" w:lineRule="auto"/>
        <w:ind w:left="0" w:leftChars="0" w:firstLine="640" w:firstLineChars="200"/>
        <w:textAlignment w:val="auto"/>
        <w:rPr>
          <w:rFonts w:hint="eastAsia" w:ascii="仿宋" w:hAnsi="仿宋" w:eastAsia="仿宋_GB2312"/>
          <w:color w:val="000000"/>
          <w:sz w:val="32"/>
          <w:szCs w:val="32"/>
          <w:highlight w:val="none"/>
          <w:shd w:val="clear" w:color="auto" w:fill="auto"/>
          <w:lang w:eastAsia="zh-CN"/>
        </w:rPr>
      </w:pPr>
      <w:r>
        <w:rPr>
          <w:rFonts w:hint="eastAsia" w:ascii="仿宋" w:hAnsi="仿宋" w:eastAsia="仿宋_GB2312"/>
          <w:color w:val="000000"/>
          <w:sz w:val="32"/>
          <w:szCs w:val="32"/>
          <w:highlight w:val="none"/>
          <w:shd w:val="clear" w:color="auto" w:fill="auto"/>
          <w:lang w:eastAsia="zh-CN"/>
        </w:rPr>
        <w:t>《畜禽粪便还田技术规范》（GB/T 25246</w:t>
      </w:r>
      <w:r>
        <w:rPr>
          <w:rFonts w:hint="eastAsia" w:ascii="仿宋" w:hAnsi="仿宋" w:eastAsia="仿宋_GB2312"/>
          <w:color w:val="000000"/>
          <w:sz w:val="32"/>
          <w:szCs w:val="32"/>
          <w:highlight w:val="none"/>
          <w:shd w:val="clear" w:color="auto" w:fill="auto"/>
          <w:lang w:val="en-US" w:eastAsia="zh-CN"/>
        </w:rPr>
        <w:t>-2010</w:t>
      </w:r>
      <w:r>
        <w:rPr>
          <w:rFonts w:hint="eastAsia" w:ascii="仿宋" w:hAnsi="仿宋" w:eastAsia="仿宋_GB2312"/>
          <w:color w:val="000000"/>
          <w:sz w:val="32"/>
          <w:szCs w:val="32"/>
          <w:highlight w:val="none"/>
          <w:shd w:val="clear" w:color="auto" w:fill="auto"/>
          <w:lang w:eastAsia="zh-CN"/>
        </w:rPr>
        <w:t>）；</w:t>
      </w:r>
    </w:p>
    <w:p>
      <w:pPr>
        <w:keepNext w:val="0"/>
        <w:keepLines w:val="0"/>
        <w:pageBreakBefore w:val="0"/>
        <w:widowControl w:val="0"/>
        <w:numPr>
          <w:ilvl w:val="0"/>
          <w:numId w:val="4"/>
        </w:numPr>
        <w:kinsoku/>
        <w:wordWrap/>
        <w:overflowPunct/>
        <w:topLinePunct w:val="0"/>
        <w:autoSpaceDE w:val="0"/>
        <w:autoSpaceDN w:val="0"/>
        <w:bidi w:val="0"/>
        <w:adjustRightInd w:val="0"/>
        <w:snapToGrid/>
        <w:spacing w:line="240" w:lineRule="auto"/>
        <w:ind w:left="0" w:leftChars="0" w:firstLine="640" w:firstLineChars="200"/>
        <w:textAlignment w:val="auto"/>
        <w:rPr>
          <w:rFonts w:hint="eastAsia" w:ascii="仿宋" w:hAnsi="仿宋" w:eastAsia="仿宋_GB2312"/>
          <w:color w:val="000000"/>
          <w:sz w:val="32"/>
          <w:szCs w:val="32"/>
          <w:highlight w:val="none"/>
          <w:shd w:val="clear" w:color="auto" w:fill="auto"/>
          <w:lang w:eastAsia="zh-CN"/>
        </w:rPr>
      </w:pPr>
      <w:r>
        <w:rPr>
          <w:rFonts w:hint="eastAsia" w:ascii="仿宋" w:hAnsi="仿宋" w:eastAsia="仿宋_GB2312"/>
          <w:color w:val="000000"/>
          <w:sz w:val="32"/>
          <w:szCs w:val="32"/>
          <w:highlight w:val="none"/>
          <w:shd w:val="clear" w:color="auto" w:fill="auto"/>
          <w:lang w:val="en-US" w:eastAsia="zh-CN"/>
        </w:rPr>
        <w:t>《</w:t>
      </w:r>
      <w:r>
        <w:rPr>
          <w:rFonts w:hint="eastAsia" w:ascii="仿宋" w:hAnsi="仿宋" w:eastAsia="仿宋_GB2312"/>
          <w:color w:val="000000"/>
          <w:sz w:val="32"/>
          <w:szCs w:val="32"/>
          <w:highlight w:val="none"/>
          <w:shd w:val="clear" w:color="auto" w:fill="auto"/>
          <w:lang w:eastAsia="zh-CN"/>
        </w:rPr>
        <w:t>畜禽养殖污水采样技术规范</w:t>
      </w:r>
      <w:r>
        <w:rPr>
          <w:rFonts w:hint="eastAsia" w:ascii="仿宋" w:hAnsi="仿宋" w:eastAsia="仿宋_GB2312"/>
          <w:color w:val="000000"/>
          <w:sz w:val="32"/>
          <w:szCs w:val="32"/>
          <w:highlight w:val="none"/>
          <w:shd w:val="clear" w:color="auto" w:fill="auto"/>
          <w:lang w:val="en-US" w:eastAsia="zh-CN"/>
        </w:rPr>
        <w:t>》</w:t>
      </w:r>
      <w:r>
        <w:rPr>
          <w:rFonts w:hint="eastAsia" w:ascii="仿宋" w:hAnsi="仿宋" w:eastAsia="仿宋_GB2312"/>
          <w:color w:val="000000"/>
          <w:sz w:val="32"/>
          <w:szCs w:val="32"/>
          <w:highlight w:val="none"/>
          <w:shd w:val="clear" w:color="auto" w:fill="auto"/>
          <w:lang w:eastAsia="zh-CN"/>
        </w:rPr>
        <w:t>（GB/T 27522</w:t>
      </w:r>
      <w:r>
        <w:rPr>
          <w:rFonts w:hint="eastAsia" w:ascii="仿宋" w:hAnsi="仿宋" w:eastAsia="仿宋_GB2312"/>
          <w:color w:val="000000"/>
          <w:sz w:val="32"/>
          <w:szCs w:val="32"/>
          <w:highlight w:val="none"/>
          <w:shd w:val="clear" w:color="auto" w:fill="auto"/>
          <w:lang w:val="en-US" w:eastAsia="zh-CN"/>
        </w:rPr>
        <w:t>-2011</w:t>
      </w:r>
      <w:r>
        <w:rPr>
          <w:rFonts w:hint="eastAsia" w:ascii="仿宋" w:hAnsi="仿宋" w:eastAsia="仿宋_GB2312"/>
          <w:color w:val="000000"/>
          <w:sz w:val="32"/>
          <w:szCs w:val="32"/>
          <w:highlight w:val="none"/>
          <w:shd w:val="clear" w:color="auto" w:fill="auto"/>
          <w:lang w:eastAsia="zh-CN"/>
        </w:rPr>
        <w:t>）；</w:t>
      </w:r>
    </w:p>
    <w:p>
      <w:pPr>
        <w:keepNext w:val="0"/>
        <w:keepLines w:val="0"/>
        <w:pageBreakBefore w:val="0"/>
        <w:widowControl w:val="0"/>
        <w:numPr>
          <w:ilvl w:val="0"/>
          <w:numId w:val="4"/>
        </w:numPr>
        <w:kinsoku/>
        <w:wordWrap/>
        <w:overflowPunct/>
        <w:topLinePunct w:val="0"/>
        <w:autoSpaceDE w:val="0"/>
        <w:autoSpaceDN w:val="0"/>
        <w:bidi w:val="0"/>
        <w:adjustRightInd w:val="0"/>
        <w:snapToGrid/>
        <w:spacing w:line="240" w:lineRule="auto"/>
        <w:ind w:left="0" w:leftChars="0" w:firstLine="640" w:firstLineChars="200"/>
        <w:textAlignment w:val="auto"/>
        <w:rPr>
          <w:rFonts w:hint="eastAsia" w:ascii="仿宋" w:hAnsi="仿宋" w:eastAsia="仿宋_GB2312"/>
          <w:color w:val="000000"/>
          <w:sz w:val="32"/>
          <w:szCs w:val="32"/>
          <w:highlight w:val="none"/>
          <w:shd w:val="clear" w:color="auto" w:fill="auto"/>
          <w:lang w:eastAsia="zh-CN"/>
        </w:rPr>
      </w:pPr>
      <w:r>
        <w:rPr>
          <w:rFonts w:hint="eastAsia" w:ascii="仿宋" w:hAnsi="仿宋" w:eastAsia="仿宋_GB2312"/>
          <w:color w:val="000000"/>
          <w:sz w:val="32"/>
          <w:szCs w:val="32"/>
          <w:highlight w:val="none"/>
          <w:shd w:val="clear" w:color="auto" w:fill="auto"/>
          <w:lang w:eastAsia="zh-CN"/>
        </w:rPr>
        <w:t>《畜禽养殖业污染治理工程技术规范》（HJ 497</w:t>
      </w:r>
      <w:r>
        <w:rPr>
          <w:rFonts w:hint="eastAsia" w:ascii="仿宋" w:hAnsi="仿宋" w:eastAsia="仿宋_GB2312"/>
          <w:color w:val="000000"/>
          <w:sz w:val="32"/>
          <w:szCs w:val="32"/>
          <w:highlight w:val="none"/>
          <w:shd w:val="clear" w:color="auto" w:fill="auto"/>
          <w:lang w:val="en-US" w:eastAsia="zh-CN"/>
        </w:rPr>
        <w:t>-2009</w:t>
      </w:r>
      <w:r>
        <w:rPr>
          <w:rFonts w:hint="eastAsia" w:ascii="仿宋" w:hAnsi="仿宋" w:eastAsia="仿宋_GB2312"/>
          <w:color w:val="000000"/>
          <w:sz w:val="32"/>
          <w:szCs w:val="32"/>
          <w:highlight w:val="none"/>
          <w:shd w:val="clear" w:color="auto" w:fill="auto"/>
          <w:lang w:eastAsia="zh-CN"/>
        </w:rPr>
        <w:t>）；</w:t>
      </w:r>
    </w:p>
    <w:p>
      <w:pPr>
        <w:keepNext w:val="0"/>
        <w:keepLines w:val="0"/>
        <w:pageBreakBefore w:val="0"/>
        <w:widowControl w:val="0"/>
        <w:numPr>
          <w:ilvl w:val="0"/>
          <w:numId w:val="4"/>
        </w:numPr>
        <w:kinsoku/>
        <w:wordWrap/>
        <w:overflowPunct/>
        <w:topLinePunct w:val="0"/>
        <w:autoSpaceDE w:val="0"/>
        <w:autoSpaceDN w:val="0"/>
        <w:bidi w:val="0"/>
        <w:adjustRightInd w:val="0"/>
        <w:snapToGrid/>
        <w:spacing w:line="240" w:lineRule="auto"/>
        <w:ind w:left="0" w:leftChars="0" w:firstLine="640" w:firstLineChars="200"/>
        <w:textAlignment w:val="auto"/>
        <w:rPr>
          <w:rFonts w:hint="eastAsia" w:ascii="仿宋" w:hAnsi="仿宋" w:eastAsia="仿宋_GB2312"/>
          <w:color w:val="000000"/>
          <w:sz w:val="32"/>
          <w:szCs w:val="32"/>
          <w:highlight w:val="none"/>
          <w:shd w:val="clear" w:color="auto" w:fill="auto"/>
          <w:lang w:eastAsia="zh-CN"/>
        </w:rPr>
      </w:pPr>
      <w:r>
        <w:rPr>
          <w:rFonts w:hint="eastAsia" w:ascii="仿宋" w:hAnsi="仿宋" w:eastAsia="仿宋_GB2312"/>
          <w:color w:val="000000"/>
          <w:sz w:val="32"/>
          <w:szCs w:val="32"/>
          <w:highlight w:val="none"/>
          <w:shd w:val="clear" w:color="auto" w:fill="auto"/>
          <w:lang w:eastAsia="zh-CN"/>
        </w:rPr>
        <w:t>《排污许可证申请与核发技术规范畜禽养殖行业》（HJ 1029</w:t>
      </w:r>
      <w:r>
        <w:rPr>
          <w:rFonts w:hint="eastAsia" w:ascii="仿宋" w:hAnsi="仿宋" w:eastAsia="仿宋_GB2312"/>
          <w:color w:val="000000"/>
          <w:sz w:val="32"/>
          <w:szCs w:val="32"/>
          <w:highlight w:val="none"/>
          <w:shd w:val="clear" w:color="auto" w:fill="auto"/>
          <w:lang w:val="en-US" w:eastAsia="zh-CN"/>
        </w:rPr>
        <w:t>-2019</w:t>
      </w:r>
      <w:r>
        <w:rPr>
          <w:rFonts w:hint="eastAsia" w:ascii="仿宋" w:hAnsi="仿宋" w:eastAsia="仿宋_GB2312"/>
          <w:color w:val="000000"/>
          <w:sz w:val="32"/>
          <w:szCs w:val="32"/>
          <w:highlight w:val="none"/>
          <w:shd w:val="clear" w:color="auto" w:fill="auto"/>
          <w:lang w:eastAsia="zh-CN"/>
        </w:rPr>
        <w:t>）；</w:t>
      </w:r>
    </w:p>
    <w:p>
      <w:pPr>
        <w:keepNext w:val="0"/>
        <w:keepLines w:val="0"/>
        <w:pageBreakBefore w:val="0"/>
        <w:widowControl w:val="0"/>
        <w:numPr>
          <w:ilvl w:val="0"/>
          <w:numId w:val="4"/>
        </w:numPr>
        <w:kinsoku/>
        <w:wordWrap/>
        <w:overflowPunct/>
        <w:topLinePunct w:val="0"/>
        <w:autoSpaceDE w:val="0"/>
        <w:autoSpaceDN w:val="0"/>
        <w:bidi w:val="0"/>
        <w:adjustRightInd w:val="0"/>
        <w:snapToGrid/>
        <w:spacing w:line="240" w:lineRule="auto"/>
        <w:ind w:left="0" w:leftChars="0" w:firstLine="640" w:firstLineChars="200"/>
        <w:textAlignment w:val="auto"/>
        <w:rPr>
          <w:rFonts w:hint="eastAsia" w:ascii="仿宋" w:hAnsi="仿宋" w:eastAsia="仿宋_GB2312"/>
          <w:color w:val="000000"/>
          <w:sz w:val="32"/>
          <w:szCs w:val="32"/>
          <w:highlight w:val="none"/>
          <w:shd w:val="clear" w:color="auto" w:fill="auto"/>
          <w:lang w:eastAsia="zh-CN"/>
        </w:rPr>
      </w:pPr>
      <w:r>
        <w:rPr>
          <w:rFonts w:hint="eastAsia" w:ascii="仿宋" w:hAnsi="仿宋" w:eastAsia="仿宋_GB2312" w:cs="Times New Roman"/>
          <w:color w:val="000000"/>
          <w:sz w:val="32"/>
          <w:szCs w:val="32"/>
          <w:highlight w:val="none"/>
          <w:shd w:val="clear" w:color="auto" w:fill="auto"/>
          <w:lang w:val="en-US" w:eastAsia="zh-CN"/>
        </w:rPr>
        <w:t>《</w:t>
      </w:r>
      <w:r>
        <w:rPr>
          <w:rFonts w:hint="eastAsia" w:ascii="仿宋" w:hAnsi="仿宋" w:eastAsia="仿宋_GB2312" w:cs="Times New Roman"/>
          <w:color w:val="000000"/>
          <w:sz w:val="32"/>
          <w:szCs w:val="32"/>
          <w:highlight w:val="none"/>
          <w:shd w:val="clear" w:color="auto" w:fill="auto"/>
          <w:lang w:eastAsia="zh-CN"/>
        </w:rPr>
        <w:t>农田灌溉水质标准</w:t>
      </w:r>
      <w:r>
        <w:rPr>
          <w:rFonts w:hint="eastAsia" w:ascii="仿宋" w:hAnsi="仿宋" w:eastAsia="仿宋_GB2312" w:cs="Times New Roman"/>
          <w:color w:val="000000"/>
          <w:sz w:val="32"/>
          <w:szCs w:val="32"/>
          <w:highlight w:val="none"/>
          <w:shd w:val="clear" w:color="auto" w:fill="auto"/>
          <w:lang w:val="en-US" w:eastAsia="zh-CN"/>
        </w:rPr>
        <w:t>》（</w:t>
      </w:r>
      <w:r>
        <w:rPr>
          <w:rFonts w:hint="eastAsia" w:ascii="仿宋" w:hAnsi="仿宋" w:eastAsia="仿宋_GB2312"/>
          <w:color w:val="000000"/>
          <w:sz w:val="32"/>
          <w:szCs w:val="32"/>
          <w:highlight w:val="none"/>
          <w:shd w:val="clear" w:color="auto" w:fill="auto"/>
          <w:lang w:eastAsia="zh-CN"/>
        </w:rPr>
        <w:t>GB 5084-2021</w:t>
      </w:r>
      <w:r>
        <w:rPr>
          <w:rFonts w:hint="eastAsia" w:ascii="仿宋" w:hAnsi="仿宋" w:eastAsia="仿宋_GB2312" w:cs="Times New Roman"/>
          <w:color w:val="000000"/>
          <w:sz w:val="32"/>
          <w:szCs w:val="32"/>
          <w:highlight w:val="none"/>
          <w:shd w:val="clear" w:color="auto" w:fill="auto"/>
          <w:lang w:val="en-US" w:eastAsia="zh-CN"/>
        </w:rPr>
        <w:t>）</w:t>
      </w:r>
      <w:r>
        <w:rPr>
          <w:rFonts w:hint="eastAsia" w:ascii="仿宋" w:hAnsi="仿宋" w:eastAsia="仿宋_GB2312"/>
          <w:color w:val="000000"/>
          <w:sz w:val="32"/>
          <w:szCs w:val="32"/>
          <w:highlight w:val="none"/>
          <w:shd w:val="clear" w:color="auto" w:fill="auto"/>
          <w:lang w:eastAsia="zh-CN"/>
        </w:rPr>
        <w:t>；</w:t>
      </w:r>
    </w:p>
    <w:p>
      <w:pPr>
        <w:keepNext w:val="0"/>
        <w:keepLines w:val="0"/>
        <w:pageBreakBefore w:val="0"/>
        <w:widowControl w:val="0"/>
        <w:numPr>
          <w:ilvl w:val="0"/>
          <w:numId w:val="4"/>
        </w:numPr>
        <w:kinsoku/>
        <w:wordWrap/>
        <w:overflowPunct/>
        <w:topLinePunct w:val="0"/>
        <w:autoSpaceDE w:val="0"/>
        <w:autoSpaceDN w:val="0"/>
        <w:bidi w:val="0"/>
        <w:adjustRightInd w:val="0"/>
        <w:snapToGrid/>
        <w:spacing w:line="240" w:lineRule="auto"/>
        <w:ind w:left="0" w:leftChars="0" w:firstLine="640" w:firstLineChars="200"/>
        <w:textAlignment w:val="auto"/>
        <w:rPr>
          <w:rFonts w:hint="eastAsia" w:ascii="仿宋" w:hAnsi="仿宋" w:eastAsia="仿宋_GB2312"/>
          <w:color w:val="000000"/>
          <w:sz w:val="32"/>
          <w:szCs w:val="32"/>
          <w:highlight w:val="none"/>
          <w:shd w:val="clear" w:color="auto" w:fill="auto"/>
          <w:lang w:eastAsia="zh-CN"/>
        </w:rPr>
      </w:pPr>
      <w:r>
        <w:rPr>
          <w:rFonts w:hint="eastAsia" w:ascii="仿宋" w:hAnsi="仿宋" w:eastAsia="仿宋_GB2312"/>
          <w:color w:val="000000"/>
          <w:sz w:val="32"/>
          <w:szCs w:val="32"/>
          <w:highlight w:val="none"/>
          <w:shd w:val="clear" w:color="auto" w:fill="auto"/>
          <w:lang w:val="en-US" w:eastAsia="zh-CN"/>
        </w:rPr>
        <w:t>《</w:t>
      </w:r>
      <w:r>
        <w:rPr>
          <w:rFonts w:hint="eastAsia" w:ascii="仿宋" w:hAnsi="仿宋" w:eastAsia="仿宋_GB2312"/>
          <w:color w:val="000000"/>
          <w:sz w:val="32"/>
          <w:szCs w:val="32"/>
          <w:highlight w:val="none"/>
          <w:shd w:val="clear" w:color="auto" w:fill="auto"/>
          <w:lang w:eastAsia="zh-CN"/>
        </w:rPr>
        <w:t>土壤环境质量农用地土壤污染风险管控标准（试行）</w:t>
      </w:r>
      <w:r>
        <w:rPr>
          <w:rFonts w:hint="eastAsia" w:ascii="仿宋" w:hAnsi="仿宋" w:eastAsia="仿宋_GB2312"/>
          <w:color w:val="000000"/>
          <w:sz w:val="32"/>
          <w:szCs w:val="32"/>
          <w:highlight w:val="none"/>
          <w:shd w:val="clear" w:color="auto" w:fill="auto"/>
          <w:lang w:val="en-US" w:eastAsia="zh-CN"/>
        </w:rPr>
        <w:t>》（</w:t>
      </w:r>
      <w:r>
        <w:rPr>
          <w:rFonts w:hint="eastAsia" w:ascii="仿宋" w:hAnsi="仿宋" w:eastAsia="仿宋_GB2312"/>
          <w:color w:val="000000"/>
          <w:sz w:val="32"/>
          <w:szCs w:val="32"/>
          <w:highlight w:val="none"/>
          <w:shd w:val="clear" w:color="auto" w:fill="auto"/>
          <w:lang w:eastAsia="zh-CN"/>
        </w:rPr>
        <w:t>GB 15618</w:t>
      </w:r>
      <w:r>
        <w:rPr>
          <w:rFonts w:hint="eastAsia" w:ascii="仿宋" w:hAnsi="仿宋" w:eastAsia="仿宋_GB2312"/>
          <w:color w:val="000000"/>
          <w:sz w:val="32"/>
          <w:szCs w:val="32"/>
          <w:highlight w:val="none"/>
          <w:shd w:val="clear" w:color="auto" w:fill="auto"/>
          <w:lang w:val="en-US" w:eastAsia="zh-CN"/>
        </w:rPr>
        <w:t>-2018）；</w:t>
      </w:r>
    </w:p>
    <w:p>
      <w:pPr>
        <w:keepNext w:val="0"/>
        <w:keepLines w:val="0"/>
        <w:pageBreakBefore w:val="0"/>
        <w:widowControl w:val="0"/>
        <w:numPr>
          <w:ilvl w:val="0"/>
          <w:numId w:val="4"/>
        </w:numPr>
        <w:kinsoku/>
        <w:wordWrap/>
        <w:overflowPunct/>
        <w:topLinePunct w:val="0"/>
        <w:autoSpaceDE w:val="0"/>
        <w:autoSpaceDN w:val="0"/>
        <w:bidi w:val="0"/>
        <w:adjustRightInd w:val="0"/>
        <w:snapToGrid/>
        <w:spacing w:line="240" w:lineRule="auto"/>
        <w:ind w:left="0" w:leftChars="0" w:firstLine="640" w:firstLineChars="200"/>
        <w:textAlignment w:val="auto"/>
        <w:rPr>
          <w:rFonts w:hint="eastAsia" w:ascii="仿宋" w:hAnsi="仿宋" w:eastAsia="仿宋_GB2312"/>
          <w:color w:val="000000"/>
          <w:sz w:val="32"/>
          <w:szCs w:val="32"/>
          <w:highlight w:val="none"/>
          <w:shd w:val="clear" w:color="auto" w:fill="auto"/>
          <w:lang w:eastAsia="zh-CN"/>
        </w:rPr>
      </w:pPr>
      <w:r>
        <w:rPr>
          <w:rFonts w:hint="eastAsia" w:ascii="仿宋" w:hAnsi="仿宋" w:eastAsia="仿宋_GB2312"/>
          <w:color w:val="000000"/>
          <w:sz w:val="32"/>
          <w:szCs w:val="32"/>
          <w:highlight w:val="none"/>
          <w:shd w:val="clear" w:color="auto" w:fill="auto"/>
          <w:lang w:eastAsia="zh-CN"/>
        </w:rPr>
        <w:t>《有机肥料》（NY/T 525</w:t>
      </w:r>
      <w:r>
        <w:rPr>
          <w:rFonts w:hint="eastAsia" w:ascii="仿宋" w:hAnsi="仿宋" w:eastAsia="仿宋_GB2312"/>
          <w:color w:val="000000"/>
          <w:sz w:val="32"/>
          <w:szCs w:val="32"/>
          <w:highlight w:val="none"/>
          <w:shd w:val="clear" w:color="auto" w:fill="auto"/>
          <w:lang w:val="en-US" w:eastAsia="zh-CN"/>
        </w:rPr>
        <w:t>-2021</w:t>
      </w:r>
      <w:r>
        <w:rPr>
          <w:rFonts w:hint="eastAsia" w:ascii="仿宋" w:hAnsi="仿宋" w:eastAsia="仿宋_GB2312"/>
          <w:color w:val="000000"/>
          <w:sz w:val="32"/>
          <w:szCs w:val="32"/>
          <w:highlight w:val="none"/>
          <w:shd w:val="clear" w:color="auto" w:fill="auto"/>
          <w:lang w:eastAsia="zh-CN"/>
        </w:rPr>
        <w:t>）；</w:t>
      </w:r>
    </w:p>
    <w:p>
      <w:pPr>
        <w:keepNext w:val="0"/>
        <w:keepLines w:val="0"/>
        <w:pageBreakBefore w:val="0"/>
        <w:widowControl w:val="0"/>
        <w:numPr>
          <w:ilvl w:val="0"/>
          <w:numId w:val="4"/>
        </w:numPr>
        <w:kinsoku/>
        <w:wordWrap/>
        <w:overflowPunct/>
        <w:topLinePunct w:val="0"/>
        <w:autoSpaceDE w:val="0"/>
        <w:autoSpaceDN w:val="0"/>
        <w:bidi w:val="0"/>
        <w:adjustRightInd w:val="0"/>
        <w:snapToGrid/>
        <w:spacing w:line="240" w:lineRule="auto"/>
        <w:ind w:left="0" w:leftChars="0" w:firstLine="640" w:firstLineChars="200"/>
        <w:textAlignment w:val="auto"/>
        <w:rPr>
          <w:rFonts w:hint="eastAsia" w:ascii="仿宋" w:hAnsi="仿宋" w:eastAsia="仿宋_GB2312"/>
          <w:color w:val="000000"/>
          <w:sz w:val="32"/>
          <w:szCs w:val="32"/>
          <w:highlight w:val="none"/>
          <w:shd w:val="clear" w:color="auto" w:fill="auto"/>
          <w:lang w:eastAsia="zh-CN"/>
        </w:rPr>
      </w:pPr>
      <w:r>
        <w:rPr>
          <w:rFonts w:hint="eastAsia" w:ascii="仿宋" w:hAnsi="仿宋" w:eastAsia="仿宋_GB2312"/>
          <w:color w:val="000000"/>
          <w:sz w:val="32"/>
          <w:szCs w:val="32"/>
          <w:highlight w:val="none"/>
          <w:shd w:val="clear" w:color="auto" w:fill="auto"/>
          <w:lang w:val="en-US" w:eastAsia="zh-CN"/>
        </w:rPr>
        <w:t>《</w:t>
      </w:r>
      <w:r>
        <w:rPr>
          <w:rFonts w:hint="eastAsia" w:ascii="仿宋" w:hAnsi="仿宋" w:eastAsia="仿宋_GB2312"/>
          <w:color w:val="000000"/>
          <w:sz w:val="32"/>
          <w:szCs w:val="32"/>
          <w:highlight w:val="none"/>
          <w:shd w:val="clear" w:color="auto" w:fill="auto"/>
          <w:lang w:eastAsia="zh-CN"/>
        </w:rPr>
        <w:t>畜禽</w:t>
      </w:r>
      <w:r>
        <w:rPr>
          <w:rFonts w:hint="eastAsia" w:ascii="仿宋" w:hAnsi="仿宋" w:eastAsia="仿宋_GB2312"/>
          <w:color w:val="000000"/>
          <w:sz w:val="32"/>
          <w:szCs w:val="32"/>
          <w:highlight w:val="none"/>
          <w:shd w:val="clear" w:color="auto" w:fill="auto"/>
          <w:lang w:val="en-US" w:eastAsia="zh-CN"/>
        </w:rPr>
        <w:t>粪便土地承载力测算方法》</w:t>
      </w:r>
      <w:r>
        <w:rPr>
          <w:rFonts w:hint="eastAsia" w:ascii="仿宋" w:hAnsi="仿宋" w:eastAsia="仿宋_GB2312"/>
          <w:color w:val="000000"/>
          <w:sz w:val="32"/>
          <w:szCs w:val="32"/>
          <w:highlight w:val="none"/>
          <w:shd w:val="clear" w:color="auto" w:fill="auto"/>
          <w:lang w:eastAsia="zh-CN"/>
        </w:rPr>
        <w:t>（NY/T</w:t>
      </w:r>
      <w:r>
        <w:rPr>
          <w:rFonts w:hint="eastAsia" w:ascii="仿宋" w:hAnsi="仿宋" w:eastAsia="仿宋_GB2312"/>
          <w:color w:val="000000"/>
          <w:sz w:val="32"/>
          <w:szCs w:val="32"/>
          <w:highlight w:val="none"/>
          <w:shd w:val="clear" w:color="auto" w:fill="auto"/>
          <w:lang w:val="en-US" w:eastAsia="zh-CN"/>
        </w:rPr>
        <w:t xml:space="preserve"> 3877-2021</w:t>
      </w:r>
      <w:r>
        <w:rPr>
          <w:rFonts w:hint="eastAsia" w:ascii="仿宋" w:hAnsi="仿宋" w:eastAsia="仿宋_GB2312"/>
          <w:color w:val="000000"/>
          <w:sz w:val="32"/>
          <w:szCs w:val="32"/>
          <w:highlight w:val="none"/>
          <w:shd w:val="clear" w:color="auto" w:fill="auto"/>
          <w:lang w:eastAsia="zh-CN"/>
        </w:rPr>
        <w:t>）；</w:t>
      </w:r>
    </w:p>
    <w:p>
      <w:pPr>
        <w:keepNext w:val="0"/>
        <w:keepLines w:val="0"/>
        <w:pageBreakBefore w:val="0"/>
        <w:widowControl w:val="0"/>
        <w:numPr>
          <w:ilvl w:val="0"/>
          <w:numId w:val="4"/>
        </w:numPr>
        <w:kinsoku/>
        <w:wordWrap/>
        <w:overflowPunct/>
        <w:topLinePunct w:val="0"/>
        <w:autoSpaceDE w:val="0"/>
        <w:autoSpaceDN w:val="0"/>
        <w:bidi w:val="0"/>
        <w:adjustRightInd w:val="0"/>
        <w:snapToGrid/>
        <w:spacing w:line="240" w:lineRule="auto"/>
        <w:ind w:left="0" w:leftChars="0" w:firstLine="640" w:firstLineChars="200"/>
        <w:textAlignment w:val="auto"/>
        <w:rPr>
          <w:rFonts w:hint="eastAsia" w:ascii="仿宋" w:hAnsi="仿宋" w:eastAsia="仿宋_GB2312"/>
          <w:color w:val="000000"/>
          <w:sz w:val="32"/>
          <w:szCs w:val="32"/>
          <w:highlight w:val="none"/>
          <w:shd w:val="clear" w:color="auto" w:fill="auto"/>
          <w:lang w:eastAsia="zh-CN"/>
        </w:rPr>
      </w:pPr>
      <w:r>
        <w:rPr>
          <w:rFonts w:hint="eastAsia" w:ascii="仿宋" w:hAnsi="仿宋" w:eastAsia="仿宋_GB2312"/>
          <w:color w:val="000000"/>
          <w:sz w:val="32"/>
          <w:szCs w:val="32"/>
          <w:highlight w:val="none"/>
          <w:shd w:val="clear" w:color="auto" w:fill="auto"/>
          <w:lang w:val="en-US" w:eastAsia="zh-CN"/>
        </w:rPr>
        <w:t>《</w:t>
      </w:r>
      <w:r>
        <w:rPr>
          <w:rFonts w:hint="eastAsia" w:ascii="仿宋" w:hAnsi="仿宋" w:eastAsia="仿宋_GB2312"/>
          <w:color w:val="000000"/>
          <w:sz w:val="32"/>
          <w:szCs w:val="32"/>
          <w:highlight w:val="none"/>
          <w:shd w:val="clear" w:color="auto" w:fill="auto"/>
          <w:lang w:eastAsia="zh-CN"/>
        </w:rPr>
        <w:t>畜禽场环境污染控制技术规范</w:t>
      </w:r>
      <w:r>
        <w:rPr>
          <w:rFonts w:hint="eastAsia" w:ascii="仿宋" w:hAnsi="仿宋" w:eastAsia="仿宋_GB2312"/>
          <w:color w:val="000000"/>
          <w:sz w:val="32"/>
          <w:szCs w:val="32"/>
          <w:highlight w:val="none"/>
          <w:shd w:val="clear" w:color="auto" w:fill="auto"/>
          <w:lang w:val="en-US" w:eastAsia="zh-CN"/>
        </w:rPr>
        <w:t>》</w:t>
      </w:r>
      <w:r>
        <w:rPr>
          <w:rFonts w:hint="eastAsia" w:ascii="仿宋" w:hAnsi="仿宋" w:eastAsia="仿宋_GB2312"/>
          <w:color w:val="000000"/>
          <w:sz w:val="32"/>
          <w:szCs w:val="32"/>
          <w:highlight w:val="none"/>
          <w:shd w:val="clear" w:color="auto" w:fill="auto"/>
          <w:lang w:eastAsia="zh-CN"/>
        </w:rPr>
        <w:t>（NY/T</w:t>
      </w:r>
      <w:r>
        <w:rPr>
          <w:rFonts w:hint="eastAsia" w:ascii="仿宋" w:hAnsi="仿宋" w:eastAsia="仿宋_GB2312"/>
          <w:color w:val="000000"/>
          <w:sz w:val="32"/>
          <w:szCs w:val="32"/>
          <w:highlight w:val="none"/>
          <w:shd w:val="clear" w:color="auto" w:fill="auto"/>
          <w:lang w:val="en-US" w:eastAsia="zh-CN"/>
        </w:rPr>
        <w:t xml:space="preserve"> </w:t>
      </w:r>
      <w:r>
        <w:rPr>
          <w:rFonts w:hint="eastAsia" w:ascii="仿宋" w:hAnsi="仿宋" w:eastAsia="仿宋_GB2312"/>
          <w:color w:val="000000"/>
          <w:sz w:val="32"/>
          <w:szCs w:val="32"/>
          <w:highlight w:val="none"/>
          <w:shd w:val="clear" w:color="auto" w:fill="auto"/>
          <w:lang w:eastAsia="zh-CN"/>
        </w:rPr>
        <w:t>1169</w:t>
      </w:r>
      <w:r>
        <w:rPr>
          <w:rFonts w:hint="eastAsia" w:ascii="仿宋" w:hAnsi="仿宋" w:eastAsia="仿宋_GB2312"/>
          <w:color w:val="000000"/>
          <w:sz w:val="32"/>
          <w:szCs w:val="32"/>
          <w:highlight w:val="none"/>
          <w:shd w:val="clear" w:color="auto" w:fill="auto"/>
          <w:lang w:val="en-US" w:eastAsia="zh-CN"/>
        </w:rPr>
        <w:t>-2006</w:t>
      </w:r>
      <w:r>
        <w:rPr>
          <w:rFonts w:hint="eastAsia" w:ascii="仿宋" w:hAnsi="仿宋" w:eastAsia="仿宋_GB2312"/>
          <w:color w:val="000000"/>
          <w:sz w:val="32"/>
          <w:szCs w:val="32"/>
          <w:highlight w:val="none"/>
          <w:shd w:val="clear" w:color="auto" w:fill="auto"/>
          <w:lang w:eastAsia="zh-CN"/>
        </w:rPr>
        <w:t>）；</w:t>
      </w:r>
    </w:p>
    <w:p>
      <w:pPr>
        <w:keepNext w:val="0"/>
        <w:keepLines w:val="0"/>
        <w:pageBreakBefore w:val="0"/>
        <w:widowControl w:val="0"/>
        <w:numPr>
          <w:ilvl w:val="0"/>
          <w:numId w:val="4"/>
        </w:numPr>
        <w:kinsoku/>
        <w:wordWrap/>
        <w:overflowPunct/>
        <w:topLinePunct w:val="0"/>
        <w:autoSpaceDE w:val="0"/>
        <w:autoSpaceDN w:val="0"/>
        <w:bidi w:val="0"/>
        <w:adjustRightInd w:val="0"/>
        <w:snapToGrid/>
        <w:spacing w:line="240" w:lineRule="auto"/>
        <w:ind w:left="0" w:leftChars="0" w:firstLine="640" w:firstLineChars="200"/>
        <w:textAlignment w:val="auto"/>
        <w:rPr>
          <w:rFonts w:hint="eastAsia" w:ascii="仿宋" w:hAnsi="仿宋" w:eastAsia="仿宋_GB2312"/>
          <w:color w:val="000000"/>
          <w:sz w:val="32"/>
          <w:szCs w:val="32"/>
          <w:highlight w:val="none"/>
          <w:shd w:val="clear" w:color="auto" w:fill="auto"/>
          <w:lang w:eastAsia="zh-CN"/>
        </w:rPr>
      </w:pPr>
      <w:r>
        <w:rPr>
          <w:rFonts w:hint="eastAsia" w:ascii="仿宋" w:hAnsi="仿宋" w:eastAsia="仿宋_GB2312"/>
          <w:color w:val="000000"/>
          <w:sz w:val="32"/>
          <w:szCs w:val="32"/>
          <w:highlight w:val="none"/>
          <w:shd w:val="clear" w:color="auto" w:fill="auto"/>
          <w:lang w:val="en-US" w:eastAsia="zh-CN"/>
        </w:rPr>
        <w:t>《</w:t>
      </w:r>
      <w:r>
        <w:rPr>
          <w:rFonts w:hint="eastAsia" w:ascii="仿宋" w:hAnsi="仿宋" w:eastAsia="仿宋_GB2312"/>
          <w:color w:val="000000"/>
          <w:sz w:val="32"/>
          <w:szCs w:val="32"/>
          <w:highlight w:val="none"/>
          <w:shd w:val="clear" w:color="auto" w:fill="auto"/>
          <w:lang w:eastAsia="zh-CN"/>
        </w:rPr>
        <w:t>沼肥施用技术规范</w:t>
      </w:r>
      <w:r>
        <w:rPr>
          <w:rFonts w:hint="eastAsia" w:ascii="仿宋" w:hAnsi="仿宋" w:eastAsia="仿宋_GB2312"/>
          <w:color w:val="000000"/>
          <w:sz w:val="32"/>
          <w:szCs w:val="32"/>
          <w:highlight w:val="none"/>
          <w:shd w:val="clear" w:color="auto" w:fill="auto"/>
          <w:lang w:val="en-US" w:eastAsia="zh-CN"/>
        </w:rPr>
        <w:t>》</w:t>
      </w:r>
      <w:r>
        <w:rPr>
          <w:rFonts w:hint="eastAsia" w:ascii="仿宋" w:hAnsi="仿宋" w:eastAsia="仿宋_GB2312"/>
          <w:color w:val="000000"/>
          <w:sz w:val="32"/>
          <w:szCs w:val="32"/>
          <w:highlight w:val="none"/>
          <w:shd w:val="clear" w:color="auto" w:fill="auto"/>
          <w:lang w:eastAsia="zh-CN"/>
        </w:rPr>
        <w:t>（NY/T</w:t>
      </w:r>
      <w:r>
        <w:rPr>
          <w:rFonts w:hint="eastAsia" w:ascii="仿宋" w:hAnsi="仿宋" w:eastAsia="仿宋_GB2312"/>
          <w:color w:val="000000"/>
          <w:sz w:val="32"/>
          <w:szCs w:val="32"/>
          <w:highlight w:val="none"/>
          <w:shd w:val="clear" w:color="auto" w:fill="auto"/>
          <w:lang w:val="en-US" w:eastAsia="zh-CN"/>
        </w:rPr>
        <w:t xml:space="preserve"> </w:t>
      </w:r>
      <w:r>
        <w:rPr>
          <w:rFonts w:hint="eastAsia" w:ascii="仿宋" w:hAnsi="仿宋" w:eastAsia="仿宋_GB2312"/>
          <w:color w:val="000000"/>
          <w:sz w:val="32"/>
          <w:szCs w:val="32"/>
          <w:highlight w:val="none"/>
          <w:shd w:val="clear" w:color="auto" w:fill="auto"/>
          <w:lang w:eastAsia="zh-CN"/>
        </w:rPr>
        <w:t>2065</w:t>
      </w:r>
      <w:r>
        <w:rPr>
          <w:rFonts w:hint="eastAsia" w:ascii="仿宋" w:hAnsi="仿宋" w:eastAsia="仿宋_GB2312"/>
          <w:color w:val="000000"/>
          <w:sz w:val="32"/>
          <w:szCs w:val="32"/>
          <w:highlight w:val="none"/>
          <w:shd w:val="clear" w:color="auto" w:fill="auto"/>
          <w:lang w:val="en-US" w:eastAsia="zh-CN"/>
        </w:rPr>
        <w:t>-2011</w:t>
      </w:r>
      <w:r>
        <w:rPr>
          <w:rFonts w:hint="eastAsia" w:ascii="仿宋" w:hAnsi="仿宋" w:eastAsia="仿宋_GB2312"/>
          <w:color w:val="000000"/>
          <w:sz w:val="32"/>
          <w:szCs w:val="32"/>
          <w:highlight w:val="none"/>
          <w:shd w:val="clear" w:color="auto" w:fill="auto"/>
          <w:lang w:eastAsia="zh-CN"/>
        </w:rPr>
        <w:t>）；</w:t>
      </w:r>
    </w:p>
    <w:p>
      <w:pPr>
        <w:keepNext w:val="0"/>
        <w:keepLines w:val="0"/>
        <w:pageBreakBefore w:val="0"/>
        <w:widowControl w:val="0"/>
        <w:numPr>
          <w:ilvl w:val="0"/>
          <w:numId w:val="4"/>
        </w:numPr>
        <w:kinsoku/>
        <w:wordWrap/>
        <w:overflowPunct/>
        <w:topLinePunct w:val="0"/>
        <w:autoSpaceDE w:val="0"/>
        <w:autoSpaceDN w:val="0"/>
        <w:bidi w:val="0"/>
        <w:adjustRightInd w:val="0"/>
        <w:snapToGrid/>
        <w:spacing w:line="240" w:lineRule="auto"/>
        <w:ind w:left="0" w:leftChars="0" w:firstLine="640" w:firstLineChars="200"/>
        <w:textAlignment w:val="auto"/>
        <w:rPr>
          <w:rFonts w:hint="eastAsia" w:ascii="仿宋" w:hAnsi="仿宋" w:eastAsia="仿宋_GB2312"/>
          <w:color w:val="000000"/>
          <w:sz w:val="32"/>
          <w:szCs w:val="32"/>
          <w:highlight w:val="none"/>
          <w:shd w:val="clear" w:color="auto" w:fill="auto"/>
          <w:lang w:eastAsia="zh-CN"/>
        </w:rPr>
      </w:pPr>
      <w:r>
        <w:rPr>
          <w:rFonts w:hint="eastAsia" w:ascii="仿宋" w:hAnsi="仿宋" w:eastAsia="仿宋_GB2312"/>
          <w:color w:val="000000"/>
          <w:sz w:val="32"/>
          <w:szCs w:val="32"/>
          <w:highlight w:val="none"/>
          <w:shd w:val="clear" w:color="auto" w:fill="auto"/>
          <w:lang w:val="en-US" w:eastAsia="zh-CN"/>
        </w:rPr>
        <w:t>《</w:t>
      </w:r>
      <w:r>
        <w:rPr>
          <w:rFonts w:hint="eastAsia" w:ascii="仿宋" w:hAnsi="仿宋" w:eastAsia="仿宋_GB2312"/>
          <w:color w:val="000000"/>
          <w:sz w:val="32"/>
          <w:szCs w:val="32"/>
          <w:highlight w:val="none"/>
          <w:shd w:val="clear" w:color="auto" w:fill="auto"/>
          <w:lang w:eastAsia="zh-CN"/>
        </w:rPr>
        <w:t>畜禽粪便堆肥技术规范</w:t>
      </w:r>
      <w:r>
        <w:rPr>
          <w:rFonts w:hint="eastAsia" w:ascii="仿宋" w:hAnsi="仿宋" w:eastAsia="仿宋_GB2312"/>
          <w:color w:val="000000"/>
          <w:sz w:val="32"/>
          <w:szCs w:val="32"/>
          <w:highlight w:val="none"/>
          <w:shd w:val="clear" w:color="auto" w:fill="auto"/>
          <w:lang w:val="en-US" w:eastAsia="zh-CN"/>
        </w:rPr>
        <w:t>》</w:t>
      </w:r>
      <w:r>
        <w:rPr>
          <w:rFonts w:hint="eastAsia" w:ascii="仿宋" w:hAnsi="仿宋" w:eastAsia="仿宋_GB2312"/>
          <w:color w:val="000000"/>
          <w:sz w:val="32"/>
          <w:szCs w:val="32"/>
          <w:highlight w:val="none"/>
          <w:shd w:val="clear" w:color="auto" w:fill="auto"/>
          <w:lang w:eastAsia="zh-CN"/>
        </w:rPr>
        <w:t>（NY/T 3442</w:t>
      </w:r>
      <w:r>
        <w:rPr>
          <w:rFonts w:hint="eastAsia" w:ascii="仿宋" w:hAnsi="仿宋" w:eastAsia="仿宋_GB2312"/>
          <w:color w:val="000000"/>
          <w:sz w:val="32"/>
          <w:szCs w:val="32"/>
          <w:highlight w:val="none"/>
          <w:shd w:val="clear" w:color="auto" w:fill="auto"/>
          <w:lang w:val="en-US" w:eastAsia="zh-CN"/>
        </w:rPr>
        <w:t>-2019</w:t>
      </w:r>
      <w:r>
        <w:rPr>
          <w:rFonts w:hint="eastAsia" w:ascii="仿宋" w:hAnsi="仿宋" w:eastAsia="仿宋_GB2312"/>
          <w:color w:val="000000"/>
          <w:sz w:val="32"/>
          <w:szCs w:val="32"/>
          <w:highlight w:val="none"/>
          <w:shd w:val="clear" w:color="auto" w:fill="auto"/>
          <w:lang w:eastAsia="zh-CN"/>
        </w:rPr>
        <w:t>）。</w:t>
      </w:r>
    </w:p>
    <w:p>
      <w:pPr>
        <w:spacing w:line="240" w:lineRule="auto"/>
        <w:ind w:firstLine="643" w:firstLineChars="200"/>
        <w:rPr>
          <w:rFonts w:hint="default" w:ascii="仿宋" w:hAnsi="仿宋" w:eastAsia="仿宋_GB2312"/>
          <w:b/>
          <w:bCs/>
          <w:color w:val="000000"/>
          <w:sz w:val="32"/>
          <w:szCs w:val="32"/>
          <w:highlight w:val="none"/>
          <w:shd w:val="clear" w:color="auto" w:fill="auto"/>
          <w:lang w:val="en-US" w:eastAsia="zh-CN"/>
        </w:rPr>
      </w:pPr>
      <w:r>
        <w:rPr>
          <w:rFonts w:hint="eastAsia" w:ascii="仿宋" w:hAnsi="仿宋" w:eastAsia="仿宋_GB2312"/>
          <w:b/>
          <w:bCs/>
          <w:color w:val="000000"/>
          <w:sz w:val="32"/>
          <w:szCs w:val="32"/>
          <w:highlight w:val="none"/>
          <w:shd w:val="clear" w:color="auto" w:fill="auto"/>
          <w:lang w:val="en-US" w:eastAsia="zh-CN"/>
        </w:rPr>
        <w:t>三</w:t>
      </w:r>
      <w:r>
        <w:rPr>
          <w:rFonts w:hint="eastAsia" w:ascii="仿宋" w:hAnsi="仿宋" w:eastAsia="仿宋_GB2312"/>
          <w:b/>
          <w:bCs/>
          <w:color w:val="000000"/>
          <w:sz w:val="32"/>
          <w:szCs w:val="32"/>
          <w:highlight w:val="none"/>
          <w:shd w:val="clear" w:color="auto" w:fill="auto"/>
        </w:rPr>
        <w:t>、</w:t>
      </w:r>
      <w:bookmarkEnd w:id="22"/>
      <w:bookmarkEnd w:id="23"/>
      <w:bookmarkEnd w:id="24"/>
      <w:bookmarkEnd w:id="25"/>
      <w:r>
        <w:rPr>
          <w:rFonts w:hint="eastAsia" w:ascii="仿宋" w:hAnsi="仿宋" w:eastAsia="仿宋_GB2312"/>
          <w:b/>
          <w:bCs/>
          <w:color w:val="000000"/>
          <w:sz w:val="32"/>
          <w:szCs w:val="32"/>
          <w:highlight w:val="none"/>
          <w:shd w:val="clear" w:color="auto" w:fill="auto"/>
          <w:lang w:val="en-US" w:eastAsia="zh-CN"/>
        </w:rPr>
        <w:t>政策文件</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line="240" w:lineRule="auto"/>
        <w:ind w:left="0" w:leftChars="0" w:firstLine="403" w:firstLineChars="0"/>
        <w:textAlignment w:val="auto"/>
        <w:rPr>
          <w:rFonts w:hint="eastAsia" w:ascii="仿宋" w:hAnsi="仿宋" w:eastAsia="仿宋_GB2312"/>
          <w:color w:val="000000"/>
          <w:sz w:val="32"/>
          <w:szCs w:val="32"/>
          <w:highlight w:val="none"/>
          <w:shd w:val="clear" w:color="auto" w:fill="auto"/>
        </w:rPr>
      </w:pPr>
      <w:r>
        <w:rPr>
          <w:rFonts w:hint="eastAsia" w:ascii="仿宋" w:hAnsi="仿宋" w:eastAsia="仿宋_GB2312"/>
          <w:color w:val="000000"/>
          <w:sz w:val="32"/>
          <w:szCs w:val="32"/>
          <w:highlight w:val="none"/>
          <w:shd w:val="clear" w:color="auto" w:fill="auto"/>
        </w:rPr>
        <w:t>《国务院办公厅关于加快推进畜禽养殖废弃物资源化利用的意见》</w:t>
      </w:r>
      <w:r>
        <w:rPr>
          <w:rFonts w:hint="eastAsia" w:ascii="仿宋" w:hAnsi="仿宋" w:eastAsia="仿宋_GB2312"/>
          <w:color w:val="000000"/>
          <w:sz w:val="32"/>
          <w:szCs w:val="32"/>
          <w:highlight w:val="none"/>
          <w:shd w:val="clear" w:color="auto" w:fill="auto"/>
          <w:lang w:eastAsia="zh-CN"/>
        </w:rPr>
        <w:t>（</w:t>
      </w:r>
      <w:r>
        <w:rPr>
          <w:rFonts w:hint="eastAsia" w:ascii="仿宋" w:hAnsi="仿宋" w:eastAsia="仿宋_GB2312"/>
          <w:color w:val="000000"/>
          <w:sz w:val="32"/>
          <w:szCs w:val="32"/>
          <w:highlight w:val="none"/>
          <w:shd w:val="clear" w:color="auto" w:fill="auto"/>
        </w:rPr>
        <w:t>国办发〔20</w:t>
      </w:r>
      <w:r>
        <w:rPr>
          <w:rFonts w:hint="eastAsia" w:ascii="仿宋" w:hAnsi="仿宋" w:eastAsia="仿宋_GB2312"/>
          <w:color w:val="000000"/>
          <w:sz w:val="32"/>
          <w:szCs w:val="32"/>
          <w:highlight w:val="none"/>
          <w:shd w:val="clear" w:color="auto" w:fill="auto"/>
          <w:lang w:val="en-US" w:eastAsia="zh-CN"/>
        </w:rPr>
        <w:t>17</w:t>
      </w:r>
      <w:r>
        <w:rPr>
          <w:rFonts w:hint="eastAsia" w:ascii="仿宋" w:hAnsi="仿宋" w:eastAsia="仿宋_GB2312"/>
          <w:color w:val="000000"/>
          <w:sz w:val="32"/>
          <w:szCs w:val="32"/>
          <w:highlight w:val="none"/>
          <w:shd w:val="clear" w:color="auto" w:fill="auto"/>
        </w:rPr>
        <w:t>〕48号</w:t>
      </w:r>
      <w:r>
        <w:rPr>
          <w:rFonts w:hint="eastAsia" w:ascii="仿宋" w:hAnsi="仿宋" w:eastAsia="仿宋_GB2312"/>
          <w:color w:val="000000"/>
          <w:sz w:val="32"/>
          <w:szCs w:val="32"/>
          <w:highlight w:val="none"/>
          <w:shd w:val="clear" w:color="auto" w:fill="auto"/>
          <w:lang w:eastAsia="zh-CN"/>
        </w:rPr>
        <w:t>）；</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line="240" w:lineRule="auto"/>
        <w:ind w:left="0" w:leftChars="0" w:firstLine="403" w:firstLineChars="0"/>
        <w:textAlignment w:val="auto"/>
        <w:rPr>
          <w:rFonts w:hint="eastAsia" w:ascii="仿宋" w:hAnsi="仿宋" w:eastAsia="仿宋_GB2312"/>
          <w:color w:val="000000"/>
          <w:sz w:val="32"/>
          <w:szCs w:val="32"/>
          <w:highlight w:val="none"/>
          <w:shd w:val="clear" w:color="auto" w:fill="auto"/>
        </w:rPr>
      </w:pPr>
      <w:r>
        <w:rPr>
          <w:rFonts w:hint="eastAsia" w:ascii="仿宋" w:hAnsi="仿宋" w:eastAsia="仿宋_GB2312"/>
          <w:color w:val="000000"/>
          <w:sz w:val="32"/>
          <w:szCs w:val="32"/>
          <w:highlight w:val="none"/>
          <w:shd w:val="clear" w:color="auto" w:fill="auto"/>
        </w:rPr>
        <w:t>《国务院办公厅关于促进畜牧业高质量发展的意见》</w:t>
      </w:r>
      <w:r>
        <w:rPr>
          <w:rFonts w:hint="eastAsia" w:ascii="仿宋" w:hAnsi="仿宋" w:eastAsia="仿宋_GB2312"/>
          <w:color w:val="000000"/>
          <w:sz w:val="32"/>
          <w:szCs w:val="32"/>
          <w:highlight w:val="none"/>
          <w:shd w:val="clear" w:color="auto" w:fill="auto"/>
          <w:lang w:eastAsia="zh-CN"/>
        </w:rPr>
        <w:t>（</w:t>
      </w:r>
      <w:r>
        <w:rPr>
          <w:rFonts w:hint="eastAsia" w:ascii="仿宋" w:hAnsi="仿宋" w:eastAsia="仿宋_GB2312"/>
          <w:color w:val="000000"/>
          <w:sz w:val="32"/>
          <w:szCs w:val="32"/>
          <w:highlight w:val="none"/>
          <w:shd w:val="clear" w:color="auto" w:fill="auto"/>
        </w:rPr>
        <w:t>国办发〔20</w:t>
      </w:r>
      <w:r>
        <w:rPr>
          <w:rFonts w:hint="eastAsia" w:ascii="仿宋" w:hAnsi="仿宋" w:eastAsia="仿宋_GB2312"/>
          <w:color w:val="000000"/>
          <w:sz w:val="32"/>
          <w:szCs w:val="32"/>
          <w:highlight w:val="none"/>
          <w:shd w:val="clear" w:color="auto" w:fill="auto"/>
          <w:lang w:val="en-US" w:eastAsia="zh-CN"/>
        </w:rPr>
        <w:t>20</w:t>
      </w:r>
      <w:r>
        <w:rPr>
          <w:rFonts w:hint="eastAsia" w:ascii="仿宋" w:hAnsi="仿宋" w:eastAsia="仿宋_GB2312"/>
          <w:color w:val="000000"/>
          <w:sz w:val="32"/>
          <w:szCs w:val="32"/>
          <w:highlight w:val="none"/>
          <w:shd w:val="clear" w:color="auto" w:fill="auto"/>
        </w:rPr>
        <w:t>〕31号</w:t>
      </w:r>
      <w:r>
        <w:rPr>
          <w:rFonts w:hint="eastAsia" w:ascii="仿宋" w:hAnsi="仿宋" w:eastAsia="仿宋_GB2312"/>
          <w:color w:val="000000"/>
          <w:sz w:val="32"/>
          <w:szCs w:val="32"/>
          <w:highlight w:val="none"/>
          <w:shd w:val="clear" w:color="auto" w:fill="auto"/>
          <w:lang w:eastAsia="zh-CN"/>
        </w:rPr>
        <w:t>）；</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line="240" w:lineRule="auto"/>
        <w:ind w:left="0" w:leftChars="0" w:firstLine="403" w:firstLineChars="0"/>
        <w:textAlignment w:val="auto"/>
        <w:rPr>
          <w:rFonts w:hint="eastAsia" w:ascii="仿宋" w:hAnsi="仿宋" w:eastAsia="仿宋_GB2312"/>
          <w:color w:val="000000"/>
          <w:sz w:val="32"/>
          <w:szCs w:val="32"/>
          <w:highlight w:val="none"/>
          <w:shd w:val="clear" w:color="auto" w:fill="auto"/>
          <w:lang w:eastAsia="zh-CN"/>
        </w:rPr>
      </w:pPr>
      <w:r>
        <w:rPr>
          <w:rFonts w:hint="eastAsia" w:ascii="仿宋" w:hAnsi="仿宋" w:eastAsia="仿宋_GB2312"/>
          <w:color w:val="000000"/>
          <w:sz w:val="32"/>
          <w:szCs w:val="32"/>
          <w:highlight w:val="none"/>
          <w:shd w:val="clear" w:color="auto" w:fill="auto"/>
        </w:rPr>
        <w:t>《畜禽养殖禁养区划定技术指南》（环办水体〔</w:t>
      </w:r>
      <w:r>
        <w:rPr>
          <w:rFonts w:ascii="仿宋" w:hAnsi="仿宋" w:eastAsia="仿宋_GB2312"/>
          <w:color w:val="000000"/>
          <w:sz w:val="32"/>
          <w:szCs w:val="32"/>
          <w:highlight w:val="none"/>
          <w:shd w:val="clear" w:color="auto" w:fill="auto"/>
        </w:rPr>
        <w:t>2016</w:t>
      </w:r>
      <w:r>
        <w:rPr>
          <w:rFonts w:hint="eastAsia" w:ascii="仿宋" w:hAnsi="仿宋" w:eastAsia="仿宋_GB2312"/>
          <w:color w:val="000000"/>
          <w:sz w:val="32"/>
          <w:szCs w:val="32"/>
          <w:highlight w:val="none"/>
          <w:shd w:val="clear" w:color="auto" w:fill="auto"/>
        </w:rPr>
        <w:t>〕</w:t>
      </w:r>
      <w:r>
        <w:rPr>
          <w:rFonts w:ascii="仿宋" w:hAnsi="仿宋" w:eastAsia="仿宋_GB2312"/>
          <w:color w:val="000000"/>
          <w:sz w:val="32"/>
          <w:szCs w:val="32"/>
          <w:highlight w:val="none"/>
          <w:shd w:val="clear" w:color="auto" w:fill="auto"/>
        </w:rPr>
        <w:t>99</w:t>
      </w:r>
      <w:r>
        <w:rPr>
          <w:rFonts w:hint="eastAsia" w:ascii="仿宋" w:hAnsi="仿宋" w:eastAsia="仿宋_GB2312"/>
          <w:color w:val="000000"/>
          <w:sz w:val="32"/>
          <w:szCs w:val="32"/>
          <w:highlight w:val="none"/>
          <w:shd w:val="clear" w:color="auto" w:fill="auto"/>
        </w:rPr>
        <w:t>号）</w:t>
      </w:r>
      <w:r>
        <w:rPr>
          <w:rFonts w:hint="eastAsia" w:ascii="仿宋" w:hAnsi="仿宋" w:eastAsia="仿宋_GB2312"/>
          <w:color w:val="000000"/>
          <w:sz w:val="32"/>
          <w:szCs w:val="32"/>
          <w:highlight w:val="none"/>
          <w:shd w:val="clear" w:color="auto" w:fill="auto"/>
          <w:lang w:eastAsia="zh-CN"/>
        </w:rPr>
        <w:t>；</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line="240" w:lineRule="auto"/>
        <w:ind w:left="0" w:leftChars="0" w:firstLine="403" w:firstLineChars="0"/>
        <w:textAlignment w:val="auto"/>
        <w:rPr>
          <w:rFonts w:hint="eastAsia" w:ascii="仿宋" w:hAnsi="仿宋" w:eastAsia="仿宋_GB2312"/>
          <w:color w:val="000000"/>
          <w:sz w:val="32"/>
          <w:szCs w:val="32"/>
          <w:highlight w:val="none"/>
          <w:shd w:val="clear" w:color="auto" w:fill="auto"/>
        </w:rPr>
      </w:pPr>
      <w:r>
        <w:rPr>
          <w:rFonts w:hint="eastAsia" w:ascii="仿宋" w:hAnsi="仿宋" w:eastAsia="仿宋_GB2312"/>
          <w:color w:val="000000"/>
          <w:sz w:val="32"/>
          <w:szCs w:val="32"/>
          <w:highlight w:val="none"/>
          <w:shd w:val="clear" w:color="auto" w:fill="auto"/>
        </w:rPr>
        <w:t>《关于做好畜禽粪污资源化利用跟踪监测工作的通知》</w:t>
      </w:r>
      <w:r>
        <w:rPr>
          <w:rFonts w:hint="eastAsia" w:ascii="仿宋" w:hAnsi="仿宋" w:eastAsia="仿宋_GB2312"/>
          <w:color w:val="000000"/>
          <w:sz w:val="32"/>
          <w:szCs w:val="32"/>
          <w:highlight w:val="none"/>
          <w:shd w:val="clear" w:color="auto" w:fill="auto"/>
          <w:lang w:eastAsia="zh-CN"/>
        </w:rPr>
        <w:t>（</w:t>
      </w:r>
      <w:r>
        <w:rPr>
          <w:rFonts w:hint="eastAsia" w:ascii="仿宋" w:hAnsi="仿宋" w:eastAsia="仿宋_GB2312"/>
          <w:color w:val="000000"/>
          <w:sz w:val="32"/>
          <w:szCs w:val="32"/>
          <w:highlight w:val="none"/>
          <w:shd w:val="clear" w:color="auto" w:fill="auto"/>
        </w:rPr>
        <w:t>农办牧〔20</w:t>
      </w:r>
      <w:r>
        <w:rPr>
          <w:rFonts w:hint="eastAsia" w:ascii="仿宋" w:hAnsi="仿宋" w:eastAsia="仿宋_GB2312"/>
          <w:color w:val="000000"/>
          <w:sz w:val="32"/>
          <w:szCs w:val="32"/>
          <w:highlight w:val="none"/>
          <w:shd w:val="clear" w:color="auto" w:fill="auto"/>
          <w:lang w:val="en-US" w:eastAsia="zh-CN"/>
        </w:rPr>
        <w:t>18</w:t>
      </w:r>
      <w:r>
        <w:rPr>
          <w:rFonts w:hint="eastAsia" w:ascii="仿宋" w:hAnsi="仿宋" w:eastAsia="仿宋_GB2312"/>
          <w:color w:val="000000"/>
          <w:sz w:val="32"/>
          <w:szCs w:val="32"/>
          <w:highlight w:val="none"/>
          <w:shd w:val="clear" w:color="auto" w:fill="auto"/>
        </w:rPr>
        <w:t>〕28号</w:t>
      </w:r>
      <w:r>
        <w:rPr>
          <w:rFonts w:hint="eastAsia" w:ascii="仿宋" w:hAnsi="仿宋" w:eastAsia="仿宋_GB2312"/>
          <w:color w:val="000000"/>
          <w:sz w:val="32"/>
          <w:szCs w:val="32"/>
          <w:highlight w:val="none"/>
          <w:shd w:val="clear" w:color="auto" w:fill="auto"/>
          <w:lang w:eastAsia="zh-CN"/>
        </w:rPr>
        <w:t>）；</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line="240" w:lineRule="auto"/>
        <w:ind w:left="0" w:leftChars="0" w:firstLine="403" w:firstLineChars="0"/>
        <w:textAlignment w:val="auto"/>
        <w:rPr>
          <w:rFonts w:hint="eastAsia" w:ascii="仿宋" w:hAnsi="仿宋" w:eastAsia="仿宋_GB2312"/>
          <w:color w:val="000000"/>
          <w:sz w:val="32"/>
          <w:szCs w:val="32"/>
          <w:highlight w:val="none"/>
          <w:shd w:val="clear" w:color="auto" w:fill="auto"/>
        </w:rPr>
      </w:pPr>
      <w:r>
        <w:rPr>
          <w:rFonts w:hint="eastAsia" w:ascii="仿宋" w:hAnsi="仿宋" w:eastAsia="仿宋_GB2312"/>
          <w:color w:val="000000"/>
          <w:sz w:val="32"/>
          <w:szCs w:val="32"/>
          <w:highlight w:val="none"/>
          <w:shd w:val="clear" w:color="auto" w:fill="auto"/>
        </w:rPr>
        <w:t>《畜禽规模养殖场粪污资源化利用设施建设规范</w:t>
      </w:r>
      <w:r>
        <w:rPr>
          <w:rFonts w:hint="eastAsia" w:ascii="仿宋" w:hAnsi="仿宋" w:eastAsia="仿宋_GB2312"/>
          <w:color w:val="000000"/>
          <w:sz w:val="32"/>
          <w:szCs w:val="32"/>
          <w:highlight w:val="none"/>
          <w:shd w:val="clear" w:color="auto" w:fill="auto"/>
          <w:lang w:eastAsia="zh-CN"/>
        </w:rPr>
        <w:t>（</w:t>
      </w:r>
      <w:r>
        <w:rPr>
          <w:rFonts w:hint="eastAsia" w:ascii="仿宋" w:hAnsi="仿宋" w:eastAsia="仿宋_GB2312"/>
          <w:color w:val="000000"/>
          <w:sz w:val="32"/>
          <w:szCs w:val="32"/>
          <w:highlight w:val="none"/>
          <w:shd w:val="clear" w:color="auto" w:fill="auto"/>
        </w:rPr>
        <w:t>试行</w:t>
      </w:r>
      <w:r>
        <w:rPr>
          <w:rFonts w:hint="eastAsia" w:ascii="仿宋" w:hAnsi="仿宋" w:eastAsia="仿宋_GB2312"/>
          <w:color w:val="000000"/>
          <w:sz w:val="32"/>
          <w:szCs w:val="32"/>
          <w:highlight w:val="none"/>
          <w:shd w:val="clear" w:color="auto" w:fill="auto"/>
          <w:lang w:eastAsia="zh-CN"/>
        </w:rPr>
        <w:t>）</w:t>
      </w:r>
      <w:r>
        <w:rPr>
          <w:rFonts w:hint="eastAsia" w:ascii="仿宋" w:hAnsi="仿宋" w:eastAsia="仿宋_GB2312"/>
          <w:color w:val="000000"/>
          <w:sz w:val="32"/>
          <w:szCs w:val="32"/>
          <w:highlight w:val="none"/>
          <w:shd w:val="clear" w:color="auto" w:fill="auto"/>
        </w:rPr>
        <w:t>》</w:t>
      </w:r>
      <w:r>
        <w:rPr>
          <w:rFonts w:hint="eastAsia" w:ascii="仿宋" w:hAnsi="仿宋" w:eastAsia="仿宋_GB2312"/>
          <w:color w:val="000000"/>
          <w:sz w:val="32"/>
          <w:szCs w:val="32"/>
          <w:highlight w:val="none"/>
          <w:shd w:val="clear" w:color="auto" w:fill="auto"/>
          <w:lang w:eastAsia="zh-CN"/>
        </w:rPr>
        <w:t>（</w:t>
      </w:r>
      <w:r>
        <w:rPr>
          <w:rFonts w:hint="eastAsia" w:ascii="仿宋" w:hAnsi="仿宋" w:eastAsia="仿宋_GB2312"/>
          <w:color w:val="000000"/>
          <w:sz w:val="32"/>
          <w:szCs w:val="32"/>
          <w:highlight w:val="none"/>
          <w:shd w:val="clear" w:color="auto" w:fill="auto"/>
        </w:rPr>
        <w:t>农办牧〔20</w:t>
      </w:r>
      <w:r>
        <w:rPr>
          <w:rFonts w:hint="eastAsia" w:ascii="仿宋" w:hAnsi="仿宋" w:eastAsia="仿宋_GB2312"/>
          <w:color w:val="000000"/>
          <w:sz w:val="32"/>
          <w:szCs w:val="32"/>
          <w:highlight w:val="none"/>
          <w:shd w:val="clear" w:color="auto" w:fill="auto"/>
          <w:lang w:val="en-US" w:eastAsia="zh-CN"/>
        </w:rPr>
        <w:t>18</w:t>
      </w:r>
      <w:r>
        <w:rPr>
          <w:rFonts w:hint="eastAsia" w:ascii="仿宋" w:hAnsi="仿宋" w:eastAsia="仿宋_GB2312"/>
          <w:color w:val="000000"/>
          <w:sz w:val="32"/>
          <w:szCs w:val="32"/>
          <w:highlight w:val="none"/>
          <w:shd w:val="clear" w:color="auto" w:fill="auto"/>
        </w:rPr>
        <w:t>〕2号</w:t>
      </w:r>
      <w:r>
        <w:rPr>
          <w:rFonts w:hint="eastAsia" w:ascii="仿宋" w:hAnsi="仿宋" w:eastAsia="仿宋_GB2312"/>
          <w:color w:val="000000"/>
          <w:sz w:val="32"/>
          <w:szCs w:val="32"/>
          <w:highlight w:val="none"/>
          <w:shd w:val="clear" w:color="auto" w:fill="auto"/>
          <w:lang w:eastAsia="zh-CN"/>
        </w:rPr>
        <w:t>）；</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line="240" w:lineRule="auto"/>
        <w:ind w:left="0" w:leftChars="0" w:firstLine="403" w:firstLineChars="0"/>
        <w:textAlignment w:val="auto"/>
        <w:rPr>
          <w:rFonts w:hint="eastAsia" w:ascii="仿宋" w:hAnsi="仿宋" w:eastAsia="仿宋_GB2312"/>
          <w:color w:val="000000"/>
          <w:sz w:val="32"/>
          <w:szCs w:val="32"/>
          <w:highlight w:val="none"/>
          <w:shd w:val="clear" w:color="auto" w:fill="auto"/>
        </w:rPr>
      </w:pPr>
      <w:r>
        <w:rPr>
          <w:rFonts w:hint="eastAsia" w:ascii="仿宋" w:hAnsi="仿宋" w:eastAsia="仿宋_GB2312"/>
          <w:color w:val="000000"/>
          <w:sz w:val="32"/>
          <w:szCs w:val="32"/>
          <w:highlight w:val="none"/>
          <w:shd w:val="clear" w:color="auto" w:fill="auto"/>
        </w:rPr>
        <w:t>《畜禽粪污土地承载力测算技术指南》</w:t>
      </w:r>
      <w:r>
        <w:rPr>
          <w:rFonts w:hint="eastAsia" w:ascii="仿宋" w:hAnsi="仿宋" w:eastAsia="仿宋_GB2312"/>
          <w:color w:val="000000"/>
          <w:sz w:val="32"/>
          <w:szCs w:val="32"/>
          <w:highlight w:val="none"/>
          <w:shd w:val="clear" w:color="auto" w:fill="auto"/>
          <w:lang w:eastAsia="zh-CN"/>
        </w:rPr>
        <w:t>（</w:t>
      </w:r>
      <w:r>
        <w:rPr>
          <w:rFonts w:hint="eastAsia" w:ascii="仿宋" w:hAnsi="仿宋" w:eastAsia="仿宋_GB2312"/>
          <w:color w:val="000000"/>
          <w:sz w:val="32"/>
          <w:szCs w:val="32"/>
          <w:highlight w:val="none"/>
          <w:shd w:val="clear" w:color="auto" w:fill="auto"/>
        </w:rPr>
        <w:t>农办牧〔20</w:t>
      </w:r>
      <w:r>
        <w:rPr>
          <w:rFonts w:hint="eastAsia" w:ascii="仿宋" w:hAnsi="仿宋" w:eastAsia="仿宋_GB2312"/>
          <w:color w:val="000000"/>
          <w:sz w:val="32"/>
          <w:szCs w:val="32"/>
          <w:highlight w:val="none"/>
          <w:shd w:val="clear" w:color="auto" w:fill="auto"/>
          <w:lang w:val="en-US" w:eastAsia="zh-CN"/>
        </w:rPr>
        <w:t>18</w:t>
      </w:r>
      <w:r>
        <w:rPr>
          <w:rFonts w:hint="eastAsia" w:ascii="仿宋" w:hAnsi="仿宋" w:eastAsia="仿宋_GB2312"/>
          <w:color w:val="000000"/>
          <w:sz w:val="32"/>
          <w:szCs w:val="32"/>
          <w:highlight w:val="none"/>
          <w:shd w:val="clear" w:color="auto" w:fill="auto"/>
        </w:rPr>
        <w:t>〕1号</w:t>
      </w:r>
      <w:r>
        <w:rPr>
          <w:rFonts w:hint="eastAsia" w:ascii="仿宋" w:hAnsi="仿宋" w:eastAsia="仿宋_GB2312"/>
          <w:color w:val="000000"/>
          <w:sz w:val="32"/>
          <w:szCs w:val="32"/>
          <w:highlight w:val="none"/>
          <w:shd w:val="clear" w:color="auto" w:fill="auto"/>
          <w:lang w:eastAsia="zh-CN"/>
        </w:rPr>
        <w:t>）；</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line="240" w:lineRule="auto"/>
        <w:ind w:left="0" w:leftChars="0" w:firstLine="403" w:firstLineChars="0"/>
        <w:textAlignment w:val="auto"/>
        <w:rPr>
          <w:rFonts w:hint="eastAsia" w:ascii="仿宋" w:hAnsi="仿宋" w:eastAsia="仿宋_GB2312"/>
          <w:color w:val="000000"/>
          <w:sz w:val="32"/>
          <w:szCs w:val="32"/>
          <w:highlight w:val="none"/>
          <w:shd w:val="clear" w:color="auto" w:fill="auto"/>
        </w:rPr>
      </w:pPr>
      <w:r>
        <w:rPr>
          <w:rFonts w:hint="eastAsia" w:ascii="仿宋" w:hAnsi="仿宋" w:eastAsia="仿宋_GB2312"/>
          <w:color w:val="000000"/>
          <w:sz w:val="32"/>
          <w:szCs w:val="32"/>
          <w:highlight w:val="none"/>
          <w:shd w:val="clear" w:color="auto" w:fill="auto"/>
        </w:rPr>
        <w:t>《关于促进畜禽粪污还田利用依法加强养殖污染治理的指导意见》</w:t>
      </w:r>
      <w:r>
        <w:rPr>
          <w:rFonts w:hint="eastAsia" w:ascii="仿宋" w:hAnsi="仿宋" w:eastAsia="仿宋_GB2312"/>
          <w:color w:val="000000"/>
          <w:sz w:val="32"/>
          <w:szCs w:val="32"/>
          <w:highlight w:val="none"/>
          <w:shd w:val="clear" w:color="auto" w:fill="auto"/>
          <w:lang w:eastAsia="zh-CN"/>
        </w:rPr>
        <w:t>（</w:t>
      </w:r>
      <w:r>
        <w:rPr>
          <w:rFonts w:hint="eastAsia" w:ascii="仿宋" w:hAnsi="仿宋" w:eastAsia="仿宋_GB2312"/>
          <w:color w:val="000000"/>
          <w:sz w:val="32"/>
          <w:szCs w:val="32"/>
          <w:highlight w:val="none"/>
          <w:shd w:val="clear" w:color="auto" w:fill="auto"/>
        </w:rPr>
        <w:t>农办牧〔20</w:t>
      </w:r>
      <w:r>
        <w:rPr>
          <w:rFonts w:hint="eastAsia" w:ascii="仿宋" w:hAnsi="仿宋" w:eastAsia="仿宋_GB2312"/>
          <w:color w:val="000000"/>
          <w:sz w:val="32"/>
          <w:szCs w:val="32"/>
          <w:highlight w:val="none"/>
          <w:shd w:val="clear" w:color="auto" w:fill="auto"/>
          <w:lang w:val="en-US" w:eastAsia="zh-CN"/>
        </w:rPr>
        <w:t>19</w:t>
      </w:r>
      <w:r>
        <w:rPr>
          <w:rFonts w:hint="eastAsia" w:ascii="仿宋" w:hAnsi="仿宋" w:eastAsia="仿宋_GB2312"/>
          <w:color w:val="000000"/>
          <w:sz w:val="32"/>
          <w:szCs w:val="32"/>
          <w:highlight w:val="none"/>
          <w:shd w:val="clear" w:color="auto" w:fill="auto"/>
        </w:rPr>
        <w:t>〕84号</w:t>
      </w:r>
      <w:r>
        <w:rPr>
          <w:rFonts w:hint="eastAsia" w:ascii="仿宋" w:hAnsi="仿宋" w:eastAsia="仿宋_GB2312"/>
          <w:color w:val="000000"/>
          <w:sz w:val="32"/>
          <w:szCs w:val="32"/>
          <w:highlight w:val="none"/>
          <w:shd w:val="clear" w:color="auto" w:fill="auto"/>
          <w:lang w:eastAsia="zh-CN"/>
        </w:rPr>
        <w:t>）；</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line="240" w:lineRule="auto"/>
        <w:ind w:left="0" w:leftChars="0" w:firstLine="403" w:firstLineChars="0"/>
        <w:textAlignment w:val="auto"/>
        <w:rPr>
          <w:rFonts w:hint="eastAsia" w:ascii="仿宋" w:hAnsi="仿宋" w:eastAsia="仿宋_GB2312"/>
          <w:color w:val="000000"/>
          <w:sz w:val="32"/>
          <w:szCs w:val="32"/>
          <w:highlight w:val="none"/>
          <w:shd w:val="clear" w:color="auto" w:fill="auto"/>
          <w:lang w:eastAsia="zh-CN"/>
        </w:rPr>
      </w:pPr>
      <w:r>
        <w:rPr>
          <w:rFonts w:hint="eastAsia" w:ascii="仿宋" w:hAnsi="仿宋" w:eastAsia="仿宋_GB2312"/>
          <w:color w:val="000000"/>
          <w:sz w:val="32"/>
          <w:szCs w:val="32"/>
          <w:highlight w:val="none"/>
          <w:shd w:val="clear" w:color="auto" w:fill="auto"/>
        </w:rPr>
        <w:t>《关于进一步规范畜禽养殖禁养区划定和管理促进生猪生产发展的通知》（环办土壤〔</w:t>
      </w:r>
      <w:r>
        <w:rPr>
          <w:rFonts w:ascii="仿宋" w:hAnsi="仿宋" w:eastAsia="仿宋_GB2312"/>
          <w:color w:val="000000"/>
          <w:sz w:val="32"/>
          <w:szCs w:val="32"/>
          <w:highlight w:val="none"/>
          <w:shd w:val="clear" w:color="auto" w:fill="auto"/>
        </w:rPr>
        <w:t>2019</w:t>
      </w:r>
      <w:r>
        <w:rPr>
          <w:rFonts w:hint="eastAsia" w:ascii="仿宋" w:hAnsi="仿宋" w:eastAsia="仿宋_GB2312"/>
          <w:color w:val="000000"/>
          <w:sz w:val="32"/>
          <w:szCs w:val="32"/>
          <w:highlight w:val="none"/>
          <w:shd w:val="clear" w:color="auto" w:fill="auto"/>
        </w:rPr>
        <w:t>〕</w:t>
      </w:r>
      <w:r>
        <w:rPr>
          <w:rFonts w:ascii="仿宋" w:hAnsi="仿宋" w:eastAsia="仿宋_GB2312"/>
          <w:color w:val="000000"/>
          <w:sz w:val="32"/>
          <w:szCs w:val="32"/>
          <w:highlight w:val="none"/>
          <w:shd w:val="clear" w:color="auto" w:fill="auto"/>
        </w:rPr>
        <w:t>55</w:t>
      </w:r>
      <w:r>
        <w:rPr>
          <w:rFonts w:hint="eastAsia" w:ascii="仿宋" w:hAnsi="仿宋" w:eastAsia="仿宋_GB2312"/>
          <w:color w:val="000000"/>
          <w:sz w:val="32"/>
          <w:szCs w:val="32"/>
          <w:highlight w:val="none"/>
          <w:shd w:val="clear" w:color="auto" w:fill="auto"/>
        </w:rPr>
        <w:t>号）</w:t>
      </w:r>
      <w:r>
        <w:rPr>
          <w:rFonts w:hint="eastAsia" w:ascii="仿宋" w:hAnsi="仿宋" w:eastAsia="仿宋_GB2312"/>
          <w:color w:val="000000"/>
          <w:sz w:val="32"/>
          <w:szCs w:val="32"/>
          <w:highlight w:val="none"/>
          <w:shd w:val="clear" w:color="auto" w:fill="auto"/>
          <w:lang w:eastAsia="zh-CN"/>
        </w:rPr>
        <w:t>；</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line="240" w:lineRule="auto"/>
        <w:ind w:left="0" w:leftChars="0" w:firstLine="403" w:firstLineChars="0"/>
        <w:textAlignment w:val="auto"/>
        <w:rPr>
          <w:rFonts w:hint="eastAsia" w:ascii="仿宋" w:hAnsi="仿宋" w:eastAsia="仿宋_GB2312"/>
          <w:color w:val="000000"/>
          <w:sz w:val="32"/>
          <w:szCs w:val="32"/>
          <w:highlight w:val="none"/>
          <w:shd w:val="clear" w:color="auto" w:fill="auto"/>
          <w:lang w:eastAsia="zh-CN"/>
        </w:rPr>
      </w:pPr>
      <w:r>
        <w:rPr>
          <w:rFonts w:hint="eastAsia" w:ascii="仿宋" w:hAnsi="仿宋" w:eastAsia="仿宋_GB2312"/>
          <w:color w:val="000000"/>
          <w:sz w:val="32"/>
          <w:szCs w:val="32"/>
          <w:highlight w:val="none"/>
          <w:shd w:val="clear" w:color="auto" w:fill="auto"/>
        </w:rPr>
        <w:t>《关于印发畜禽养殖禁养区划定情况排查要求的通知》（环办土壤函〔</w:t>
      </w:r>
      <w:r>
        <w:rPr>
          <w:rFonts w:ascii="仿宋" w:hAnsi="仿宋" w:eastAsia="仿宋_GB2312"/>
          <w:color w:val="000000"/>
          <w:sz w:val="32"/>
          <w:szCs w:val="32"/>
          <w:highlight w:val="none"/>
          <w:shd w:val="clear" w:color="auto" w:fill="auto"/>
        </w:rPr>
        <w:t>2019</w:t>
      </w:r>
      <w:r>
        <w:rPr>
          <w:rFonts w:hint="eastAsia" w:ascii="仿宋" w:hAnsi="仿宋" w:eastAsia="仿宋_GB2312"/>
          <w:color w:val="000000"/>
          <w:sz w:val="32"/>
          <w:szCs w:val="32"/>
          <w:highlight w:val="none"/>
          <w:shd w:val="clear" w:color="auto" w:fill="auto"/>
        </w:rPr>
        <w:t>〕</w:t>
      </w:r>
      <w:r>
        <w:rPr>
          <w:rFonts w:ascii="仿宋" w:hAnsi="仿宋" w:eastAsia="仿宋_GB2312"/>
          <w:color w:val="000000"/>
          <w:sz w:val="32"/>
          <w:szCs w:val="32"/>
          <w:highlight w:val="none"/>
          <w:shd w:val="clear" w:color="auto" w:fill="auto"/>
        </w:rPr>
        <w:t>735</w:t>
      </w:r>
      <w:r>
        <w:rPr>
          <w:rFonts w:hint="eastAsia" w:ascii="仿宋" w:hAnsi="仿宋" w:eastAsia="仿宋_GB2312"/>
          <w:color w:val="000000"/>
          <w:sz w:val="32"/>
          <w:szCs w:val="32"/>
          <w:highlight w:val="none"/>
          <w:shd w:val="clear" w:color="auto" w:fill="auto"/>
        </w:rPr>
        <w:t>号）</w:t>
      </w:r>
      <w:r>
        <w:rPr>
          <w:rFonts w:hint="eastAsia" w:ascii="仿宋" w:hAnsi="仿宋" w:eastAsia="仿宋_GB2312"/>
          <w:color w:val="000000"/>
          <w:sz w:val="32"/>
          <w:szCs w:val="32"/>
          <w:highlight w:val="none"/>
          <w:shd w:val="clear" w:color="auto" w:fill="auto"/>
          <w:lang w:eastAsia="zh-CN"/>
        </w:rPr>
        <w:t>；</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line="240" w:lineRule="auto"/>
        <w:ind w:left="0" w:leftChars="0" w:firstLine="403" w:firstLineChars="0"/>
        <w:textAlignment w:val="auto"/>
        <w:rPr>
          <w:rFonts w:hint="eastAsia" w:ascii="仿宋" w:hAnsi="仿宋" w:eastAsia="仿宋_GB2312"/>
          <w:color w:val="000000"/>
          <w:sz w:val="32"/>
          <w:szCs w:val="32"/>
          <w:highlight w:val="none"/>
          <w:shd w:val="clear" w:color="auto" w:fill="auto"/>
        </w:rPr>
      </w:pPr>
      <w:r>
        <w:rPr>
          <w:rFonts w:hint="eastAsia" w:ascii="仿宋" w:hAnsi="仿宋" w:eastAsia="仿宋_GB2312"/>
          <w:color w:val="000000"/>
          <w:sz w:val="32"/>
          <w:szCs w:val="32"/>
          <w:highlight w:val="none"/>
          <w:shd w:val="clear" w:color="auto" w:fill="auto"/>
        </w:rPr>
        <w:t>《关于进一步明确畜禽粪污还田利用要求强化养殖污染监管的通知》</w:t>
      </w:r>
      <w:r>
        <w:rPr>
          <w:rFonts w:hint="eastAsia" w:ascii="仿宋" w:hAnsi="仿宋" w:eastAsia="仿宋_GB2312"/>
          <w:color w:val="000000"/>
          <w:sz w:val="32"/>
          <w:szCs w:val="32"/>
          <w:highlight w:val="none"/>
          <w:shd w:val="clear" w:color="auto" w:fill="auto"/>
          <w:lang w:eastAsia="zh-CN"/>
        </w:rPr>
        <w:t>（</w:t>
      </w:r>
      <w:r>
        <w:rPr>
          <w:rFonts w:hint="eastAsia" w:ascii="仿宋" w:hAnsi="仿宋" w:eastAsia="仿宋_GB2312"/>
          <w:color w:val="000000"/>
          <w:sz w:val="32"/>
          <w:szCs w:val="32"/>
          <w:highlight w:val="none"/>
          <w:shd w:val="clear" w:color="auto" w:fill="auto"/>
        </w:rPr>
        <w:t>农办牧〔20</w:t>
      </w:r>
      <w:r>
        <w:rPr>
          <w:rFonts w:hint="eastAsia" w:ascii="仿宋" w:hAnsi="仿宋" w:eastAsia="仿宋_GB2312"/>
          <w:color w:val="000000"/>
          <w:sz w:val="32"/>
          <w:szCs w:val="32"/>
          <w:highlight w:val="none"/>
          <w:shd w:val="clear" w:color="auto" w:fill="auto"/>
          <w:lang w:val="en-US" w:eastAsia="zh-CN"/>
        </w:rPr>
        <w:t>20</w:t>
      </w:r>
      <w:r>
        <w:rPr>
          <w:rFonts w:hint="eastAsia" w:ascii="仿宋" w:hAnsi="仿宋" w:eastAsia="仿宋_GB2312"/>
          <w:color w:val="000000"/>
          <w:sz w:val="32"/>
          <w:szCs w:val="32"/>
          <w:highlight w:val="none"/>
          <w:shd w:val="clear" w:color="auto" w:fill="auto"/>
        </w:rPr>
        <w:t>〕23号</w:t>
      </w:r>
      <w:r>
        <w:rPr>
          <w:rFonts w:hint="eastAsia" w:ascii="仿宋" w:hAnsi="仿宋" w:eastAsia="仿宋_GB2312"/>
          <w:color w:val="000000"/>
          <w:sz w:val="32"/>
          <w:szCs w:val="32"/>
          <w:highlight w:val="none"/>
          <w:shd w:val="clear" w:color="auto" w:fill="auto"/>
          <w:lang w:eastAsia="zh-CN"/>
        </w:rPr>
        <w:t>）；</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line="240" w:lineRule="auto"/>
        <w:ind w:left="0" w:leftChars="0" w:firstLine="403" w:firstLineChars="0"/>
        <w:textAlignment w:val="auto"/>
        <w:rPr>
          <w:rFonts w:hint="eastAsia" w:ascii="仿宋" w:hAnsi="仿宋" w:eastAsia="仿宋_GB2312"/>
          <w:color w:val="000000"/>
          <w:sz w:val="32"/>
          <w:szCs w:val="32"/>
          <w:highlight w:val="none"/>
          <w:shd w:val="clear" w:color="auto" w:fill="auto"/>
        </w:rPr>
      </w:pPr>
      <w:r>
        <w:rPr>
          <w:rFonts w:hint="eastAsia" w:ascii="仿宋" w:hAnsi="仿宋" w:eastAsia="仿宋_GB2312"/>
          <w:color w:val="000000"/>
          <w:sz w:val="32"/>
          <w:szCs w:val="32"/>
          <w:highlight w:val="none"/>
          <w:shd w:val="clear" w:color="auto" w:fill="auto"/>
        </w:rPr>
        <w:t>《关于开展水环境承载力评价工作的通知》</w:t>
      </w:r>
      <w:r>
        <w:rPr>
          <w:rFonts w:hint="eastAsia" w:ascii="仿宋" w:hAnsi="仿宋" w:eastAsia="仿宋_GB2312"/>
          <w:color w:val="000000"/>
          <w:sz w:val="32"/>
          <w:szCs w:val="32"/>
          <w:highlight w:val="none"/>
          <w:shd w:val="clear" w:color="auto" w:fill="auto"/>
          <w:lang w:eastAsia="zh-CN"/>
        </w:rPr>
        <w:t>（</w:t>
      </w:r>
      <w:r>
        <w:rPr>
          <w:rFonts w:hint="eastAsia" w:ascii="仿宋" w:hAnsi="仿宋" w:eastAsia="仿宋_GB2312"/>
          <w:color w:val="000000"/>
          <w:sz w:val="32"/>
          <w:szCs w:val="32"/>
          <w:highlight w:val="none"/>
          <w:shd w:val="clear" w:color="auto" w:fill="auto"/>
        </w:rPr>
        <w:t>环办水体函〔20</w:t>
      </w:r>
      <w:r>
        <w:rPr>
          <w:rFonts w:hint="eastAsia" w:ascii="仿宋" w:hAnsi="仿宋" w:eastAsia="仿宋_GB2312"/>
          <w:color w:val="000000"/>
          <w:sz w:val="32"/>
          <w:szCs w:val="32"/>
          <w:highlight w:val="none"/>
          <w:shd w:val="clear" w:color="auto" w:fill="auto"/>
          <w:lang w:val="en-US" w:eastAsia="zh-CN"/>
        </w:rPr>
        <w:t>20</w:t>
      </w:r>
      <w:r>
        <w:rPr>
          <w:rFonts w:hint="eastAsia" w:ascii="仿宋" w:hAnsi="仿宋" w:eastAsia="仿宋_GB2312"/>
          <w:color w:val="000000"/>
          <w:sz w:val="32"/>
          <w:szCs w:val="32"/>
          <w:highlight w:val="none"/>
          <w:shd w:val="clear" w:color="auto" w:fill="auto"/>
        </w:rPr>
        <w:t>〕538号</w:t>
      </w:r>
      <w:r>
        <w:rPr>
          <w:rFonts w:hint="eastAsia" w:ascii="仿宋" w:hAnsi="仿宋" w:eastAsia="仿宋_GB2312"/>
          <w:color w:val="000000"/>
          <w:sz w:val="32"/>
          <w:szCs w:val="32"/>
          <w:highlight w:val="none"/>
          <w:shd w:val="clear" w:color="auto" w:fill="auto"/>
          <w:lang w:eastAsia="zh-CN"/>
        </w:rPr>
        <w:t>）；</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line="240" w:lineRule="auto"/>
        <w:ind w:left="0" w:leftChars="0" w:firstLine="403" w:firstLineChars="0"/>
        <w:textAlignment w:val="auto"/>
        <w:rPr>
          <w:rFonts w:hint="eastAsia" w:ascii="仿宋" w:hAnsi="仿宋" w:eastAsia="仿宋_GB2312"/>
          <w:color w:val="000000"/>
          <w:sz w:val="32"/>
          <w:szCs w:val="32"/>
          <w:highlight w:val="none"/>
          <w:shd w:val="clear" w:color="auto" w:fill="auto"/>
          <w:lang w:eastAsia="zh-CN"/>
        </w:rPr>
      </w:pPr>
      <w:bookmarkStart w:id="26" w:name="_Toc25557"/>
      <w:bookmarkStart w:id="27" w:name="_Toc18114"/>
      <w:bookmarkStart w:id="28" w:name="_Toc22402536"/>
      <w:bookmarkStart w:id="29" w:name="_Toc23803"/>
      <w:r>
        <w:rPr>
          <w:rFonts w:hint="eastAsia" w:ascii="仿宋" w:hAnsi="仿宋" w:eastAsia="仿宋_GB2312"/>
          <w:color w:val="000000"/>
          <w:sz w:val="32"/>
          <w:szCs w:val="32"/>
          <w:highlight w:val="none"/>
          <w:shd w:val="clear" w:color="auto" w:fill="auto"/>
        </w:rPr>
        <w:t>《关于进一步规范畜禽养殖禁养区管理的通知》（环办土壤函〔</w:t>
      </w:r>
      <w:r>
        <w:rPr>
          <w:rFonts w:ascii="仿宋" w:hAnsi="仿宋" w:eastAsia="仿宋_GB2312"/>
          <w:color w:val="000000"/>
          <w:sz w:val="32"/>
          <w:szCs w:val="32"/>
          <w:highlight w:val="none"/>
          <w:shd w:val="clear" w:color="auto" w:fill="auto"/>
        </w:rPr>
        <w:t>20</w:t>
      </w:r>
      <w:r>
        <w:rPr>
          <w:rFonts w:hint="eastAsia" w:ascii="仿宋" w:hAnsi="仿宋" w:eastAsia="仿宋_GB2312"/>
          <w:color w:val="000000"/>
          <w:sz w:val="32"/>
          <w:szCs w:val="32"/>
          <w:highlight w:val="none"/>
          <w:shd w:val="clear" w:color="auto" w:fill="auto"/>
        </w:rPr>
        <w:t>20〕33号）</w:t>
      </w:r>
      <w:bookmarkEnd w:id="26"/>
      <w:bookmarkEnd w:id="27"/>
      <w:bookmarkEnd w:id="28"/>
      <w:bookmarkEnd w:id="29"/>
      <w:r>
        <w:rPr>
          <w:rFonts w:hint="eastAsia" w:ascii="仿宋" w:hAnsi="仿宋" w:eastAsia="仿宋_GB2312"/>
          <w:color w:val="000000"/>
          <w:sz w:val="32"/>
          <w:szCs w:val="32"/>
          <w:highlight w:val="none"/>
          <w:shd w:val="clear" w:color="auto" w:fill="auto"/>
          <w:lang w:eastAsia="zh-CN"/>
        </w:rPr>
        <w:t>；</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line="240" w:lineRule="auto"/>
        <w:ind w:left="0" w:leftChars="0" w:firstLine="403" w:firstLineChars="0"/>
        <w:textAlignment w:val="auto"/>
        <w:rPr>
          <w:rFonts w:hint="eastAsia" w:ascii="仿宋" w:hAnsi="仿宋" w:eastAsia="仿宋_GB2312"/>
          <w:color w:val="000000"/>
          <w:sz w:val="32"/>
          <w:szCs w:val="32"/>
          <w:highlight w:val="none"/>
          <w:shd w:val="clear" w:color="auto" w:fill="auto"/>
        </w:rPr>
      </w:pPr>
      <w:r>
        <w:rPr>
          <w:rFonts w:hint="eastAsia" w:ascii="仿宋" w:hAnsi="仿宋" w:eastAsia="仿宋_GB2312"/>
          <w:color w:val="000000"/>
          <w:sz w:val="32"/>
          <w:szCs w:val="32"/>
          <w:highlight w:val="none"/>
          <w:shd w:val="clear" w:color="auto" w:fill="auto"/>
        </w:rPr>
        <w:t>《农业面源污染治理与监督指导实施方案</w:t>
      </w:r>
      <w:r>
        <w:rPr>
          <w:rFonts w:hint="eastAsia" w:ascii="仿宋" w:hAnsi="仿宋" w:eastAsia="仿宋_GB2312"/>
          <w:color w:val="000000"/>
          <w:sz w:val="32"/>
          <w:szCs w:val="32"/>
          <w:highlight w:val="none"/>
          <w:shd w:val="clear" w:color="auto" w:fill="auto"/>
          <w:lang w:eastAsia="zh-CN"/>
        </w:rPr>
        <w:t>（</w:t>
      </w:r>
      <w:r>
        <w:rPr>
          <w:rFonts w:hint="eastAsia" w:ascii="仿宋" w:hAnsi="仿宋" w:eastAsia="仿宋_GB2312"/>
          <w:color w:val="000000"/>
          <w:sz w:val="32"/>
          <w:szCs w:val="32"/>
          <w:highlight w:val="none"/>
          <w:shd w:val="clear" w:color="auto" w:fill="auto"/>
        </w:rPr>
        <w:t>试行</w:t>
      </w:r>
      <w:r>
        <w:rPr>
          <w:rFonts w:hint="eastAsia" w:ascii="仿宋" w:hAnsi="仿宋" w:eastAsia="仿宋_GB2312"/>
          <w:color w:val="000000"/>
          <w:sz w:val="32"/>
          <w:szCs w:val="32"/>
          <w:highlight w:val="none"/>
          <w:shd w:val="clear" w:color="auto" w:fill="auto"/>
          <w:lang w:eastAsia="zh-CN"/>
        </w:rPr>
        <w:t>）</w:t>
      </w:r>
      <w:r>
        <w:rPr>
          <w:rFonts w:hint="eastAsia" w:ascii="仿宋" w:hAnsi="仿宋" w:eastAsia="仿宋_GB2312"/>
          <w:color w:val="000000"/>
          <w:sz w:val="32"/>
          <w:szCs w:val="32"/>
          <w:highlight w:val="none"/>
          <w:shd w:val="clear" w:color="auto" w:fill="auto"/>
        </w:rPr>
        <w:t>》</w:t>
      </w:r>
      <w:r>
        <w:rPr>
          <w:rFonts w:hint="eastAsia" w:ascii="仿宋" w:hAnsi="仿宋" w:eastAsia="仿宋_GB2312"/>
          <w:color w:val="000000"/>
          <w:sz w:val="32"/>
          <w:szCs w:val="32"/>
          <w:highlight w:val="none"/>
          <w:shd w:val="clear" w:color="auto" w:fill="auto"/>
          <w:lang w:eastAsia="zh-CN"/>
        </w:rPr>
        <w:t>（</w:t>
      </w:r>
      <w:r>
        <w:rPr>
          <w:rFonts w:hint="eastAsia" w:ascii="仿宋" w:hAnsi="仿宋" w:eastAsia="仿宋_GB2312"/>
          <w:color w:val="000000"/>
          <w:sz w:val="32"/>
          <w:szCs w:val="32"/>
          <w:highlight w:val="none"/>
          <w:shd w:val="clear" w:color="auto" w:fill="auto"/>
        </w:rPr>
        <w:t>环办土壤〔20</w:t>
      </w:r>
      <w:r>
        <w:rPr>
          <w:rFonts w:hint="eastAsia" w:ascii="仿宋" w:hAnsi="仿宋" w:eastAsia="仿宋_GB2312"/>
          <w:color w:val="000000"/>
          <w:sz w:val="32"/>
          <w:szCs w:val="32"/>
          <w:highlight w:val="none"/>
          <w:shd w:val="clear" w:color="auto" w:fill="auto"/>
          <w:lang w:val="en-US" w:eastAsia="zh-CN"/>
        </w:rPr>
        <w:t>21</w:t>
      </w:r>
      <w:r>
        <w:rPr>
          <w:rFonts w:hint="eastAsia" w:ascii="仿宋" w:hAnsi="仿宋" w:eastAsia="仿宋_GB2312"/>
          <w:color w:val="000000"/>
          <w:sz w:val="32"/>
          <w:szCs w:val="32"/>
          <w:highlight w:val="none"/>
          <w:shd w:val="clear" w:color="auto" w:fill="auto"/>
        </w:rPr>
        <w:t>〕8号</w:t>
      </w:r>
      <w:r>
        <w:rPr>
          <w:rFonts w:hint="eastAsia" w:ascii="仿宋" w:hAnsi="仿宋" w:eastAsia="仿宋_GB2312"/>
          <w:color w:val="000000"/>
          <w:sz w:val="32"/>
          <w:szCs w:val="32"/>
          <w:highlight w:val="none"/>
          <w:shd w:val="clear" w:color="auto" w:fill="auto"/>
          <w:lang w:eastAsia="zh-CN"/>
        </w:rPr>
        <w:t>）；</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line="240" w:lineRule="auto"/>
        <w:ind w:left="0" w:leftChars="0" w:firstLine="403" w:firstLineChars="0"/>
        <w:textAlignment w:val="auto"/>
        <w:rPr>
          <w:rFonts w:hint="eastAsia" w:ascii="仿宋" w:hAnsi="仿宋" w:eastAsia="仿宋_GB2312"/>
          <w:color w:val="000000"/>
          <w:sz w:val="32"/>
          <w:szCs w:val="32"/>
          <w:highlight w:val="none"/>
          <w:shd w:val="clear" w:color="auto" w:fill="auto"/>
          <w:lang w:eastAsia="zh-CN"/>
        </w:rPr>
      </w:pPr>
      <w:r>
        <w:rPr>
          <w:rFonts w:hint="eastAsia" w:ascii="仿宋" w:hAnsi="仿宋" w:eastAsia="仿宋_GB2312"/>
          <w:color w:val="000000"/>
          <w:sz w:val="32"/>
          <w:szCs w:val="32"/>
          <w:highlight w:val="none"/>
          <w:shd w:val="clear" w:color="auto" w:fill="auto"/>
          <w:lang w:val="en-US" w:eastAsia="zh-CN"/>
        </w:rPr>
        <w:t>关于印发《畜禽养殖污染防治规划编制指南（试行）》的通知（</w:t>
      </w:r>
      <w:r>
        <w:rPr>
          <w:rFonts w:hint="eastAsia" w:ascii="仿宋" w:hAnsi="仿宋" w:eastAsia="仿宋_GB2312"/>
          <w:color w:val="000000"/>
          <w:sz w:val="32"/>
          <w:szCs w:val="32"/>
          <w:highlight w:val="none"/>
          <w:shd w:val="clear" w:color="auto" w:fill="auto"/>
        </w:rPr>
        <w:t>环办土壤函〔</w:t>
      </w:r>
      <w:r>
        <w:rPr>
          <w:rFonts w:ascii="仿宋" w:hAnsi="仿宋" w:eastAsia="仿宋_GB2312"/>
          <w:color w:val="000000"/>
          <w:sz w:val="32"/>
          <w:szCs w:val="32"/>
          <w:highlight w:val="none"/>
          <w:shd w:val="clear" w:color="auto" w:fill="auto"/>
        </w:rPr>
        <w:t>20</w:t>
      </w:r>
      <w:r>
        <w:rPr>
          <w:rFonts w:hint="eastAsia" w:ascii="仿宋" w:hAnsi="仿宋" w:eastAsia="仿宋_GB2312"/>
          <w:color w:val="000000"/>
          <w:sz w:val="32"/>
          <w:szCs w:val="32"/>
          <w:highlight w:val="none"/>
          <w:shd w:val="clear" w:color="auto" w:fill="auto"/>
        </w:rPr>
        <w:t>2</w:t>
      </w:r>
      <w:r>
        <w:rPr>
          <w:rFonts w:hint="eastAsia" w:ascii="仿宋" w:hAnsi="仿宋" w:eastAsia="仿宋_GB2312"/>
          <w:color w:val="000000"/>
          <w:sz w:val="32"/>
          <w:szCs w:val="32"/>
          <w:highlight w:val="none"/>
          <w:shd w:val="clear" w:color="auto" w:fill="auto"/>
          <w:lang w:val="en-US" w:eastAsia="zh-CN"/>
        </w:rPr>
        <w:t>1</w:t>
      </w:r>
      <w:r>
        <w:rPr>
          <w:rFonts w:hint="eastAsia" w:ascii="仿宋" w:hAnsi="仿宋" w:eastAsia="仿宋_GB2312"/>
          <w:color w:val="000000"/>
          <w:sz w:val="32"/>
          <w:szCs w:val="32"/>
          <w:highlight w:val="none"/>
          <w:shd w:val="clear" w:color="auto" w:fill="auto"/>
        </w:rPr>
        <w:t>〕</w:t>
      </w:r>
      <w:r>
        <w:rPr>
          <w:rFonts w:hint="eastAsia" w:ascii="仿宋" w:hAnsi="仿宋" w:eastAsia="仿宋_GB2312"/>
          <w:color w:val="000000"/>
          <w:sz w:val="32"/>
          <w:szCs w:val="32"/>
          <w:highlight w:val="none"/>
          <w:shd w:val="clear" w:color="auto" w:fill="auto"/>
          <w:lang w:val="en-US" w:eastAsia="zh-CN"/>
        </w:rPr>
        <w:t>465</w:t>
      </w:r>
      <w:r>
        <w:rPr>
          <w:rFonts w:hint="eastAsia" w:ascii="仿宋" w:hAnsi="仿宋" w:eastAsia="仿宋_GB2312"/>
          <w:color w:val="000000"/>
          <w:sz w:val="32"/>
          <w:szCs w:val="32"/>
          <w:highlight w:val="none"/>
          <w:shd w:val="clear" w:color="auto" w:fill="auto"/>
        </w:rPr>
        <w:t>号</w:t>
      </w:r>
      <w:r>
        <w:rPr>
          <w:rFonts w:hint="eastAsia" w:ascii="仿宋" w:hAnsi="仿宋" w:eastAsia="仿宋_GB2312"/>
          <w:color w:val="000000"/>
          <w:sz w:val="32"/>
          <w:szCs w:val="32"/>
          <w:highlight w:val="none"/>
          <w:shd w:val="clear" w:color="auto" w:fill="auto"/>
          <w:lang w:val="en-US" w:eastAsia="zh-CN"/>
        </w:rPr>
        <w:t>）；</w:t>
      </w:r>
    </w:p>
    <w:p>
      <w:pPr>
        <w:pStyle w:val="14"/>
        <w:keepNext w:val="0"/>
        <w:keepLines w:val="0"/>
        <w:pageBreakBefore w:val="0"/>
        <w:widowControl w:val="0"/>
        <w:numPr>
          <w:ilvl w:val="0"/>
          <w:numId w:val="5"/>
        </w:numPr>
        <w:kinsoku/>
        <w:wordWrap/>
        <w:overflowPunct/>
        <w:topLinePunct w:val="0"/>
        <w:bidi w:val="0"/>
        <w:snapToGrid/>
        <w:spacing w:after="0" w:line="240" w:lineRule="auto"/>
        <w:ind w:left="0" w:leftChars="0" w:right="0" w:rightChars="0" w:firstLine="403" w:firstLineChars="0"/>
        <w:textAlignment w:val="auto"/>
        <w:rPr>
          <w:rFonts w:hint="eastAsia" w:ascii="仿宋" w:hAnsi="仿宋"/>
          <w:szCs w:val="32"/>
          <w:highlight w:val="none"/>
          <w:shd w:val="clear" w:color="auto" w:fill="auto"/>
        </w:rPr>
      </w:pPr>
      <w:r>
        <w:rPr>
          <w:rFonts w:hint="eastAsia" w:ascii="仿宋" w:hAnsi="仿宋"/>
          <w:szCs w:val="32"/>
          <w:highlight w:val="none"/>
          <w:shd w:val="clear" w:color="auto" w:fill="auto"/>
          <w:lang w:eastAsia="zh-CN"/>
        </w:rPr>
        <w:t>《四川省畜禽养殖污染防治技术指南（试行）》（川农业函〔2017〕647号）；</w:t>
      </w:r>
    </w:p>
    <w:p>
      <w:pPr>
        <w:pStyle w:val="14"/>
        <w:keepNext w:val="0"/>
        <w:keepLines w:val="0"/>
        <w:pageBreakBefore w:val="0"/>
        <w:widowControl w:val="0"/>
        <w:numPr>
          <w:ilvl w:val="0"/>
          <w:numId w:val="5"/>
        </w:numPr>
        <w:kinsoku/>
        <w:wordWrap/>
        <w:overflowPunct/>
        <w:topLinePunct w:val="0"/>
        <w:bidi w:val="0"/>
        <w:snapToGrid/>
        <w:spacing w:after="0" w:line="240" w:lineRule="auto"/>
        <w:ind w:left="0" w:leftChars="0" w:right="0" w:rightChars="0" w:firstLine="403" w:firstLineChars="0"/>
        <w:textAlignment w:val="auto"/>
        <w:rPr>
          <w:rFonts w:hint="eastAsia" w:ascii="仿宋" w:hAnsi="仿宋"/>
          <w:szCs w:val="32"/>
          <w:highlight w:val="none"/>
          <w:shd w:val="clear" w:color="auto" w:fill="auto"/>
        </w:rPr>
      </w:pPr>
      <w:r>
        <w:rPr>
          <w:rFonts w:hint="eastAsia" w:ascii="仿宋" w:hAnsi="仿宋"/>
          <w:szCs w:val="32"/>
          <w:highlight w:val="none"/>
          <w:shd w:val="clear" w:color="auto" w:fill="auto"/>
        </w:rPr>
        <w:t>《广元市“三线一单”生态环境分区管控实施方案》</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lang w:val="en-US" w:eastAsia="zh-CN"/>
        </w:rPr>
        <w:t>2021年10月</w:t>
      </w:r>
      <w:r>
        <w:rPr>
          <w:rFonts w:hint="eastAsia" w:ascii="仿宋" w:hAnsi="仿宋"/>
          <w:szCs w:val="32"/>
          <w:highlight w:val="none"/>
          <w:shd w:val="clear" w:color="auto" w:fill="auto"/>
          <w:lang w:eastAsia="zh-CN"/>
        </w:rPr>
        <w:t>）</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line="240" w:lineRule="auto"/>
        <w:ind w:left="0" w:leftChars="0" w:firstLine="403" w:firstLineChars="0"/>
        <w:textAlignment w:val="auto"/>
        <w:rPr>
          <w:rFonts w:hint="eastAsia" w:ascii="仿宋" w:hAnsi="仿宋" w:eastAsia="仿宋_GB2312"/>
          <w:color w:val="000000"/>
          <w:sz w:val="32"/>
          <w:szCs w:val="32"/>
          <w:highlight w:val="none"/>
          <w:shd w:val="clear" w:color="auto" w:fill="auto"/>
          <w:lang w:eastAsia="zh-CN"/>
        </w:rPr>
      </w:pPr>
      <w:r>
        <w:rPr>
          <w:rFonts w:hint="eastAsia" w:ascii="仿宋" w:hAnsi="仿宋" w:eastAsia="仿宋_GB2312"/>
          <w:color w:val="000000"/>
          <w:sz w:val="32"/>
          <w:szCs w:val="32"/>
          <w:highlight w:val="none"/>
          <w:shd w:val="clear" w:color="auto" w:fill="auto"/>
          <w:lang w:val="en-US" w:eastAsia="zh-CN"/>
        </w:rPr>
        <w:t>《旺苍县畜禽养殖环境污染治理实施方案》（旺农业〔2017〕63号）；</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line="240" w:lineRule="auto"/>
        <w:ind w:left="0" w:leftChars="0" w:firstLine="403" w:firstLineChars="0"/>
        <w:textAlignment w:val="auto"/>
        <w:rPr>
          <w:rFonts w:hint="eastAsia" w:ascii="仿宋" w:hAnsi="仿宋" w:eastAsia="仿宋_GB2312"/>
          <w:color w:val="000000"/>
          <w:sz w:val="32"/>
          <w:szCs w:val="32"/>
          <w:highlight w:val="none"/>
          <w:shd w:val="clear" w:color="auto" w:fill="auto"/>
          <w:lang w:eastAsia="zh-CN"/>
        </w:rPr>
      </w:pPr>
      <w:r>
        <w:rPr>
          <w:rFonts w:hint="eastAsia" w:ascii="仿宋" w:hAnsi="仿宋" w:eastAsia="仿宋_GB2312"/>
          <w:color w:val="000000"/>
          <w:sz w:val="32"/>
          <w:szCs w:val="32"/>
          <w:highlight w:val="none"/>
          <w:shd w:val="clear" w:color="auto" w:fill="auto"/>
          <w:lang w:val="en-US" w:eastAsia="zh-CN"/>
        </w:rPr>
        <w:t>《旺苍县畜禽养殖废弃物资源化处理与利用实施方案》（旺农业〔2018〕51号）；</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line="240" w:lineRule="auto"/>
        <w:ind w:left="0" w:leftChars="0" w:firstLine="403" w:firstLineChars="0"/>
        <w:textAlignment w:val="auto"/>
        <w:rPr>
          <w:rFonts w:hint="eastAsia" w:ascii="仿宋" w:hAnsi="仿宋" w:eastAsia="仿宋_GB2312"/>
          <w:color w:val="000000"/>
          <w:sz w:val="32"/>
          <w:szCs w:val="32"/>
          <w:highlight w:val="none"/>
          <w:shd w:val="clear" w:color="auto" w:fill="auto"/>
          <w:lang w:eastAsia="zh-CN"/>
        </w:rPr>
      </w:pPr>
      <w:r>
        <w:rPr>
          <w:rFonts w:hint="eastAsia" w:ascii="仿宋" w:hAnsi="仿宋" w:eastAsia="仿宋_GB2312"/>
          <w:color w:val="000000"/>
          <w:sz w:val="32"/>
          <w:szCs w:val="32"/>
          <w:highlight w:val="none"/>
          <w:shd w:val="clear" w:color="auto" w:fill="auto"/>
          <w:lang w:val="en-US" w:eastAsia="zh-CN"/>
        </w:rPr>
        <w:t>关于印发《旺苍县畜禽养殖区域划定方案》的通知（旺府办函〔2018〕74号）</w:t>
      </w:r>
      <w:r>
        <w:rPr>
          <w:rFonts w:hint="eastAsia" w:ascii="仿宋" w:hAnsi="仿宋" w:eastAsia="仿宋_GB2312"/>
          <w:color w:val="000000"/>
          <w:sz w:val="32"/>
          <w:szCs w:val="32"/>
          <w:highlight w:val="none"/>
          <w:shd w:val="clear" w:color="auto" w:fill="auto"/>
          <w:lang w:eastAsia="zh-CN"/>
        </w:rPr>
        <w:t>。</w:t>
      </w:r>
    </w:p>
    <w:p>
      <w:pPr>
        <w:bidi w:val="0"/>
        <w:rPr>
          <w:rFonts w:hint="eastAsia" w:ascii="仿宋" w:hAnsi="仿宋"/>
          <w:highlight w:val="none"/>
          <w:shd w:val="clear" w:color="auto" w:fill="auto"/>
        </w:rPr>
      </w:pPr>
      <w:bookmarkStart w:id="30" w:name="（四）规划时限和范围"/>
      <w:bookmarkEnd w:id="30"/>
      <w:bookmarkStart w:id="31" w:name="_bookmark7"/>
      <w:bookmarkEnd w:id="31"/>
    </w:p>
    <w:p>
      <w:pPr>
        <w:keepNext/>
        <w:keepLines/>
        <w:pageBreakBefore w:val="0"/>
        <w:widowControl w:val="0"/>
        <w:kinsoku/>
        <w:wordWrap/>
        <w:overflowPunct/>
        <w:topLinePunct w:val="0"/>
        <w:bidi w:val="0"/>
        <w:snapToGrid/>
        <w:spacing w:line="240" w:lineRule="auto"/>
        <w:ind w:firstLine="0" w:firstLineChars="0"/>
        <w:jc w:val="center"/>
        <w:textAlignment w:val="auto"/>
        <w:outlineLvl w:val="1"/>
        <w:rPr>
          <w:rFonts w:hint="eastAsia" w:ascii="仿宋" w:hAnsi="仿宋" w:eastAsia="仿宋" w:cs="Times New Roman"/>
          <w:b/>
          <w:color w:val="auto"/>
          <w:kern w:val="2"/>
          <w:sz w:val="36"/>
          <w:szCs w:val="36"/>
          <w:highlight w:val="none"/>
          <w:shd w:val="clear" w:color="auto" w:fill="auto"/>
          <w:lang w:val="en-US" w:eastAsia="zh-CN" w:bidi="ar-SA"/>
        </w:rPr>
      </w:pPr>
      <w:bookmarkStart w:id="32" w:name="_Toc4279"/>
      <w:bookmarkStart w:id="33" w:name="_Toc7541"/>
      <w:r>
        <w:rPr>
          <w:rFonts w:hint="eastAsia" w:ascii="仿宋" w:hAnsi="仿宋" w:eastAsia="仿宋" w:cs="Times New Roman"/>
          <w:b/>
          <w:color w:val="auto"/>
          <w:kern w:val="2"/>
          <w:sz w:val="36"/>
          <w:szCs w:val="36"/>
          <w:highlight w:val="none"/>
          <w:shd w:val="clear" w:color="auto" w:fill="auto"/>
          <w:lang w:val="en-US" w:eastAsia="zh-CN" w:bidi="ar-SA"/>
        </w:rPr>
        <w:t>第五节 规划时限和范围</w:t>
      </w:r>
      <w:bookmarkEnd w:id="32"/>
      <w:bookmarkEnd w:id="33"/>
    </w:p>
    <w:p>
      <w:pPr>
        <w:pStyle w:val="14"/>
        <w:spacing w:after="0" w:line="240" w:lineRule="auto"/>
        <w:ind w:left="0" w:leftChars="0" w:right="0" w:rightChars="0" w:firstLine="640" w:firstLineChars="200"/>
        <w:rPr>
          <w:rFonts w:ascii="仿宋" w:hAnsi="仿宋"/>
          <w:szCs w:val="32"/>
          <w:highlight w:val="none"/>
          <w:shd w:val="clear" w:color="auto" w:fill="auto"/>
        </w:rPr>
      </w:pPr>
      <w:r>
        <w:rPr>
          <w:rFonts w:ascii="仿宋" w:hAnsi="仿宋"/>
          <w:szCs w:val="32"/>
          <w:highlight w:val="none"/>
          <w:shd w:val="clear" w:color="auto" w:fill="auto"/>
        </w:rPr>
        <w:t>规划基准年为2020年，规划时限为</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lang w:val="en-US" w:eastAsia="zh-CN"/>
        </w:rPr>
        <w:t>十四五</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lang w:val="en-US" w:eastAsia="zh-CN"/>
        </w:rPr>
        <w:t>时期即</w:t>
      </w:r>
      <w:r>
        <w:rPr>
          <w:rFonts w:ascii="仿宋" w:hAnsi="仿宋"/>
          <w:szCs w:val="32"/>
          <w:highlight w:val="none"/>
          <w:shd w:val="clear" w:color="auto" w:fill="auto"/>
        </w:rPr>
        <w:t>2021</w:t>
      </w:r>
      <w:r>
        <w:rPr>
          <w:rFonts w:hint="eastAsia" w:ascii="仿宋" w:hAnsi="仿宋"/>
          <w:szCs w:val="32"/>
          <w:highlight w:val="none"/>
          <w:shd w:val="clear" w:color="auto" w:fill="auto"/>
        </w:rPr>
        <w:t>-</w:t>
      </w:r>
      <w:r>
        <w:rPr>
          <w:rFonts w:ascii="仿宋" w:hAnsi="仿宋"/>
          <w:szCs w:val="32"/>
          <w:highlight w:val="none"/>
          <w:shd w:val="clear" w:color="auto" w:fill="auto"/>
        </w:rPr>
        <w:t>2025年。</w:t>
      </w:r>
    </w:p>
    <w:p>
      <w:pPr>
        <w:pStyle w:val="14"/>
        <w:spacing w:after="0" w:line="240" w:lineRule="auto"/>
        <w:ind w:left="0" w:leftChars="0" w:right="0" w:rightChars="0" w:firstLine="640" w:firstLineChars="200"/>
        <w:rPr>
          <w:rFonts w:ascii="仿宋" w:hAnsi="仿宋"/>
          <w:szCs w:val="32"/>
          <w:highlight w:val="none"/>
          <w:shd w:val="clear" w:color="auto" w:fill="auto"/>
        </w:rPr>
      </w:pPr>
      <w:r>
        <w:rPr>
          <w:rFonts w:ascii="仿宋" w:hAnsi="仿宋"/>
          <w:szCs w:val="32"/>
          <w:highlight w:val="none"/>
          <w:shd w:val="clear" w:color="auto" w:fill="auto"/>
        </w:rPr>
        <w:t>规划范围为</w:t>
      </w:r>
      <w:r>
        <w:rPr>
          <w:rFonts w:hint="eastAsia" w:ascii="仿宋" w:hAnsi="仿宋"/>
          <w:szCs w:val="32"/>
          <w:highlight w:val="none"/>
          <w:shd w:val="clear" w:color="auto" w:fill="auto"/>
          <w:lang w:eastAsia="zh-CN"/>
        </w:rPr>
        <w:t>旺苍</w:t>
      </w:r>
      <w:r>
        <w:rPr>
          <w:rFonts w:hint="eastAsia" w:ascii="仿宋" w:hAnsi="仿宋"/>
          <w:szCs w:val="32"/>
          <w:highlight w:val="none"/>
          <w:shd w:val="clear" w:color="auto" w:fill="auto"/>
        </w:rPr>
        <w:t>县全域</w:t>
      </w:r>
      <w:r>
        <w:rPr>
          <w:rFonts w:ascii="仿宋" w:hAnsi="仿宋"/>
          <w:szCs w:val="32"/>
          <w:highlight w:val="none"/>
          <w:shd w:val="clear" w:color="auto" w:fill="auto"/>
        </w:rPr>
        <w:t>，规划对象包括辖区范围内的</w:t>
      </w:r>
      <w:r>
        <w:rPr>
          <w:rFonts w:hint="eastAsia" w:ascii="仿宋" w:hAnsi="仿宋"/>
          <w:szCs w:val="32"/>
          <w:highlight w:val="none"/>
          <w:shd w:val="clear" w:color="auto" w:fill="auto"/>
        </w:rPr>
        <w:t>全部</w:t>
      </w:r>
      <w:r>
        <w:rPr>
          <w:rFonts w:ascii="仿宋" w:hAnsi="仿宋"/>
          <w:szCs w:val="32"/>
          <w:highlight w:val="none"/>
          <w:shd w:val="clear" w:color="auto" w:fill="auto"/>
        </w:rPr>
        <w:t>畜禽</w:t>
      </w:r>
      <w:r>
        <w:rPr>
          <w:rFonts w:hint="eastAsia" w:ascii="仿宋" w:hAnsi="仿宋"/>
          <w:szCs w:val="32"/>
          <w:highlight w:val="none"/>
          <w:shd w:val="clear" w:color="auto" w:fill="auto"/>
          <w:lang w:val="en-US" w:eastAsia="zh-CN"/>
        </w:rPr>
        <w:t>规模</w:t>
      </w:r>
      <w:r>
        <w:rPr>
          <w:rFonts w:ascii="仿宋" w:hAnsi="仿宋"/>
          <w:szCs w:val="32"/>
          <w:highlight w:val="none"/>
          <w:shd w:val="clear" w:color="auto" w:fill="auto"/>
        </w:rPr>
        <w:t>养殖场和</w:t>
      </w:r>
      <w:r>
        <w:rPr>
          <w:rFonts w:hint="eastAsia" w:ascii="仿宋" w:hAnsi="仿宋"/>
          <w:szCs w:val="32"/>
          <w:highlight w:val="none"/>
          <w:shd w:val="clear" w:color="auto" w:fill="auto"/>
          <w:lang w:val="en-US" w:eastAsia="zh-CN"/>
        </w:rPr>
        <w:t>畜禽</w:t>
      </w:r>
      <w:r>
        <w:rPr>
          <w:rFonts w:ascii="仿宋" w:hAnsi="仿宋"/>
          <w:szCs w:val="32"/>
          <w:highlight w:val="none"/>
          <w:shd w:val="clear" w:color="auto" w:fill="auto"/>
        </w:rPr>
        <w:t>养殖户。</w:t>
      </w:r>
    </w:p>
    <w:p>
      <w:pPr>
        <w:keepNext/>
        <w:keepLines/>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center"/>
        <w:textAlignment w:val="auto"/>
        <w:outlineLvl w:val="0"/>
        <w:rPr>
          <w:rFonts w:hint="eastAsia" w:ascii="仿宋" w:hAnsi="仿宋" w:eastAsia="黑体" w:cs="黑体"/>
          <w:b w:val="0"/>
          <w:bCs w:val="0"/>
          <w:color w:val="auto"/>
          <w:kern w:val="44"/>
          <w:sz w:val="44"/>
          <w:szCs w:val="44"/>
          <w:highlight w:val="none"/>
          <w:shd w:val="clear" w:color="auto" w:fill="auto"/>
          <w:lang w:val="en-US" w:eastAsia="zh-CN" w:bidi="ar-SA"/>
        </w:rPr>
      </w:pPr>
      <w:bookmarkStart w:id="34" w:name="_bookmark8"/>
      <w:bookmarkEnd w:id="34"/>
      <w:bookmarkStart w:id="35" w:name="（五）规划目标"/>
      <w:bookmarkEnd w:id="35"/>
      <w:bookmarkStart w:id="36" w:name="_Toc2081"/>
      <w:bookmarkStart w:id="37" w:name="_Toc532"/>
      <w:r>
        <w:rPr>
          <w:rFonts w:hint="eastAsia" w:ascii="仿宋" w:hAnsi="仿宋" w:eastAsia="黑体" w:cs="黑体"/>
          <w:b w:val="0"/>
          <w:bCs w:val="0"/>
          <w:color w:val="auto"/>
          <w:kern w:val="44"/>
          <w:sz w:val="44"/>
          <w:szCs w:val="44"/>
          <w:highlight w:val="none"/>
          <w:shd w:val="clear" w:color="auto" w:fill="auto"/>
          <w:lang w:val="en-US" w:eastAsia="zh-CN" w:bidi="ar-SA"/>
        </w:rPr>
        <w:t xml:space="preserve">第二章 </w:t>
      </w:r>
      <w:r>
        <w:rPr>
          <w:rFonts w:hint="eastAsia" w:ascii="仿宋" w:hAnsi="仿宋" w:eastAsia="黑体" w:cs="黑体"/>
          <w:b w:val="0"/>
          <w:bCs w:val="0"/>
          <w:color w:val="auto"/>
          <w:kern w:val="44"/>
          <w:sz w:val="44"/>
          <w:szCs w:val="44"/>
          <w:highlight w:val="none"/>
          <w:shd w:val="clear" w:color="auto" w:fill="auto"/>
          <w:lang w:val="en-US" w:eastAsia="zh-CN" w:bidi="ar-SA"/>
        </w:rPr>
        <w:tab/>
      </w:r>
      <w:r>
        <w:rPr>
          <w:rFonts w:hint="eastAsia" w:ascii="仿宋" w:hAnsi="仿宋" w:eastAsia="黑体" w:cs="黑体"/>
          <w:b w:val="0"/>
          <w:bCs w:val="0"/>
          <w:color w:val="auto"/>
          <w:kern w:val="44"/>
          <w:sz w:val="44"/>
          <w:szCs w:val="44"/>
          <w:highlight w:val="none"/>
          <w:shd w:val="clear" w:color="auto" w:fill="auto"/>
          <w:lang w:val="en-US" w:eastAsia="zh-CN" w:bidi="ar-SA"/>
        </w:rPr>
        <w:t>畜禽养殖污染防治现状</w:t>
      </w:r>
      <w:bookmarkEnd w:id="36"/>
    </w:p>
    <w:p>
      <w:pPr>
        <w:keepNext/>
        <w:keepLines/>
        <w:pageBreakBefore w:val="0"/>
        <w:widowControl w:val="0"/>
        <w:kinsoku/>
        <w:wordWrap/>
        <w:overflowPunct/>
        <w:topLinePunct w:val="0"/>
        <w:bidi w:val="0"/>
        <w:snapToGrid/>
        <w:spacing w:line="240" w:lineRule="auto"/>
        <w:ind w:firstLine="0" w:firstLineChars="0"/>
        <w:jc w:val="center"/>
        <w:textAlignment w:val="auto"/>
        <w:outlineLvl w:val="1"/>
        <w:rPr>
          <w:rFonts w:hint="default" w:ascii="仿宋" w:hAnsi="仿宋" w:eastAsia="仿宋" w:cs="Times New Roman"/>
          <w:b/>
          <w:color w:val="auto"/>
          <w:kern w:val="2"/>
          <w:sz w:val="36"/>
          <w:szCs w:val="36"/>
          <w:highlight w:val="none"/>
          <w:shd w:val="clear" w:color="auto" w:fill="auto"/>
          <w:lang w:val="en-US" w:eastAsia="zh-CN" w:bidi="ar-SA"/>
        </w:rPr>
      </w:pPr>
      <w:bookmarkStart w:id="38" w:name="_Toc13825"/>
      <w:r>
        <w:rPr>
          <w:rFonts w:hint="eastAsia" w:ascii="仿宋" w:hAnsi="仿宋" w:eastAsia="仿宋" w:cs="Times New Roman"/>
          <w:b/>
          <w:color w:val="auto"/>
          <w:kern w:val="2"/>
          <w:sz w:val="36"/>
          <w:szCs w:val="36"/>
          <w:highlight w:val="none"/>
          <w:shd w:val="clear" w:color="auto" w:fill="auto"/>
          <w:lang w:val="en-US" w:eastAsia="zh-CN" w:bidi="ar-SA"/>
        </w:rPr>
        <w:t>第一节 自然气候条件</w:t>
      </w:r>
      <w:bookmarkEnd w:id="38"/>
    </w:p>
    <w:p>
      <w:pPr>
        <w:pStyle w:val="14"/>
        <w:spacing w:after="0" w:line="240" w:lineRule="auto"/>
        <w:ind w:left="0" w:leftChars="0" w:right="0" w:rightChars="0" w:firstLine="640" w:firstLineChars="200"/>
        <w:rPr>
          <w:rFonts w:hint="eastAsia" w:ascii="仿宋" w:hAnsi="仿宋"/>
          <w:szCs w:val="32"/>
          <w:highlight w:val="none"/>
          <w:shd w:val="clear" w:color="auto" w:fill="auto"/>
          <w:lang w:eastAsia="zh-CN"/>
        </w:rPr>
      </w:pPr>
      <w:r>
        <w:rPr>
          <w:rFonts w:hint="eastAsia" w:ascii="仿宋" w:hAnsi="仿宋"/>
          <w:szCs w:val="32"/>
          <w:highlight w:val="none"/>
          <w:shd w:val="clear" w:color="auto" w:fill="auto"/>
        </w:rPr>
        <w:t>旺苍县位于川陕两省交界的米仓山南麓，隶属广元市。东邻巴中市南江县，西接朝天区、市中区和元坝区，南与苍溪县毗邻，北和陕西省的南郑、宁强县接壤。地理坐标为东经105°58′24″至106°46′2″，北纬31°58′45″至32°42′24″。东西长约75公里，南北宽约81公里。全县幅员面积为2975.864平方公里。旺苍县现有23个乡镇，总人口53万余人。旺苍县属中亚热带湿润季风气候，四季分明，雨量充沛，光热资源丰富，无霜期较长，山地气候明显。光热水资源丰富，适宜发展农、林、牧业及多种经济作物。常年日照时数1352.52小时，全年日照率30%。常年平均气温16.2℃，年际变化小；无霜期平均为266天，能满足多种农作物生长需要。旺苍县地势北高南低，腹部低平。地貌由北部群峰雄踞，南部崇山突兀，腹部丘坝相间，溪河交错。旺苍水资源属嘉陵江水系，主要河流是盐井河、宽滩河、东河、西河、清水河、渠江。全县水资源总量13.66亿立方米（含地下水17.1亿立方米），全县人均拥有水资源量3028立方米。水能蕴藏量45万多千瓦，可开发量14在10万千瓦以上。县内自然降水年际变化大，季节分配不均，常年平均降水量1142毫米</w:t>
      </w:r>
      <w:r>
        <w:rPr>
          <w:rFonts w:hint="eastAsia" w:ascii="仿宋" w:hAnsi="仿宋"/>
          <w:szCs w:val="32"/>
          <w:highlight w:val="none"/>
          <w:shd w:val="clear" w:color="auto" w:fill="auto"/>
          <w:lang w:eastAsia="zh-CN"/>
        </w:rPr>
        <w:t>。</w:t>
      </w:r>
    </w:p>
    <w:p>
      <w:pPr>
        <w:keepNext/>
        <w:keepLines/>
        <w:pageBreakBefore w:val="0"/>
        <w:widowControl w:val="0"/>
        <w:kinsoku/>
        <w:wordWrap/>
        <w:overflowPunct/>
        <w:topLinePunct w:val="0"/>
        <w:bidi w:val="0"/>
        <w:snapToGrid/>
        <w:spacing w:line="240" w:lineRule="auto"/>
        <w:ind w:firstLine="0" w:firstLineChars="0"/>
        <w:jc w:val="center"/>
        <w:textAlignment w:val="auto"/>
        <w:outlineLvl w:val="1"/>
        <w:rPr>
          <w:rFonts w:hint="default" w:ascii="仿宋" w:hAnsi="仿宋" w:eastAsia="仿宋" w:cs="Times New Roman"/>
          <w:b/>
          <w:color w:val="auto"/>
          <w:kern w:val="2"/>
          <w:sz w:val="36"/>
          <w:szCs w:val="36"/>
          <w:highlight w:val="none"/>
          <w:shd w:val="clear" w:color="auto" w:fill="auto"/>
          <w:lang w:val="en-US" w:eastAsia="zh-CN" w:bidi="ar-SA"/>
        </w:rPr>
      </w:pPr>
      <w:bookmarkStart w:id="39" w:name="_Toc8568"/>
      <w:r>
        <w:rPr>
          <w:rFonts w:hint="eastAsia" w:ascii="仿宋" w:hAnsi="仿宋" w:eastAsia="仿宋" w:cs="Times New Roman"/>
          <w:b/>
          <w:color w:val="auto"/>
          <w:kern w:val="2"/>
          <w:sz w:val="36"/>
          <w:szCs w:val="36"/>
          <w:highlight w:val="none"/>
          <w:shd w:val="clear" w:color="auto" w:fill="auto"/>
          <w:lang w:val="en-US" w:eastAsia="zh-CN" w:bidi="ar-SA"/>
        </w:rPr>
        <w:t>第二节 社会经济状况</w:t>
      </w:r>
      <w:bookmarkEnd w:id="39"/>
    </w:p>
    <w:p>
      <w:pPr>
        <w:pStyle w:val="14"/>
        <w:spacing w:after="0" w:line="240" w:lineRule="auto"/>
        <w:ind w:left="0" w:leftChars="0" w:right="0" w:rightChars="0" w:firstLine="640" w:firstLineChars="200"/>
        <w:rPr>
          <w:rFonts w:hint="eastAsia" w:ascii="仿宋" w:hAnsi="仿宋"/>
          <w:szCs w:val="32"/>
          <w:highlight w:val="none"/>
          <w:shd w:val="clear" w:color="auto" w:fill="auto"/>
          <w:lang w:eastAsia="zh-CN"/>
        </w:rPr>
      </w:pPr>
      <w:r>
        <w:rPr>
          <w:rFonts w:hint="eastAsia" w:ascii="仿宋" w:hAnsi="仿宋"/>
          <w:szCs w:val="32"/>
          <w:highlight w:val="none"/>
          <w:shd w:val="clear" w:color="auto" w:fill="auto"/>
          <w:lang w:eastAsia="zh-CN"/>
        </w:rPr>
        <w:t>全县辖东河、嘉川、普济、白水、木门、三江、黄洋、张华、高阳、国华、英萃、五权、双汇、大德、九龙、龙凤、天星、盐河、水磨、大两、米仓山21个镇，燕子、檬子2个乡，社区居委会37个，居民小组199个；村委会220个，村民小组1564个。</w:t>
      </w:r>
      <w:r>
        <w:rPr>
          <w:rFonts w:hint="eastAsia" w:ascii="仿宋" w:hAnsi="仿宋"/>
          <w:szCs w:val="32"/>
          <w:highlight w:val="none"/>
          <w:shd w:val="clear" w:color="auto" w:fill="auto"/>
          <w:lang w:val="en-US" w:eastAsia="zh-CN"/>
        </w:rPr>
        <w:t>2021</w:t>
      </w:r>
      <w:r>
        <w:rPr>
          <w:rFonts w:hint="eastAsia" w:ascii="仿宋" w:hAnsi="仿宋"/>
          <w:szCs w:val="32"/>
          <w:highlight w:val="none"/>
          <w:shd w:val="clear" w:color="auto" w:fill="auto"/>
          <w:lang w:eastAsia="zh-CN"/>
        </w:rPr>
        <w:t>年末全县总户数17.33万户，年末户籍人口45.82万人，年末常住人口39.06万人。</w:t>
      </w:r>
    </w:p>
    <w:p>
      <w:pPr>
        <w:pStyle w:val="14"/>
        <w:spacing w:after="0" w:line="240" w:lineRule="auto"/>
        <w:ind w:left="0" w:leftChars="0" w:right="0" w:rightChars="0" w:firstLine="640" w:firstLineChars="200"/>
        <w:rPr>
          <w:rFonts w:hint="eastAsia" w:ascii="仿宋" w:hAnsi="仿宋"/>
          <w:szCs w:val="32"/>
          <w:highlight w:val="none"/>
          <w:shd w:val="clear" w:color="auto" w:fill="auto"/>
          <w:lang w:eastAsia="zh-CN"/>
        </w:rPr>
      </w:pPr>
      <w:r>
        <w:rPr>
          <w:rFonts w:hint="eastAsia" w:ascii="仿宋" w:hAnsi="仿宋"/>
          <w:szCs w:val="32"/>
          <w:highlight w:val="none"/>
          <w:shd w:val="clear" w:color="auto" w:fill="auto"/>
          <w:lang w:eastAsia="zh-CN"/>
        </w:rPr>
        <w:t>2020年全县地区生产总值（GDP）达到138.89亿元，按可比价计算，比上年增长3.8%。其中：第一产业增加值28.21亿元，增长5.8%；第二产业增加值62.09亿元，增长3.9%；第三产业增加值48.59亿元，增长2.6%。</w:t>
      </w:r>
      <w:r>
        <w:rPr>
          <w:rFonts w:hint="eastAsia" w:ascii="仿宋" w:hAnsi="仿宋"/>
          <w:szCs w:val="32"/>
          <w:highlight w:val="none"/>
          <w:shd w:val="clear" w:color="auto" w:fill="auto"/>
          <w:lang w:val="en-US" w:eastAsia="zh-CN"/>
        </w:rPr>
        <w:t>2021年</w:t>
      </w:r>
      <w:r>
        <w:rPr>
          <w:rFonts w:hint="eastAsia" w:ascii="仿宋" w:hAnsi="仿宋"/>
          <w:szCs w:val="32"/>
          <w:highlight w:val="none"/>
          <w:shd w:val="clear" w:color="auto" w:fill="auto"/>
          <w:lang w:eastAsia="zh-CN"/>
        </w:rPr>
        <w:t>生产总值66.1亿元，比上年增长14.2%。其中：第一产业增加值13.62亿元，增长4.8%；第二产业增加值34.68亿元，增长22.2%；第三产业增加值17.8亿元，增长7.4%。农业总产值22.34亿元，比上年增长7.8%。</w:t>
      </w:r>
    </w:p>
    <w:p>
      <w:pPr>
        <w:bidi w:val="0"/>
        <w:rPr>
          <w:rFonts w:ascii="仿宋" w:hAnsi="仿宋"/>
        </w:rPr>
      </w:pPr>
    </w:p>
    <w:p>
      <w:pPr>
        <w:keepNext/>
        <w:keepLines/>
        <w:pageBreakBefore w:val="0"/>
        <w:widowControl w:val="0"/>
        <w:kinsoku/>
        <w:wordWrap/>
        <w:overflowPunct/>
        <w:topLinePunct w:val="0"/>
        <w:bidi w:val="0"/>
        <w:snapToGrid/>
        <w:spacing w:line="240" w:lineRule="auto"/>
        <w:ind w:firstLine="0" w:firstLineChars="0"/>
        <w:jc w:val="center"/>
        <w:textAlignment w:val="auto"/>
        <w:outlineLvl w:val="1"/>
        <w:rPr>
          <w:rFonts w:hint="default" w:ascii="仿宋" w:hAnsi="仿宋" w:eastAsia="仿宋" w:cs="Times New Roman"/>
          <w:b/>
          <w:color w:val="auto"/>
          <w:kern w:val="2"/>
          <w:sz w:val="36"/>
          <w:szCs w:val="36"/>
          <w:highlight w:val="none"/>
          <w:shd w:val="clear" w:color="auto" w:fill="auto"/>
          <w:lang w:val="en-US" w:eastAsia="zh-CN" w:bidi="ar-SA"/>
        </w:rPr>
      </w:pPr>
      <w:bookmarkStart w:id="40" w:name="_Toc11134"/>
      <w:r>
        <w:rPr>
          <w:rFonts w:hint="eastAsia" w:ascii="仿宋" w:hAnsi="仿宋" w:eastAsia="仿宋" w:cs="Times New Roman"/>
          <w:b/>
          <w:color w:val="auto"/>
          <w:kern w:val="2"/>
          <w:sz w:val="36"/>
          <w:szCs w:val="36"/>
          <w:highlight w:val="none"/>
          <w:shd w:val="clear" w:color="auto" w:fill="auto"/>
          <w:lang w:val="en-US" w:eastAsia="zh-CN" w:bidi="ar-SA"/>
        </w:rPr>
        <w:t>第三节 生态环境概况</w:t>
      </w:r>
      <w:bookmarkEnd w:id="40"/>
    </w:p>
    <w:p>
      <w:pPr>
        <w:pStyle w:val="14"/>
        <w:spacing w:after="0" w:line="240" w:lineRule="auto"/>
        <w:ind w:left="0" w:leftChars="0" w:right="0" w:rightChars="0" w:firstLine="640" w:firstLineChars="200"/>
        <w:rPr>
          <w:rFonts w:hint="eastAsia" w:ascii="仿宋" w:hAnsi="仿宋"/>
          <w:szCs w:val="32"/>
          <w:highlight w:val="none"/>
          <w:shd w:val="clear" w:color="auto" w:fill="auto"/>
          <w:lang w:eastAsia="zh-CN"/>
        </w:rPr>
      </w:pPr>
      <w:r>
        <w:rPr>
          <w:rFonts w:hint="eastAsia" w:ascii="仿宋" w:hAnsi="仿宋"/>
          <w:szCs w:val="32"/>
          <w:highlight w:val="none"/>
          <w:shd w:val="clear" w:color="auto" w:fill="auto"/>
          <w:lang w:eastAsia="zh-CN"/>
        </w:rPr>
        <w:t>2020年旺苍县地表水环境质量、环境空气质量、噪声环境质量与去年相比总体保持稳定。东河、厚坝河主要河流水质相对稳定，均达到规定水域环境功能的要求；县城区集中式饮用水源地水质均全面达标；中心城区空气质量优良天数比例为94</w:t>
      </w:r>
      <w:r>
        <w:rPr>
          <w:rFonts w:hint="eastAsia" w:ascii="仿宋" w:hAnsi="仿宋"/>
          <w:szCs w:val="32"/>
          <w:highlight w:val="none"/>
          <w:shd w:val="clear" w:color="auto" w:fill="auto"/>
          <w:lang w:val="en-US" w:eastAsia="zh-CN"/>
        </w:rPr>
        <w:t>.</w:t>
      </w:r>
      <w:r>
        <w:rPr>
          <w:rFonts w:hint="eastAsia" w:ascii="仿宋" w:hAnsi="仿宋"/>
          <w:szCs w:val="32"/>
          <w:highlight w:val="none"/>
          <w:shd w:val="clear" w:color="auto" w:fill="auto"/>
          <w:lang w:eastAsia="zh-CN"/>
        </w:rPr>
        <w:t>8%;城市功能区噪声基本得到控制，城市区域环境噪声、交通噪声相对稳定。</w:t>
      </w:r>
    </w:p>
    <w:p>
      <w:pPr>
        <w:keepNext/>
        <w:keepLines/>
        <w:pageBreakBefore w:val="0"/>
        <w:widowControl w:val="0"/>
        <w:kinsoku/>
        <w:wordWrap/>
        <w:overflowPunct/>
        <w:topLinePunct w:val="0"/>
        <w:autoSpaceDE/>
        <w:autoSpaceDN/>
        <w:bidi w:val="0"/>
        <w:adjustRightInd/>
        <w:snapToGrid/>
        <w:spacing w:line="240" w:lineRule="auto"/>
        <w:ind w:firstLine="643" w:firstLineChars="200"/>
        <w:jc w:val="left"/>
        <w:textAlignment w:val="auto"/>
        <w:outlineLvl w:val="2"/>
        <w:rPr>
          <w:rFonts w:hint="eastAsia" w:ascii="仿宋" w:hAnsi="仿宋" w:eastAsia="仿宋" w:cs="Times New Roman"/>
          <w:b/>
          <w:bCs/>
          <w:color w:val="auto"/>
          <w:kern w:val="2"/>
          <w:sz w:val="32"/>
          <w:szCs w:val="32"/>
          <w:highlight w:val="none"/>
          <w:shd w:val="clear" w:color="auto" w:fill="auto"/>
          <w:lang w:val="en-US" w:eastAsia="zh-CN" w:bidi="ar-SA"/>
        </w:rPr>
      </w:pPr>
      <w:r>
        <w:rPr>
          <w:rFonts w:hint="eastAsia" w:ascii="仿宋" w:hAnsi="仿宋" w:eastAsia="仿宋" w:cs="Times New Roman"/>
          <w:b/>
          <w:bCs/>
          <w:color w:val="auto"/>
          <w:kern w:val="2"/>
          <w:sz w:val="32"/>
          <w:szCs w:val="32"/>
          <w:highlight w:val="none"/>
          <w:shd w:val="clear" w:color="auto" w:fill="auto"/>
          <w:lang w:val="en-US" w:eastAsia="zh-CN" w:bidi="ar-SA"/>
        </w:rPr>
        <w:t>一、主要河流断面水质</w:t>
      </w:r>
    </w:p>
    <w:p>
      <w:pPr>
        <w:pStyle w:val="14"/>
        <w:spacing w:after="0" w:line="240" w:lineRule="auto"/>
        <w:ind w:left="0" w:leftChars="0" w:right="0" w:rightChars="0" w:firstLine="640" w:firstLineChars="200"/>
        <w:rPr>
          <w:rFonts w:hint="eastAsia" w:ascii="仿宋" w:hAnsi="仿宋"/>
          <w:szCs w:val="32"/>
          <w:highlight w:val="none"/>
          <w:shd w:val="clear" w:color="auto" w:fill="auto"/>
          <w:lang w:eastAsia="zh-CN"/>
        </w:rPr>
      </w:pPr>
      <w:r>
        <w:rPr>
          <w:rFonts w:hint="eastAsia" w:ascii="仿宋" w:hAnsi="仿宋"/>
          <w:szCs w:val="32"/>
          <w:highlight w:val="none"/>
          <w:shd w:val="clear" w:color="auto" w:fill="auto"/>
          <w:lang w:eastAsia="zh-CN"/>
        </w:rPr>
        <w:t>全县主要河流上共设监测断面4个，每月监测26个项目，按照《地表水环境质量标准》(GB3838-2002)表1、II类标准限值评价，均达到规定水域环境功能的要求，与去年相比，无明显变化，水质相对稳定。</w:t>
      </w:r>
    </w:p>
    <w:p>
      <w:pPr>
        <w:pStyle w:val="115"/>
        <w:pageBreakBefore w:val="0"/>
        <w:widowControl w:val="0"/>
        <w:kinsoku/>
        <w:wordWrap/>
        <w:overflowPunct/>
        <w:topLinePunct w:val="0"/>
        <w:bidi w:val="0"/>
        <w:snapToGrid/>
        <w:spacing w:line="560" w:lineRule="exact"/>
        <w:jc w:val="center"/>
        <w:textAlignment w:val="auto"/>
        <w:outlineLvl w:val="7"/>
        <w:rPr>
          <w:rFonts w:hint="default" w:ascii="仿宋" w:hAnsi="仿宋" w:eastAsia="仿宋"/>
          <w:szCs w:val="32"/>
          <w:highlight w:val="none"/>
          <w:shd w:val="clear" w:color="auto" w:fill="auto"/>
          <w:lang w:val="en-US" w:eastAsia="zh-CN"/>
        </w:rPr>
      </w:pPr>
      <w:r>
        <w:rPr>
          <w:rFonts w:hint="eastAsia" w:ascii="仿宋" w:hAnsi="仿宋" w:eastAsia="仿宋" w:cs="Times New Roman"/>
          <w:b/>
          <w:color w:val="auto"/>
          <w:sz w:val="28"/>
          <w:szCs w:val="28"/>
          <w:highlight w:val="none"/>
          <w:shd w:val="clear" w:color="auto" w:fill="auto"/>
        </w:rPr>
        <w:t>表</w:t>
      </w:r>
      <w:r>
        <w:rPr>
          <w:rFonts w:hint="eastAsia" w:ascii="仿宋" w:hAnsi="仿宋" w:eastAsia="仿宋" w:cs="Times New Roman"/>
          <w:b/>
          <w:color w:val="auto"/>
          <w:sz w:val="28"/>
          <w:szCs w:val="28"/>
          <w:highlight w:val="none"/>
          <w:shd w:val="clear" w:color="auto" w:fill="auto"/>
          <w:lang w:val="en-US" w:eastAsia="zh-CN"/>
        </w:rPr>
        <w:t>2-1</w:t>
      </w:r>
      <w:r>
        <w:rPr>
          <w:rFonts w:hint="eastAsia" w:ascii="仿宋" w:hAnsi="仿宋" w:eastAsia="仿宋" w:cs="Times New Roman"/>
          <w:b/>
          <w:color w:val="auto"/>
          <w:sz w:val="28"/>
          <w:szCs w:val="28"/>
          <w:highlight w:val="none"/>
          <w:shd w:val="clear" w:color="auto" w:fill="auto"/>
        </w:rPr>
        <w:t xml:space="preserve">  </w:t>
      </w:r>
      <w:r>
        <w:rPr>
          <w:rFonts w:hint="eastAsia" w:ascii="仿宋" w:hAnsi="仿宋" w:eastAsia="仿宋" w:cs="Times New Roman"/>
          <w:b/>
          <w:color w:val="auto"/>
          <w:sz w:val="28"/>
          <w:szCs w:val="28"/>
          <w:highlight w:val="none"/>
          <w:shd w:val="clear" w:color="auto" w:fill="auto"/>
          <w:lang w:val="en-US" w:eastAsia="zh-CN"/>
        </w:rPr>
        <w:t>2020年</w:t>
      </w:r>
      <w:r>
        <w:rPr>
          <w:rFonts w:hint="eastAsia" w:ascii="仿宋" w:hAnsi="仿宋" w:eastAsia="仿宋" w:cs="Times New Roman"/>
          <w:b/>
          <w:color w:val="auto"/>
          <w:sz w:val="28"/>
          <w:szCs w:val="28"/>
          <w:highlight w:val="none"/>
          <w:shd w:val="clear" w:color="auto" w:fill="auto"/>
          <w:lang w:eastAsia="zh-CN"/>
        </w:rPr>
        <w:t>旺苍</w:t>
      </w:r>
      <w:r>
        <w:rPr>
          <w:rFonts w:hint="eastAsia" w:ascii="仿宋" w:hAnsi="仿宋" w:eastAsia="仿宋" w:cs="Times New Roman"/>
          <w:b/>
          <w:color w:val="auto"/>
          <w:sz w:val="28"/>
          <w:szCs w:val="28"/>
          <w:highlight w:val="none"/>
          <w:shd w:val="clear" w:color="auto" w:fill="auto"/>
        </w:rPr>
        <w:t>县</w:t>
      </w:r>
      <w:r>
        <w:rPr>
          <w:rFonts w:hint="eastAsia" w:ascii="仿宋" w:hAnsi="仿宋" w:eastAsia="仿宋" w:cs="Times New Roman"/>
          <w:b/>
          <w:color w:val="auto"/>
          <w:sz w:val="28"/>
          <w:szCs w:val="28"/>
          <w:highlight w:val="none"/>
          <w:shd w:val="clear" w:color="auto" w:fill="auto"/>
          <w:lang w:val="en-US" w:eastAsia="zh-CN"/>
        </w:rPr>
        <w:t>主要河流断面水质状况</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8"/>
        <w:gridCol w:w="1666"/>
        <w:gridCol w:w="840"/>
        <w:gridCol w:w="854"/>
        <w:gridCol w:w="877"/>
        <w:gridCol w:w="909"/>
        <w:gridCol w:w="867"/>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8" w:type="dxa"/>
            <w:vMerge w:val="restart"/>
            <w:noWrap w:val="0"/>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河流名称</w:t>
            </w:r>
          </w:p>
        </w:tc>
        <w:tc>
          <w:tcPr>
            <w:tcW w:w="1666" w:type="dxa"/>
            <w:vMerge w:val="restart"/>
            <w:noWrap w:val="0"/>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断面名称</w:t>
            </w:r>
          </w:p>
        </w:tc>
        <w:tc>
          <w:tcPr>
            <w:tcW w:w="840" w:type="dxa"/>
            <w:vMerge w:val="restart"/>
            <w:noWrap w:val="0"/>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级别</w:t>
            </w:r>
          </w:p>
        </w:tc>
        <w:tc>
          <w:tcPr>
            <w:tcW w:w="854" w:type="dxa"/>
            <w:vMerge w:val="restart"/>
            <w:noWrap w:val="0"/>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规定类别</w:t>
            </w:r>
          </w:p>
        </w:tc>
        <w:tc>
          <w:tcPr>
            <w:tcW w:w="877" w:type="dxa"/>
            <w:vMerge w:val="restart"/>
            <w:noWrap w:val="0"/>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实测类别</w:t>
            </w:r>
          </w:p>
        </w:tc>
        <w:tc>
          <w:tcPr>
            <w:tcW w:w="909" w:type="dxa"/>
            <w:vMerge w:val="restart"/>
            <w:noWrap w:val="0"/>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水质状况</w:t>
            </w:r>
          </w:p>
        </w:tc>
        <w:tc>
          <w:tcPr>
            <w:tcW w:w="2288" w:type="dxa"/>
            <w:gridSpan w:val="2"/>
            <w:noWrap w:val="0"/>
            <w:vAlign w:val="center"/>
          </w:tcPr>
          <w:p>
            <w:pPr>
              <w:pStyle w:val="14"/>
              <w:spacing w:after="0" w:line="240" w:lineRule="auto"/>
              <w:ind w:left="0" w:leftChars="0" w:right="0" w:rightChars="0"/>
              <w:jc w:val="center"/>
              <w:rPr>
                <w:rFonts w:hint="eastAsia" w:ascii="仿宋" w:hAnsi="仿宋" w:cs="Times New Roman"/>
                <w:b/>
                <w:bCs/>
                <w:color w:val="auto"/>
                <w:sz w:val="28"/>
                <w:szCs w:val="28"/>
                <w:highlight w:val="none"/>
                <w:shd w:val="clear" w:color="auto" w:fill="auto"/>
                <w:lang w:eastAsia="zh-CN"/>
              </w:rPr>
            </w:pPr>
            <w:r>
              <w:rPr>
                <w:rFonts w:hint="eastAsia" w:ascii="仿宋" w:hAnsi="仿宋" w:cs="Times New Roman"/>
                <w:b/>
                <w:bCs/>
                <w:color w:val="auto"/>
                <w:sz w:val="28"/>
                <w:szCs w:val="28"/>
                <w:highlight w:val="none"/>
                <w:shd w:val="clear" w:color="auto" w:fill="auto"/>
                <w:lang w:val="en-US" w:eastAsia="zh-CN"/>
              </w:rPr>
              <w:t>河流评价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8" w:type="dxa"/>
            <w:vMerge w:val="continue"/>
            <w:noWrap w:val="0"/>
            <w:vAlign w:val="center"/>
          </w:tcPr>
          <w:p>
            <w:pPr>
              <w:pStyle w:val="14"/>
              <w:spacing w:after="0" w:line="240" w:lineRule="auto"/>
              <w:ind w:left="0" w:leftChars="0" w:right="0" w:rightChars="0"/>
              <w:jc w:val="center"/>
              <w:rPr>
                <w:b/>
                <w:bCs/>
              </w:rPr>
            </w:pPr>
          </w:p>
        </w:tc>
        <w:tc>
          <w:tcPr>
            <w:tcW w:w="1666" w:type="dxa"/>
            <w:vMerge w:val="continue"/>
            <w:noWrap w:val="0"/>
            <w:vAlign w:val="center"/>
          </w:tcPr>
          <w:p>
            <w:pPr>
              <w:pStyle w:val="14"/>
              <w:spacing w:after="0" w:line="240" w:lineRule="auto"/>
              <w:ind w:left="0" w:leftChars="0" w:right="0" w:rightChars="0"/>
              <w:jc w:val="center"/>
              <w:rPr>
                <w:b/>
                <w:bCs/>
              </w:rPr>
            </w:pPr>
          </w:p>
        </w:tc>
        <w:tc>
          <w:tcPr>
            <w:tcW w:w="840" w:type="dxa"/>
            <w:vMerge w:val="continue"/>
            <w:noWrap w:val="0"/>
            <w:vAlign w:val="center"/>
          </w:tcPr>
          <w:p>
            <w:pPr>
              <w:pStyle w:val="14"/>
              <w:spacing w:after="0" w:line="240" w:lineRule="auto"/>
              <w:ind w:left="0" w:leftChars="0" w:right="0" w:rightChars="0"/>
              <w:jc w:val="center"/>
              <w:rPr>
                <w:b/>
                <w:bCs/>
              </w:rPr>
            </w:pPr>
          </w:p>
        </w:tc>
        <w:tc>
          <w:tcPr>
            <w:tcW w:w="854" w:type="dxa"/>
            <w:vMerge w:val="continue"/>
            <w:noWrap w:val="0"/>
            <w:vAlign w:val="center"/>
          </w:tcPr>
          <w:p>
            <w:pPr>
              <w:pStyle w:val="14"/>
              <w:spacing w:after="0" w:line="240" w:lineRule="auto"/>
              <w:ind w:left="0" w:leftChars="0" w:right="0" w:rightChars="0"/>
              <w:jc w:val="center"/>
              <w:rPr>
                <w:b/>
                <w:bCs/>
              </w:rPr>
            </w:pPr>
          </w:p>
        </w:tc>
        <w:tc>
          <w:tcPr>
            <w:tcW w:w="877" w:type="dxa"/>
            <w:vMerge w:val="continue"/>
            <w:noWrap w:val="0"/>
            <w:vAlign w:val="center"/>
          </w:tcPr>
          <w:p>
            <w:pPr>
              <w:pStyle w:val="14"/>
              <w:spacing w:after="0" w:line="240" w:lineRule="auto"/>
              <w:ind w:left="0" w:leftChars="0" w:right="0" w:rightChars="0"/>
              <w:jc w:val="center"/>
              <w:rPr>
                <w:b/>
                <w:bCs/>
              </w:rPr>
            </w:pPr>
          </w:p>
        </w:tc>
        <w:tc>
          <w:tcPr>
            <w:tcW w:w="909" w:type="dxa"/>
            <w:vMerge w:val="continue"/>
            <w:noWrap w:val="0"/>
            <w:vAlign w:val="center"/>
          </w:tcPr>
          <w:p>
            <w:pPr>
              <w:pStyle w:val="14"/>
              <w:spacing w:after="0" w:line="240" w:lineRule="auto"/>
              <w:ind w:left="0" w:leftChars="0" w:right="0" w:rightChars="0"/>
              <w:jc w:val="center"/>
              <w:rPr>
                <w:b/>
                <w:bCs/>
              </w:rPr>
            </w:pPr>
          </w:p>
        </w:tc>
        <w:tc>
          <w:tcPr>
            <w:tcW w:w="867" w:type="dxa"/>
            <w:noWrap w:val="0"/>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类别</w:t>
            </w:r>
          </w:p>
        </w:tc>
        <w:tc>
          <w:tcPr>
            <w:tcW w:w="1421" w:type="dxa"/>
            <w:noWrap w:val="0"/>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水质状况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8" w:type="dxa"/>
            <w:vMerge w:val="restart"/>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东河</w:t>
            </w:r>
          </w:p>
        </w:tc>
        <w:tc>
          <w:tcPr>
            <w:tcW w:w="1666" w:type="dxa"/>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田河坝</w:t>
            </w:r>
          </w:p>
        </w:tc>
        <w:tc>
          <w:tcPr>
            <w:tcW w:w="840" w:type="dxa"/>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市控</w:t>
            </w:r>
          </w:p>
        </w:tc>
        <w:tc>
          <w:tcPr>
            <w:tcW w:w="854" w:type="dxa"/>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Ⅲ</w:t>
            </w:r>
          </w:p>
        </w:tc>
        <w:tc>
          <w:tcPr>
            <w:tcW w:w="877" w:type="dxa"/>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Ⅱ</w:t>
            </w:r>
          </w:p>
        </w:tc>
        <w:tc>
          <w:tcPr>
            <w:tcW w:w="909" w:type="dxa"/>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优</w:t>
            </w:r>
          </w:p>
        </w:tc>
        <w:tc>
          <w:tcPr>
            <w:tcW w:w="867" w:type="dxa"/>
            <w:vMerge w:val="restart"/>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eastAsia="zh-CN"/>
              </w:rPr>
            </w:pPr>
            <w:r>
              <w:rPr>
                <w:rFonts w:hint="eastAsia" w:ascii="仿宋" w:hAnsi="仿宋" w:cs="Times New Roman"/>
                <w:b w:val="0"/>
                <w:bCs w:val="0"/>
                <w:color w:val="auto"/>
                <w:sz w:val="28"/>
                <w:szCs w:val="28"/>
                <w:highlight w:val="none"/>
                <w:shd w:val="clear" w:color="auto" w:fill="auto"/>
                <w:lang w:val="en-US" w:eastAsia="zh-CN"/>
              </w:rPr>
              <w:t>Ⅲ</w:t>
            </w:r>
          </w:p>
        </w:tc>
        <w:tc>
          <w:tcPr>
            <w:tcW w:w="1421" w:type="dxa"/>
            <w:vMerge w:val="restart"/>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8" w:type="dxa"/>
            <w:vMerge w:val="continue"/>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eastAsia="zh-CN"/>
              </w:rPr>
            </w:pPr>
          </w:p>
        </w:tc>
        <w:tc>
          <w:tcPr>
            <w:tcW w:w="1666" w:type="dxa"/>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苍旺坝渡口</w:t>
            </w:r>
          </w:p>
        </w:tc>
        <w:tc>
          <w:tcPr>
            <w:tcW w:w="840" w:type="dxa"/>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eastAsia="zh-CN"/>
              </w:rPr>
            </w:pPr>
            <w:r>
              <w:rPr>
                <w:rFonts w:hint="eastAsia" w:ascii="仿宋" w:hAnsi="仿宋" w:cs="Times New Roman"/>
                <w:b w:val="0"/>
                <w:bCs w:val="0"/>
                <w:color w:val="auto"/>
                <w:sz w:val="28"/>
                <w:szCs w:val="28"/>
                <w:highlight w:val="none"/>
                <w:shd w:val="clear" w:color="auto" w:fill="auto"/>
                <w:lang w:val="en-US" w:eastAsia="zh-CN"/>
              </w:rPr>
              <w:t>市控</w:t>
            </w:r>
          </w:p>
        </w:tc>
        <w:tc>
          <w:tcPr>
            <w:tcW w:w="854" w:type="dxa"/>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eastAsia="zh-CN"/>
              </w:rPr>
            </w:pPr>
            <w:r>
              <w:rPr>
                <w:rFonts w:hint="eastAsia" w:ascii="仿宋" w:hAnsi="仿宋" w:cs="Times New Roman"/>
                <w:b w:val="0"/>
                <w:bCs w:val="0"/>
                <w:color w:val="auto"/>
                <w:sz w:val="28"/>
                <w:szCs w:val="28"/>
                <w:highlight w:val="none"/>
                <w:shd w:val="clear" w:color="auto" w:fill="auto"/>
                <w:lang w:val="en-US" w:eastAsia="zh-CN"/>
              </w:rPr>
              <w:t>Ⅲ</w:t>
            </w:r>
          </w:p>
        </w:tc>
        <w:tc>
          <w:tcPr>
            <w:tcW w:w="877" w:type="dxa"/>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eastAsia="zh-CN"/>
              </w:rPr>
            </w:pPr>
            <w:r>
              <w:rPr>
                <w:rFonts w:hint="eastAsia" w:ascii="仿宋" w:hAnsi="仿宋" w:cs="Times New Roman"/>
                <w:b w:val="0"/>
                <w:bCs w:val="0"/>
                <w:color w:val="auto"/>
                <w:sz w:val="28"/>
                <w:szCs w:val="28"/>
                <w:highlight w:val="none"/>
                <w:shd w:val="clear" w:color="auto" w:fill="auto"/>
                <w:lang w:val="en-US" w:eastAsia="zh-CN"/>
              </w:rPr>
              <w:t>Ⅲ</w:t>
            </w:r>
          </w:p>
        </w:tc>
        <w:tc>
          <w:tcPr>
            <w:tcW w:w="909" w:type="dxa"/>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良</w:t>
            </w:r>
          </w:p>
        </w:tc>
        <w:tc>
          <w:tcPr>
            <w:tcW w:w="867" w:type="dxa"/>
            <w:vMerge w:val="continue"/>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eastAsia="zh-CN"/>
              </w:rPr>
            </w:pPr>
          </w:p>
        </w:tc>
        <w:tc>
          <w:tcPr>
            <w:tcW w:w="1421" w:type="dxa"/>
            <w:vMerge w:val="continue"/>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8" w:type="dxa"/>
            <w:vMerge w:val="continue"/>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eastAsia="zh-CN"/>
              </w:rPr>
            </w:pPr>
          </w:p>
        </w:tc>
        <w:tc>
          <w:tcPr>
            <w:tcW w:w="1666" w:type="dxa"/>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喻家咀</w:t>
            </w:r>
          </w:p>
        </w:tc>
        <w:tc>
          <w:tcPr>
            <w:tcW w:w="840" w:type="dxa"/>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eastAsia="zh-CN"/>
              </w:rPr>
            </w:pPr>
            <w:r>
              <w:rPr>
                <w:rFonts w:hint="eastAsia" w:ascii="仿宋" w:hAnsi="仿宋" w:cs="Times New Roman"/>
                <w:b w:val="0"/>
                <w:bCs w:val="0"/>
                <w:color w:val="auto"/>
                <w:sz w:val="28"/>
                <w:szCs w:val="28"/>
                <w:highlight w:val="none"/>
                <w:shd w:val="clear" w:color="auto" w:fill="auto"/>
                <w:lang w:val="en-US" w:eastAsia="zh-CN"/>
              </w:rPr>
              <w:t>市控</w:t>
            </w:r>
          </w:p>
        </w:tc>
        <w:tc>
          <w:tcPr>
            <w:tcW w:w="854" w:type="dxa"/>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eastAsia="zh-CN"/>
              </w:rPr>
            </w:pPr>
            <w:r>
              <w:rPr>
                <w:rFonts w:hint="eastAsia" w:ascii="仿宋" w:hAnsi="仿宋" w:cs="Times New Roman"/>
                <w:b w:val="0"/>
                <w:bCs w:val="0"/>
                <w:color w:val="auto"/>
                <w:sz w:val="28"/>
                <w:szCs w:val="28"/>
                <w:highlight w:val="none"/>
                <w:shd w:val="clear" w:color="auto" w:fill="auto"/>
                <w:lang w:val="en-US" w:eastAsia="zh-CN"/>
              </w:rPr>
              <w:t>Ⅲ</w:t>
            </w:r>
          </w:p>
        </w:tc>
        <w:tc>
          <w:tcPr>
            <w:tcW w:w="877" w:type="dxa"/>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eastAsia="zh-CN"/>
              </w:rPr>
            </w:pPr>
            <w:r>
              <w:rPr>
                <w:rFonts w:hint="eastAsia" w:ascii="仿宋" w:hAnsi="仿宋" w:cs="Times New Roman"/>
                <w:b w:val="0"/>
                <w:bCs w:val="0"/>
                <w:color w:val="auto"/>
                <w:sz w:val="28"/>
                <w:szCs w:val="28"/>
                <w:highlight w:val="none"/>
                <w:shd w:val="clear" w:color="auto" w:fill="auto"/>
                <w:lang w:val="en-US" w:eastAsia="zh-CN"/>
              </w:rPr>
              <w:t>Ⅲ</w:t>
            </w:r>
          </w:p>
        </w:tc>
        <w:tc>
          <w:tcPr>
            <w:tcW w:w="909" w:type="dxa"/>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良</w:t>
            </w:r>
          </w:p>
        </w:tc>
        <w:tc>
          <w:tcPr>
            <w:tcW w:w="867" w:type="dxa"/>
            <w:vMerge w:val="continue"/>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eastAsia="zh-CN"/>
              </w:rPr>
            </w:pPr>
          </w:p>
        </w:tc>
        <w:tc>
          <w:tcPr>
            <w:tcW w:w="1421" w:type="dxa"/>
            <w:vMerge w:val="continue"/>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8" w:type="dxa"/>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厚坝河</w:t>
            </w:r>
          </w:p>
        </w:tc>
        <w:tc>
          <w:tcPr>
            <w:tcW w:w="1666" w:type="dxa"/>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拱河桥</w:t>
            </w:r>
          </w:p>
        </w:tc>
        <w:tc>
          <w:tcPr>
            <w:tcW w:w="840" w:type="dxa"/>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eastAsia="zh-CN"/>
              </w:rPr>
            </w:pPr>
            <w:r>
              <w:rPr>
                <w:rFonts w:hint="eastAsia" w:ascii="仿宋" w:hAnsi="仿宋" w:cs="Times New Roman"/>
                <w:b w:val="0"/>
                <w:bCs w:val="0"/>
                <w:color w:val="auto"/>
                <w:sz w:val="28"/>
                <w:szCs w:val="28"/>
                <w:highlight w:val="none"/>
                <w:shd w:val="clear" w:color="auto" w:fill="auto"/>
                <w:lang w:val="en-US" w:eastAsia="zh-CN"/>
              </w:rPr>
              <w:t>市控</w:t>
            </w:r>
          </w:p>
        </w:tc>
        <w:tc>
          <w:tcPr>
            <w:tcW w:w="854" w:type="dxa"/>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eastAsia="zh-CN"/>
              </w:rPr>
            </w:pPr>
            <w:r>
              <w:rPr>
                <w:rFonts w:hint="eastAsia" w:ascii="仿宋" w:hAnsi="仿宋" w:cs="Times New Roman"/>
                <w:b w:val="0"/>
                <w:bCs w:val="0"/>
                <w:color w:val="auto"/>
                <w:sz w:val="28"/>
                <w:szCs w:val="28"/>
                <w:highlight w:val="none"/>
                <w:shd w:val="clear" w:color="auto" w:fill="auto"/>
                <w:lang w:val="en-US" w:eastAsia="zh-CN"/>
              </w:rPr>
              <w:t>Ⅲ</w:t>
            </w:r>
          </w:p>
        </w:tc>
        <w:tc>
          <w:tcPr>
            <w:tcW w:w="877" w:type="dxa"/>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eastAsia="zh-CN"/>
              </w:rPr>
            </w:pPr>
            <w:r>
              <w:rPr>
                <w:rFonts w:hint="eastAsia" w:ascii="仿宋" w:hAnsi="仿宋" w:cs="Times New Roman"/>
                <w:b w:val="0"/>
                <w:bCs w:val="0"/>
                <w:color w:val="auto"/>
                <w:sz w:val="28"/>
                <w:szCs w:val="28"/>
                <w:highlight w:val="none"/>
                <w:shd w:val="clear" w:color="auto" w:fill="auto"/>
                <w:lang w:val="en-US" w:eastAsia="zh-CN"/>
              </w:rPr>
              <w:t>Ⅱ</w:t>
            </w:r>
          </w:p>
        </w:tc>
        <w:tc>
          <w:tcPr>
            <w:tcW w:w="909" w:type="dxa"/>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优</w:t>
            </w:r>
          </w:p>
        </w:tc>
        <w:tc>
          <w:tcPr>
            <w:tcW w:w="867" w:type="dxa"/>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eastAsia="zh-CN"/>
              </w:rPr>
            </w:pPr>
            <w:r>
              <w:rPr>
                <w:rFonts w:hint="eastAsia" w:ascii="仿宋" w:hAnsi="仿宋" w:cs="Times New Roman"/>
                <w:b w:val="0"/>
                <w:bCs w:val="0"/>
                <w:color w:val="auto"/>
                <w:sz w:val="28"/>
                <w:szCs w:val="28"/>
                <w:highlight w:val="none"/>
                <w:shd w:val="clear" w:color="auto" w:fill="auto"/>
                <w:lang w:val="en-US" w:eastAsia="zh-CN"/>
              </w:rPr>
              <w:t>Ⅱ</w:t>
            </w:r>
          </w:p>
        </w:tc>
        <w:tc>
          <w:tcPr>
            <w:tcW w:w="1421" w:type="dxa"/>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优</w:t>
            </w:r>
          </w:p>
        </w:tc>
      </w:tr>
    </w:tbl>
    <w:p>
      <w:pPr>
        <w:keepNext/>
        <w:keepLines/>
        <w:pageBreakBefore w:val="0"/>
        <w:widowControl w:val="0"/>
        <w:kinsoku/>
        <w:wordWrap/>
        <w:overflowPunct/>
        <w:topLinePunct w:val="0"/>
        <w:autoSpaceDE/>
        <w:autoSpaceDN/>
        <w:bidi w:val="0"/>
        <w:adjustRightInd/>
        <w:snapToGrid/>
        <w:spacing w:line="240" w:lineRule="auto"/>
        <w:ind w:firstLine="643" w:firstLineChars="200"/>
        <w:jc w:val="left"/>
        <w:textAlignment w:val="auto"/>
        <w:outlineLvl w:val="2"/>
        <w:rPr>
          <w:rFonts w:hint="eastAsia" w:ascii="仿宋" w:hAnsi="仿宋" w:eastAsia="仿宋" w:cs="Times New Roman"/>
          <w:b/>
          <w:bCs/>
          <w:color w:val="auto"/>
          <w:kern w:val="2"/>
          <w:sz w:val="32"/>
          <w:szCs w:val="32"/>
          <w:highlight w:val="none"/>
          <w:shd w:val="clear" w:color="auto" w:fill="auto"/>
          <w:lang w:val="en-US" w:eastAsia="zh-CN" w:bidi="ar-SA"/>
        </w:rPr>
      </w:pPr>
      <w:r>
        <w:rPr>
          <w:rFonts w:hint="eastAsia" w:ascii="仿宋" w:hAnsi="仿宋" w:eastAsia="仿宋" w:cs="Times New Roman"/>
          <w:b/>
          <w:bCs/>
          <w:color w:val="auto"/>
          <w:kern w:val="2"/>
          <w:sz w:val="32"/>
          <w:szCs w:val="32"/>
          <w:highlight w:val="none"/>
          <w:shd w:val="clear" w:color="auto" w:fill="auto"/>
          <w:lang w:val="en-US" w:eastAsia="zh-CN" w:bidi="ar-SA"/>
        </w:rPr>
        <w:t>二、城市集中式饮用水源地水质状况</w:t>
      </w:r>
    </w:p>
    <w:p>
      <w:pPr>
        <w:pStyle w:val="14"/>
        <w:spacing w:after="0" w:line="240" w:lineRule="auto"/>
        <w:ind w:left="0" w:leftChars="0" w:right="0" w:rightChars="0" w:firstLine="640" w:firstLineChars="200"/>
        <w:rPr>
          <w:rFonts w:hint="eastAsia" w:ascii="仿宋" w:hAnsi="仿宋"/>
          <w:szCs w:val="32"/>
          <w:highlight w:val="none"/>
          <w:shd w:val="clear" w:color="auto" w:fill="auto"/>
          <w:lang w:eastAsia="zh-CN"/>
        </w:rPr>
      </w:pPr>
      <w:r>
        <w:rPr>
          <w:rFonts w:hint="eastAsia" w:ascii="仿宋" w:hAnsi="仿宋"/>
          <w:szCs w:val="32"/>
          <w:highlight w:val="none"/>
          <w:shd w:val="clear" w:color="auto" w:fill="auto"/>
          <w:lang w:eastAsia="zh-CN"/>
        </w:rPr>
        <w:t>按照广环发（2020）4号广元市生态环境局《关于印发2020年广元市生态环境监测方案》的通知，2020年每季度对我县饮用水源地（地表水）水质监测1次，采样点位为旺苍县东河电站县城区饮用水源地取水点上游100米。2020年旺苍县城区集中式饮用水源地水质按照《地表水环境质量标准》(GB3838 -2002)表1, II类，表2及表3标准限值进行评价，所测项目均未超标。</w:t>
      </w:r>
    </w:p>
    <w:p>
      <w:pPr>
        <w:keepNext/>
        <w:keepLines/>
        <w:pageBreakBefore w:val="0"/>
        <w:widowControl w:val="0"/>
        <w:kinsoku/>
        <w:wordWrap/>
        <w:overflowPunct/>
        <w:topLinePunct w:val="0"/>
        <w:autoSpaceDE/>
        <w:autoSpaceDN/>
        <w:bidi w:val="0"/>
        <w:adjustRightInd/>
        <w:snapToGrid/>
        <w:spacing w:line="240" w:lineRule="auto"/>
        <w:ind w:firstLine="643" w:firstLineChars="200"/>
        <w:jc w:val="left"/>
        <w:textAlignment w:val="auto"/>
        <w:outlineLvl w:val="2"/>
        <w:rPr>
          <w:rFonts w:hint="eastAsia" w:ascii="仿宋" w:hAnsi="仿宋" w:eastAsia="仿宋" w:cs="Times New Roman"/>
          <w:b/>
          <w:bCs/>
          <w:color w:val="auto"/>
          <w:kern w:val="2"/>
          <w:sz w:val="32"/>
          <w:szCs w:val="32"/>
          <w:highlight w:val="none"/>
          <w:shd w:val="clear" w:color="auto" w:fill="auto"/>
          <w:lang w:val="en-US" w:eastAsia="zh-CN" w:bidi="ar-SA"/>
        </w:rPr>
      </w:pPr>
      <w:r>
        <w:rPr>
          <w:rFonts w:hint="eastAsia" w:ascii="仿宋" w:hAnsi="仿宋" w:eastAsia="仿宋" w:cs="Times New Roman"/>
          <w:b/>
          <w:bCs/>
          <w:color w:val="auto"/>
          <w:kern w:val="2"/>
          <w:sz w:val="32"/>
          <w:szCs w:val="32"/>
          <w:highlight w:val="none"/>
          <w:shd w:val="clear" w:color="auto" w:fill="auto"/>
          <w:lang w:val="en-US" w:eastAsia="zh-CN" w:bidi="ar-SA"/>
        </w:rPr>
        <w:t>三、环境空气监测状况</w:t>
      </w:r>
    </w:p>
    <w:p>
      <w:pPr>
        <w:pStyle w:val="14"/>
        <w:spacing w:after="0" w:line="240" w:lineRule="auto"/>
        <w:ind w:left="0" w:leftChars="0" w:right="0" w:rightChars="0" w:firstLine="640" w:firstLineChars="200"/>
        <w:rPr>
          <w:rFonts w:hint="eastAsia" w:ascii="仿宋" w:hAnsi="仿宋"/>
          <w:szCs w:val="32"/>
          <w:highlight w:val="none"/>
          <w:shd w:val="clear" w:color="auto" w:fill="auto"/>
          <w:lang w:eastAsia="zh-CN"/>
        </w:rPr>
      </w:pPr>
      <w:r>
        <w:rPr>
          <w:rFonts w:hint="eastAsia" w:ascii="仿宋" w:hAnsi="仿宋"/>
          <w:szCs w:val="32"/>
          <w:highlight w:val="none"/>
          <w:shd w:val="clear" w:color="auto" w:fill="auto"/>
          <w:lang w:eastAsia="zh-CN"/>
        </w:rPr>
        <w:t>2020年全年对红军城、新城、松米山三个监测点位按照《环境空气质量自动监测技术规范》要求进行自动连续监测。监测项目为二氧化硫、二氧化氮、可吸入颗粒物、一氧化碳、臭氧和细颗粒物共六个项目。2020年，</w:t>
      </w:r>
      <w:r>
        <w:rPr>
          <w:rFonts w:hint="eastAsia" w:ascii="仿宋" w:hAnsi="仿宋"/>
          <w:szCs w:val="32"/>
          <w:highlight w:val="none"/>
          <w:shd w:val="clear" w:color="auto" w:fill="auto"/>
          <w:lang w:val="en-US" w:eastAsia="zh-CN"/>
        </w:rPr>
        <w:t>全</w:t>
      </w:r>
      <w:r>
        <w:rPr>
          <w:rFonts w:hint="eastAsia" w:ascii="仿宋" w:hAnsi="仿宋"/>
          <w:szCs w:val="32"/>
          <w:highlight w:val="none"/>
          <w:shd w:val="clear" w:color="auto" w:fill="auto"/>
          <w:lang w:eastAsia="zh-CN"/>
        </w:rPr>
        <w:t>县环境空气质量良好，空气质量优、良天数达标率为94</w:t>
      </w:r>
      <w:r>
        <w:rPr>
          <w:rFonts w:hint="eastAsia" w:ascii="仿宋" w:hAnsi="仿宋"/>
          <w:szCs w:val="32"/>
          <w:highlight w:val="none"/>
          <w:shd w:val="clear" w:color="auto" w:fill="auto"/>
          <w:lang w:val="en-US" w:eastAsia="zh-CN"/>
        </w:rPr>
        <w:t>.</w:t>
      </w:r>
      <w:r>
        <w:rPr>
          <w:rFonts w:hint="eastAsia" w:ascii="仿宋" w:hAnsi="仿宋"/>
          <w:szCs w:val="32"/>
          <w:highlight w:val="none"/>
          <w:shd w:val="clear" w:color="auto" w:fill="auto"/>
          <w:lang w:eastAsia="zh-CN"/>
        </w:rPr>
        <w:t>8%，首要污染物为臭氧、细颗粒物和颗粒物，与上年相比环境空气质量变好。</w:t>
      </w:r>
    </w:p>
    <w:bookmarkEnd w:id="37"/>
    <w:p>
      <w:pPr>
        <w:keepNext/>
        <w:keepLines/>
        <w:pageBreakBefore w:val="0"/>
        <w:widowControl w:val="0"/>
        <w:kinsoku/>
        <w:wordWrap/>
        <w:overflowPunct/>
        <w:topLinePunct w:val="0"/>
        <w:bidi w:val="0"/>
        <w:snapToGrid/>
        <w:spacing w:line="240" w:lineRule="auto"/>
        <w:ind w:firstLine="0" w:firstLineChars="0"/>
        <w:jc w:val="center"/>
        <w:textAlignment w:val="auto"/>
        <w:outlineLvl w:val="1"/>
        <w:rPr>
          <w:rFonts w:hint="default" w:ascii="仿宋" w:hAnsi="仿宋" w:eastAsia="仿宋" w:cs="Times New Roman"/>
          <w:b/>
          <w:color w:val="auto"/>
          <w:kern w:val="2"/>
          <w:sz w:val="36"/>
          <w:szCs w:val="36"/>
          <w:highlight w:val="none"/>
          <w:shd w:val="clear" w:color="auto" w:fill="auto"/>
          <w:lang w:val="en-US" w:eastAsia="zh-CN" w:bidi="ar-SA"/>
        </w:rPr>
      </w:pPr>
      <w:bookmarkStart w:id="41" w:name="三、主要任务"/>
      <w:bookmarkEnd w:id="41"/>
      <w:bookmarkStart w:id="42" w:name="_bookmark9"/>
      <w:bookmarkEnd w:id="42"/>
      <w:bookmarkStart w:id="43" w:name="_Toc25884"/>
      <w:bookmarkStart w:id="44" w:name="_Toc8853"/>
      <w:bookmarkStart w:id="45" w:name="_Toc2024"/>
      <w:r>
        <w:rPr>
          <w:rFonts w:hint="eastAsia" w:ascii="仿宋" w:hAnsi="仿宋" w:eastAsia="仿宋" w:cs="Times New Roman"/>
          <w:b/>
          <w:color w:val="auto"/>
          <w:kern w:val="2"/>
          <w:sz w:val="36"/>
          <w:szCs w:val="36"/>
          <w:highlight w:val="none"/>
          <w:shd w:val="clear" w:color="auto" w:fill="auto"/>
          <w:lang w:val="en-US" w:eastAsia="zh-CN" w:bidi="ar-SA"/>
        </w:rPr>
        <w:t>第四节 旺苍县畜禽养殖现状</w:t>
      </w:r>
      <w:bookmarkEnd w:id="43"/>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szCs w:val="32"/>
          <w:highlight w:val="none"/>
          <w:shd w:val="clear" w:color="auto" w:fill="auto"/>
        </w:rPr>
        <w:t>旺苍县是“四川省现代农业建设重点县”，也是“四川省牛羊标准化生产基地县”，历届县委、县政府高度重视畜牧业发展，</w:t>
      </w:r>
      <w:r>
        <w:rPr>
          <w:rFonts w:hint="eastAsia" w:ascii="仿宋" w:hAnsi="仿宋"/>
          <w:szCs w:val="32"/>
          <w:highlight w:val="none"/>
          <w:shd w:val="clear" w:color="auto" w:fill="auto"/>
          <w:lang w:eastAsia="zh-CN"/>
        </w:rPr>
        <w:t>旺苍</w:t>
      </w:r>
      <w:r>
        <w:rPr>
          <w:rFonts w:hint="eastAsia" w:ascii="仿宋" w:hAnsi="仿宋"/>
          <w:szCs w:val="32"/>
          <w:highlight w:val="none"/>
          <w:shd w:val="clear" w:color="auto" w:fill="auto"/>
        </w:rPr>
        <w:t>县畜牧产业近年遵循“转型升级、调量提质”的发展路线，结合区域实际特点，主要形成了以生猪养殖为产业主要增长极、其他畜</w:t>
      </w:r>
      <w:r>
        <w:rPr>
          <w:rFonts w:ascii="仿宋" w:hAnsi="仿宋"/>
          <w:szCs w:val="32"/>
          <w:highlight w:val="none"/>
          <w:shd w:val="clear" w:color="auto" w:fill="auto"/>
        </w:rPr>
        <w:t>牧</w:t>
      </w:r>
      <w:r>
        <w:rPr>
          <w:rFonts w:hint="eastAsia" w:ascii="仿宋" w:hAnsi="仿宋"/>
          <w:szCs w:val="32"/>
          <w:highlight w:val="none"/>
          <w:shd w:val="clear" w:color="auto" w:fill="auto"/>
        </w:rPr>
        <w:t>业规模稳定的总体产业结构</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rPr>
        <w:t>从2011年起连续11年获得生猪调出大县资金奖励。全县畜牧业生产总量保持稳中有升趋势，生猪</w:t>
      </w:r>
      <w:r>
        <w:rPr>
          <w:rFonts w:hint="eastAsia" w:ascii="仿宋" w:hAnsi="仿宋"/>
          <w:szCs w:val="32"/>
          <w:highlight w:val="none"/>
          <w:shd w:val="clear" w:color="auto" w:fill="auto"/>
          <w:lang w:eastAsia="zh-CN"/>
        </w:rPr>
        <w:t>、</w:t>
      </w:r>
      <w:r>
        <w:rPr>
          <w:rFonts w:hint="eastAsia" w:ascii="仿宋" w:hAnsi="仿宋" w:eastAsia="仿宋_GB2312" w:cs="仿宋_GB2312"/>
          <w:sz w:val="32"/>
          <w:szCs w:val="32"/>
          <w:highlight w:val="none"/>
          <w:shd w:val="clear" w:color="auto" w:fill="auto"/>
        </w:rPr>
        <w:t>肉牛羊土鸡等大宗农产品供给保障有力</w:t>
      </w:r>
      <w:r>
        <w:rPr>
          <w:rFonts w:hint="eastAsia" w:ascii="仿宋" w:hAnsi="仿宋"/>
          <w:szCs w:val="32"/>
          <w:highlight w:val="none"/>
          <w:shd w:val="clear" w:color="auto" w:fill="auto"/>
        </w:rPr>
        <w:t>。</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szCs w:val="32"/>
          <w:highlight w:val="none"/>
          <w:shd w:val="clear" w:color="auto" w:fill="auto"/>
        </w:rPr>
        <w:t>农民生活条件逐渐改善。在国家、省、市的大力支持下，全县畜牧产业呈现良好的发展态势，全县畜禽标准化规模养殖和适度规模养殖比重不断提高，优势区域不断形成，基本形成了“种、养、加、销”一体化产业生产新格局。</w:t>
      </w:r>
    </w:p>
    <w:p>
      <w:pPr>
        <w:pStyle w:val="14"/>
        <w:spacing w:after="0" w:line="240" w:lineRule="auto"/>
        <w:ind w:left="0" w:leftChars="0" w:right="0" w:rightChars="0" w:firstLine="640" w:firstLineChars="200"/>
        <w:rPr>
          <w:rFonts w:hint="eastAsia" w:ascii="仿宋" w:hAnsi="仿宋" w:eastAsia="仿宋_GB2312" w:cs="Times New Roman"/>
          <w:bCs/>
          <w:color w:val="000000"/>
          <w:kern w:val="2"/>
          <w:sz w:val="32"/>
          <w:szCs w:val="32"/>
          <w:highlight w:val="none"/>
          <w:u w:val="none"/>
          <w:shd w:val="clear" w:color="auto" w:fill="auto"/>
          <w:lang w:val="en-US" w:eastAsia="zh-CN" w:bidi="ar-SA"/>
        </w:rPr>
      </w:pPr>
      <w:r>
        <w:rPr>
          <w:rFonts w:hint="eastAsia" w:ascii="仿宋" w:hAnsi="仿宋" w:eastAsia="仿宋_GB2312" w:cs="Times New Roman"/>
          <w:bCs/>
          <w:color w:val="000000"/>
          <w:kern w:val="2"/>
          <w:sz w:val="32"/>
          <w:szCs w:val="32"/>
          <w:highlight w:val="none"/>
          <w:u w:val="none"/>
          <w:shd w:val="clear" w:color="auto" w:fill="auto"/>
          <w:lang w:val="en-US" w:eastAsia="zh-CN" w:bidi="ar-SA"/>
        </w:rPr>
        <w:t>“十三五”期间，成功与新希望六和集团签订</w:t>
      </w:r>
      <w:r>
        <w:rPr>
          <w:rFonts w:hint="eastAsia" w:ascii="仿宋" w:hAnsi="仿宋" w:eastAsia="仿宋_GB2312" w:cs="Times New Roman"/>
          <w:bCs/>
          <w:color w:val="auto"/>
          <w:kern w:val="2"/>
          <w:sz w:val="32"/>
          <w:szCs w:val="32"/>
          <w:highlight w:val="none"/>
          <w:u w:val="none"/>
          <w:shd w:val="clear" w:color="auto" w:fill="auto"/>
          <w:lang w:val="en-US" w:eastAsia="zh-CN" w:bidi="ar-SA"/>
        </w:rPr>
        <w:t>年出栏100万头生猪全产业链项目</w:t>
      </w:r>
      <w:r>
        <w:rPr>
          <w:rFonts w:hint="eastAsia" w:ascii="仿宋" w:hAnsi="仿宋" w:cs="Times New Roman"/>
          <w:bCs/>
          <w:color w:val="auto"/>
          <w:kern w:val="2"/>
          <w:sz w:val="32"/>
          <w:szCs w:val="32"/>
          <w:highlight w:val="none"/>
          <w:u w:val="none"/>
          <w:shd w:val="clear" w:color="auto" w:fill="auto"/>
          <w:lang w:val="en-US" w:eastAsia="zh-CN" w:bidi="ar-SA"/>
        </w:rPr>
        <w:t>。</w:t>
      </w:r>
      <w:r>
        <w:rPr>
          <w:rFonts w:hint="eastAsia" w:ascii="仿宋" w:hAnsi="仿宋" w:eastAsia="仿宋_GB2312" w:cs="Times New Roman"/>
          <w:bCs/>
          <w:color w:val="000000"/>
          <w:kern w:val="2"/>
          <w:sz w:val="32"/>
          <w:szCs w:val="32"/>
          <w:highlight w:val="none"/>
          <w:u w:val="none"/>
          <w:shd w:val="clear" w:color="auto" w:fill="auto"/>
          <w:lang w:val="en-US" w:eastAsia="zh-CN" w:bidi="ar-SA"/>
        </w:rPr>
        <w:t>全县农业总产值达到49.5亿元、农林牧渔业增加值达到28.8亿元，分别较“十二五”末同比增长100.5%和22.7%，三次产业结构由18.3:52.4:29.3调整为20.3:44.7:35.0，产业结构日趋优化。</w:t>
      </w:r>
    </w:p>
    <w:p>
      <w:pPr>
        <w:keepNext/>
        <w:keepLines/>
        <w:pageBreakBefore w:val="0"/>
        <w:widowControl w:val="0"/>
        <w:kinsoku/>
        <w:wordWrap/>
        <w:overflowPunct/>
        <w:topLinePunct w:val="0"/>
        <w:autoSpaceDE/>
        <w:autoSpaceDN/>
        <w:bidi w:val="0"/>
        <w:adjustRightInd/>
        <w:snapToGrid/>
        <w:spacing w:line="240" w:lineRule="auto"/>
        <w:ind w:firstLine="643" w:firstLineChars="200"/>
        <w:jc w:val="left"/>
        <w:textAlignment w:val="auto"/>
        <w:outlineLvl w:val="2"/>
        <w:rPr>
          <w:rFonts w:hint="eastAsia" w:ascii="仿宋" w:hAnsi="仿宋" w:eastAsia="仿宋" w:cs="Times New Roman"/>
          <w:b/>
          <w:bCs/>
          <w:color w:val="auto"/>
          <w:kern w:val="2"/>
          <w:sz w:val="32"/>
          <w:szCs w:val="32"/>
          <w:highlight w:val="none"/>
          <w:shd w:val="clear" w:color="auto" w:fill="auto"/>
          <w:lang w:val="en-US" w:eastAsia="zh-CN" w:bidi="ar-SA"/>
        </w:rPr>
      </w:pPr>
      <w:r>
        <w:rPr>
          <w:rFonts w:hint="eastAsia" w:ascii="仿宋" w:hAnsi="仿宋" w:eastAsia="仿宋" w:cs="Times New Roman"/>
          <w:b/>
          <w:bCs/>
          <w:color w:val="auto"/>
          <w:kern w:val="2"/>
          <w:sz w:val="32"/>
          <w:szCs w:val="32"/>
          <w:highlight w:val="none"/>
          <w:shd w:val="clear" w:color="auto" w:fill="auto"/>
          <w:lang w:val="en-US" w:eastAsia="zh-CN" w:bidi="ar-SA"/>
        </w:rPr>
        <w:t>一、养殖总量</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cs="Times New Roman"/>
          <w:szCs w:val="32"/>
          <w:highlight w:val="none"/>
          <w:shd w:val="clear" w:color="auto" w:fill="auto"/>
          <w:lang w:val="en-US" w:eastAsia="zh-CN"/>
        </w:rPr>
        <w:t>据《旺苍县国民经济和社会发展统计公报》和农业农村局数据，</w:t>
      </w:r>
      <w:r>
        <w:rPr>
          <w:rFonts w:hint="eastAsia" w:ascii="仿宋" w:hAnsi="仿宋"/>
          <w:szCs w:val="32"/>
          <w:highlight w:val="none"/>
          <w:shd w:val="clear" w:color="auto" w:fill="auto"/>
        </w:rPr>
        <w:t>2020年全县年末生猪存栏35.54万头，牛存栏3.68万头，羊存栏6.1万只</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lang w:val="en-US" w:eastAsia="zh-CN"/>
        </w:rPr>
        <w:t>禽存栏183.74万羽</w:t>
      </w:r>
      <w:r>
        <w:rPr>
          <w:rFonts w:hint="eastAsia" w:ascii="仿宋" w:hAnsi="仿宋"/>
          <w:szCs w:val="32"/>
          <w:highlight w:val="none"/>
          <w:shd w:val="clear" w:color="auto" w:fill="auto"/>
        </w:rPr>
        <w:t>。</w:t>
      </w:r>
    </w:p>
    <w:p>
      <w:pPr>
        <w:pStyle w:val="14"/>
        <w:spacing w:after="0" w:line="240" w:lineRule="auto"/>
        <w:ind w:left="0" w:leftChars="0" w:right="0" w:rightChars="0" w:firstLine="640" w:firstLineChars="200"/>
        <w:rPr>
          <w:rFonts w:hint="eastAsia" w:ascii="仿宋" w:hAnsi="仿宋"/>
          <w:color w:val="auto"/>
          <w:szCs w:val="32"/>
          <w:highlight w:val="none"/>
          <w:shd w:val="clear" w:color="auto" w:fill="auto"/>
        </w:rPr>
      </w:pPr>
      <w:r>
        <w:rPr>
          <w:rFonts w:hint="eastAsia" w:ascii="仿宋" w:hAnsi="仿宋"/>
          <w:szCs w:val="32"/>
          <w:highlight w:val="none"/>
          <w:shd w:val="clear" w:color="auto" w:fill="auto"/>
        </w:rPr>
        <w:t>2020年全县出栏生猪47.18万头</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rPr>
        <w:t>出栏牛1.36万头，出栏羊11.2万只，出栏家禽360万只</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rPr>
        <w:t>年末生猪存栏35.54万头，牛存栏3.68万头，羊存栏6.1万只</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lang w:val="en-US" w:eastAsia="zh-CN"/>
        </w:rPr>
        <w:t>家禽存栏</w:t>
      </w:r>
      <w:r>
        <w:rPr>
          <w:rFonts w:hint="eastAsia" w:ascii="仿宋" w:hAnsi="仿宋"/>
          <w:szCs w:val="32"/>
          <w:highlight w:val="none"/>
          <w:shd w:val="clear" w:color="auto" w:fill="auto"/>
        </w:rPr>
        <w:t>183.74万</w:t>
      </w:r>
      <w:r>
        <w:rPr>
          <w:rFonts w:hint="eastAsia" w:ascii="仿宋" w:hAnsi="仿宋"/>
          <w:szCs w:val="32"/>
          <w:highlight w:val="none"/>
          <w:shd w:val="clear" w:color="auto" w:fill="auto"/>
          <w:lang w:val="en-US" w:eastAsia="zh-CN"/>
        </w:rPr>
        <w:t>只</w:t>
      </w:r>
      <w:r>
        <w:rPr>
          <w:rFonts w:hint="eastAsia" w:ascii="仿宋" w:hAnsi="仿宋"/>
          <w:szCs w:val="32"/>
          <w:highlight w:val="none"/>
          <w:shd w:val="clear" w:color="auto" w:fill="auto"/>
        </w:rPr>
        <w:t>。</w:t>
      </w:r>
      <w:r>
        <w:rPr>
          <w:rFonts w:hint="eastAsia" w:ascii="仿宋" w:hAnsi="仿宋"/>
          <w:color w:val="auto"/>
          <w:szCs w:val="32"/>
          <w:highlight w:val="none"/>
          <w:shd w:val="clear" w:color="auto" w:fill="auto"/>
        </w:rPr>
        <w:t>全县共有规模养殖场</w:t>
      </w:r>
      <w:r>
        <w:rPr>
          <w:rFonts w:hint="eastAsia" w:ascii="仿宋" w:hAnsi="仿宋"/>
          <w:color w:val="auto"/>
          <w:szCs w:val="32"/>
          <w:highlight w:val="none"/>
          <w:shd w:val="clear" w:color="auto" w:fill="auto"/>
          <w:lang w:val="en-US" w:eastAsia="zh-CN"/>
        </w:rPr>
        <w:t>63</w:t>
      </w:r>
      <w:r>
        <w:rPr>
          <w:rFonts w:hint="eastAsia" w:ascii="仿宋" w:hAnsi="仿宋"/>
          <w:color w:val="auto"/>
          <w:szCs w:val="32"/>
          <w:highlight w:val="none"/>
          <w:shd w:val="clear" w:color="auto" w:fill="auto"/>
        </w:rPr>
        <w:t>家，</w:t>
      </w:r>
      <w:r>
        <w:rPr>
          <w:rFonts w:hint="eastAsia" w:ascii="仿宋" w:hAnsi="仿宋"/>
          <w:color w:val="auto"/>
          <w:szCs w:val="32"/>
          <w:highlight w:val="none"/>
          <w:shd w:val="clear" w:color="auto" w:fill="auto"/>
          <w:lang w:val="en-US" w:eastAsia="zh-CN"/>
        </w:rPr>
        <w:t>专业养殖户142</w:t>
      </w:r>
      <w:r>
        <w:rPr>
          <w:rFonts w:hint="eastAsia" w:ascii="仿宋" w:hAnsi="仿宋"/>
          <w:color w:val="auto"/>
          <w:szCs w:val="32"/>
          <w:highlight w:val="none"/>
          <w:shd w:val="clear" w:color="auto" w:fill="auto"/>
        </w:rPr>
        <w:t>家。</w:t>
      </w:r>
    </w:p>
    <w:p>
      <w:pPr>
        <w:pStyle w:val="14"/>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rPr>
          <w:rFonts w:hint="eastAsia" w:ascii="仿宋" w:hAnsi="仿宋"/>
          <w:szCs w:val="32"/>
          <w:highlight w:val="none"/>
          <w:shd w:val="clear" w:color="auto" w:fill="auto"/>
        </w:rPr>
      </w:pPr>
      <w:r>
        <w:rPr>
          <w:rFonts w:hint="eastAsia" w:ascii="仿宋" w:hAnsi="仿宋"/>
          <w:szCs w:val="32"/>
          <w:highlight w:val="none"/>
          <w:shd w:val="clear" w:color="auto" w:fill="auto"/>
        </w:rPr>
        <w:t xml:space="preserve"> 从2018年～2020年生产统计数据来看，全县畜禽出栏量和产量逐年增长，猪业还是占据主导产业。。</w:t>
      </w:r>
    </w:p>
    <w:p>
      <w:pPr>
        <w:pStyle w:val="14"/>
        <w:spacing w:after="0" w:line="240" w:lineRule="auto"/>
        <w:ind w:left="0" w:leftChars="0" w:right="0" w:rightChars="0" w:firstLine="0" w:firstLineChars="0"/>
        <w:jc w:val="center"/>
        <w:rPr>
          <w:rFonts w:ascii="仿宋" w:hAnsi="仿宋"/>
          <w:highlight w:val="none"/>
          <w:shd w:val="clear" w:color="auto" w:fill="auto"/>
        </w:rPr>
      </w:pPr>
      <w:r>
        <w:rPr>
          <w:rFonts w:ascii="仿宋" w:hAnsi="仿宋"/>
          <w:highlight w:val="none"/>
          <w:shd w:val="clear" w:color="auto" w:fill="auto"/>
        </w:rPr>
        <w:drawing>
          <wp:inline distT="0" distB="0" distL="114300" distR="114300">
            <wp:extent cx="3599815" cy="2156460"/>
            <wp:effectExtent l="0" t="0" r="12065" b="7620"/>
            <wp:docPr id="1"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0"/>
                    <pic:cNvPicPr>
                      <a:picLocks noChangeAspect="1"/>
                    </pic:cNvPicPr>
                  </pic:nvPicPr>
                  <pic:blipFill>
                    <a:blip r:embed="rId8"/>
                    <a:stretch>
                      <a:fillRect/>
                    </a:stretch>
                  </pic:blipFill>
                  <pic:spPr>
                    <a:xfrm>
                      <a:off x="0" y="0"/>
                      <a:ext cx="3599815" cy="2156460"/>
                    </a:xfrm>
                    <a:prstGeom prst="rect">
                      <a:avLst/>
                    </a:prstGeom>
                    <a:noFill/>
                    <a:ln>
                      <a:noFill/>
                    </a:ln>
                  </pic:spPr>
                </pic:pic>
              </a:graphicData>
            </a:graphic>
          </wp:inline>
        </w:drawing>
      </w:r>
    </w:p>
    <w:p>
      <w:pPr>
        <w:pStyle w:val="115"/>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7"/>
        <w:rPr>
          <w:rFonts w:hint="eastAsia" w:ascii="仿宋" w:hAnsi="仿宋" w:eastAsia="仿宋" w:cs="Times New Roman"/>
          <w:b/>
          <w:color w:val="auto"/>
          <w:sz w:val="28"/>
          <w:szCs w:val="28"/>
          <w:highlight w:val="none"/>
          <w:shd w:val="clear" w:color="auto" w:fill="auto"/>
          <w:lang w:val="en-US" w:eastAsia="zh-CN"/>
        </w:rPr>
      </w:pPr>
      <w:r>
        <w:rPr>
          <w:rFonts w:hint="eastAsia" w:ascii="仿宋" w:hAnsi="仿宋" w:eastAsia="仿宋" w:cs="Times New Roman"/>
          <w:b/>
          <w:color w:val="auto"/>
          <w:sz w:val="28"/>
          <w:szCs w:val="28"/>
          <w:highlight w:val="none"/>
          <w:shd w:val="clear" w:color="auto" w:fill="auto"/>
          <w:lang w:val="en-US" w:eastAsia="zh-CN"/>
        </w:rPr>
        <w:t>图2-1  2018-2020年度旺苍县各种畜产品生产情况（单位：吨）</w:t>
      </w:r>
    </w:p>
    <w:p>
      <w:pPr>
        <w:pStyle w:val="14"/>
        <w:spacing w:after="0" w:line="240" w:lineRule="auto"/>
        <w:ind w:left="0" w:leftChars="0" w:right="0" w:rightChars="0" w:firstLine="640" w:firstLineChars="200"/>
        <w:jc w:val="both"/>
        <w:rPr>
          <w:rFonts w:hint="default" w:ascii="仿宋" w:hAnsi="仿宋" w:eastAsia="仿宋_GB2312"/>
          <w:highlight w:val="none"/>
          <w:shd w:val="clear" w:color="auto" w:fill="auto"/>
          <w:lang w:val="en-US" w:eastAsia="zh-CN"/>
        </w:rPr>
      </w:pPr>
      <w:r>
        <w:rPr>
          <w:rFonts w:hint="eastAsia" w:ascii="仿宋" w:hAnsi="仿宋" w:cs="Times New Roman"/>
          <w:szCs w:val="32"/>
          <w:highlight w:val="none"/>
          <w:shd w:val="clear" w:color="auto" w:fill="auto"/>
          <w:lang w:val="en-US" w:eastAsia="zh-CN"/>
        </w:rPr>
        <w:t>根据本次畜禽养殖调查表调查结果分析，目前全县设计存栏生猪17.92万头，设计存栏牛1.92万头，设计存栏羊21.56万只，设计存栏家禽92.05万只。</w:t>
      </w:r>
    </w:p>
    <w:p>
      <w:pPr>
        <w:pStyle w:val="115"/>
        <w:pageBreakBefore w:val="0"/>
        <w:widowControl w:val="0"/>
        <w:kinsoku/>
        <w:wordWrap/>
        <w:overflowPunct/>
        <w:topLinePunct w:val="0"/>
        <w:bidi w:val="0"/>
        <w:snapToGrid/>
        <w:spacing w:line="560" w:lineRule="exact"/>
        <w:jc w:val="center"/>
        <w:textAlignment w:val="auto"/>
        <w:outlineLvl w:val="7"/>
        <w:rPr>
          <w:rFonts w:hint="eastAsia" w:ascii="仿宋" w:hAnsi="仿宋" w:eastAsia="仿宋" w:cs="Times New Roman"/>
          <w:b/>
          <w:color w:val="auto"/>
          <w:sz w:val="28"/>
          <w:szCs w:val="28"/>
          <w:highlight w:val="none"/>
          <w:shd w:val="clear" w:color="auto" w:fill="auto"/>
          <w:lang w:eastAsia="zh-CN"/>
        </w:rPr>
      </w:pPr>
      <w:r>
        <w:rPr>
          <w:rFonts w:hint="eastAsia" w:ascii="仿宋" w:hAnsi="仿宋" w:eastAsia="仿宋" w:cs="Times New Roman"/>
          <w:b/>
          <w:color w:val="auto"/>
          <w:sz w:val="28"/>
          <w:szCs w:val="28"/>
          <w:highlight w:val="none"/>
          <w:shd w:val="clear" w:color="auto" w:fill="auto"/>
        </w:rPr>
        <w:t>表</w:t>
      </w:r>
      <w:r>
        <w:rPr>
          <w:rFonts w:hint="eastAsia" w:ascii="仿宋" w:hAnsi="仿宋" w:eastAsia="仿宋" w:cs="Times New Roman"/>
          <w:b/>
          <w:color w:val="auto"/>
          <w:sz w:val="28"/>
          <w:szCs w:val="28"/>
          <w:highlight w:val="none"/>
          <w:shd w:val="clear" w:color="auto" w:fill="auto"/>
          <w:lang w:val="en-US" w:eastAsia="zh-CN"/>
        </w:rPr>
        <w:t>2-2</w:t>
      </w:r>
      <w:r>
        <w:rPr>
          <w:rFonts w:hint="eastAsia" w:ascii="仿宋" w:hAnsi="仿宋" w:eastAsia="仿宋" w:cs="Times New Roman"/>
          <w:b/>
          <w:color w:val="auto"/>
          <w:sz w:val="28"/>
          <w:szCs w:val="28"/>
          <w:highlight w:val="none"/>
          <w:shd w:val="clear" w:color="auto" w:fill="auto"/>
        </w:rPr>
        <w:t xml:space="preserve">  </w:t>
      </w:r>
      <w:r>
        <w:rPr>
          <w:rFonts w:hint="eastAsia" w:ascii="仿宋" w:hAnsi="仿宋" w:eastAsia="仿宋" w:cs="Times New Roman"/>
          <w:b/>
          <w:color w:val="auto"/>
          <w:sz w:val="28"/>
          <w:szCs w:val="28"/>
          <w:highlight w:val="none"/>
          <w:shd w:val="clear" w:color="auto" w:fill="auto"/>
          <w:lang w:eastAsia="zh-CN"/>
        </w:rPr>
        <w:t>旺苍</w:t>
      </w:r>
      <w:r>
        <w:rPr>
          <w:rFonts w:hint="eastAsia" w:ascii="仿宋" w:hAnsi="仿宋" w:eastAsia="仿宋" w:cs="Times New Roman"/>
          <w:b/>
          <w:color w:val="auto"/>
          <w:sz w:val="28"/>
          <w:szCs w:val="28"/>
          <w:highlight w:val="none"/>
          <w:shd w:val="clear" w:color="auto" w:fill="auto"/>
        </w:rPr>
        <w:t>县2020年畜禽产业规模数量</w:t>
      </w:r>
      <w:r>
        <w:rPr>
          <w:rFonts w:hint="eastAsia" w:ascii="仿宋" w:hAnsi="仿宋" w:eastAsia="仿宋" w:cs="Times New Roman"/>
          <w:b/>
          <w:color w:val="auto"/>
          <w:sz w:val="28"/>
          <w:szCs w:val="28"/>
          <w:highlight w:val="none"/>
          <w:shd w:val="clear" w:color="auto" w:fill="auto"/>
          <w:lang w:eastAsia="zh-CN"/>
        </w:rPr>
        <w:t>（</w:t>
      </w:r>
      <w:r>
        <w:rPr>
          <w:rFonts w:hint="eastAsia" w:ascii="仿宋" w:hAnsi="仿宋" w:eastAsia="仿宋" w:cs="Times New Roman"/>
          <w:b/>
          <w:color w:val="auto"/>
          <w:sz w:val="28"/>
          <w:szCs w:val="28"/>
          <w:highlight w:val="none"/>
          <w:shd w:val="clear" w:color="auto" w:fill="auto"/>
          <w:lang w:val="en-US" w:eastAsia="zh-CN"/>
        </w:rPr>
        <w:t>万头/只/羽</w:t>
      </w:r>
      <w:r>
        <w:rPr>
          <w:rFonts w:hint="eastAsia" w:ascii="仿宋" w:hAnsi="仿宋" w:eastAsia="仿宋" w:cs="Times New Roman"/>
          <w:b/>
          <w:color w:val="auto"/>
          <w:sz w:val="28"/>
          <w:szCs w:val="28"/>
          <w:highlight w:val="none"/>
          <w:shd w:val="clear" w:color="auto" w:fill="auto"/>
          <w:lang w:eastAsia="zh-CN"/>
        </w:rPr>
        <w:t>）</w:t>
      </w:r>
    </w:p>
    <w:tbl>
      <w:tblPr>
        <w:tblStyle w:val="34"/>
        <w:tblW w:w="4998"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129"/>
        <w:gridCol w:w="2129"/>
        <w:gridCol w:w="2129"/>
        <w:gridCol w:w="213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249" w:type="pct"/>
            <w:tcBorders>
              <w:tl2br w:val="nil"/>
              <w:tr2bl w:val="nil"/>
            </w:tcBorders>
            <w:noWrap w:val="0"/>
            <w:vAlign w:val="center"/>
          </w:tcPr>
          <w:p>
            <w:pPr>
              <w:pStyle w:val="14"/>
              <w:spacing w:after="0" w:line="240" w:lineRule="auto"/>
              <w:ind w:left="0" w:leftChars="0" w:right="0" w:rightChars="0"/>
              <w:jc w:val="center"/>
              <w:rPr>
                <w:rFonts w:hint="eastAsia" w:ascii="仿宋" w:hAnsi="仿宋"/>
                <w:b/>
                <w:bCs/>
                <w:color w:val="auto"/>
                <w:sz w:val="28"/>
                <w:szCs w:val="28"/>
                <w:highlight w:val="none"/>
                <w:shd w:val="clear" w:color="auto" w:fill="auto"/>
              </w:rPr>
            </w:pPr>
            <w:r>
              <w:rPr>
                <w:rFonts w:hint="eastAsia" w:ascii="仿宋" w:hAnsi="仿宋"/>
                <w:b/>
                <w:bCs/>
                <w:color w:val="auto"/>
                <w:sz w:val="28"/>
                <w:szCs w:val="28"/>
                <w:highlight w:val="none"/>
                <w:shd w:val="clear" w:color="auto" w:fill="auto"/>
              </w:rPr>
              <w:t>畜禽种类</w:t>
            </w:r>
          </w:p>
        </w:tc>
        <w:tc>
          <w:tcPr>
            <w:tcW w:w="1249" w:type="pct"/>
            <w:tcBorders>
              <w:tl2br w:val="nil"/>
              <w:tr2bl w:val="nil"/>
            </w:tcBorders>
            <w:noWrap w:val="0"/>
            <w:vAlign w:val="center"/>
          </w:tcPr>
          <w:p>
            <w:pPr>
              <w:pStyle w:val="14"/>
              <w:spacing w:after="0" w:line="240" w:lineRule="auto"/>
              <w:ind w:left="0" w:leftChars="0" w:right="0" w:rightChars="0"/>
              <w:jc w:val="center"/>
              <w:rPr>
                <w:rFonts w:hint="eastAsia" w:ascii="仿宋" w:hAnsi="仿宋"/>
                <w:b/>
                <w:bCs/>
                <w:color w:val="auto"/>
                <w:sz w:val="28"/>
                <w:szCs w:val="28"/>
                <w:highlight w:val="none"/>
                <w:shd w:val="clear" w:color="auto" w:fill="auto"/>
              </w:rPr>
            </w:pPr>
            <w:r>
              <w:rPr>
                <w:rFonts w:hint="eastAsia" w:ascii="仿宋" w:hAnsi="仿宋"/>
                <w:b/>
                <w:bCs/>
                <w:color w:val="auto"/>
                <w:sz w:val="28"/>
                <w:szCs w:val="28"/>
                <w:highlight w:val="none"/>
                <w:shd w:val="clear" w:color="auto" w:fill="auto"/>
              </w:rPr>
              <w:t>2020年</w:t>
            </w:r>
          </w:p>
        </w:tc>
        <w:tc>
          <w:tcPr>
            <w:tcW w:w="1249" w:type="pct"/>
            <w:tcBorders>
              <w:tl2br w:val="nil"/>
              <w:tr2bl w:val="nil"/>
            </w:tcBorders>
            <w:noWrap w:val="0"/>
            <w:vAlign w:val="center"/>
          </w:tcPr>
          <w:p>
            <w:pPr>
              <w:pStyle w:val="14"/>
              <w:spacing w:after="0" w:line="240" w:lineRule="auto"/>
              <w:ind w:left="0" w:leftChars="0" w:right="0" w:rightChars="0"/>
              <w:jc w:val="center"/>
              <w:rPr>
                <w:rFonts w:hint="eastAsia" w:ascii="仿宋" w:hAnsi="仿宋"/>
                <w:b/>
                <w:bCs/>
                <w:color w:val="auto"/>
                <w:sz w:val="28"/>
                <w:szCs w:val="28"/>
                <w:highlight w:val="none"/>
                <w:shd w:val="clear" w:color="auto" w:fill="auto"/>
              </w:rPr>
            </w:pPr>
            <w:r>
              <w:rPr>
                <w:rFonts w:hint="eastAsia" w:ascii="仿宋" w:hAnsi="仿宋"/>
                <w:b/>
                <w:bCs/>
                <w:color w:val="auto"/>
                <w:sz w:val="28"/>
                <w:szCs w:val="28"/>
                <w:highlight w:val="none"/>
                <w:shd w:val="clear" w:color="auto" w:fill="auto"/>
              </w:rPr>
              <w:t>2019年</w:t>
            </w:r>
          </w:p>
        </w:tc>
        <w:tc>
          <w:tcPr>
            <w:tcW w:w="1251" w:type="pct"/>
            <w:tcBorders>
              <w:tl2br w:val="nil"/>
              <w:tr2bl w:val="nil"/>
            </w:tcBorders>
            <w:noWrap w:val="0"/>
            <w:vAlign w:val="center"/>
          </w:tcPr>
          <w:p>
            <w:pPr>
              <w:pStyle w:val="14"/>
              <w:spacing w:after="0" w:line="240" w:lineRule="auto"/>
              <w:ind w:left="0" w:leftChars="0" w:right="0" w:rightChars="0"/>
              <w:jc w:val="center"/>
              <w:rPr>
                <w:rFonts w:hint="eastAsia" w:ascii="仿宋" w:hAnsi="仿宋"/>
                <w:b/>
                <w:bCs/>
                <w:color w:val="auto"/>
                <w:sz w:val="28"/>
                <w:szCs w:val="28"/>
                <w:highlight w:val="none"/>
                <w:shd w:val="clear" w:color="auto" w:fill="auto"/>
              </w:rPr>
            </w:pPr>
            <w:r>
              <w:rPr>
                <w:rFonts w:hint="eastAsia" w:ascii="仿宋" w:hAnsi="仿宋"/>
                <w:b/>
                <w:bCs/>
                <w:color w:val="auto"/>
                <w:sz w:val="28"/>
                <w:szCs w:val="28"/>
                <w:highlight w:val="none"/>
                <w:shd w:val="clear" w:color="auto" w:fill="auto"/>
                <w:lang w:val="en-US" w:eastAsia="zh-CN"/>
              </w:rPr>
              <w:t>2020年</w:t>
            </w:r>
            <w:r>
              <w:rPr>
                <w:rFonts w:hint="eastAsia" w:ascii="仿宋" w:hAnsi="仿宋"/>
                <w:b/>
                <w:bCs/>
                <w:color w:val="auto"/>
                <w:sz w:val="28"/>
                <w:szCs w:val="28"/>
                <w:highlight w:val="none"/>
                <w:shd w:val="clear" w:color="auto" w:fill="auto"/>
              </w:rPr>
              <w:t>增长率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249" w:type="pct"/>
            <w:tcBorders>
              <w:tl2br w:val="nil"/>
              <w:tr2bl w:val="nil"/>
            </w:tcBorders>
            <w:noWrap w:val="0"/>
            <w:vAlign w:val="center"/>
          </w:tcPr>
          <w:p>
            <w:pPr>
              <w:pStyle w:val="14"/>
              <w:spacing w:after="0" w:line="240" w:lineRule="auto"/>
              <w:ind w:left="0" w:leftChars="0" w:right="0" w:rightChars="0"/>
              <w:jc w:val="center"/>
              <w:rPr>
                <w:rFonts w:hint="eastAsia" w:ascii="仿宋" w:hAnsi="仿宋"/>
                <w:color w:val="auto"/>
                <w:sz w:val="28"/>
                <w:szCs w:val="28"/>
                <w:highlight w:val="none"/>
                <w:shd w:val="clear" w:color="auto" w:fill="auto"/>
              </w:rPr>
            </w:pPr>
            <w:r>
              <w:rPr>
                <w:rFonts w:hint="eastAsia" w:ascii="仿宋" w:hAnsi="仿宋"/>
                <w:color w:val="auto"/>
                <w:sz w:val="28"/>
                <w:szCs w:val="28"/>
                <w:highlight w:val="none"/>
                <w:shd w:val="clear" w:color="auto" w:fill="auto"/>
              </w:rPr>
              <w:t>猪（存栏）</w:t>
            </w:r>
          </w:p>
        </w:tc>
        <w:tc>
          <w:tcPr>
            <w:tcW w:w="1249" w:type="pct"/>
            <w:tcBorders>
              <w:tl2br w:val="nil"/>
              <w:tr2bl w:val="nil"/>
            </w:tcBorders>
            <w:noWrap w:val="0"/>
            <w:vAlign w:val="center"/>
          </w:tcPr>
          <w:p>
            <w:pPr>
              <w:pStyle w:val="14"/>
              <w:spacing w:after="0" w:line="240" w:lineRule="auto"/>
              <w:ind w:left="0" w:leftChars="0" w:right="0" w:rightChars="0"/>
              <w:jc w:val="center"/>
              <w:rPr>
                <w:rFonts w:hint="eastAsia" w:ascii="仿宋" w:hAnsi="仿宋"/>
                <w:color w:val="auto"/>
                <w:sz w:val="28"/>
                <w:szCs w:val="28"/>
                <w:highlight w:val="none"/>
                <w:shd w:val="clear" w:color="auto" w:fill="auto"/>
              </w:rPr>
            </w:pPr>
            <w:r>
              <w:rPr>
                <w:rFonts w:hint="eastAsia" w:ascii="仿宋" w:hAnsi="仿宋"/>
                <w:color w:val="auto"/>
                <w:sz w:val="28"/>
                <w:szCs w:val="28"/>
                <w:highlight w:val="none"/>
                <w:shd w:val="clear" w:color="auto" w:fill="auto"/>
                <w:lang w:val="en-US" w:eastAsia="zh-CN"/>
              </w:rPr>
              <w:t>35.54</w:t>
            </w:r>
          </w:p>
        </w:tc>
        <w:tc>
          <w:tcPr>
            <w:tcW w:w="1249" w:type="pct"/>
            <w:tcBorders>
              <w:tl2br w:val="nil"/>
              <w:tr2bl w:val="nil"/>
            </w:tcBorders>
            <w:noWrap w:val="0"/>
            <w:vAlign w:val="center"/>
          </w:tcPr>
          <w:p>
            <w:pPr>
              <w:pStyle w:val="14"/>
              <w:spacing w:after="0" w:line="240" w:lineRule="auto"/>
              <w:ind w:left="0" w:leftChars="0" w:right="0" w:rightChars="0"/>
              <w:jc w:val="center"/>
              <w:rPr>
                <w:rFonts w:hint="eastAsia" w:ascii="仿宋" w:hAnsi="仿宋"/>
                <w:color w:val="auto"/>
                <w:sz w:val="28"/>
                <w:szCs w:val="28"/>
                <w:highlight w:val="none"/>
                <w:shd w:val="clear" w:color="auto" w:fill="auto"/>
              </w:rPr>
            </w:pPr>
            <w:r>
              <w:rPr>
                <w:rFonts w:hint="eastAsia" w:ascii="仿宋" w:hAnsi="仿宋"/>
                <w:color w:val="auto"/>
                <w:sz w:val="28"/>
                <w:szCs w:val="28"/>
                <w:highlight w:val="none"/>
                <w:shd w:val="clear" w:color="auto" w:fill="auto"/>
                <w:lang w:val="en-US" w:eastAsia="zh-CN"/>
              </w:rPr>
              <w:t>26.39</w:t>
            </w:r>
          </w:p>
        </w:tc>
        <w:tc>
          <w:tcPr>
            <w:tcW w:w="1251" w:type="pct"/>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color w:val="auto"/>
                <w:sz w:val="28"/>
                <w:szCs w:val="28"/>
                <w:highlight w:val="none"/>
                <w:shd w:val="clear" w:color="auto" w:fill="auto"/>
                <w:lang w:val="en-US" w:eastAsia="zh-CN"/>
              </w:rPr>
            </w:pPr>
            <w:r>
              <w:rPr>
                <w:rFonts w:hint="eastAsia" w:ascii="仿宋" w:hAnsi="仿宋" w:cs="Times New Roman"/>
                <w:color w:val="auto"/>
                <w:sz w:val="28"/>
                <w:szCs w:val="28"/>
                <w:highlight w:val="none"/>
                <w:shd w:val="clear" w:color="auto" w:fill="auto"/>
                <w:lang w:val="en-US" w:eastAsia="zh-CN"/>
              </w:rPr>
              <w:t>34.7%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249" w:type="pct"/>
            <w:tcBorders>
              <w:tl2br w:val="nil"/>
              <w:tr2bl w:val="nil"/>
            </w:tcBorders>
            <w:noWrap w:val="0"/>
            <w:vAlign w:val="center"/>
          </w:tcPr>
          <w:p>
            <w:pPr>
              <w:pStyle w:val="14"/>
              <w:spacing w:after="0" w:line="240" w:lineRule="auto"/>
              <w:ind w:left="0" w:leftChars="0" w:right="0" w:rightChars="0"/>
              <w:jc w:val="center"/>
              <w:rPr>
                <w:rFonts w:hint="eastAsia" w:ascii="仿宋" w:hAnsi="仿宋"/>
                <w:color w:val="auto"/>
                <w:sz w:val="28"/>
                <w:szCs w:val="28"/>
                <w:highlight w:val="none"/>
                <w:shd w:val="clear" w:color="auto" w:fill="auto"/>
              </w:rPr>
            </w:pPr>
            <w:r>
              <w:rPr>
                <w:rFonts w:hint="eastAsia" w:ascii="仿宋" w:hAnsi="仿宋"/>
                <w:color w:val="auto"/>
                <w:sz w:val="28"/>
                <w:szCs w:val="28"/>
                <w:highlight w:val="none"/>
                <w:shd w:val="clear" w:color="auto" w:fill="auto"/>
                <w:lang w:val="en-US" w:eastAsia="zh-CN"/>
              </w:rPr>
              <w:t>牛</w:t>
            </w:r>
            <w:r>
              <w:rPr>
                <w:rFonts w:hint="eastAsia" w:ascii="仿宋" w:hAnsi="仿宋"/>
                <w:color w:val="auto"/>
                <w:sz w:val="28"/>
                <w:szCs w:val="28"/>
                <w:highlight w:val="none"/>
                <w:shd w:val="clear" w:color="auto" w:fill="auto"/>
              </w:rPr>
              <w:t>（存栏）</w:t>
            </w:r>
          </w:p>
        </w:tc>
        <w:tc>
          <w:tcPr>
            <w:tcW w:w="1249" w:type="pct"/>
            <w:tcBorders>
              <w:tl2br w:val="nil"/>
              <w:tr2bl w:val="nil"/>
            </w:tcBorders>
            <w:noWrap w:val="0"/>
            <w:vAlign w:val="center"/>
          </w:tcPr>
          <w:p>
            <w:pPr>
              <w:pStyle w:val="14"/>
              <w:spacing w:after="0" w:line="240" w:lineRule="auto"/>
              <w:ind w:left="0" w:leftChars="0" w:right="0" w:rightChars="0"/>
              <w:jc w:val="center"/>
              <w:rPr>
                <w:rFonts w:hint="eastAsia" w:ascii="仿宋" w:hAnsi="仿宋"/>
                <w:color w:val="auto"/>
                <w:sz w:val="28"/>
                <w:szCs w:val="28"/>
                <w:highlight w:val="none"/>
                <w:shd w:val="clear" w:color="auto" w:fill="auto"/>
              </w:rPr>
            </w:pPr>
            <w:r>
              <w:rPr>
                <w:rFonts w:hint="eastAsia" w:ascii="仿宋" w:hAnsi="仿宋"/>
                <w:color w:val="auto"/>
                <w:sz w:val="28"/>
                <w:szCs w:val="28"/>
                <w:highlight w:val="none"/>
                <w:shd w:val="clear" w:color="auto" w:fill="auto"/>
                <w:lang w:val="en-US" w:eastAsia="zh-CN"/>
              </w:rPr>
              <w:t>3.68</w:t>
            </w:r>
          </w:p>
        </w:tc>
        <w:tc>
          <w:tcPr>
            <w:tcW w:w="1249" w:type="pct"/>
            <w:tcBorders>
              <w:tl2br w:val="nil"/>
              <w:tr2bl w:val="nil"/>
            </w:tcBorders>
            <w:noWrap w:val="0"/>
            <w:vAlign w:val="center"/>
          </w:tcPr>
          <w:p>
            <w:pPr>
              <w:pStyle w:val="14"/>
              <w:spacing w:after="0" w:line="240" w:lineRule="auto"/>
              <w:ind w:left="0" w:leftChars="0" w:right="0" w:rightChars="0"/>
              <w:jc w:val="center"/>
              <w:rPr>
                <w:rFonts w:hint="eastAsia" w:ascii="仿宋" w:hAnsi="仿宋"/>
                <w:color w:val="auto"/>
                <w:sz w:val="28"/>
                <w:szCs w:val="28"/>
                <w:highlight w:val="none"/>
                <w:shd w:val="clear" w:color="auto" w:fill="auto"/>
              </w:rPr>
            </w:pPr>
            <w:r>
              <w:rPr>
                <w:rFonts w:hint="eastAsia" w:ascii="仿宋" w:hAnsi="仿宋"/>
                <w:color w:val="auto"/>
                <w:sz w:val="28"/>
                <w:szCs w:val="28"/>
                <w:highlight w:val="none"/>
                <w:shd w:val="clear" w:color="auto" w:fill="auto"/>
                <w:lang w:val="en-US" w:eastAsia="zh-CN"/>
              </w:rPr>
              <w:t>3.25</w:t>
            </w:r>
          </w:p>
        </w:tc>
        <w:tc>
          <w:tcPr>
            <w:tcW w:w="1251" w:type="pct"/>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color w:val="auto"/>
                <w:sz w:val="28"/>
                <w:szCs w:val="28"/>
                <w:highlight w:val="none"/>
                <w:shd w:val="clear" w:color="auto" w:fill="auto"/>
                <w:lang w:val="en-US" w:eastAsia="zh-CN"/>
              </w:rPr>
            </w:pPr>
            <w:r>
              <w:rPr>
                <w:rFonts w:hint="eastAsia" w:ascii="仿宋" w:hAnsi="仿宋" w:cs="Times New Roman"/>
                <w:color w:val="auto"/>
                <w:sz w:val="28"/>
                <w:szCs w:val="28"/>
                <w:highlight w:val="none"/>
                <w:shd w:val="clear" w:color="auto" w:fill="auto"/>
                <w:lang w:val="en-US" w:eastAsia="zh-CN"/>
              </w:rPr>
              <w:t>13.2%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249" w:type="pct"/>
            <w:tcBorders>
              <w:tl2br w:val="nil"/>
              <w:tr2bl w:val="nil"/>
            </w:tcBorders>
            <w:noWrap w:val="0"/>
            <w:vAlign w:val="center"/>
          </w:tcPr>
          <w:p>
            <w:pPr>
              <w:pStyle w:val="14"/>
              <w:spacing w:after="0" w:line="240" w:lineRule="auto"/>
              <w:ind w:left="0" w:leftChars="0" w:right="0" w:rightChars="0"/>
              <w:jc w:val="center"/>
              <w:rPr>
                <w:rFonts w:hint="eastAsia" w:ascii="仿宋" w:hAnsi="仿宋"/>
                <w:color w:val="auto"/>
                <w:sz w:val="28"/>
                <w:szCs w:val="28"/>
                <w:highlight w:val="none"/>
                <w:shd w:val="clear" w:color="auto" w:fill="auto"/>
              </w:rPr>
            </w:pPr>
            <w:r>
              <w:rPr>
                <w:rFonts w:hint="eastAsia" w:ascii="仿宋" w:hAnsi="仿宋"/>
                <w:color w:val="auto"/>
                <w:sz w:val="28"/>
                <w:szCs w:val="28"/>
                <w:highlight w:val="none"/>
                <w:shd w:val="clear" w:color="auto" w:fill="auto"/>
                <w:lang w:val="en-US" w:eastAsia="zh-CN"/>
              </w:rPr>
              <w:t>羊</w:t>
            </w:r>
            <w:r>
              <w:rPr>
                <w:rFonts w:hint="eastAsia" w:ascii="仿宋" w:hAnsi="仿宋"/>
                <w:color w:val="auto"/>
                <w:sz w:val="28"/>
                <w:szCs w:val="28"/>
                <w:highlight w:val="none"/>
                <w:shd w:val="clear" w:color="auto" w:fill="auto"/>
              </w:rPr>
              <w:t>（存栏）</w:t>
            </w:r>
          </w:p>
        </w:tc>
        <w:tc>
          <w:tcPr>
            <w:tcW w:w="1249" w:type="pct"/>
            <w:tcBorders>
              <w:tl2br w:val="nil"/>
              <w:tr2bl w:val="nil"/>
            </w:tcBorders>
            <w:noWrap w:val="0"/>
            <w:vAlign w:val="center"/>
          </w:tcPr>
          <w:p>
            <w:pPr>
              <w:pStyle w:val="14"/>
              <w:spacing w:after="0" w:line="240" w:lineRule="auto"/>
              <w:ind w:left="0" w:leftChars="0" w:right="0" w:rightChars="0"/>
              <w:jc w:val="center"/>
              <w:rPr>
                <w:rFonts w:hint="eastAsia" w:ascii="仿宋" w:hAnsi="仿宋"/>
                <w:color w:val="auto"/>
                <w:sz w:val="28"/>
                <w:szCs w:val="28"/>
                <w:highlight w:val="none"/>
                <w:shd w:val="clear" w:color="auto" w:fill="auto"/>
              </w:rPr>
            </w:pPr>
            <w:r>
              <w:rPr>
                <w:rFonts w:hint="eastAsia" w:ascii="仿宋" w:hAnsi="仿宋"/>
                <w:color w:val="auto"/>
                <w:sz w:val="28"/>
                <w:szCs w:val="28"/>
                <w:highlight w:val="none"/>
                <w:shd w:val="clear" w:color="auto" w:fill="auto"/>
                <w:lang w:val="en-US" w:eastAsia="zh-CN"/>
              </w:rPr>
              <w:t>6.10</w:t>
            </w:r>
          </w:p>
        </w:tc>
        <w:tc>
          <w:tcPr>
            <w:tcW w:w="1249" w:type="pct"/>
            <w:tcBorders>
              <w:tl2br w:val="nil"/>
              <w:tr2bl w:val="nil"/>
            </w:tcBorders>
            <w:noWrap w:val="0"/>
            <w:vAlign w:val="center"/>
          </w:tcPr>
          <w:p>
            <w:pPr>
              <w:pStyle w:val="14"/>
              <w:spacing w:after="0" w:line="240" w:lineRule="auto"/>
              <w:ind w:left="0" w:leftChars="0" w:right="0" w:rightChars="0"/>
              <w:jc w:val="center"/>
              <w:rPr>
                <w:rFonts w:hint="eastAsia" w:ascii="仿宋" w:hAnsi="仿宋"/>
                <w:color w:val="auto"/>
                <w:sz w:val="28"/>
                <w:szCs w:val="28"/>
                <w:highlight w:val="none"/>
                <w:shd w:val="clear" w:color="auto" w:fill="auto"/>
              </w:rPr>
            </w:pPr>
            <w:r>
              <w:rPr>
                <w:rFonts w:hint="eastAsia" w:ascii="仿宋" w:hAnsi="仿宋"/>
                <w:color w:val="auto"/>
                <w:sz w:val="28"/>
                <w:szCs w:val="28"/>
                <w:highlight w:val="none"/>
                <w:shd w:val="clear" w:color="auto" w:fill="auto"/>
                <w:lang w:val="en-US" w:eastAsia="zh-CN"/>
              </w:rPr>
              <w:t>5.88</w:t>
            </w:r>
          </w:p>
        </w:tc>
        <w:tc>
          <w:tcPr>
            <w:tcW w:w="1251" w:type="pct"/>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color w:val="auto"/>
                <w:sz w:val="28"/>
                <w:szCs w:val="28"/>
                <w:highlight w:val="none"/>
                <w:shd w:val="clear" w:color="auto" w:fill="auto"/>
                <w:lang w:val="en-US" w:eastAsia="zh-CN"/>
              </w:rPr>
            </w:pPr>
            <w:r>
              <w:rPr>
                <w:rFonts w:hint="eastAsia" w:ascii="仿宋" w:hAnsi="仿宋" w:cs="Times New Roman"/>
                <w:color w:val="auto"/>
                <w:sz w:val="28"/>
                <w:szCs w:val="28"/>
                <w:highlight w:val="none"/>
                <w:shd w:val="clear" w:color="auto" w:fill="auto"/>
                <w:lang w:val="en-US" w:eastAsia="zh-CN"/>
              </w:rPr>
              <w:t>3.7%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249" w:type="pct"/>
            <w:tcBorders>
              <w:tl2br w:val="nil"/>
              <w:tr2bl w:val="nil"/>
            </w:tcBorders>
            <w:noWrap w:val="0"/>
            <w:vAlign w:val="center"/>
          </w:tcPr>
          <w:p>
            <w:pPr>
              <w:pStyle w:val="14"/>
              <w:spacing w:after="0" w:line="240" w:lineRule="auto"/>
              <w:ind w:left="0" w:leftChars="0" w:right="0" w:rightChars="0"/>
              <w:jc w:val="center"/>
              <w:rPr>
                <w:rFonts w:hint="eastAsia" w:ascii="仿宋" w:hAnsi="仿宋"/>
                <w:color w:val="auto"/>
                <w:sz w:val="28"/>
                <w:szCs w:val="28"/>
                <w:highlight w:val="none"/>
                <w:shd w:val="clear" w:color="auto" w:fill="auto"/>
              </w:rPr>
            </w:pPr>
            <w:r>
              <w:rPr>
                <w:rFonts w:hint="eastAsia" w:ascii="仿宋" w:hAnsi="仿宋"/>
                <w:color w:val="auto"/>
                <w:sz w:val="28"/>
                <w:szCs w:val="28"/>
                <w:highlight w:val="none"/>
                <w:shd w:val="clear" w:color="auto" w:fill="auto"/>
              </w:rPr>
              <w:t>禽（存栏）</w:t>
            </w:r>
          </w:p>
        </w:tc>
        <w:tc>
          <w:tcPr>
            <w:tcW w:w="1249" w:type="pct"/>
            <w:tcBorders>
              <w:tl2br w:val="nil"/>
              <w:tr2bl w:val="nil"/>
            </w:tcBorders>
            <w:noWrap w:val="0"/>
            <w:vAlign w:val="center"/>
          </w:tcPr>
          <w:p>
            <w:pPr>
              <w:pStyle w:val="14"/>
              <w:spacing w:after="0" w:line="240" w:lineRule="auto"/>
              <w:ind w:left="0" w:leftChars="0" w:right="0" w:rightChars="0"/>
              <w:jc w:val="center"/>
              <w:rPr>
                <w:rFonts w:hint="eastAsia" w:ascii="仿宋" w:hAnsi="仿宋"/>
                <w:color w:val="auto"/>
                <w:sz w:val="28"/>
                <w:szCs w:val="28"/>
                <w:highlight w:val="none"/>
                <w:shd w:val="clear" w:color="auto" w:fill="auto"/>
              </w:rPr>
            </w:pPr>
            <w:r>
              <w:rPr>
                <w:rFonts w:hint="eastAsia" w:ascii="仿宋" w:hAnsi="仿宋"/>
                <w:color w:val="auto"/>
                <w:sz w:val="28"/>
                <w:szCs w:val="28"/>
                <w:highlight w:val="none"/>
                <w:shd w:val="clear" w:color="auto" w:fill="auto"/>
                <w:lang w:val="en-US" w:eastAsia="zh-CN"/>
              </w:rPr>
              <w:t>183.74</w:t>
            </w:r>
          </w:p>
        </w:tc>
        <w:tc>
          <w:tcPr>
            <w:tcW w:w="1249" w:type="pct"/>
            <w:tcBorders>
              <w:tl2br w:val="nil"/>
              <w:tr2bl w:val="nil"/>
            </w:tcBorders>
            <w:noWrap w:val="0"/>
            <w:vAlign w:val="center"/>
          </w:tcPr>
          <w:p>
            <w:pPr>
              <w:pStyle w:val="14"/>
              <w:spacing w:after="0" w:line="240" w:lineRule="auto"/>
              <w:ind w:left="0" w:leftChars="0" w:right="0" w:rightChars="0"/>
              <w:jc w:val="center"/>
              <w:rPr>
                <w:rFonts w:hint="eastAsia" w:ascii="仿宋" w:hAnsi="仿宋"/>
                <w:color w:val="auto"/>
                <w:sz w:val="28"/>
                <w:szCs w:val="28"/>
                <w:highlight w:val="none"/>
                <w:shd w:val="clear" w:color="auto" w:fill="auto"/>
              </w:rPr>
            </w:pPr>
            <w:r>
              <w:rPr>
                <w:rFonts w:hint="eastAsia" w:ascii="仿宋" w:hAnsi="仿宋"/>
                <w:color w:val="auto"/>
                <w:sz w:val="28"/>
                <w:szCs w:val="28"/>
                <w:highlight w:val="none"/>
                <w:shd w:val="clear" w:color="auto" w:fill="auto"/>
                <w:lang w:val="en-US" w:eastAsia="zh-CN"/>
              </w:rPr>
              <w:t>105.7</w:t>
            </w:r>
          </w:p>
        </w:tc>
        <w:tc>
          <w:tcPr>
            <w:tcW w:w="1251" w:type="pct"/>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color w:val="auto"/>
                <w:sz w:val="28"/>
                <w:szCs w:val="28"/>
                <w:highlight w:val="none"/>
                <w:shd w:val="clear" w:color="auto" w:fill="auto"/>
                <w:lang w:val="en-US" w:eastAsia="zh-CN"/>
              </w:rPr>
            </w:pPr>
            <w:r>
              <w:rPr>
                <w:rFonts w:hint="eastAsia" w:ascii="仿宋" w:hAnsi="仿宋" w:cs="Times New Roman"/>
                <w:color w:val="auto"/>
                <w:sz w:val="28"/>
                <w:szCs w:val="28"/>
                <w:highlight w:val="none"/>
                <w:shd w:val="clear" w:color="auto" w:fill="auto"/>
                <w:lang w:val="en-US" w:eastAsia="zh-CN"/>
              </w:rPr>
              <w:t>73.8%</w:t>
            </w:r>
          </w:p>
        </w:tc>
      </w:tr>
    </w:tbl>
    <w:p>
      <w:pPr>
        <w:keepNext/>
        <w:keepLines/>
        <w:pageBreakBefore w:val="0"/>
        <w:widowControl w:val="0"/>
        <w:kinsoku/>
        <w:wordWrap/>
        <w:overflowPunct/>
        <w:topLinePunct w:val="0"/>
        <w:autoSpaceDE/>
        <w:autoSpaceDN/>
        <w:bidi w:val="0"/>
        <w:adjustRightInd/>
        <w:snapToGrid/>
        <w:spacing w:line="240" w:lineRule="auto"/>
        <w:ind w:firstLine="643" w:firstLineChars="200"/>
        <w:jc w:val="left"/>
        <w:textAlignment w:val="auto"/>
        <w:outlineLvl w:val="2"/>
        <w:rPr>
          <w:rFonts w:hint="eastAsia" w:ascii="仿宋" w:hAnsi="仿宋" w:eastAsia="仿宋" w:cs="Times New Roman"/>
          <w:b/>
          <w:bCs/>
          <w:color w:val="auto"/>
          <w:kern w:val="2"/>
          <w:sz w:val="32"/>
          <w:szCs w:val="32"/>
          <w:highlight w:val="none"/>
          <w:shd w:val="clear" w:color="auto" w:fill="auto"/>
          <w:lang w:val="en-US" w:eastAsia="zh-CN" w:bidi="ar-SA"/>
        </w:rPr>
      </w:pPr>
      <w:r>
        <w:rPr>
          <w:rFonts w:hint="eastAsia" w:ascii="仿宋" w:hAnsi="仿宋" w:eastAsia="仿宋" w:cs="Times New Roman"/>
          <w:b/>
          <w:bCs/>
          <w:color w:val="auto"/>
          <w:kern w:val="2"/>
          <w:sz w:val="32"/>
          <w:szCs w:val="32"/>
          <w:highlight w:val="none"/>
          <w:shd w:val="clear" w:color="auto" w:fill="auto"/>
          <w:lang w:val="en-US" w:eastAsia="zh-CN" w:bidi="ar-SA"/>
        </w:rPr>
        <w:t>二、规模化水平</w:t>
      </w:r>
    </w:p>
    <w:p>
      <w:pPr>
        <w:pStyle w:val="14"/>
        <w:spacing w:after="0" w:line="240" w:lineRule="auto"/>
        <w:ind w:left="0" w:leftChars="0" w:right="0" w:rightChars="0" w:firstLine="640" w:firstLineChars="200"/>
        <w:rPr>
          <w:rFonts w:hint="eastAsia" w:ascii="仿宋" w:hAnsi="仿宋" w:cs="Times New Roman"/>
          <w:szCs w:val="32"/>
          <w:highlight w:val="none"/>
          <w:shd w:val="clear" w:color="auto" w:fill="auto"/>
          <w:lang w:val="en-US" w:eastAsia="zh-CN"/>
        </w:rPr>
      </w:pPr>
      <w:bookmarkStart w:id="46" w:name="_Toc32168"/>
      <w:r>
        <w:rPr>
          <w:rFonts w:hint="eastAsia" w:ascii="仿宋" w:hAnsi="仿宋" w:cs="Times New Roman"/>
          <w:szCs w:val="32"/>
          <w:highlight w:val="none"/>
          <w:shd w:val="clear" w:color="auto" w:fill="auto"/>
          <w:lang w:val="en-US" w:eastAsia="zh-CN"/>
        </w:rPr>
        <w:t>根据四川省农业厅、四川省环境保护厅《关于印发畜禽养殖场（小区）规模标准的通知》和四川省农业厅、四川省环境保护厅《关于印发四川省畜禽养殖污染防治技术指南（试行）的通知》关于对畜禽养殖场界定标准规的规定，其中，规模养殖场是指生猪出栏500头以上的养殖场。</w:t>
      </w:r>
    </w:p>
    <w:p>
      <w:pPr>
        <w:pStyle w:val="115"/>
        <w:pageBreakBefore w:val="0"/>
        <w:widowControl w:val="0"/>
        <w:kinsoku/>
        <w:wordWrap/>
        <w:overflowPunct/>
        <w:topLinePunct w:val="0"/>
        <w:bidi w:val="0"/>
        <w:snapToGrid/>
        <w:spacing w:line="560" w:lineRule="exact"/>
        <w:jc w:val="center"/>
        <w:textAlignment w:val="auto"/>
        <w:outlineLvl w:val="7"/>
        <w:rPr>
          <w:rFonts w:ascii="仿宋" w:hAnsi="仿宋" w:eastAsia="仿宋" w:cs="Times New Roman"/>
          <w:b/>
          <w:color w:val="auto"/>
          <w:sz w:val="28"/>
          <w:szCs w:val="28"/>
          <w:highlight w:val="none"/>
          <w:shd w:val="clear" w:color="auto" w:fill="auto"/>
        </w:rPr>
      </w:pPr>
      <w:r>
        <w:rPr>
          <w:rFonts w:hint="eastAsia" w:ascii="仿宋" w:hAnsi="仿宋" w:eastAsia="仿宋" w:cs="Times New Roman"/>
          <w:b/>
          <w:color w:val="auto"/>
          <w:sz w:val="28"/>
          <w:szCs w:val="28"/>
          <w:highlight w:val="none"/>
          <w:shd w:val="clear" w:color="auto" w:fill="auto"/>
        </w:rPr>
        <w:t>表</w:t>
      </w:r>
      <w:r>
        <w:rPr>
          <w:rFonts w:hint="eastAsia" w:ascii="仿宋" w:hAnsi="仿宋" w:eastAsia="仿宋" w:cs="Times New Roman"/>
          <w:b/>
          <w:color w:val="auto"/>
          <w:sz w:val="28"/>
          <w:szCs w:val="28"/>
          <w:highlight w:val="none"/>
          <w:shd w:val="clear" w:color="auto" w:fill="auto"/>
          <w:lang w:val="en-US" w:eastAsia="zh-CN"/>
        </w:rPr>
        <w:t>2-3</w:t>
      </w:r>
      <w:r>
        <w:rPr>
          <w:rFonts w:hint="eastAsia" w:ascii="仿宋" w:hAnsi="仿宋" w:eastAsia="仿宋" w:cs="Times New Roman"/>
          <w:b/>
          <w:color w:val="auto"/>
          <w:sz w:val="28"/>
          <w:szCs w:val="28"/>
          <w:highlight w:val="none"/>
          <w:shd w:val="clear" w:color="auto" w:fill="auto"/>
        </w:rPr>
        <w:t xml:space="preserve">  </w:t>
      </w:r>
      <w:r>
        <w:rPr>
          <w:rFonts w:hint="eastAsia" w:ascii="仿宋" w:hAnsi="仿宋" w:eastAsia="仿宋" w:cs="Times New Roman"/>
          <w:b/>
          <w:color w:val="auto"/>
          <w:sz w:val="28"/>
          <w:szCs w:val="28"/>
          <w:highlight w:val="none"/>
          <w:shd w:val="clear" w:color="auto" w:fill="auto"/>
          <w:lang w:eastAsia="zh-CN"/>
        </w:rPr>
        <w:t>旺苍</w:t>
      </w:r>
      <w:r>
        <w:rPr>
          <w:rFonts w:hint="eastAsia" w:ascii="仿宋" w:hAnsi="仿宋" w:eastAsia="仿宋" w:cs="Times New Roman"/>
          <w:b/>
          <w:color w:val="auto"/>
          <w:sz w:val="28"/>
          <w:szCs w:val="28"/>
          <w:highlight w:val="none"/>
          <w:shd w:val="clear" w:color="auto" w:fill="auto"/>
        </w:rPr>
        <w:t>县畜禽</w:t>
      </w:r>
      <w:r>
        <w:rPr>
          <w:rFonts w:hint="eastAsia" w:ascii="仿宋" w:hAnsi="仿宋" w:eastAsia="仿宋" w:cs="Times New Roman"/>
          <w:b/>
          <w:color w:val="auto"/>
          <w:sz w:val="28"/>
          <w:szCs w:val="28"/>
          <w:highlight w:val="none"/>
          <w:shd w:val="clear" w:color="auto" w:fill="auto"/>
          <w:lang w:val="en-US" w:eastAsia="zh-CN"/>
        </w:rPr>
        <w:t>养殖场户统计表（家）</w:t>
      </w:r>
    </w:p>
    <w:tbl>
      <w:tblPr>
        <w:tblStyle w:val="34"/>
        <w:tblW w:w="4997"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251"/>
        <w:gridCol w:w="1253"/>
        <w:gridCol w:w="1253"/>
        <w:gridCol w:w="1253"/>
        <w:gridCol w:w="1253"/>
        <w:gridCol w:w="125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321" w:type="pct"/>
            <w:tcBorders>
              <w:tl2br w:val="nil"/>
              <w:tr2bl w:val="nil"/>
            </w:tcBorders>
            <w:noWrap w:val="0"/>
            <w:vAlign w:val="center"/>
          </w:tcPr>
          <w:p>
            <w:pPr>
              <w:pStyle w:val="14"/>
              <w:spacing w:after="0" w:line="240" w:lineRule="auto"/>
              <w:ind w:left="0" w:leftChars="0" w:right="0" w:rightChars="0"/>
              <w:jc w:val="center"/>
              <w:rPr>
                <w:rFonts w:hint="eastAsia" w:ascii="仿宋" w:hAnsi="仿宋"/>
                <w:b/>
                <w:bCs/>
                <w:color w:val="auto"/>
                <w:sz w:val="28"/>
                <w:szCs w:val="28"/>
                <w:highlight w:val="none"/>
                <w:shd w:val="clear" w:color="auto" w:fill="auto"/>
              </w:rPr>
            </w:pPr>
            <w:r>
              <w:rPr>
                <w:rFonts w:hint="eastAsia" w:ascii="仿宋" w:hAnsi="仿宋"/>
                <w:b/>
                <w:bCs/>
                <w:color w:val="auto"/>
                <w:sz w:val="28"/>
                <w:szCs w:val="28"/>
                <w:highlight w:val="none"/>
                <w:shd w:val="clear" w:color="auto" w:fill="auto"/>
              </w:rPr>
              <w:t>畜禽种类</w:t>
            </w:r>
          </w:p>
        </w:tc>
        <w:tc>
          <w:tcPr>
            <w:tcW w:w="735" w:type="pct"/>
            <w:tcBorders>
              <w:tl2br w:val="nil"/>
              <w:tr2bl w:val="nil"/>
            </w:tcBorders>
            <w:noWrap w:val="0"/>
            <w:vAlign w:val="center"/>
          </w:tcPr>
          <w:p>
            <w:pPr>
              <w:pStyle w:val="14"/>
              <w:spacing w:after="0" w:line="240" w:lineRule="auto"/>
              <w:ind w:left="0" w:leftChars="0" w:right="0" w:rightChars="0"/>
              <w:jc w:val="center"/>
              <w:rPr>
                <w:rFonts w:hint="default" w:ascii="仿宋" w:hAnsi="仿宋" w:eastAsia="仿宋_GB2312"/>
                <w:b w:val="0"/>
                <w:bCs w:val="0"/>
                <w:color w:val="auto"/>
                <w:sz w:val="28"/>
                <w:szCs w:val="28"/>
                <w:highlight w:val="none"/>
                <w:shd w:val="clear" w:color="auto" w:fill="auto"/>
                <w:lang w:val="en-US" w:eastAsia="zh-CN"/>
              </w:rPr>
            </w:pPr>
            <w:r>
              <w:rPr>
                <w:rFonts w:hint="eastAsia" w:ascii="仿宋" w:hAnsi="仿宋"/>
                <w:b w:val="0"/>
                <w:bCs w:val="0"/>
                <w:color w:val="auto"/>
                <w:sz w:val="28"/>
                <w:szCs w:val="28"/>
                <w:highlight w:val="none"/>
                <w:shd w:val="clear" w:color="auto" w:fill="auto"/>
                <w:lang w:val="en-US" w:eastAsia="zh-CN"/>
              </w:rPr>
              <w:t>猪</w:t>
            </w:r>
          </w:p>
        </w:tc>
        <w:tc>
          <w:tcPr>
            <w:tcW w:w="735" w:type="pct"/>
            <w:tcBorders>
              <w:tl2br w:val="nil"/>
              <w:tr2bl w:val="nil"/>
            </w:tcBorders>
            <w:noWrap w:val="0"/>
            <w:vAlign w:val="center"/>
          </w:tcPr>
          <w:p>
            <w:pPr>
              <w:pStyle w:val="14"/>
              <w:spacing w:after="0" w:line="240" w:lineRule="auto"/>
              <w:ind w:left="0" w:leftChars="0" w:right="0" w:rightChars="0"/>
              <w:jc w:val="center"/>
              <w:rPr>
                <w:rFonts w:hint="eastAsia" w:ascii="仿宋" w:hAnsi="仿宋" w:eastAsia="仿宋_GB2312"/>
                <w:b w:val="0"/>
                <w:bCs w:val="0"/>
                <w:color w:val="auto"/>
                <w:sz w:val="28"/>
                <w:szCs w:val="28"/>
                <w:highlight w:val="none"/>
                <w:shd w:val="clear" w:color="auto" w:fill="auto"/>
                <w:lang w:val="en-US" w:eastAsia="zh-CN"/>
              </w:rPr>
            </w:pPr>
            <w:r>
              <w:rPr>
                <w:rFonts w:hint="eastAsia" w:ascii="仿宋" w:hAnsi="仿宋"/>
                <w:b w:val="0"/>
                <w:bCs w:val="0"/>
                <w:color w:val="auto"/>
                <w:sz w:val="28"/>
                <w:szCs w:val="28"/>
                <w:highlight w:val="none"/>
                <w:shd w:val="clear" w:color="auto" w:fill="auto"/>
                <w:lang w:val="en-US" w:eastAsia="zh-CN"/>
              </w:rPr>
              <w:t>牛</w:t>
            </w:r>
          </w:p>
        </w:tc>
        <w:tc>
          <w:tcPr>
            <w:tcW w:w="735" w:type="pct"/>
            <w:tcBorders>
              <w:tl2br w:val="nil"/>
              <w:tr2bl w:val="nil"/>
            </w:tcBorders>
            <w:noWrap w:val="0"/>
            <w:vAlign w:val="center"/>
          </w:tcPr>
          <w:p>
            <w:pPr>
              <w:pStyle w:val="14"/>
              <w:spacing w:after="0" w:line="240" w:lineRule="auto"/>
              <w:ind w:left="0" w:leftChars="0" w:right="0" w:rightChars="0"/>
              <w:jc w:val="center"/>
              <w:rPr>
                <w:rFonts w:hint="eastAsia" w:ascii="仿宋" w:hAnsi="仿宋" w:eastAsia="仿宋_GB2312"/>
                <w:b w:val="0"/>
                <w:bCs w:val="0"/>
                <w:color w:val="auto"/>
                <w:sz w:val="28"/>
                <w:szCs w:val="28"/>
                <w:highlight w:val="none"/>
                <w:shd w:val="clear" w:color="auto" w:fill="auto"/>
                <w:lang w:val="en-US" w:eastAsia="zh-CN"/>
              </w:rPr>
            </w:pPr>
            <w:r>
              <w:rPr>
                <w:rFonts w:hint="eastAsia" w:ascii="仿宋" w:hAnsi="仿宋"/>
                <w:b w:val="0"/>
                <w:bCs w:val="0"/>
                <w:color w:val="auto"/>
                <w:sz w:val="28"/>
                <w:szCs w:val="28"/>
                <w:highlight w:val="none"/>
                <w:shd w:val="clear" w:color="auto" w:fill="auto"/>
                <w:lang w:val="en-US" w:eastAsia="zh-CN"/>
              </w:rPr>
              <w:t>羊</w:t>
            </w:r>
          </w:p>
        </w:tc>
        <w:tc>
          <w:tcPr>
            <w:tcW w:w="735" w:type="pct"/>
            <w:tcBorders>
              <w:tl2br w:val="nil"/>
              <w:tr2bl w:val="nil"/>
            </w:tcBorders>
            <w:noWrap w:val="0"/>
            <w:vAlign w:val="center"/>
          </w:tcPr>
          <w:p>
            <w:pPr>
              <w:pStyle w:val="14"/>
              <w:spacing w:after="0" w:line="240" w:lineRule="auto"/>
              <w:ind w:left="0" w:leftChars="0" w:right="0" w:rightChars="0"/>
              <w:jc w:val="center"/>
              <w:rPr>
                <w:rFonts w:hint="eastAsia" w:ascii="仿宋" w:hAnsi="仿宋" w:eastAsia="仿宋_GB2312"/>
                <w:b w:val="0"/>
                <w:bCs w:val="0"/>
                <w:color w:val="auto"/>
                <w:sz w:val="28"/>
                <w:szCs w:val="28"/>
                <w:highlight w:val="none"/>
                <w:shd w:val="clear" w:color="auto" w:fill="auto"/>
                <w:lang w:val="en-US" w:eastAsia="zh-CN"/>
              </w:rPr>
            </w:pPr>
            <w:r>
              <w:rPr>
                <w:rFonts w:hint="eastAsia" w:ascii="仿宋" w:hAnsi="仿宋"/>
                <w:b w:val="0"/>
                <w:bCs w:val="0"/>
                <w:color w:val="auto"/>
                <w:sz w:val="28"/>
                <w:szCs w:val="28"/>
                <w:highlight w:val="none"/>
                <w:shd w:val="clear" w:color="auto" w:fill="auto"/>
                <w:lang w:val="en-US" w:eastAsia="zh-CN"/>
              </w:rPr>
              <w:t>家禽</w:t>
            </w:r>
          </w:p>
        </w:tc>
        <w:tc>
          <w:tcPr>
            <w:tcW w:w="736" w:type="pct"/>
            <w:tcBorders>
              <w:tl2br w:val="nil"/>
              <w:tr2bl w:val="nil"/>
            </w:tcBorders>
            <w:noWrap w:val="0"/>
            <w:vAlign w:val="center"/>
          </w:tcPr>
          <w:p>
            <w:pPr>
              <w:pStyle w:val="14"/>
              <w:spacing w:after="0" w:line="240" w:lineRule="auto"/>
              <w:ind w:left="0" w:leftChars="0" w:right="0" w:rightChars="0"/>
              <w:jc w:val="center"/>
              <w:rPr>
                <w:rFonts w:hint="default" w:ascii="仿宋" w:hAnsi="仿宋"/>
                <w:b w:val="0"/>
                <w:bCs w:val="0"/>
                <w:color w:val="auto"/>
                <w:sz w:val="28"/>
                <w:szCs w:val="28"/>
                <w:highlight w:val="none"/>
                <w:shd w:val="clear" w:color="auto" w:fill="auto"/>
                <w:lang w:val="en-US" w:eastAsia="zh-CN"/>
              </w:rPr>
            </w:pPr>
            <w:r>
              <w:rPr>
                <w:rFonts w:hint="eastAsia" w:ascii="仿宋" w:hAnsi="仿宋"/>
                <w:b w:val="0"/>
                <w:bCs w:val="0"/>
                <w:color w:val="auto"/>
                <w:sz w:val="28"/>
                <w:szCs w:val="28"/>
                <w:highlight w:val="none"/>
                <w:shd w:val="clear" w:color="auto" w:fill="auto"/>
                <w:lang w:val="en-US" w:eastAsia="zh-CN"/>
              </w:rPr>
              <w:t>合计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6" w:hRule="atLeast"/>
          <w:jc w:val="center"/>
        </w:trPr>
        <w:tc>
          <w:tcPr>
            <w:tcW w:w="1321" w:type="pct"/>
            <w:tcBorders>
              <w:tl2br w:val="nil"/>
              <w:tr2bl w:val="nil"/>
            </w:tcBorders>
            <w:noWrap w:val="0"/>
            <w:vAlign w:val="center"/>
          </w:tcPr>
          <w:p>
            <w:pPr>
              <w:pStyle w:val="14"/>
              <w:spacing w:after="0" w:line="240" w:lineRule="auto"/>
              <w:ind w:left="0" w:leftChars="0" w:right="0" w:rightChars="0"/>
              <w:jc w:val="center"/>
              <w:rPr>
                <w:rFonts w:hint="eastAsia" w:ascii="仿宋" w:hAnsi="仿宋" w:eastAsia="仿宋_GB2312"/>
                <w:b/>
                <w:bCs/>
                <w:color w:val="auto"/>
                <w:sz w:val="28"/>
                <w:szCs w:val="28"/>
                <w:highlight w:val="none"/>
                <w:shd w:val="clear" w:color="auto" w:fill="auto"/>
                <w:lang w:val="en-US" w:eastAsia="zh-CN"/>
              </w:rPr>
            </w:pPr>
            <w:r>
              <w:rPr>
                <w:rFonts w:hint="eastAsia" w:ascii="仿宋" w:hAnsi="仿宋"/>
                <w:b/>
                <w:bCs/>
                <w:color w:val="auto"/>
                <w:sz w:val="28"/>
                <w:szCs w:val="28"/>
                <w:highlight w:val="none"/>
                <w:shd w:val="clear" w:color="auto" w:fill="auto"/>
                <w:lang w:val="en-US" w:eastAsia="zh-CN"/>
              </w:rPr>
              <w:t>规模养殖场</w:t>
            </w:r>
          </w:p>
        </w:tc>
        <w:tc>
          <w:tcPr>
            <w:tcW w:w="735" w:type="pct"/>
            <w:tcBorders>
              <w:tl2br w:val="nil"/>
              <w:tr2bl w:val="nil"/>
            </w:tcBorders>
            <w:noWrap w:val="0"/>
            <w:vAlign w:val="center"/>
          </w:tcPr>
          <w:p>
            <w:pPr>
              <w:pStyle w:val="14"/>
              <w:spacing w:after="0" w:line="240" w:lineRule="auto"/>
              <w:ind w:left="0" w:leftChars="0" w:right="0" w:rightChars="0"/>
              <w:jc w:val="center"/>
              <w:rPr>
                <w:rFonts w:hint="default" w:ascii="仿宋" w:hAnsi="仿宋"/>
                <w:color w:val="auto"/>
                <w:sz w:val="28"/>
                <w:szCs w:val="28"/>
                <w:highlight w:val="none"/>
                <w:shd w:val="clear" w:color="auto" w:fill="auto"/>
                <w:lang w:val="en-US" w:eastAsia="zh-CN"/>
              </w:rPr>
            </w:pPr>
            <w:r>
              <w:rPr>
                <w:rFonts w:hint="eastAsia" w:ascii="仿宋" w:hAnsi="仿宋"/>
                <w:color w:val="auto"/>
                <w:sz w:val="28"/>
                <w:szCs w:val="28"/>
                <w:highlight w:val="none"/>
                <w:shd w:val="clear" w:color="auto" w:fill="auto"/>
                <w:lang w:val="en-US" w:eastAsia="zh-CN"/>
              </w:rPr>
              <w:t>45</w:t>
            </w:r>
          </w:p>
        </w:tc>
        <w:tc>
          <w:tcPr>
            <w:tcW w:w="735" w:type="pct"/>
            <w:tcBorders>
              <w:tl2br w:val="nil"/>
              <w:tr2bl w:val="nil"/>
            </w:tcBorders>
            <w:noWrap w:val="0"/>
            <w:vAlign w:val="center"/>
          </w:tcPr>
          <w:p>
            <w:pPr>
              <w:pStyle w:val="14"/>
              <w:spacing w:after="0" w:line="240" w:lineRule="auto"/>
              <w:ind w:left="0" w:leftChars="0" w:right="0" w:rightChars="0"/>
              <w:jc w:val="center"/>
              <w:rPr>
                <w:rFonts w:hint="default" w:ascii="仿宋" w:hAnsi="仿宋" w:eastAsia="仿宋_GB2312"/>
                <w:color w:val="auto"/>
                <w:sz w:val="28"/>
                <w:szCs w:val="28"/>
                <w:highlight w:val="none"/>
                <w:shd w:val="clear" w:color="auto" w:fill="auto"/>
                <w:lang w:val="en-US" w:eastAsia="zh-CN"/>
              </w:rPr>
            </w:pPr>
            <w:r>
              <w:rPr>
                <w:rFonts w:hint="eastAsia" w:ascii="仿宋" w:hAnsi="仿宋"/>
                <w:color w:val="auto"/>
                <w:sz w:val="28"/>
                <w:szCs w:val="28"/>
                <w:highlight w:val="none"/>
                <w:shd w:val="clear" w:color="auto" w:fill="auto"/>
                <w:lang w:val="en-US" w:eastAsia="zh-CN"/>
              </w:rPr>
              <w:t>14</w:t>
            </w:r>
          </w:p>
        </w:tc>
        <w:tc>
          <w:tcPr>
            <w:tcW w:w="735" w:type="pct"/>
            <w:tcBorders>
              <w:tl2br w:val="nil"/>
              <w:tr2bl w:val="nil"/>
            </w:tcBorders>
            <w:noWrap w:val="0"/>
            <w:vAlign w:val="center"/>
          </w:tcPr>
          <w:p>
            <w:pPr>
              <w:pStyle w:val="14"/>
              <w:spacing w:after="0" w:line="240" w:lineRule="auto"/>
              <w:ind w:left="0" w:leftChars="0" w:right="0" w:rightChars="0"/>
              <w:jc w:val="center"/>
              <w:rPr>
                <w:rFonts w:hint="eastAsia" w:ascii="仿宋" w:hAnsi="仿宋" w:eastAsia="仿宋_GB2312"/>
                <w:color w:val="auto"/>
                <w:sz w:val="28"/>
                <w:szCs w:val="28"/>
                <w:highlight w:val="none"/>
                <w:shd w:val="clear" w:color="auto" w:fill="auto"/>
                <w:lang w:val="en-US" w:eastAsia="zh-CN"/>
              </w:rPr>
            </w:pPr>
            <w:r>
              <w:rPr>
                <w:rFonts w:hint="eastAsia" w:ascii="仿宋" w:hAnsi="仿宋"/>
                <w:color w:val="auto"/>
                <w:sz w:val="28"/>
                <w:szCs w:val="28"/>
                <w:highlight w:val="none"/>
                <w:shd w:val="clear" w:color="auto" w:fill="auto"/>
                <w:lang w:val="en-US" w:eastAsia="zh-CN"/>
              </w:rPr>
              <w:t>1</w:t>
            </w:r>
          </w:p>
        </w:tc>
        <w:tc>
          <w:tcPr>
            <w:tcW w:w="735" w:type="pct"/>
            <w:tcBorders>
              <w:tl2br w:val="nil"/>
              <w:tr2bl w:val="nil"/>
            </w:tcBorders>
            <w:noWrap w:val="0"/>
            <w:vAlign w:val="center"/>
          </w:tcPr>
          <w:p>
            <w:pPr>
              <w:pStyle w:val="14"/>
              <w:spacing w:after="0" w:line="240" w:lineRule="auto"/>
              <w:ind w:left="0" w:leftChars="0" w:right="0" w:rightChars="0"/>
              <w:jc w:val="center"/>
              <w:rPr>
                <w:rFonts w:hint="default" w:ascii="仿宋" w:hAnsi="仿宋" w:cs="Times New Roman"/>
                <w:color w:val="auto"/>
                <w:sz w:val="28"/>
                <w:szCs w:val="28"/>
                <w:highlight w:val="none"/>
                <w:shd w:val="clear" w:color="auto" w:fill="auto"/>
                <w:lang w:val="en-US" w:eastAsia="zh-CN"/>
              </w:rPr>
            </w:pPr>
            <w:r>
              <w:rPr>
                <w:rFonts w:hint="eastAsia" w:ascii="仿宋" w:hAnsi="仿宋" w:cs="Times New Roman"/>
                <w:color w:val="auto"/>
                <w:sz w:val="28"/>
                <w:szCs w:val="28"/>
                <w:highlight w:val="none"/>
                <w:shd w:val="clear" w:color="auto" w:fill="auto"/>
                <w:lang w:val="en-US" w:eastAsia="zh-CN"/>
              </w:rPr>
              <w:t>3</w:t>
            </w:r>
          </w:p>
        </w:tc>
        <w:tc>
          <w:tcPr>
            <w:tcW w:w="736" w:type="pct"/>
            <w:tcBorders>
              <w:tl2br w:val="nil"/>
              <w:tr2bl w:val="nil"/>
            </w:tcBorders>
            <w:noWrap w:val="0"/>
            <w:vAlign w:val="center"/>
          </w:tcPr>
          <w:p>
            <w:pPr>
              <w:pStyle w:val="14"/>
              <w:spacing w:after="0" w:line="240" w:lineRule="auto"/>
              <w:ind w:left="0" w:leftChars="0" w:right="0" w:rightChars="0"/>
              <w:jc w:val="center"/>
              <w:rPr>
                <w:rFonts w:hint="default" w:ascii="仿宋" w:hAnsi="仿宋" w:cs="Times New Roman"/>
                <w:color w:val="auto"/>
                <w:sz w:val="28"/>
                <w:szCs w:val="28"/>
                <w:highlight w:val="none"/>
                <w:shd w:val="clear" w:color="auto" w:fill="auto"/>
                <w:lang w:val="en-US" w:eastAsia="zh-CN"/>
              </w:rPr>
            </w:pPr>
            <w:r>
              <w:rPr>
                <w:rFonts w:hint="eastAsia" w:ascii="仿宋" w:hAnsi="仿宋" w:cs="Times New Roman"/>
                <w:color w:val="auto"/>
                <w:sz w:val="28"/>
                <w:szCs w:val="28"/>
                <w:highlight w:val="none"/>
                <w:shd w:val="clear" w:color="auto" w:fill="auto"/>
                <w:lang w:val="en-US" w:eastAsia="zh-CN"/>
              </w:rPr>
              <w:t>63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321" w:type="pct"/>
            <w:tcBorders>
              <w:tl2br w:val="nil"/>
              <w:tr2bl w:val="nil"/>
            </w:tcBorders>
            <w:noWrap w:val="0"/>
            <w:vAlign w:val="center"/>
          </w:tcPr>
          <w:p>
            <w:pPr>
              <w:pStyle w:val="14"/>
              <w:spacing w:after="0" w:line="240" w:lineRule="auto"/>
              <w:ind w:left="0" w:leftChars="0" w:right="0" w:rightChars="0"/>
              <w:jc w:val="center"/>
              <w:rPr>
                <w:rFonts w:hint="eastAsia" w:ascii="仿宋" w:hAnsi="仿宋" w:eastAsia="仿宋_GB2312"/>
                <w:b/>
                <w:bCs/>
                <w:color w:val="auto"/>
                <w:sz w:val="28"/>
                <w:szCs w:val="28"/>
                <w:highlight w:val="none"/>
                <w:shd w:val="clear" w:color="auto" w:fill="auto"/>
                <w:lang w:val="en-US" w:eastAsia="zh-CN"/>
              </w:rPr>
            </w:pPr>
            <w:r>
              <w:rPr>
                <w:rFonts w:hint="eastAsia" w:ascii="仿宋" w:hAnsi="仿宋"/>
                <w:b/>
                <w:bCs/>
                <w:color w:val="auto"/>
                <w:sz w:val="28"/>
                <w:szCs w:val="28"/>
                <w:highlight w:val="none"/>
                <w:shd w:val="clear" w:color="auto" w:fill="auto"/>
                <w:lang w:val="en-US" w:eastAsia="zh-CN"/>
              </w:rPr>
              <w:t>专业养殖户</w:t>
            </w:r>
          </w:p>
        </w:tc>
        <w:tc>
          <w:tcPr>
            <w:tcW w:w="735" w:type="pct"/>
            <w:tcBorders>
              <w:tl2br w:val="nil"/>
              <w:tr2bl w:val="nil"/>
            </w:tcBorders>
            <w:noWrap w:val="0"/>
            <w:vAlign w:val="center"/>
          </w:tcPr>
          <w:p>
            <w:pPr>
              <w:pStyle w:val="14"/>
              <w:spacing w:after="0" w:line="240" w:lineRule="auto"/>
              <w:ind w:left="0" w:leftChars="0" w:right="0" w:rightChars="0"/>
              <w:jc w:val="center"/>
              <w:rPr>
                <w:rFonts w:hint="default" w:ascii="仿宋" w:hAnsi="仿宋"/>
                <w:color w:val="auto"/>
                <w:sz w:val="28"/>
                <w:szCs w:val="28"/>
                <w:highlight w:val="none"/>
                <w:shd w:val="clear" w:color="auto" w:fill="auto"/>
                <w:lang w:val="en-US" w:eastAsia="zh-CN"/>
              </w:rPr>
            </w:pPr>
            <w:r>
              <w:rPr>
                <w:rFonts w:hint="eastAsia" w:ascii="仿宋" w:hAnsi="仿宋"/>
                <w:color w:val="auto"/>
                <w:sz w:val="28"/>
                <w:szCs w:val="28"/>
                <w:highlight w:val="none"/>
                <w:shd w:val="clear" w:color="auto" w:fill="auto"/>
                <w:lang w:val="en-US" w:eastAsia="zh-CN"/>
              </w:rPr>
              <w:t>83</w:t>
            </w:r>
          </w:p>
        </w:tc>
        <w:tc>
          <w:tcPr>
            <w:tcW w:w="735" w:type="pct"/>
            <w:tcBorders>
              <w:tl2br w:val="nil"/>
              <w:tr2bl w:val="nil"/>
            </w:tcBorders>
            <w:noWrap w:val="0"/>
            <w:vAlign w:val="center"/>
          </w:tcPr>
          <w:p>
            <w:pPr>
              <w:pStyle w:val="14"/>
              <w:spacing w:after="0" w:line="240" w:lineRule="auto"/>
              <w:ind w:left="0" w:leftChars="0" w:right="0" w:rightChars="0"/>
              <w:jc w:val="center"/>
              <w:rPr>
                <w:rFonts w:hint="default" w:ascii="仿宋" w:hAnsi="仿宋" w:eastAsia="仿宋_GB2312"/>
                <w:color w:val="auto"/>
                <w:sz w:val="28"/>
                <w:szCs w:val="28"/>
                <w:highlight w:val="none"/>
                <w:shd w:val="clear" w:color="auto" w:fill="auto"/>
                <w:lang w:val="en-US" w:eastAsia="zh-CN"/>
              </w:rPr>
            </w:pPr>
            <w:r>
              <w:rPr>
                <w:rFonts w:hint="eastAsia" w:ascii="仿宋" w:hAnsi="仿宋"/>
                <w:color w:val="auto"/>
                <w:sz w:val="28"/>
                <w:szCs w:val="28"/>
                <w:highlight w:val="none"/>
                <w:shd w:val="clear" w:color="auto" w:fill="auto"/>
                <w:lang w:val="en-US" w:eastAsia="zh-CN"/>
              </w:rPr>
              <w:t>33</w:t>
            </w:r>
          </w:p>
        </w:tc>
        <w:tc>
          <w:tcPr>
            <w:tcW w:w="735" w:type="pct"/>
            <w:tcBorders>
              <w:tl2br w:val="nil"/>
              <w:tr2bl w:val="nil"/>
            </w:tcBorders>
            <w:noWrap w:val="0"/>
            <w:vAlign w:val="center"/>
          </w:tcPr>
          <w:p>
            <w:pPr>
              <w:pStyle w:val="14"/>
              <w:spacing w:after="0" w:line="240" w:lineRule="auto"/>
              <w:ind w:left="0" w:leftChars="0" w:right="0" w:rightChars="0"/>
              <w:jc w:val="center"/>
              <w:rPr>
                <w:rFonts w:hint="default" w:ascii="仿宋" w:hAnsi="仿宋" w:eastAsia="仿宋_GB2312"/>
                <w:color w:val="auto"/>
                <w:sz w:val="28"/>
                <w:szCs w:val="28"/>
                <w:highlight w:val="none"/>
                <w:shd w:val="clear" w:color="auto" w:fill="auto"/>
                <w:lang w:val="en-US" w:eastAsia="zh-CN"/>
              </w:rPr>
            </w:pPr>
            <w:r>
              <w:rPr>
                <w:rFonts w:hint="eastAsia" w:ascii="仿宋" w:hAnsi="仿宋"/>
                <w:color w:val="auto"/>
                <w:sz w:val="28"/>
                <w:szCs w:val="28"/>
                <w:highlight w:val="none"/>
                <w:shd w:val="clear" w:color="auto" w:fill="auto"/>
                <w:lang w:val="en-US" w:eastAsia="zh-CN"/>
              </w:rPr>
              <w:t>20</w:t>
            </w:r>
          </w:p>
        </w:tc>
        <w:tc>
          <w:tcPr>
            <w:tcW w:w="735" w:type="pct"/>
            <w:tcBorders>
              <w:tl2br w:val="nil"/>
              <w:tr2bl w:val="nil"/>
            </w:tcBorders>
            <w:noWrap w:val="0"/>
            <w:vAlign w:val="center"/>
          </w:tcPr>
          <w:p>
            <w:pPr>
              <w:pStyle w:val="14"/>
              <w:spacing w:after="0" w:line="240" w:lineRule="auto"/>
              <w:ind w:left="0" w:leftChars="0" w:right="0" w:rightChars="0"/>
              <w:jc w:val="center"/>
              <w:rPr>
                <w:rFonts w:hint="default" w:ascii="仿宋" w:hAnsi="仿宋" w:cs="Times New Roman"/>
                <w:color w:val="auto"/>
                <w:sz w:val="28"/>
                <w:szCs w:val="28"/>
                <w:highlight w:val="none"/>
                <w:shd w:val="clear" w:color="auto" w:fill="auto"/>
                <w:lang w:val="en-US" w:eastAsia="zh-CN"/>
              </w:rPr>
            </w:pPr>
            <w:r>
              <w:rPr>
                <w:rFonts w:hint="eastAsia" w:ascii="仿宋" w:hAnsi="仿宋" w:cs="Times New Roman"/>
                <w:color w:val="auto"/>
                <w:sz w:val="28"/>
                <w:szCs w:val="28"/>
                <w:highlight w:val="none"/>
                <w:shd w:val="clear" w:color="auto" w:fill="auto"/>
                <w:lang w:val="en-US" w:eastAsia="zh-CN"/>
              </w:rPr>
              <w:t>6</w:t>
            </w:r>
          </w:p>
        </w:tc>
        <w:tc>
          <w:tcPr>
            <w:tcW w:w="736" w:type="pct"/>
            <w:tcBorders>
              <w:tl2br w:val="nil"/>
              <w:tr2bl w:val="nil"/>
            </w:tcBorders>
            <w:noWrap w:val="0"/>
            <w:vAlign w:val="center"/>
          </w:tcPr>
          <w:p>
            <w:pPr>
              <w:pStyle w:val="14"/>
              <w:spacing w:after="0" w:line="240" w:lineRule="auto"/>
              <w:ind w:left="0" w:leftChars="0" w:right="0" w:rightChars="0"/>
              <w:jc w:val="center"/>
              <w:rPr>
                <w:rFonts w:hint="default" w:ascii="仿宋" w:hAnsi="仿宋" w:cs="Times New Roman"/>
                <w:color w:val="auto"/>
                <w:sz w:val="28"/>
                <w:szCs w:val="28"/>
                <w:highlight w:val="none"/>
                <w:shd w:val="clear" w:color="auto" w:fill="auto"/>
                <w:lang w:val="en-US" w:eastAsia="zh-CN"/>
              </w:rPr>
            </w:pPr>
            <w:r>
              <w:rPr>
                <w:rFonts w:hint="eastAsia" w:ascii="仿宋" w:hAnsi="仿宋" w:cs="Times New Roman"/>
                <w:color w:val="auto"/>
                <w:sz w:val="28"/>
                <w:szCs w:val="28"/>
                <w:highlight w:val="none"/>
                <w:shd w:val="clear" w:color="auto" w:fill="auto"/>
                <w:lang w:val="en-US" w:eastAsia="zh-CN"/>
              </w:rPr>
              <w:t>142</w:t>
            </w:r>
          </w:p>
        </w:tc>
      </w:tr>
    </w:tbl>
    <w:p>
      <w:pPr>
        <w:bidi w:val="0"/>
        <w:rPr>
          <w:rFonts w:hint="eastAsia" w:ascii="仿宋" w:hAnsi="仿宋"/>
          <w:highlight w:val="none"/>
          <w:lang w:val="en-US" w:eastAsia="zh-CN"/>
        </w:rPr>
      </w:pPr>
    </w:p>
    <w:p>
      <w:pPr>
        <w:pStyle w:val="14"/>
        <w:spacing w:after="0" w:line="240" w:lineRule="auto"/>
        <w:ind w:left="0" w:leftChars="0" w:right="0" w:rightChars="0" w:firstLine="640" w:firstLineChars="200"/>
        <w:jc w:val="both"/>
        <w:rPr>
          <w:rFonts w:hint="eastAsia" w:ascii="仿宋" w:hAnsi="仿宋" w:cs="Times New Roman"/>
          <w:szCs w:val="32"/>
          <w:highlight w:val="none"/>
          <w:shd w:val="clear" w:color="auto" w:fill="auto"/>
          <w:lang w:val="en-US" w:eastAsia="zh-CN"/>
        </w:rPr>
      </w:pPr>
      <w:r>
        <w:rPr>
          <w:rFonts w:hint="eastAsia" w:ascii="仿宋" w:hAnsi="仿宋" w:cs="Times New Roman"/>
          <w:szCs w:val="32"/>
          <w:highlight w:val="none"/>
          <w:shd w:val="clear" w:color="auto" w:fill="auto"/>
          <w:lang w:val="en-US" w:eastAsia="zh-CN"/>
        </w:rPr>
        <w:t>根据本次畜禽养殖调查表调查结果分析，目前全县规模养殖场63家，畜禽养殖户142家，规模化率30.7%。从养殖畜禽种类看，生猪规模化养殖比较高。</w:t>
      </w:r>
    </w:p>
    <w:p>
      <w:pPr>
        <w:keepNext/>
        <w:keepLines/>
        <w:pageBreakBefore w:val="0"/>
        <w:widowControl w:val="0"/>
        <w:kinsoku/>
        <w:wordWrap/>
        <w:overflowPunct/>
        <w:topLinePunct w:val="0"/>
        <w:autoSpaceDE/>
        <w:autoSpaceDN/>
        <w:bidi w:val="0"/>
        <w:adjustRightInd/>
        <w:snapToGrid/>
        <w:spacing w:line="240" w:lineRule="auto"/>
        <w:ind w:firstLine="643" w:firstLineChars="200"/>
        <w:jc w:val="left"/>
        <w:textAlignment w:val="auto"/>
        <w:outlineLvl w:val="2"/>
        <w:rPr>
          <w:rFonts w:hint="default" w:ascii="仿宋" w:hAnsi="仿宋" w:eastAsia="仿宋" w:cs="Times New Roman"/>
          <w:b/>
          <w:bCs/>
          <w:color w:val="auto"/>
          <w:kern w:val="2"/>
          <w:sz w:val="32"/>
          <w:szCs w:val="32"/>
          <w:highlight w:val="none"/>
          <w:shd w:val="clear" w:color="auto" w:fill="auto"/>
          <w:lang w:val="en-US" w:eastAsia="zh-CN" w:bidi="ar-SA"/>
        </w:rPr>
      </w:pPr>
      <w:r>
        <w:rPr>
          <w:rFonts w:hint="eastAsia" w:ascii="仿宋" w:hAnsi="仿宋" w:eastAsia="仿宋" w:cs="Times New Roman"/>
          <w:b/>
          <w:bCs/>
          <w:color w:val="auto"/>
          <w:kern w:val="2"/>
          <w:sz w:val="32"/>
          <w:szCs w:val="32"/>
          <w:highlight w:val="none"/>
          <w:shd w:val="clear" w:color="auto" w:fill="auto"/>
          <w:lang w:val="en-US" w:eastAsia="zh-CN" w:bidi="ar-SA"/>
        </w:rPr>
        <w:t>三、分布状况</w:t>
      </w:r>
    </w:p>
    <w:p>
      <w:pPr>
        <w:pStyle w:val="14"/>
        <w:spacing w:after="0" w:line="240" w:lineRule="auto"/>
        <w:ind w:left="0" w:leftChars="0" w:right="0" w:rightChars="0" w:firstLine="640" w:firstLineChars="200"/>
        <w:jc w:val="both"/>
        <w:rPr>
          <w:rFonts w:hint="eastAsia" w:ascii="仿宋" w:hAnsi="仿宋" w:cs="Times New Roman"/>
          <w:szCs w:val="32"/>
          <w:highlight w:val="none"/>
          <w:shd w:val="clear" w:color="auto" w:fill="auto"/>
        </w:rPr>
      </w:pPr>
      <w:r>
        <w:rPr>
          <w:rFonts w:hint="eastAsia" w:ascii="仿宋" w:hAnsi="仿宋"/>
          <w:szCs w:val="32"/>
          <w:highlight w:val="none"/>
          <w:shd w:val="clear" w:color="auto" w:fill="auto"/>
        </w:rPr>
        <w:t>2020年末</w:t>
      </w:r>
      <w:r>
        <w:rPr>
          <w:rFonts w:hint="eastAsia" w:ascii="仿宋" w:hAnsi="仿宋" w:cs="Times New Roman"/>
          <w:szCs w:val="32"/>
          <w:highlight w:val="none"/>
          <w:shd w:val="clear" w:color="auto" w:fill="auto"/>
        </w:rPr>
        <w:t>旺苍县</w:t>
      </w:r>
      <w:r>
        <w:rPr>
          <w:rFonts w:hint="eastAsia" w:ascii="仿宋" w:hAnsi="仿宋"/>
          <w:szCs w:val="32"/>
          <w:highlight w:val="none"/>
          <w:shd w:val="clear" w:color="auto" w:fill="auto"/>
        </w:rPr>
        <w:t>肉牛存栏3.</w:t>
      </w:r>
      <w:r>
        <w:rPr>
          <w:rFonts w:hint="eastAsia" w:ascii="仿宋" w:hAnsi="仿宋"/>
          <w:szCs w:val="32"/>
          <w:highlight w:val="none"/>
          <w:shd w:val="clear" w:color="auto" w:fill="auto"/>
          <w:lang w:val="en-US" w:eastAsia="zh-CN"/>
        </w:rPr>
        <w:t>68</w:t>
      </w:r>
      <w:r>
        <w:rPr>
          <w:rFonts w:hint="eastAsia" w:ascii="仿宋" w:hAnsi="仿宋"/>
          <w:szCs w:val="32"/>
          <w:highlight w:val="none"/>
          <w:shd w:val="clear" w:color="auto" w:fill="auto"/>
        </w:rPr>
        <w:t>万头，居广元市第3位，</w:t>
      </w:r>
      <w:r>
        <w:rPr>
          <w:rFonts w:hint="eastAsia" w:ascii="仿宋" w:hAnsi="仿宋" w:cs="Times New Roman"/>
          <w:szCs w:val="32"/>
          <w:highlight w:val="none"/>
          <w:shd w:val="clear" w:color="auto" w:fill="auto"/>
        </w:rPr>
        <w:t>主要</w:t>
      </w:r>
      <w:r>
        <w:rPr>
          <w:rFonts w:hint="eastAsia" w:ascii="仿宋" w:hAnsi="仿宋"/>
          <w:szCs w:val="32"/>
          <w:highlight w:val="none"/>
          <w:shd w:val="clear" w:color="auto" w:fill="auto"/>
        </w:rPr>
        <w:t>集中在旺苍南部山区，包括大两镇、大德镇、水磨镇、五权镇、双汇镇、高阳镇、英萃镇、 燕子乡、东河镇</w:t>
      </w:r>
      <w:r>
        <w:rPr>
          <w:rFonts w:hint="eastAsia" w:ascii="仿宋" w:hAnsi="仿宋" w:cs="Times New Roman"/>
          <w:szCs w:val="32"/>
          <w:highlight w:val="none"/>
          <w:shd w:val="clear" w:color="auto" w:fill="auto"/>
        </w:rPr>
        <w:t>、龙凤镇、木门镇、张华镇、黄洋镇、嘉川镇、九龙镇、等15个重点乡镇。</w:t>
      </w:r>
    </w:p>
    <w:p>
      <w:pPr>
        <w:pStyle w:val="14"/>
        <w:spacing w:after="0" w:line="240" w:lineRule="auto"/>
        <w:ind w:left="0" w:leftChars="0" w:right="0" w:rightChars="0" w:firstLine="640" w:firstLineChars="200"/>
        <w:jc w:val="both"/>
        <w:rPr>
          <w:rFonts w:hint="eastAsia" w:ascii="仿宋" w:hAnsi="仿宋" w:cs="Times New Roman"/>
          <w:szCs w:val="32"/>
          <w:highlight w:val="none"/>
          <w:shd w:val="clear" w:color="auto" w:fill="auto"/>
        </w:rPr>
      </w:pPr>
      <w:r>
        <w:rPr>
          <w:rFonts w:hint="eastAsia" w:ascii="仿宋" w:hAnsi="仿宋" w:cs="Times New Roman"/>
          <w:szCs w:val="32"/>
          <w:highlight w:val="none"/>
          <w:shd w:val="clear" w:color="auto" w:fill="auto"/>
        </w:rPr>
        <w:t>存栏生猪35.</w:t>
      </w:r>
      <w:r>
        <w:rPr>
          <w:rFonts w:hint="eastAsia" w:ascii="仿宋" w:hAnsi="仿宋" w:cs="Times New Roman"/>
          <w:szCs w:val="32"/>
          <w:highlight w:val="none"/>
          <w:shd w:val="clear" w:color="auto" w:fill="auto"/>
          <w:lang w:val="en-US" w:eastAsia="zh-CN"/>
        </w:rPr>
        <w:t>54</w:t>
      </w:r>
      <w:r>
        <w:rPr>
          <w:rFonts w:hint="eastAsia" w:ascii="仿宋" w:hAnsi="仿宋" w:cs="Times New Roman"/>
          <w:szCs w:val="32"/>
          <w:highlight w:val="none"/>
          <w:shd w:val="clear" w:color="auto" w:fill="auto"/>
        </w:rPr>
        <w:t>万头，居广元市第3位，产区主要集中在旺苍南部山区，包括南部山区和公路沿线乡镇，包括白水镇、张华镇、东河镇、黄洋镇、普济镇、木门镇、三江镇、 龙凤镇、九龙镇、大德镇、燕子乡等11个重点乡镇。</w:t>
      </w:r>
    </w:p>
    <w:p>
      <w:pPr>
        <w:pStyle w:val="14"/>
        <w:spacing w:after="0" w:line="240" w:lineRule="auto"/>
        <w:ind w:left="0" w:leftChars="0" w:right="0" w:rightChars="0" w:firstLine="640" w:firstLineChars="200"/>
        <w:jc w:val="both"/>
        <w:rPr>
          <w:rFonts w:hint="eastAsia" w:ascii="仿宋" w:hAnsi="仿宋" w:cs="Times New Roman"/>
          <w:szCs w:val="32"/>
          <w:highlight w:val="none"/>
          <w:shd w:val="clear" w:color="auto" w:fill="auto"/>
        </w:rPr>
      </w:pPr>
      <w:r>
        <w:rPr>
          <w:rFonts w:hint="eastAsia" w:ascii="仿宋" w:hAnsi="仿宋" w:cs="Times New Roman"/>
          <w:szCs w:val="32"/>
          <w:highlight w:val="none"/>
          <w:shd w:val="clear" w:color="auto" w:fill="auto"/>
        </w:rPr>
        <w:t>羊存栏7.62万只，主要分布在普济镇、盐河镇、五权镇、双汇镇、高阳镇、水磨镇、三江镇等7个乡镇。</w:t>
      </w:r>
    </w:p>
    <w:p>
      <w:pPr>
        <w:pStyle w:val="14"/>
        <w:spacing w:after="0" w:line="240" w:lineRule="auto"/>
        <w:ind w:left="0" w:leftChars="0" w:right="0" w:rightChars="0" w:firstLine="640" w:firstLineChars="200"/>
        <w:jc w:val="both"/>
        <w:rPr>
          <w:rFonts w:hint="default" w:ascii="仿宋" w:hAnsi="仿宋" w:eastAsia="仿宋_GB2312" w:cs="Times New Roman"/>
          <w:szCs w:val="32"/>
          <w:highlight w:val="none"/>
          <w:shd w:val="clear" w:color="auto" w:fill="auto"/>
          <w:lang w:val="en-US" w:eastAsia="zh-CN"/>
        </w:rPr>
      </w:pPr>
      <w:r>
        <w:rPr>
          <w:rFonts w:hint="eastAsia" w:ascii="仿宋" w:hAnsi="仿宋" w:cs="Times New Roman"/>
          <w:szCs w:val="32"/>
          <w:highlight w:val="none"/>
          <w:shd w:val="clear" w:color="auto" w:fill="auto"/>
        </w:rPr>
        <w:t>家禽</w:t>
      </w:r>
      <w:r>
        <w:rPr>
          <w:rFonts w:hint="eastAsia" w:ascii="仿宋" w:hAnsi="仿宋"/>
          <w:szCs w:val="32"/>
          <w:highlight w:val="none"/>
          <w:shd w:val="clear" w:color="auto" w:fill="auto"/>
          <w:lang w:val="en-US" w:eastAsia="zh-CN"/>
        </w:rPr>
        <w:t>存栏</w:t>
      </w:r>
      <w:r>
        <w:rPr>
          <w:rFonts w:hint="eastAsia" w:ascii="仿宋" w:hAnsi="仿宋"/>
          <w:szCs w:val="32"/>
          <w:highlight w:val="none"/>
          <w:shd w:val="clear" w:color="auto" w:fill="auto"/>
        </w:rPr>
        <w:t>183.74万</w:t>
      </w:r>
      <w:r>
        <w:rPr>
          <w:rFonts w:hint="eastAsia" w:ascii="仿宋" w:hAnsi="仿宋"/>
          <w:szCs w:val="32"/>
          <w:highlight w:val="none"/>
          <w:shd w:val="clear" w:color="auto" w:fill="auto"/>
          <w:lang w:val="en-US" w:eastAsia="zh-CN"/>
        </w:rPr>
        <w:t>只</w:t>
      </w:r>
      <w:r>
        <w:rPr>
          <w:rFonts w:hint="eastAsia" w:ascii="仿宋" w:hAnsi="仿宋" w:cs="Times New Roman"/>
          <w:szCs w:val="32"/>
          <w:highlight w:val="none"/>
          <w:shd w:val="clear" w:color="auto" w:fill="auto"/>
        </w:rPr>
        <w:t>，主要分布在普济镇、黄洋镇、三江镇、嘉川镇、 东河镇、木门镇等6个重点乡镇。</w:t>
      </w:r>
    </w:p>
    <w:p>
      <w:pPr>
        <w:pStyle w:val="115"/>
        <w:pageBreakBefore w:val="0"/>
        <w:widowControl w:val="0"/>
        <w:kinsoku/>
        <w:wordWrap/>
        <w:overflowPunct/>
        <w:topLinePunct w:val="0"/>
        <w:bidi w:val="0"/>
        <w:snapToGrid/>
        <w:spacing w:line="560" w:lineRule="exact"/>
        <w:jc w:val="center"/>
        <w:textAlignment w:val="auto"/>
        <w:outlineLvl w:val="7"/>
        <w:rPr>
          <w:rFonts w:hint="eastAsia" w:ascii="仿宋" w:hAnsi="仿宋"/>
          <w:highlight w:val="none"/>
          <w:lang w:val="en-US" w:eastAsia="zh-CN"/>
        </w:rPr>
      </w:pPr>
      <w:r>
        <w:rPr>
          <w:rFonts w:hint="eastAsia" w:ascii="仿宋" w:hAnsi="仿宋" w:eastAsia="仿宋" w:cs="Times New Roman"/>
          <w:b/>
          <w:color w:val="auto"/>
          <w:sz w:val="28"/>
          <w:szCs w:val="28"/>
          <w:highlight w:val="none"/>
          <w:shd w:val="clear" w:color="auto" w:fill="auto"/>
        </w:rPr>
        <w:t>表</w:t>
      </w:r>
      <w:r>
        <w:rPr>
          <w:rFonts w:hint="eastAsia" w:ascii="仿宋" w:hAnsi="仿宋" w:eastAsia="仿宋" w:cs="Times New Roman"/>
          <w:b/>
          <w:color w:val="auto"/>
          <w:sz w:val="28"/>
          <w:szCs w:val="28"/>
          <w:highlight w:val="none"/>
          <w:shd w:val="clear" w:color="auto" w:fill="auto"/>
          <w:lang w:val="en-US" w:eastAsia="zh-CN"/>
        </w:rPr>
        <w:t>2-4</w:t>
      </w:r>
      <w:r>
        <w:rPr>
          <w:rFonts w:hint="eastAsia" w:ascii="仿宋" w:hAnsi="仿宋" w:eastAsia="仿宋" w:cs="Times New Roman"/>
          <w:b/>
          <w:color w:val="auto"/>
          <w:sz w:val="28"/>
          <w:szCs w:val="28"/>
          <w:highlight w:val="none"/>
          <w:shd w:val="clear" w:color="auto" w:fill="auto"/>
        </w:rPr>
        <w:t xml:space="preserve">  </w:t>
      </w:r>
      <w:r>
        <w:rPr>
          <w:rFonts w:hint="eastAsia" w:ascii="仿宋" w:hAnsi="仿宋" w:eastAsia="仿宋" w:cs="Times New Roman"/>
          <w:b/>
          <w:color w:val="auto"/>
          <w:sz w:val="28"/>
          <w:szCs w:val="28"/>
          <w:highlight w:val="none"/>
          <w:shd w:val="clear" w:color="auto" w:fill="auto"/>
          <w:lang w:eastAsia="zh-CN"/>
        </w:rPr>
        <w:t>旺苍</w:t>
      </w:r>
      <w:r>
        <w:rPr>
          <w:rFonts w:hint="eastAsia" w:ascii="仿宋" w:hAnsi="仿宋" w:eastAsia="仿宋" w:cs="Times New Roman"/>
          <w:b/>
          <w:color w:val="auto"/>
          <w:sz w:val="28"/>
          <w:szCs w:val="28"/>
          <w:highlight w:val="none"/>
          <w:shd w:val="clear" w:color="auto" w:fill="auto"/>
        </w:rPr>
        <w:t>县</w:t>
      </w:r>
      <w:r>
        <w:rPr>
          <w:rFonts w:hint="eastAsia" w:ascii="仿宋" w:hAnsi="仿宋" w:eastAsia="仿宋" w:cs="Times New Roman"/>
          <w:b/>
          <w:color w:val="auto"/>
          <w:sz w:val="28"/>
          <w:szCs w:val="28"/>
          <w:highlight w:val="none"/>
          <w:shd w:val="clear" w:color="auto" w:fill="auto"/>
          <w:lang w:val="en-US" w:eastAsia="zh-CN"/>
        </w:rPr>
        <w:t>各乡镇</w:t>
      </w:r>
      <w:r>
        <w:rPr>
          <w:rFonts w:hint="eastAsia" w:ascii="仿宋" w:hAnsi="仿宋" w:eastAsia="仿宋" w:cs="Times New Roman"/>
          <w:b/>
          <w:color w:val="auto"/>
          <w:sz w:val="28"/>
          <w:szCs w:val="28"/>
          <w:highlight w:val="none"/>
          <w:shd w:val="clear" w:color="auto" w:fill="auto"/>
        </w:rPr>
        <w:t>畜禽</w:t>
      </w:r>
      <w:r>
        <w:rPr>
          <w:rFonts w:hint="eastAsia" w:ascii="仿宋" w:hAnsi="仿宋" w:eastAsia="仿宋" w:cs="Times New Roman"/>
          <w:b/>
          <w:color w:val="auto"/>
          <w:sz w:val="28"/>
          <w:szCs w:val="28"/>
          <w:highlight w:val="none"/>
          <w:shd w:val="clear" w:color="auto" w:fill="auto"/>
          <w:lang w:val="en-US" w:eastAsia="zh-CN"/>
        </w:rPr>
        <w:t>养殖场户统计表</w:t>
      </w:r>
    </w:p>
    <w:tbl>
      <w:tblPr>
        <w:tblStyle w:val="3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0"/>
        <w:gridCol w:w="1749"/>
        <w:gridCol w:w="1903"/>
        <w:gridCol w:w="1903"/>
        <w:gridCol w:w="1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722" w:type="pct"/>
            <w:tcBorders>
              <w:tl2br w:val="nil"/>
              <w:tr2bl w:val="nil"/>
            </w:tcBorders>
            <w:noWrap/>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序号</w:t>
            </w:r>
          </w:p>
        </w:tc>
        <w:tc>
          <w:tcPr>
            <w:tcW w:w="1068"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bCs/>
                <w:color w:val="auto"/>
                <w:sz w:val="28"/>
                <w:szCs w:val="28"/>
                <w:highlight w:val="none"/>
                <w:shd w:val="clear" w:color="auto" w:fill="auto"/>
              </w:rPr>
            </w:pPr>
            <w:r>
              <w:rPr>
                <w:rFonts w:hint="eastAsia" w:ascii="仿宋" w:hAnsi="仿宋" w:cs="Times New Roman"/>
                <w:b/>
                <w:bCs/>
                <w:color w:val="auto"/>
                <w:sz w:val="28"/>
                <w:szCs w:val="28"/>
                <w:highlight w:val="none"/>
                <w:shd w:val="clear" w:color="auto" w:fill="auto"/>
                <w:lang w:val="en-US" w:eastAsia="zh-CN"/>
              </w:rPr>
              <w:t>乡镇</w:t>
            </w:r>
          </w:p>
        </w:tc>
        <w:tc>
          <w:tcPr>
            <w:tcW w:w="1068"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bCs/>
                <w:color w:val="auto"/>
                <w:sz w:val="28"/>
                <w:szCs w:val="28"/>
                <w:highlight w:val="none"/>
                <w:shd w:val="clear" w:color="auto" w:fill="auto"/>
              </w:rPr>
            </w:pPr>
            <w:r>
              <w:rPr>
                <w:rFonts w:hint="eastAsia" w:ascii="仿宋" w:hAnsi="仿宋" w:cs="Times New Roman"/>
                <w:b/>
                <w:bCs/>
                <w:color w:val="auto"/>
                <w:sz w:val="28"/>
                <w:szCs w:val="28"/>
                <w:highlight w:val="none"/>
                <w:shd w:val="clear" w:color="auto" w:fill="auto"/>
                <w:lang w:val="en-US" w:eastAsia="zh-CN"/>
              </w:rPr>
              <w:t>养殖场（家）</w:t>
            </w:r>
          </w:p>
        </w:tc>
        <w:tc>
          <w:tcPr>
            <w:tcW w:w="1070"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bCs/>
                <w:color w:val="auto"/>
                <w:sz w:val="28"/>
                <w:szCs w:val="28"/>
                <w:highlight w:val="none"/>
                <w:shd w:val="clear" w:color="auto" w:fill="auto"/>
              </w:rPr>
            </w:pPr>
            <w:r>
              <w:rPr>
                <w:rFonts w:hint="eastAsia" w:ascii="仿宋" w:hAnsi="仿宋" w:cs="Times New Roman"/>
                <w:b/>
                <w:bCs/>
                <w:color w:val="auto"/>
                <w:sz w:val="28"/>
                <w:szCs w:val="28"/>
                <w:highlight w:val="none"/>
                <w:shd w:val="clear" w:color="auto" w:fill="auto"/>
                <w:lang w:val="en-US" w:eastAsia="zh-CN"/>
              </w:rPr>
              <w:t>养殖户（家）</w:t>
            </w:r>
          </w:p>
        </w:tc>
        <w:tc>
          <w:tcPr>
            <w:tcW w:w="1070" w:type="pct"/>
            <w:tcBorders>
              <w:tl2br w:val="nil"/>
              <w:tr2bl w:val="nil"/>
            </w:tcBorders>
            <w:noWrap/>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散户（村）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2" w:type="pct"/>
            <w:tcBorders>
              <w:tl2br w:val="nil"/>
              <w:tr2bl w:val="nil"/>
            </w:tcBorders>
            <w:noWrap/>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1</w:t>
            </w:r>
          </w:p>
        </w:tc>
        <w:tc>
          <w:tcPr>
            <w:tcW w:w="1068"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白水镇</w:t>
            </w:r>
          </w:p>
        </w:tc>
        <w:tc>
          <w:tcPr>
            <w:tcW w:w="1068"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6</w:t>
            </w:r>
          </w:p>
        </w:tc>
        <w:tc>
          <w:tcPr>
            <w:tcW w:w="1070"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5</w:t>
            </w:r>
          </w:p>
        </w:tc>
        <w:tc>
          <w:tcPr>
            <w:tcW w:w="1070"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default" w:ascii="仿宋" w:hAnsi="仿宋" w:cs="Times New Roman"/>
                <w:b w:val="0"/>
                <w:bCs w:val="0"/>
                <w:color w:val="auto"/>
                <w:sz w:val="28"/>
                <w:szCs w:val="28"/>
                <w:highlight w:val="none"/>
                <w:shd w:val="clear" w:color="auto" w:fill="auto"/>
                <w:lang w:val="en-US" w:eastAsia="zh-CN"/>
              </w:rPr>
              <w:t xml:space="preserve">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2" w:type="pct"/>
            <w:tcBorders>
              <w:tl2br w:val="nil"/>
              <w:tr2bl w:val="nil"/>
            </w:tcBorders>
            <w:noWrap/>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2</w:t>
            </w:r>
          </w:p>
        </w:tc>
        <w:tc>
          <w:tcPr>
            <w:tcW w:w="1068"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大德镇</w:t>
            </w:r>
          </w:p>
        </w:tc>
        <w:tc>
          <w:tcPr>
            <w:tcW w:w="1068"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3</w:t>
            </w:r>
          </w:p>
        </w:tc>
        <w:tc>
          <w:tcPr>
            <w:tcW w:w="1070"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4</w:t>
            </w:r>
          </w:p>
        </w:tc>
        <w:tc>
          <w:tcPr>
            <w:tcW w:w="1070"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default" w:ascii="仿宋" w:hAnsi="仿宋" w:cs="Times New Roman"/>
                <w:b w:val="0"/>
                <w:bCs w:val="0"/>
                <w:color w:val="auto"/>
                <w:sz w:val="28"/>
                <w:szCs w:val="28"/>
                <w:highlight w:val="none"/>
                <w:shd w:val="clear" w:color="auto" w:fill="auto"/>
                <w:lang w:val="en-US" w:eastAsia="zh-CN"/>
              </w:rPr>
              <w:t xml:space="preserve">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2" w:type="pct"/>
            <w:tcBorders>
              <w:tl2br w:val="nil"/>
              <w:tr2bl w:val="nil"/>
            </w:tcBorders>
            <w:noWrap/>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3</w:t>
            </w:r>
          </w:p>
        </w:tc>
        <w:tc>
          <w:tcPr>
            <w:tcW w:w="1068"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大两镇</w:t>
            </w:r>
          </w:p>
        </w:tc>
        <w:tc>
          <w:tcPr>
            <w:tcW w:w="1068"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2</w:t>
            </w:r>
          </w:p>
        </w:tc>
        <w:tc>
          <w:tcPr>
            <w:tcW w:w="1070"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1</w:t>
            </w:r>
          </w:p>
        </w:tc>
        <w:tc>
          <w:tcPr>
            <w:tcW w:w="1070"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default" w:ascii="仿宋" w:hAnsi="仿宋" w:cs="Times New Roman"/>
                <w:b w:val="0"/>
                <w:bCs w:val="0"/>
                <w:color w:val="auto"/>
                <w:sz w:val="28"/>
                <w:szCs w:val="28"/>
                <w:highlight w:val="none"/>
                <w:shd w:val="clear" w:color="auto" w:fill="auto"/>
                <w:lang w:val="en-US" w:eastAsia="zh-CN"/>
              </w:rPr>
              <w:t xml:space="preserve">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2" w:type="pct"/>
            <w:tcBorders>
              <w:tl2br w:val="nil"/>
              <w:tr2bl w:val="nil"/>
            </w:tcBorders>
            <w:noWrap/>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4</w:t>
            </w:r>
          </w:p>
        </w:tc>
        <w:tc>
          <w:tcPr>
            <w:tcW w:w="1068"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东河镇</w:t>
            </w:r>
          </w:p>
        </w:tc>
        <w:tc>
          <w:tcPr>
            <w:tcW w:w="1068"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4</w:t>
            </w:r>
          </w:p>
        </w:tc>
        <w:tc>
          <w:tcPr>
            <w:tcW w:w="1070"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14</w:t>
            </w:r>
          </w:p>
        </w:tc>
        <w:tc>
          <w:tcPr>
            <w:tcW w:w="1070"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default" w:ascii="仿宋" w:hAnsi="仿宋" w:cs="Times New Roman"/>
                <w:b w:val="0"/>
                <w:bCs w:val="0"/>
                <w:color w:val="auto"/>
                <w:sz w:val="28"/>
                <w:szCs w:val="28"/>
                <w:highlight w:val="none"/>
                <w:shd w:val="clear" w:color="auto" w:fill="auto"/>
                <w:lang w:val="en-US" w:eastAsia="zh-CN"/>
              </w:rPr>
              <w:t xml:space="preserve">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2" w:type="pct"/>
            <w:tcBorders>
              <w:tl2br w:val="nil"/>
              <w:tr2bl w:val="nil"/>
            </w:tcBorders>
            <w:noWrap/>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5</w:t>
            </w:r>
          </w:p>
        </w:tc>
        <w:tc>
          <w:tcPr>
            <w:tcW w:w="1068"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高阳镇</w:t>
            </w:r>
          </w:p>
        </w:tc>
        <w:tc>
          <w:tcPr>
            <w:tcW w:w="1068"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1</w:t>
            </w:r>
          </w:p>
        </w:tc>
        <w:tc>
          <w:tcPr>
            <w:tcW w:w="1070"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10</w:t>
            </w:r>
          </w:p>
        </w:tc>
        <w:tc>
          <w:tcPr>
            <w:tcW w:w="1070"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default" w:ascii="仿宋" w:hAnsi="仿宋" w:cs="Times New Roman"/>
                <w:b w:val="0"/>
                <w:bCs w:val="0"/>
                <w:color w:val="auto"/>
                <w:sz w:val="28"/>
                <w:szCs w:val="28"/>
                <w:highlight w:val="none"/>
                <w:shd w:val="clear" w:color="auto" w:fill="auto"/>
                <w:lang w:val="en-US" w:eastAsia="zh-CN"/>
              </w:rPr>
              <w:t xml:space="preserve">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2" w:type="pct"/>
            <w:tcBorders>
              <w:tl2br w:val="nil"/>
              <w:tr2bl w:val="nil"/>
            </w:tcBorders>
            <w:noWrap/>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6</w:t>
            </w:r>
          </w:p>
        </w:tc>
        <w:tc>
          <w:tcPr>
            <w:tcW w:w="1068"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国华镇</w:t>
            </w:r>
          </w:p>
        </w:tc>
        <w:tc>
          <w:tcPr>
            <w:tcW w:w="1068"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1</w:t>
            </w:r>
          </w:p>
        </w:tc>
        <w:tc>
          <w:tcPr>
            <w:tcW w:w="1070"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5</w:t>
            </w:r>
          </w:p>
        </w:tc>
        <w:tc>
          <w:tcPr>
            <w:tcW w:w="1070"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default" w:ascii="仿宋" w:hAnsi="仿宋" w:cs="Times New Roman"/>
                <w:b w:val="0"/>
                <w:bCs w:val="0"/>
                <w:color w:val="auto"/>
                <w:sz w:val="28"/>
                <w:szCs w:val="28"/>
                <w:highlight w:val="none"/>
                <w:shd w:val="clear" w:color="auto" w:fill="auto"/>
                <w:lang w:val="en-US" w:eastAsia="zh-CN"/>
              </w:rPr>
              <w:t xml:space="preserve">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2" w:type="pct"/>
            <w:tcBorders>
              <w:tl2br w:val="nil"/>
              <w:tr2bl w:val="nil"/>
            </w:tcBorders>
            <w:noWrap/>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7</w:t>
            </w:r>
          </w:p>
        </w:tc>
        <w:tc>
          <w:tcPr>
            <w:tcW w:w="1068"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黄洋镇</w:t>
            </w:r>
          </w:p>
        </w:tc>
        <w:tc>
          <w:tcPr>
            <w:tcW w:w="1068"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1</w:t>
            </w:r>
          </w:p>
        </w:tc>
        <w:tc>
          <w:tcPr>
            <w:tcW w:w="1070"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1</w:t>
            </w:r>
          </w:p>
        </w:tc>
        <w:tc>
          <w:tcPr>
            <w:tcW w:w="1070"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default" w:ascii="仿宋" w:hAnsi="仿宋" w:cs="Times New Roman"/>
                <w:b w:val="0"/>
                <w:bCs w:val="0"/>
                <w:color w:val="auto"/>
                <w:sz w:val="28"/>
                <w:szCs w:val="28"/>
                <w:highlight w:val="none"/>
                <w:shd w:val="clear" w:color="auto" w:fill="auto"/>
                <w:lang w:val="en-US" w:eastAsia="zh-CN"/>
              </w:rPr>
              <w:t xml:space="preserve">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2" w:type="pct"/>
            <w:tcBorders>
              <w:tl2br w:val="nil"/>
              <w:tr2bl w:val="nil"/>
            </w:tcBorders>
            <w:noWrap/>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8</w:t>
            </w:r>
          </w:p>
        </w:tc>
        <w:tc>
          <w:tcPr>
            <w:tcW w:w="1068"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嘉川镇</w:t>
            </w:r>
          </w:p>
        </w:tc>
        <w:tc>
          <w:tcPr>
            <w:tcW w:w="1068"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4</w:t>
            </w:r>
          </w:p>
        </w:tc>
        <w:tc>
          <w:tcPr>
            <w:tcW w:w="1070"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6</w:t>
            </w:r>
          </w:p>
        </w:tc>
        <w:tc>
          <w:tcPr>
            <w:tcW w:w="1070"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default" w:ascii="仿宋" w:hAnsi="仿宋" w:cs="Times New Roman"/>
                <w:b w:val="0"/>
                <w:bCs w:val="0"/>
                <w:color w:val="auto"/>
                <w:sz w:val="28"/>
                <w:szCs w:val="28"/>
                <w:highlight w:val="none"/>
                <w:shd w:val="clear" w:color="auto" w:fill="auto"/>
                <w:lang w:val="en-US" w:eastAsia="zh-CN"/>
              </w:rPr>
              <w:t xml:space="preserve">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2" w:type="pct"/>
            <w:tcBorders>
              <w:tl2br w:val="nil"/>
              <w:tr2bl w:val="nil"/>
            </w:tcBorders>
            <w:noWrap/>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9</w:t>
            </w:r>
          </w:p>
        </w:tc>
        <w:tc>
          <w:tcPr>
            <w:tcW w:w="1068"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九龙镇</w:t>
            </w:r>
          </w:p>
        </w:tc>
        <w:tc>
          <w:tcPr>
            <w:tcW w:w="1068"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1</w:t>
            </w:r>
          </w:p>
        </w:tc>
        <w:tc>
          <w:tcPr>
            <w:tcW w:w="1070"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3</w:t>
            </w:r>
          </w:p>
        </w:tc>
        <w:tc>
          <w:tcPr>
            <w:tcW w:w="1070"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default" w:ascii="仿宋" w:hAnsi="仿宋" w:cs="Times New Roman"/>
                <w:b w:val="0"/>
                <w:bCs w:val="0"/>
                <w:color w:val="auto"/>
                <w:sz w:val="28"/>
                <w:szCs w:val="28"/>
                <w:highlight w:val="none"/>
                <w:shd w:val="clear" w:color="auto" w:fill="auto"/>
                <w:lang w:val="en-US" w:eastAsia="zh-CN"/>
              </w:rPr>
              <w:t xml:space="preserve">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2" w:type="pct"/>
            <w:tcBorders>
              <w:tl2br w:val="nil"/>
              <w:tr2bl w:val="nil"/>
            </w:tcBorders>
            <w:noWrap/>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10</w:t>
            </w:r>
          </w:p>
        </w:tc>
        <w:tc>
          <w:tcPr>
            <w:tcW w:w="1068"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龙凤镇</w:t>
            </w:r>
          </w:p>
        </w:tc>
        <w:tc>
          <w:tcPr>
            <w:tcW w:w="1068"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3</w:t>
            </w:r>
          </w:p>
        </w:tc>
        <w:tc>
          <w:tcPr>
            <w:tcW w:w="1070"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11</w:t>
            </w:r>
          </w:p>
        </w:tc>
        <w:tc>
          <w:tcPr>
            <w:tcW w:w="1070"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default" w:ascii="仿宋" w:hAnsi="仿宋" w:cs="Times New Roman"/>
                <w:b w:val="0"/>
                <w:bCs w:val="0"/>
                <w:color w:val="auto"/>
                <w:sz w:val="28"/>
                <w:szCs w:val="28"/>
                <w:highlight w:val="none"/>
                <w:shd w:val="clear" w:color="auto" w:fill="auto"/>
                <w:lang w:val="en-US" w:eastAsia="zh-CN"/>
              </w:rPr>
              <w:t xml:space="preserve">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2" w:type="pct"/>
            <w:tcBorders>
              <w:tl2br w:val="nil"/>
              <w:tr2bl w:val="nil"/>
            </w:tcBorders>
            <w:noWrap/>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8"/>
                <w:szCs w:val="28"/>
                <w:highlight w:val="none"/>
                <w:shd w:val="clear" w:color="auto" w:fill="auto"/>
                <w:lang w:val="en-US" w:eastAsia="zh-CN" w:bidi="ar-SA"/>
              </w:rPr>
            </w:pPr>
            <w:r>
              <w:rPr>
                <w:rFonts w:hint="eastAsia" w:ascii="仿宋" w:hAnsi="仿宋" w:cs="Times New Roman"/>
                <w:b w:val="0"/>
                <w:bCs w:val="0"/>
                <w:color w:val="auto"/>
                <w:sz w:val="28"/>
                <w:szCs w:val="28"/>
                <w:highlight w:val="none"/>
                <w:shd w:val="clear" w:color="auto" w:fill="auto"/>
                <w:lang w:val="en-US" w:eastAsia="zh-CN"/>
              </w:rPr>
              <w:t>11</w:t>
            </w:r>
          </w:p>
        </w:tc>
        <w:tc>
          <w:tcPr>
            <w:tcW w:w="1068"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檬子乡</w:t>
            </w:r>
          </w:p>
        </w:tc>
        <w:tc>
          <w:tcPr>
            <w:tcW w:w="1068" w:type="pct"/>
            <w:tcBorders>
              <w:tl2br w:val="nil"/>
              <w:tr2bl w:val="nil"/>
            </w:tcBorders>
            <w:noWrap/>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0</w:t>
            </w:r>
          </w:p>
        </w:tc>
        <w:tc>
          <w:tcPr>
            <w:tcW w:w="1070" w:type="pct"/>
            <w:tcBorders>
              <w:tl2br w:val="nil"/>
              <w:tr2bl w:val="nil"/>
            </w:tcBorders>
            <w:noWrap/>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0</w:t>
            </w:r>
          </w:p>
        </w:tc>
        <w:tc>
          <w:tcPr>
            <w:tcW w:w="1070" w:type="pct"/>
            <w:tcBorders>
              <w:tl2br w:val="nil"/>
              <w:tr2bl w:val="nil"/>
            </w:tcBorders>
            <w:noWrap/>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2" w:type="pct"/>
            <w:tcBorders>
              <w:tl2br w:val="nil"/>
              <w:tr2bl w:val="nil"/>
            </w:tcBorders>
            <w:noWrap/>
            <w:vAlign w:val="center"/>
          </w:tcPr>
          <w:p>
            <w:pPr>
              <w:pStyle w:val="14"/>
              <w:spacing w:after="0" w:line="240" w:lineRule="auto"/>
              <w:ind w:left="0" w:leftChars="0" w:right="0" w:rightChars="0"/>
              <w:jc w:val="center"/>
              <w:rPr>
                <w:rFonts w:hint="default" w:ascii="仿宋" w:hAnsi="仿宋" w:eastAsia="仿宋_GB2312" w:cs="Times New Roman"/>
                <w:b w:val="0"/>
                <w:bCs w:val="0"/>
                <w:color w:val="auto"/>
                <w:kern w:val="2"/>
                <w:sz w:val="28"/>
                <w:szCs w:val="28"/>
                <w:highlight w:val="none"/>
                <w:shd w:val="clear" w:color="auto" w:fill="auto"/>
                <w:lang w:val="en-US" w:eastAsia="zh-CN" w:bidi="ar-SA"/>
              </w:rPr>
            </w:pPr>
            <w:r>
              <w:rPr>
                <w:rFonts w:hint="eastAsia" w:ascii="仿宋" w:hAnsi="仿宋" w:cs="Times New Roman"/>
                <w:b w:val="0"/>
                <w:bCs w:val="0"/>
                <w:color w:val="auto"/>
                <w:sz w:val="28"/>
                <w:szCs w:val="28"/>
                <w:highlight w:val="none"/>
                <w:shd w:val="clear" w:color="auto" w:fill="auto"/>
                <w:lang w:val="en-US" w:eastAsia="zh-CN"/>
              </w:rPr>
              <w:t>12</w:t>
            </w:r>
          </w:p>
        </w:tc>
        <w:tc>
          <w:tcPr>
            <w:tcW w:w="1068"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米仓山镇</w:t>
            </w:r>
          </w:p>
        </w:tc>
        <w:tc>
          <w:tcPr>
            <w:tcW w:w="1068"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0</w:t>
            </w:r>
          </w:p>
        </w:tc>
        <w:tc>
          <w:tcPr>
            <w:tcW w:w="1070"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1</w:t>
            </w:r>
          </w:p>
        </w:tc>
        <w:tc>
          <w:tcPr>
            <w:tcW w:w="1804" w:type="dxa"/>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default" w:ascii="仿宋" w:hAnsi="仿宋" w:cs="Times New Roman"/>
                <w:b w:val="0"/>
                <w:bCs w:val="0"/>
                <w:color w:val="auto"/>
                <w:sz w:val="28"/>
                <w:szCs w:val="28"/>
                <w:highlight w:val="none"/>
                <w:shd w:val="clear" w:color="auto" w:fill="auto"/>
                <w:lang w:val="en-US" w:eastAsia="zh-CN"/>
              </w:rPr>
              <w:t xml:space="preserve">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2" w:type="pct"/>
            <w:tcBorders>
              <w:tl2br w:val="nil"/>
              <w:tr2bl w:val="nil"/>
            </w:tcBorders>
            <w:noWrap/>
            <w:vAlign w:val="center"/>
          </w:tcPr>
          <w:p>
            <w:pPr>
              <w:pStyle w:val="14"/>
              <w:spacing w:after="0" w:line="240" w:lineRule="auto"/>
              <w:ind w:left="0" w:leftChars="0" w:right="0" w:rightChars="0"/>
              <w:jc w:val="center"/>
              <w:rPr>
                <w:rFonts w:hint="default" w:ascii="仿宋" w:hAnsi="仿宋" w:eastAsia="仿宋_GB2312" w:cs="Times New Roman"/>
                <w:b w:val="0"/>
                <w:bCs w:val="0"/>
                <w:color w:val="auto"/>
                <w:kern w:val="2"/>
                <w:sz w:val="28"/>
                <w:szCs w:val="28"/>
                <w:highlight w:val="none"/>
                <w:shd w:val="clear" w:color="auto" w:fill="auto"/>
                <w:lang w:val="en-US" w:eastAsia="zh-CN" w:bidi="ar-SA"/>
              </w:rPr>
            </w:pPr>
            <w:r>
              <w:rPr>
                <w:rFonts w:hint="eastAsia" w:ascii="仿宋" w:hAnsi="仿宋" w:cs="Times New Roman"/>
                <w:b w:val="0"/>
                <w:bCs w:val="0"/>
                <w:color w:val="auto"/>
                <w:sz w:val="28"/>
                <w:szCs w:val="28"/>
                <w:highlight w:val="none"/>
                <w:shd w:val="clear" w:color="auto" w:fill="auto"/>
                <w:lang w:val="en-US" w:eastAsia="zh-CN"/>
              </w:rPr>
              <w:t>13</w:t>
            </w:r>
          </w:p>
        </w:tc>
        <w:tc>
          <w:tcPr>
            <w:tcW w:w="1068"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木门镇</w:t>
            </w:r>
          </w:p>
        </w:tc>
        <w:tc>
          <w:tcPr>
            <w:tcW w:w="1068"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3</w:t>
            </w:r>
          </w:p>
        </w:tc>
        <w:tc>
          <w:tcPr>
            <w:tcW w:w="1070"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8</w:t>
            </w:r>
          </w:p>
        </w:tc>
        <w:tc>
          <w:tcPr>
            <w:tcW w:w="1804" w:type="dxa"/>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default" w:ascii="仿宋" w:hAnsi="仿宋" w:cs="Times New Roman"/>
                <w:b w:val="0"/>
                <w:bCs w:val="0"/>
                <w:color w:val="auto"/>
                <w:sz w:val="28"/>
                <w:szCs w:val="28"/>
                <w:highlight w:val="none"/>
                <w:shd w:val="clear" w:color="auto" w:fill="auto"/>
                <w:lang w:val="en-US" w:eastAsia="zh-CN"/>
              </w:rPr>
              <w:t xml:space="preserve">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2" w:type="pct"/>
            <w:tcBorders>
              <w:tl2br w:val="nil"/>
              <w:tr2bl w:val="nil"/>
            </w:tcBorders>
            <w:noWrap/>
            <w:vAlign w:val="center"/>
          </w:tcPr>
          <w:p>
            <w:pPr>
              <w:pStyle w:val="14"/>
              <w:spacing w:after="0" w:line="240" w:lineRule="auto"/>
              <w:ind w:left="0" w:leftChars="0" w:right="0" w:rightChars="0"/>
              <w:jc w:val="center"/>
              <w:rPr>
                <w:rFonts w:hint="default" w:ascii="仿宋" w:hAnsi="仿宋" w:eastAsia="仿宋_GB2312" w:cs="Times New Roman"/>
                <w:b w:val="0"/>
                <w:bCs w:val="0"/>
                <w:color w:val="auto"/>
                <w:kern w:val="2"/>
                <w:sz w:val="28"/>
                <w:szCs w:val="28"/>
                <w:highlight w:val="none"/>
                <w:shd w:val="clear" w:color="auto" w:fill="auto"/>
                <w:lang w:val="en-US" w:eastAsia="zh-CN" w:bidi="ar-SA"/>
              </w:rPr>
            </w:pPr>
            <w:r>
              <w:rPr>
                <w:rFonts w:hint="eastAsia" w:ascii="仿宋" w:hAnsi="仿宋" w:cs="Times New Roman"/>
                <w:b w:val="0"/>
                <w:bCs w:val="0"/>
                <w:color w:val="auto"/>
                <w:sz w:val="28"/>
                <w:szCs w:val="28"/>
                <w:highlight w:val="none"/>
                <w:shd w:val="clear" w:color="auto" w:fill="auto"/>
                <w:lang w:val="en-US" w:eastAsia="zh-CN"/>
              </w:rPr>
              <w:t>14</w:t>
            </w:r>
          </w:p>
        </w:tc>
        <w:tc>
          <w:tcPr>
            <w:tcW w:w="1068"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普济镇</w:t>
            </w:r>
          </w:p>
        </w:tc>
        <w:tc>
          <w:tcPr>
            <w:tcW w:w="1068"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7</w:t>
            </w:r>
          </w:p>
        </w:tc>
        <w:tc>
          <w:tcPr>
            <w:tcW w:w="1070"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1</w:t>
            </w:r>
          </w:p>
        </w:tc>
        <w:tc>
          <w:tcPr>
            <w:tcW w:w="1804" w:type="dxa"/>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default" w:ascii="仿宋" w:hAnsi="仿宋" w:cs="Times New Roman"/>
                <w:b w:val="0"/>
                <w:bCs w:val="0"/>
                <w:color w:val="auto"/>
                <w:sz w:val="28"/>
                <w:szCs w:val="28"/>
                <w:highlight w:val="none"/>
                <w:shd w:val="clear" w:color="auto" w:fill="auto"/>
                <w:lang w:val="en-US" w:eastAsia="zh-CN"/>
              </w:rPr>
              <w:t xml:space="preserve">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2" w:type="pct"/>
            <w:tcBorders>
              <w:tl2br w:val="nil"/>
              <w:tr2bl w:val="nil"/>
            </w:tcBorders>
            <w:noWrap/>
            <w:vAlign w:val="center"/>
          </w:tcPr>
          <w:p>
            <w:pPr>
              <w:pStyle w:val="14"/>
              <w:spacing w:after="0" w:line="240" w:lineRule="auto"/>
              <w:ind w:left="0" w:leftChars="0" w:right="0" w:rightChars="0"/>
              <w:jc w:val="center"/>
              <w:rPr>
                <w:rFonts w:hint="default" w:ascii="仿宋" w:hAnsi="仿宋" w:eastAsia="仿宋_GB2312" w:cs="Times New Roman"/>
                <w:b w:val="0"/>
                <w:bCs w:val="0"/>
                <w:color w:val="auto"/>
                <w:kern w:val="2"/>
                <w:sz w:val="28"/>
                <w:szCs w:val="28"/>
                <w:highlight w:val="none"/>
                <w:shd w:val="clear" w:color="auto" w:fill="auto"/>
                <w:lang w:val="en-US" w:eastAsia="zh-CN" w:bidi="ar-SA"/>
              </w:rPr>
            </w:pPr>
            <w:r>
              <w:rPr>
                <w:rFonts w:hint="eastAsia" w:ascii="仿宋" w:hAnsi="仿宋" w:cs="Times New Roman"/>
                <w:b w:val="0"/>
                <w:bCs w:val="0"/>
                <w:color w:val="auto"/>
                <w:sz w:val="28"/>
                <w:szCs w:val="28"/>
                <w:highlight w:val="none"/>
                <w:shd w:val="clear" w:color="auto" w:fill="auto"/>
                <w:lang w:val="en-US" w:eastAsia="zh-CN"/>
              </w:rPr>
              <w:t>15</w:t>
            </w:r>
          </w:p>
        </w:tc>
        <w:tc>
          <w:tcPr>
            <w:tcW w:w="1068"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三江镇</w:t>
            </w:r>
          </w:p>
        </w:tc>
        <w:tc>
          <w:tcPr>
            <w:tcW w:w="1068"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10</w:t>
            </w:r>
          </w:p>
        </w:tc>
        <w:tc>
          <w:tcPr>
            <w:tcW w:w="1070"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7</w:t>
            </w:r>
          </w:p>
        </w:tc>
        <w:tc>
          <w:tcPr>
            <w:tcW w:w="1804" w:type="dxa"/>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default" w:ascii="仿宋" w:hAnsi="仿宋" w:cs="Times New Roman"/>
                <w:b w:val="0"/>
                <w:bCs w:val="0"/>
                <w:color w:val="auto"/>
                <w:sz w:val="28"/>
                <w:szCs w:val="28"/>
                <w:highlight w:val="none"/>
                <w:shd w:val="clear" w:color="auto" w:fill="auto"/>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2" w:type="pct"/>
            <w:tcBorders>
              <w:tl2br w:val="nil"/>
              <w:tr2bl w:val="nil"/>
            </w:tcBorders>
            <w:noWrap/>
            <w:vAlign w:val="center"/>
          </w:tcPr>
          <w:p>
            <w:pPr>
              <w:pStyle w:val="14"/>
              <w:spacing w:after="0" w:line="240" w:lineRule="auto"/>
              <w:ind w:left="0" w:leftChars="0" w:right="0" w:rightChars="0"/>
              <w:jc w:val="center"/>
              <w:rPr>
                <w:rFonts w:hint="default" w:ascii="仿宋" w:hAnsi="仿宋" w:eastAsia="仿宋_GB2312" w:cs="Times New Roman"/>
                <w:b w:val="0"/>
                <w:bCs w:val="0"/>
                <w:color w:val="auto"/>
                <w:kern w:val="2"/>
                <w:sz w:val="28"/>
                <w:szCs w:val="28"/>
                <w:highlight w:val="none"/>
                <w:shd w:val="clear" w:color="auto" w:fill="auto"/>
                <w:lang w:val="en-US" w:eastAsia="zh-CN" w:bidi="ar-SA"/>
              </w:rPr>
            </w:pPr>
            <w:r>
              <w:rPr>
                <w:rFonts w:hint="eastAsia" w:ascii="仿宋" w:hAnsi="仿宋" w:cs="Times New Roman"/>
                <w:b w:val="0"/>
                <w:bCs w:val="0"/>
                <w:color w:val="auto"/>
                <w:sz w:val="28"/>
                <w:szCs w:val="28"/>
                <w:highlight w:val="none"/>
                <w:shd w:val="clear" w:color="auto" w:fill="auto"/>
                <w:lang w:val="en-US" w:eastAsia="zh-CN"/>
              </w:rPr>
              <w:t>16</w:t>
            </w:r>
          </w:p>
        </w:tc>
        <w:tc>
          <w:tcPr>
            <w:tcW w:w="1068"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双汇镇</w:t>
            </w:r>
          </w:p>
        </w:tc>
        <w:tc>
          <w:tcPr>
            <w:tcW w:w="1068"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0</w:t>
            </w:r>
          </w:p>
        </w:tc>
        <w:tc>
          <w:tcPr>
            <w:tcW w:w="1070"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1</w:t>
            </w:r>
          </w:p>
        </w:tc>
        <w:tc>
          <w:tcPr>
            <w:tcW w:w="1804" w:type="dxa"/>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default" w:ascii="仿宋" w:hAnsi="仿宋" w:cs="Times New Roman"/>
                <w:b w:val="0"/>
                <w:bCs w:val="0"/>
                <w:color w:val="auto"/>
                <w:sz w:val="28"/>
                <w:szCs w:val="28"/>
                <w:highlight w:val="none"/>
                <w:shd w:val="clear" w:color="auto" w:fill="auto"/>
                <w:lang w:val="en-US" w:eastAsia="zh-CN"/>
              </w:rPr>
              <w:t xml:space="preserve">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2" w:type="pct"/>
            <w:tcBorders>
              <w:tl2br w:val="nil"/>
              <w:tr2bl w:val="nil"/>
            </w:tcBorders>
            <w:noWrap/>
            <w:vAlign w:val="center"/>
          </w:tcPr>
          <w:p>
            <w:pPr>
              <w:pStyle w:val="14"/>
              <w:spacing w:after="0" w:line="240" w:lineRule="auto"/>
              <w:ind w:left="0" w:leftChars="0" w:right="0" w:rightChars="0"/>
              <w:jc w:val="center"/>
              <w:rPr>
                <w:rFonts w:hint="default" w:ascii="仿宋" w:hAnsi="仿宋" w:eastAsia="仿宋_GB2312" w:cs="Times New Roman"/>
                <w:b w:val="0"/>
                <w:bCs w:val="0"/>
                <w:color w:val="auto"/>
                <w:kern w:val="2"/>
                <w:sz w:val="28"/>
                <w:szCs w:val="28"/>
                <w:highlight w:val="none"/>
                <w:shd w:val="clear" w:color="auto" w:fill="auto"/>
                <w:lang w:val="en-US" w:eastAsia="zh-CN" w:bidi="ar-SA"/>
              </w:rPr>
            </w:pPr>
            <w:r>
              <w:rPr>
                <w:rFonts w:hint="eastAsia" w:ascii="仿宋" w:hAnsi="仿宋" w:cs="Times New Roman"/>
                <w:b w:val="0"/>
                <w:bCs w:val="0"/>
                <w:color w:val="auto"/>
                <w:sz w:val="28"/>
                <w:szCs w:val="28"/>
                <w:highlight w:val="none"/>
                <w:shd w:val="clear" w:color="auto" w:fill="auto"/>
                <w:lang w:val="en-US" w:eastAsia="zh-CN"/>
              </w:rPr>
              <w:t>17</w:t>
            </w:r>
          </w:p>
        </w:tc>
        <w:tc>
          <w:tcPr>
            <w:tcW w:w="1068"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水磨镇</w:t>
            </w:r>
          </w:p>
        </w:tc>
        <w:tc>
          <w:tcPr>
            <w:tcW w:w="1068"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1</w:t>
            </w:r>
          </w:p>
        </w:tc>
        <w:tc>
          <w:tcPr>
            <w:tcW w:w="1070"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2</w:t>
            </w:r>
          </w:p>
        </w:tc>
        <w:tc>
          <w:tcPr>
            <w:tcW w:w="1804" w:type="dxa"/>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default" w:ascii="仿宋" w:hAnsi="仿宋" w:cs="Times New Roman"/>
                <w:b w:val="0"/>
                <w:bCs w:val="0"/>
                <w:color w:val="auto"/>
                <w:sz w:val="28"/>
                <w:szCs w:val="28"/>
                <w:highlight w:val="none"/>
                <w:shd w:val="clear" w:color="auto" w:fill="auto"/>
                <w:lang w:val="en-US" w:eastAsia="zh-CN"/>
              </w:rPr>
              <w:t xml:space="preserve">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2" w:type="pct"/>
            <w:tcBorders>
              <w:tl2br w:val="nil"/>
              <w:tr2bl w:val="nil"/>
            </w:tcBorders>
            <w:noWrap/>
            <w:vAlign w:val="center"/>
          </w:tcPr>
          <w:p>
            <w:pPr>
              <w:pStyle w:val="14"/>
              <w:spacing w:after="0" w:line="240" w:lineRule="auto"/>
              <w:ind w:left="0" w:leftChars="0" w:right="0" w:rightChars="0"/>
              <w:jc w:val="center"/>
              <w:rPr>
                <w:rFonts w:hint="default" w:ascii="仿宋" w:hAnsi="仿宋" w:eastAsia="仿宋_GB2312" w:cs="Times New Roman"/>
                <w:b w:val="0"/>
                <w:bCs w:val="0"/>
                <w:color w:val="auto"/>
                <w:kern w:val="2"/>
                <w:sz w:val="28"/>
                <w:szCs w:val="28"/>
                <w:highlight w:val="none"/>
                <w:shd w:val="clear" w:color="auto" w:fill="auto"/>
                <w:lang w:val="en-US" w:eastAsia="zh-CN" w:bidi="ar-SA"/>
              </w:rPr>
            </w:pPr>
            <w:r>
              <w:rPr>
                <w:rFonts w:hint="eastAsia" w:ascii="仿宋" w:hAnsi="仿宋" w:cs="Times New Roman"/>
                <w:b w:val="0"/>
                <w:bCs w:val="0"/>
                <w:color w:val="auto"/>
                <w:sz w:val="28"/>
                <w:szCs w:val="28"/>
                <w:highlight w:val="none"/>
                <w:shd w:val="clear" w:color="auto" w:fill="auto"/>
                <w:lang w:val="en-US" w:eastAsia="zh-CN"/>
              </w:rPr>
              <w:t>18</w:t>
            </w:r>
          </w:p>
        </w:tc>
        <w:tc>
          <w:tcPr>
            <w:tcW w:w="1068"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天星镇</w:t>
            </w:r>
          </w:p>
        </w:tc>
        <w:tc>
          <w:tcPr>
            <w:tcW w:w="1068"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2</w:t>
            </w:r>
          </w:p>
        </w:tc>
        <w:tc>
          <w:tcPr>
            <w:tcW w:w="1070"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20</w:t>
            </w:r>
          </w:p>
        </w:tc>
        <w:tc>
          <w:tcPr>
            <w:tcW w:w="1804" w:type="dxa"/>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default" w:ascii="仿宋" w:hAnsi="仿宋" w:cs="Times New Roman"/>
                <w:b w:val="0"/>
                <w:bCs w:val="0"/>
                <w:color w:val="auto"/>
                <w:sz w:val="28"/>
                <w:szCs w:val="28"/>
                <w:highlight w:val="none"/>
                <w:shd w:val="clear" w:color="auto" w:fill="auto"/>
                <w:lang w:val="en-US" w:eastAsia="zh-CN"/>
              </w:rPr>
              <w:t xml:space="preserve">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2" w:type="pct"/>
            <w:tcBorders>
              <w:tl2br w:val="nil"/>
              <w:tr2bl w:val="nil"/>
            </w:tcBorders>
            <w:noWrap/>
            <w:vAlign w:val="center"/>
          </w:tcPr>
          <w:p>
            <w:pPr>
              <w:pStyle w:val="14"/>
              <w:spacing w:after="0" w:line="240" w:lineRule="auto"/>
              <w:ind w:left="0" w:leftChars="0" w:right="0" w:rightChars="0"/>
              <w:jc w:val="center"/>
              <w:rPr>
                <w:rFonts w:hint="default" w:ascii="仿宋" w:hAnsi="仿宋" w:eastAsia="仿宋_GB2312" w:cs="Times New Roman"/>
                <w:b w:val="0"/>
                <w:bCs w:val="0"/>
                <w:color w:val="auto"/>
                <w:kern w:val="2"/>
                <w:sz w:val="28"/>
                <w:szCs w:val="28"/>
                <w:highlight w:val="none"/>
                <w:shd w:val="clear" w:color="auto" w:fill="auto"/>
                <w:lang w:val="en-US" w:eastAsia="zh-CN" w:bidi="ar-SA"/>
              </w:rPr>
            </w:pPr>
            <w:r>
              <w:rPr>
                <w:rFonts w:hint="eastAsia" w:ascii="仿宋" w:hAnsi="仿宋" w:cs="Times New Roman"/>
                <w:b w:val="0"/>
                <w:bCs w:val="0"/>
                <w:color w:val="auto"/>
                <w:sz w:val="28"/>
                <w:szCs w:val="28"/>
                <w:highlight w:val="none"/>
                <w:shd w:val="clear" w:color="auto" w:fill="auto"/>
                <w:lang w:val="en-US" w:eastAsia="zh-CN"/>
              </w:rPr>
              <w:t>19</w:t>
            </w:r>
          </w:p>
        </w:tc>
        <w:tc>
          <w:tcPr>
            <w:tcW w:w="1068"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五权镇</w:t>
            </w:r>
          </w:p>
        </w:tc>
        <w:tc>
          <w:tcPr>
            <w:tcW w:w="1068"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1</w:t>
            </w:r>
          </w:p>
        </w:tc>
        <w:tc>
          <w:tcPr>
            <w:tcW w:w="1070"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11</w:t>
            </w:r>
          </w:p>
        </w:tc>
        <w:tc>
          <w:tcPr>
            <w:tcW w:w="1804" w:type="dxa"/>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default" w:ascii="仿宋" w:hAnsi="仿宋" w:cs="Times New Roman"/>
                <w:b w:val="0"/>
                <w:bCs w:val="0"/>
                <w:color w:val="auto"/>
                <w:sz w:val="28"/>
                <w:szCs w:val="28"/>
                <w:highlight w:val="none"/>
                <w:shd w:val="clear" w:color="auto" w:fill="auto"/>
                <w:lang w:val="en-US" w:eastAsia="zh-CN"/>
              </w:rPr>
              <w:t xml:space="preserve">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2" w:type="pct"/>
            <w:tcBorders>
              <w:tl2br w:val="nil"/>
              <w:tr2bl w:val="nil"/>
            </w:tcBorders>
            <w:noWrap/>
            <w:vAlign w:val="center"/>
          </w:tcPr>
          <w:p>
            <w:pPr>
              <w:pStyle w:val="14"/>
              <w:spacing w:after="0" w:line="240" w:lineRule="auto"/>
              <w:ind w:left="0" w:leftChars="0" w:right="0" w:rightChars="0"/>
              <w:jc w:val="center"/>
              <w:rPr>
                <w:rFonts w:hint="default" w:ascii="仿宋" w:hAnsi="仿宋" w:eastAsia="仿宋_GB2312" w:cs="Times New Roman"/>
                <w:b w:val="0"/>
                <w:bCs w:val="0"/>
                <w:color w:val="auto"/>
                <w:kern w:val="2"/>
                <w:sz w:val="28"/>
                <w:szCs w:val="28"/>
                <w:highlight w:val="none"/>
                <w:shd w:val="clear" w:color="auto" w:fill="auto"/>
                <w:lang w:val="en-US" w:eastAsia="zh-CN" w:bidi="ar-SA"/>
              </w:rPr>
            </w:pPr>
            <w:r>
              <w:rPr>
                <w:rFonts w:hint="eastAsia" w:ascii="仿宋" w:hAnsi="仿宋" w:cs="Times New Roman"/>
                <w:b w:val="0"/>
                <w:bCs w:val="0"/>
                <w:color w:val="auto"/>
                <w:sz w:val="28"/>
                <w:szCs w:val="28"/>
                <w:highlight w:val="none"/>
                <w:shd w:val="clear" w:color="auto" w:fill="auto"/>
                <w:lang w:val="en-US" w:eastAsia="zh-CN"/>
              </w:rPr>
              <w:t>20</w:t>
            </w:r>
          </w:p>
        </w:tc>
        <w:tc>
          <w:tcPr>
            <w:tcW w:w="1068"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盐河镇</w:t>
            </w:r>
          </w:p>
        </w:tc>
        <w:tc>
          <w:tcPr>
            <w:tcW w:w="1068"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0</w:t>
            </w:r>
          </w:p>
        </w:tc>
        <w:tc>
          <w:tcPr>
            <w:tcW w:w="1070"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3</w:t>
            </w:r>
          </w:p>
        </w:tc>
        <w:tc>
          <w:tcPr>
            <w:tcW w:w="1804" w:type="dxa"/>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default" w:ascii="仿宋" w:hAnsi="仿宋" w:cs="Times New Roman"/>
                <w:b w:val="0"/>
                <w:bCs w:val="0"/>
                <w:color w:val="auto"/>
                <w:sz w:val="28"/>
                <w:szCs w:val="28"/>
                <w:highlight w:val="none"/>
                <w:shd w:val="clear" w:color="auto" w:fill="auto"/>
                <w:lang w:val="en-US" w:eastAsia="zh-CN"/>
              </w:rPr>
              <w:t xml:space="preserve">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2" w:type="pct"/>
            <w:tcBorders>
              <w:tl2br w:val="nil"/>
              <w:tr2bl w:val="nil"/>
            </w:tcBorders>
            <w:noWrap/>
            <w:vAlign w:val="center"/>
          </w:tcPr>
          <w:p>
            <w:pPr>
              <w:pStyle w:val="14"/>
              <w:spacing w:after="0" w:line="240" w:lineRule="auto"/>
              <w:ind w:left="0" w:leftChars="0" w:right="0" w:rightChars="0"/>
              <w:jc w:val="center"/>
              <w:rPr>
                <w:rFonts w:hint="default" w:ascii="仿宋" w:hAnsi="仿宋" w:eastAsia="仿宋_GB2312" w:cs="Times New Roman"/>
                <w:b w:val="0"/>
                <w:bCs w:val="0"/>
                <w:color w:val="auto"/>
                <w:kern w:val="2"/>
                <w:sz w:val="28"/>
                <w:szCs w:val="28"/>
                <w:highlight w:val="none"/>
                <w:shd w:val="clear" w:color="auto" w:fill="auto"/>
                <w:lang w:val="en-US" w:eastAsia="zh-CN" w:bidi="ar-SA"/>
              </w:rPr>
            </w:pPr>
            <w:r>
              <w:rPr>
                <w:rFonts w:hint="eastAsia" w:ascii="仿宋" w:hAnsi="仿宋" w:cs="Times New Roman"/>
                <w:b w:val="0"/>
                <w:bCs w:val="0"/>
                <w:color w:val="auto"/>
                <w:sz w:val="28"/>
                <w:szCs w:val="28"/>
                <w:highlight w:val="none"/>
                <w:shd w:val="clear" w:color="auto" w:fill="auto"/>
                <w:lang w:val="en-US" w:eastAsia="zh-CN"/>
              </w:rPr>
              <w:t>21</w:t>
            </w:r>
          </w:p>
        </w:tc>
        <w:tc>
          <w:tcPr>
            <w:tcW w:w="1068"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燕子乡</w:t>
            </w:r>
          </w:p>
        </w:tc>
        <w:tc>
          <w:tcPr>
            <w:tcW w:w="1068"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5</w:t>
            </w:r>
          </w:p>
        </w:tc>
        <w:tc>
          <w:tcPr>
            <w:tcW w:w="1070"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12</w:t>
            </w:r>
          </w:p>
        </w:tc>
        <w:tc>
          <w:tcPr>
            <w:tcW w:w="1804" w:type="dxa"/>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default" w:ascii="仿宋" w:hAnsi="仿宋" w:cs="Times New Roman"/>
                <w:b w:val="0"/>
                <w:bCs w:val="0"/>
                <w:color w:val="auto"/>
                <w:sz w:val="28"/>
                <w:szCs w:val="28"/>
                <w:highlight w:val="none"/>
                <w:shd w:val="clear" w:color="auto" w:fill="auto"/>
                <w:lang w:val="en-US" w:eastAsia="zh-CN"/>
              </w:rPr>
              <w:t xml:space="preserve">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2" w:type="pct"/>
            <w:tcBorders>
              <w:tl2br w:val="nil"/>
              <w:tr2bl w:val="nil"/>
            </w:tcBorders>
            <w:noWrap/>
            <w:vAlign w:val="center"/>
          </w:tcPr>
          <w:p>
            <w:pPr>
              <w:pStyle w:val="14"/>
              <w:spacing w:after="0" w:line="240" w:lineRule="auto"/>
              <w:ind w:left="0" w:leftChars="0" w:right="0" w:rightChars="0"/>
              <w:jc w:val="center"/>
              <w:rPr>
                <w:rFonts w:hint="default" w:ascii="仿宋" w:hAnsi="仿宋" w:eastAsia="仿宋_GB2312" w:cs="Times New Roman"/>
                <w:b w:val="0"/>
                <w:bCs w:val="0"/>
                <w:color w:val="auto"/>
                <w:kern w:val="2"/>
                <w:sz w:val="28"/>
                <w:szCs w:val="28"/>
                <w:highlight w:val="none"/>
                <w:shd w:val="clear" w:color="auto" w:fill="auto"/>
                <w:lang w:val="en-US" w:eastAsia="zh-CN" w:bidi="ar-SA"/>
              </w:rPr>
            </w:pPr>
            <w:r>
              <w:rPr>
                <w:rFonts w:hint="eastAsia" w:ascii="仿宋" w:hAnsi="仿宋" w:cs="Times New Roman"/>
                <w:b w:val="0"/>
                <w:bCs w:val="0"/>
                <w:color w:val="auto"/>
                <w:sz w:val="28"/>
                <w:szCs w:val="28"/>
                <w:highlight w:val="none"/>
                <w:shd w:val="clear" w:color="auto" w:fill="auto"/>
                <w:lang w:val="en-US" w:eastAsia="zh-CN"/>
              </w:rPr>
              <w:t>22</w:t>
            </w:r>
          </w:p>
        </w:tc>
        <w:tc>
          <w:tcPr>
            <w:tcW w:w="1068"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英萃镇</w:t>
            </w:r>
          </w:p>
        </w:tc>
        <w:tc>
          <w:tcPr>
            <w:tcW w:w="1068"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2</w:t>
            </w:r>
          </w:p>
        </w:tc>
        <w:tc>
          <w:tcPr>
            <w:tcW w:w="1070"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15</w:t>
            </w:r>
          </w:p>
        </w:tc>
        <w:tc>
          <w:tcPr>
            <w:tcW w:w="1804" w:type="dxa"/>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default" w:ascii="仿宋" w:hAnsi="仿宋" w:cs="Times New Roman"/>
                <w:b w:val="0"/>
                <w:bCs w:val="0"/>
                <w:color w:val="auto"/>
                <w:sz w:val="28"/>
                <w:szCs w:val="28"/>
                <w:highlight w:val="none"/>
                <w:shd w:val="clear" w:color="auto" w:fill="auto"/>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2" w:type="pct"/>
            <w:tcBorders>
              <w:tl2br w:val="nil"/>
              <w:tr2bl w:val="nil"/>
            </w:tcBorders>
            <w:noWrap/>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23</w:t>
            </w:r>
          </w:p>
        </w:tc>
        <w:tc>
          <w:tcPr>
            <w:tcW w:w="1068"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张华镇</w:t>
            </w:r>
          </w:p>
        </w:tc>
        <w:tc>
          <w:tcPr>
            <w:tcW w:w="1068"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6</w:t>
            </w:r>
          </w:p>
        </w:tc>
        <w:tc>
          <w:tcPr>
            <w:tcW w:w="1070"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1</w:t>
            </w:r>
          </w:p>
        </w:tc>
        <w:tc>
          <w:tcPr>
            <w:tcW w:w="1804" w:type="dxa"/>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default" w:ascii="仿宋" w:hAnsi="仿宋" w:cs="Times New Roman"/>
                <w:b w:val="0"/>
                <w:bCs w:val="0"/>
                <w:color w:val="auto"/>
                <w:sz w:val="28"/>
                <w:szCs w:val="28"/>
                <w:highlight w:val="none"/>
                <w:shd w:val="clear" w:color="auto" w:fill="auto"/>
                <w:lang w:val="en-US" w:eastAsia="zh-CN"/>
              </w:rPr>
              <w:t xml:space="preserve">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90" w:type="pct"/>
            <w:gridSpan w:val="2"/>
            <w:tcBorders>
              <w:tl2br w:val="nil"/>
              <w:tr2bl w:val="nil"/>
            </w:tcBorders>
            <w:noWrap/>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合计</w:t>
            </w:r>
          </w:p>
        </w:tc>
        <w:tc>
          <w:tcPr>
            <w:tcW w:w="1068" w:type="pct"/>
            <w:tcBorders>
              <w:tl2br w:val="nil"/>
              <w:tr2bl w:val="nil"/>
            </w:tcBorders>
            <w:noWrap/>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63</w:t>
            </w:r>
          </w:p>
        </w:tc>
        <w:tc>
          <w:tcPr>
            <w:tcW w:w="1070" w:type="pct"/>
            <w:tcBorders>
              <w:tl2br w:val="nil"/>
              <w:tr2bl w:val="nil"/>
            </w:tcBorders>
            <w:noWrap/>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142</w:t>
            </w:r>
          </w:p>
        </w:tc>
        <w:tc>
          <w:tcPr>
            <w:tcW w:w="1070" w:type="pct"/>
            <w:tcBorders>
              <w:tl2br w:val="nil"/>
              <w:tr2bl w:val="nil"/>
            </w:tcBorders>
            <w:noWrap/>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228</w:t>
            </w:r>
          </w:p>
        </w:tc>
      </w:tr>
    </w:tbl>
    <w:p>
      <w:pPr>
        <w:bidi w:val="0"/>
        <w:rPr>
          <w:rFonts w:hint="eastAsia" w:ascii="仿宋" w:hAnsi="仿宋"/>
          <w:lang w:val="en-US" w:eastAsia="zh-CN"/>
        </w:rPr>
      </w:pPr>
    </w:p>
    <w:p>
      <w:pPr>
        <w:pStyle w:val="14"/>
        <w:spacing w:after="0" w:line="240" w:lineRule="auto"/>
        <w:ind w:left="0" w:leftChars="0" w:right="0" w:rightChars="0" w:firstLine="640" w:firstLineChars="200"/>
        <w:jc w:val="both"/>
        <w:rPr>
          <w:rFonts w:hint="eastAsia" w:ascii="仿宋" w:hAnsi="仿宋" w:cs="Times New Roman"/>
          <w:szCs w:val="32"/>
          <w:highlight w:val="none"/>
          <w:shd w:val="clear" w:color="auto" w:fill="auto"/>
          <w:lang w:val="en-US" w:eastAsia="zh-CN"/>
        </w:rPr>
      </w:pPr>
      <w:r>
        <w:rPr>
          <w:rFonts w:hint="eastAsia" w:ascii="仿宋" w:hAnsi="仿宋" w:cs="Times New Roman"/>
          <w:szCs w:val="32"/>
          <w:highlight w:val="none"/>
          <w:shd w:val="clear" w:color="auto" w:fill="auto"/>
          <w:lang w:val="en-US" w:eastAsia="zh-CN"/>
        </w:rPr>
        <w:t>根据本次畜禽养殖调查表调查结果分析，全县规模养殖场最多的乡镇为三江镇，其次为普济镇、白水镇、张华镇，全县养殖户最多的乡镇为天星镇，其次为英萃镇、东河镇、燕子乡，全县散户最多的乡镇为白水镇，其次为嘉川镇、木门镇和张华镇。</w:t>
      </w:r>
    </w:p>
    <w:p>
      <w:pPr>
        <w:keepNext/>
        <w:keepLines/>
        <w:pageBreakBefore w:val="0"/>
        <w:widowControl w:val="0"/>
        <w:numPr>
          <w:ilvl w:val="0"/>
          <w:numId w:val="3"/>
        </w:numPr>
        <w:kinsoku/>
        <w:wordWrap/>
        <w:overflowPunct/>
        <w:topLinePunct w:val="0"/>
        <w:autoSpaceDE/>
        <w:autoSpaceDN/>
        <w:bidi w:val="0"/>
        <w:adjustRightInd/>
        <w:snapToGrid/>
        <w:spacing w:line="240" w:lineRule="auto"/>
        <w:ind w:left="197" w:leftChars="0" w:firstLine="643" w:firstLineChars="0"/>
        <w:jc w:val="left"/>
        <w:textAlignment w:val="auto"/>
        <w:outlineLvl w:val="2"/>
        <w:rPr>
          <w:rFonts w:hint="eastAsia" w:ascii="仿宋" w:hAnsi="仿宋" w:eastAsia="仿宋" w:cs="Times New Roman"/>
          <w:b/>
          <w:bCs/>
          <w:color w:val="auto"/>
          <w:kern w:val="2"/>
          <w:sz w:val="32"/>
          <w:szCs w:val="32"/>
          <w:highlight w:val="none"/>
          <w:shd w:val="clear" w:color="auto" w:fill="auto"/>
          <w:lang w:val="en-US" w:eastAsia="zh-CN" w:bidi="ar-SA"/>
        </w:rPr>
      </w:pPr>
      <w:bookmarkStart w:id="47" w:name="_Toc25401"/>
      <w:r>
        <w:rPr>
          <w:rFonts w:hint="eastAsia" w:ascii="仿宋" w:hAnsi="仿宋" w:eastAsia="仿宋" w:cs="Times New Roman"/>
          <w:b/>
          <w:bCs/>
          <w:color w:val="auto"/>
          <w:kern w:val="2"/>
          <w:sz w:val="32"/>
          <w:szCs w:val="32"/>
          <w:highlight w:val="none"/>
          <w:shd w:val="clear" w:color="auto" w:fill="auto"/>
          <w:lang w:val="en-US" w:eastAsia="zh-CN" w:bidi="ar-SA"/>
        </w:rPr>
        <w:t>“十三五”时间畜禽养殖污染防治工作</w:t>
      </w:r>
    </w:p>
    <w:p>
      <w:pPr>
        <w:pStyle w:val="14"/>
        <w:spacing w:after="0" w:line="240" w:lineRule="auto"/>
        <w:ind w:left="0" w:leftChars="0" w:right="0" w:rightChars="0" w:firstLine="643" w:firstLineChars="200"/>
        <w:outlineLvl w:val="3"/>
        <w:rPr>
          <w:rFonts w:hint="eastAsia" w:ascii="仿宋" w:hAnsi="仿宋" w:cs="Times New Roman"/>
          <w:b/>
          <w:bCs/>
          <w:szCs w:val="32"/>
          <w:highlight w:val="none"/>
          <w:shd w:val="clear" w:color="auto" w:fill="auto"/>
          <w:lang w:val="en-US" w:eastAsia="zh-CN"/>
        </w:rPr>
      </w:pPr>
      <w:r>
        <w:rPr>
          <w:rFonts w:hint="eastAsia" w:ascii="仿宋" w:hAnsi="仿宋" w:cs="Times New Roman"/>
          <w:b/>
          <w:bCs/>
          <w:szCs w:val="32"/>
          <w:highlight w:val="none"/>
          <w:shd w:val="clear" w:color="auto" w:fill="auto"/>
          <w:lang w:val="en-US" w:eastAsia="zh-CN"/>
        </w:rPr>
        <w:t>（一）畜禽养殖污染监管现状</w:t>
      </w:r>
      <w:bookmarkEnd w:id="47"/>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_GB2312" w:cs="Times New Roman"/>
          <w:kern w:val="2"/>
          <w:sz w:val="32"/>
          <w:szCs w:val="32"/>
          <w:highlight w:val="none"/>
          <w:shd w:val="clear" w:color="auto" w:fill="auto"/>
          <w:lang w:val="en-US" w:eastAsia="zh-CN" w:bidi="ar-SA"/>
        </w:rPr>
      </w:pPr>
      <w:r>
        <w:rPr>
          <w:rFonts w:hint="default" w:ascii="仿宋" w:hAnsi="仿宋" w:eastAsia="仿宋_GB2312" w:cs="Times New Roman"/>
          <w:kern w:val="2"/>
          <w:sz w:val="32"/>
          <w:szCs w:val="32"/>
          <w:highlight w:val="none"/>
          <w:shd w:val="clear" w:color="auto" w:fill="auto"/>
          <w:lang w:val="en-US" w:eastAsia="zh-CN" w:bidi="ar-SA"/>
        </w:rPr>
        <w:t>近年来，国家对畜禽养殖业污染防治工作非常重视，出台了《畜禽规模养殖污染防治条例》（国务院第643 号令）、《水污染防治行动计划》（国发〔201</w:t>
      </w:r>
      <w:r>
        <w:rPr>
          <w:rFonts w:hint="eastAsia" w:ascii="仿宋" w:hAnsi="仿宋" w:eastAsia="仿宋_GB2312" w:cs="Times New Roman"/>
          <w:kern w:val="2"/>
          <w:sz w:val="32"/>
          <w:szCs w:val="32"/>
          <w:highlight w:val="none"/>
          <w:shd w:val="clear" w:color="auto" w:fill="auto"/>
          <w:lang w:val="en-US" w:eastAsia="zh-CN" w:bidi="ar-SA"/>
        </w:rPr>
        <w:t>5</w:t>
      </w:r>
      <w:r>
        <w:rPr>
          <w:rFonts w:hint="default" w:ascii="仿宋" w:hAnsi="仿宋" w:eastAsia="仿宋_GB2312" w:cs="Times New Roman"/>
          <w:kern w:val="2"/>
          <w:sz w:val="32"/>
          <w:szCs w:val="32"/>
          <w:highlight w:val="none"/>
          <w:shd w:val="clear" w:color="auto" w:fill="auto"/>
          <w:lang w:val="en-US" w:eastAsia="zh-CN" w:bidi="ar-SA"/>
        </w:rPr>
        <w:t>〕17号）、《环境保护部农业部关于进一步加强畜禽养殖污</w:t>
      </w:r>
      <w:r>
        <w:rPr>
          <w:rFonts w:hint="eastAsia" w:ascii="仿宋" w:hAnsi="仿宋" w:eastAsia="仿宋_GB2312" w:cs="Times New Roman"/>
          <w:kern w:val="2"/>
          <w:sz w:val="32"/>
          <w:szCs w:val="32"/>
          <w:highlight w:val="none"/>
          <w:shd w:val="clear" w:color="auto" w:fill="auto"/>
          <w:lang w:val="en-US" w:eastAsia="zh-CN" w:bidi="ar-SA"/>
        </w:rPr>
        <w:t xml:space="preserve"> </w:t>
      </w:r>
      <w:r>
        <w:rPr>
          <w:rFonts w:hint="default" w:ascii="仿宋" w:hAnsi="仿宋" w:eastAsia="仿宋_GB2312" w:cs="Times New Roman"/>
          <w:kern w:val="2"/>
          <w:sz w:val="32"/>
          <w:szCs w:val="32"/>
          <w:highlight w:val="none"/>
          <w:shd w:val="clear" w:color="auto" w:fill="auto"/>
          <w:lang w:val="en-US" w:eastAsia="zh-CN" w:bidi="ar-SA"/>
        </w:rPr>
        <w:t>染防治工作的通知》（环水体〔201</w:t>
      </w:r>
      <w:r>
        <w:rPr>
          <w:rFonts w:hint="eastAsia" w:ascii="仿宋" w:hAnsi="仿宋" w:eastAsia="仿宋_GB2312" w:cs="Times New Roman"/>
          <w:kern w:val="2"/>
          <w:sz w:val="32"/>
          <w:szCs w:val="32"/>
          <w:highlight w:val="none"/>
          <w:shd w:val="clear" w:color="auto" w:fill="auto"/>
          <w:lang w:val="en-US" w:eastAsia="zh-CN" w:bidi="ar-SA"/>
        </w:rPr>
        <w:t>6</w:t>
      </w:r>
      <w:r>
        <w:rPr>
          <w:rFonts w:hint="default" w:ascii="仿宋" w:hAnsi="仿宋" w:eastAsia="仿宋_GB2312" w:cs="Times New Roman"/>
          <w:kern w:val="2"/>
          <w:sz w:val="32"/>
          <w:szCs w:val="32"/>
          <w:highlight w:val="none"/>
          <w:shd w:val="clear" w:color="auto" w:fill="auto"/>
          <w:lang w:val="en-US" w:eastAsia="zh-CN" w:bidi="ar-SA"/>
        </w:rPr>
        <w:t>〕144 号）等一系列规章制度，并组织编制了一系列技术规范、导则、指南等，用于指导畜禽养殖业污染防治工作。</w:t>
      </w:r>
      <w:r>
        <w:rPr>
          <w:rFonts w:hint="eastAsia" w:ascii="仿宋" w:hAnsi="仿宋" w:eastAsia="仿宋_GB2312" w:cs="Times New Roman"/>
          <w:kern w:val="2"/>
          <w:sz w:val="32"/>
          <w:szCs w:val="32"/>
          <w:highlight w:val="none"/>
          <w:shd w:val="clear" w:color="auto" w:fill="auto"/>
          <w:lang w:val="en-US" w:eastAsia="zh-CN" w:bidi="ar-SA"/>
        </w:rPr>
        <w:t>四川</w:t>
      </w:r>
      <w:r>
        <w:rPr>
          <w:rFonts w:hint="default" w:ascii="仿宋" w:hAnsi="仿宋" w:eastAsia="仿宋_GB2312" w:cs="Times New Roman"/>
          <w:kern w:val="2"/>
          <w:sz w:val="32"/>
          <w:szCs w:val="32"/>
          <w:highlight w:val="none"/>
          <w:shd w:val="clear" w:color="auto" w:fill="auto"/>
          <w:lang w:val="en-US" w:eastAsia="zh-CN" w:bidi="ar-SA"/>
        </w:rPr>
        <w:t>省在畜禽养殖污染防治方面也开展了大量工作，出台了《四川省农业厅四川省环境保护厅关于进一步调整完善畜禽养殖禁养区划定工作的通知》（川农函〔201</w:t>
      </w:r>
      <w:r>
        <w:rPr>
          <w:rFonts w:hint="eastAsia" w:ascii="仿宋" w:hAnsi="仿宋" w:eastAsia="仿宋_GB2312" w:cs="Times New Roman"/>
          <w:kern w:val="2"/>
          <w:sz w:val="32"/>
          <w:szCs w:val="32"/>
          <w:highlight w:val="none"/>
          <w:shd w:val="clear" w:color="auto" w:fill="auto"/>
          <w:lang w:val="en-US" w:eastAsia="zh-CN" w:bidi="ar-SA"/>
        </w:rPr>
        <w:t>8</w:t>
      </w:r>
      <w:r>
        <w:rPr>
          <w:rFonts w:hint="default" w:ascii="仿宋" w:hAnsi="仿宋" w:eastAsia="仿宋_GB2312" w:cs="Times New Roman"/>
          <w:kern w:val="2"/>
          <w:sz w:val="32"/>
          <w:szCs w:val="32"/>
          <w:highlight w:val="none"/>
          <w:shd w:val="clear" w:color="auto" w:fill="auto"/>
          <w:lang w:val="en-US" w:eastAsia="zh-CN" w:bidi="ar-SA"/>
        </w:rPr>
        <w:t>〕118 号）</w:t>
      </w:r>
      <w:r>
        <w:rPr>
          <w:rFonts w:hint="eastAsia" w:ascii="仿宋" w:hAnsi="仿宋" w:eastAsia="仿宋_GB2312" w:cs="Times New Roman"/>
          <w:kern w:val="2"/>
          <w:sz w:val="32"/>
          <w:szCs w:val="32"/>
          <w:highlight w:val="none"/>
          <w:shd w:val="clear" w:color="auto" w:fill="auto"/>
          <w:lang w:val="en-US" w:eastAsia="zh-CN" w:bidi="ar-SA"/>
        </w:rPr>
        <w:t>、</w:t>
      </w:r>
      <w:r>
        <w:rPr>
          <w:rFonts w:hint="default" w:ascii="仿宋" w:hAnsi="仿宋" w:eastAsia="仿宋_GB2312" w:cs="Times New Roman"/>
          <w:kern w:val="2"/>
          <w:sz w:val="32"/>
          <w:szCs w:val="32"/>
          <w:highlight w:val="none"/>
          <w:shd w:val="clear" w:color="auto" w:fill="auto"/>
          <w:lang w:val="en-US" w:eastAsia="zh-CN" w:bidi="ar-SA"/>
        </w:rPr>
        <w:t>四川省环境保护厅、四川省畜牧食品局《关于加强畜禽养殖业污染防治推进生态畜牧业发展的意见》（川环发〔201</w:t>
      </w:r>
      <w:r>
        <w:rPr>
          <w:rFonts w:hint="eastAsia" w:ascii="仿宋" w:hAnsi="仿宋" w:eastAsia="仿宋_GB2312" w:cs="Times New Roman"/>
          <w:kern w:val="2"/>
          <w:sz w:val="32"/>
          <w:szCs w:val="32"/>
          <w:highlight w:val="none"/>
          <w:shd w:val="clear" w:color="auto" w:fill="auto"/>
          <w:lang w:val="en-US" w:eastAsia="zh-CN" w:bidi="ar-SA"/>
        </w:rPr>
        <w:t>2</w:t>
      </w:r>
      <w:r>
        <w:rPr>
          <w:rFonts w:hint="default" w:ascii="仿宋" w:hAnsi="仿宋" w:eastAsia="仿宋_GB2312" w:cs="Times New Roman"/>
          <w:kern w:val="2"/>
          <w:sz w:val="32"/>
          <w:szCs w:val="32"/>
          <w:highlight w:val="none"/>
          <w:shd w:val="clear" w:color="auto" w:fill="auto"/>
          <w:lang w:val="en-US" w:eastAsia="zh-CN" w:bidi="ar-SA"/>
        </w:rPr>
        <w:t>〕14号）、四川省农业厅、四川省环境保护厅《关于印发四川省畜禽养殖污染防治技术指南（试行）的通知》</w:t>
      </w:r>
      <w:r>
        <w:rPr>
          <w:rFonts w:hint="eastAsia" w:ascii="仿宋" w:hAnsi="仿宋" w:eastAsia="仿宋_GB2312" w:cs="Times New Roman"/>
          <w:kern w:val="2"/>
          <w:sz w:val="32"/>
          <w:szCs w:val="32"/>
          <w:highlight w:val="none"/>
          <w:shd w:val="clear" w:color="auto" w:fill="auto"/>
          <w:lang w:val="en-US" w:eastAsia="zh-CN" w:bidi="ar-SA"/>
        </w:rPr>
        <w:t>，加强四川省畜禽养殖污染防治工作。</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旺苍县将畜禽养殖污染防治作为农村环境保护工作的一项重要内容，强化以畜禽养殖污染治理为重点的农业面源治理，推进农村生态环境建设，深化畜牧业转型升级，开展了一系列卓有成效的工作，促进生态循环农业发展，实现畜牧业生产与农村经济全面协调可持续发展，解决了一些突出的环境污染问题，切实改善了环境质量。</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1、不断完善畜禽养殖管理机制</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旺苍县根据畜禽养殖业转型升级和发展要求，相继编制出台了《旺苍县畜禽养殖禁养区划定方案》、《旺苍县畜禽养殖禁养区养殖场拆除专项行动方案》、《旺苍县“十四五”畜牧业发展规划》等有关文件，科学划分三个空间分区：禁养区、限养区、适养区，引导畜禽养殖业远离各主要生态保护区、饮用水水源保护区、城镇建成区，进一步优化养殖场分布。通过结合“三改一拆”、“五水共治”等工作，加大违建猪（禽）舍拆除力度，开展低小散养殖密集村整治，倒逼养殖业转型升级。对保留和新建的规模化生态养殖场，实施统一规划布局、严格落实防治措施，强化疫病防控，强化执法监管。</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2、大力推广生态循环养殖模式</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坚持“畜牧进山、养殖上山”发展战略深入推进以“农林牧渔结合、资源循环利用”为主要内容的畜牧业生态化建设，因地制宜，坚持把发展种养结合、农牧一体的生态</w:t>
      </w:r>
      <w:r>
        <w:rPr>
          <w:rFonts w:hint="eastAsia" w:ascii="仿宋" w:hAnsi="仿宋" w:eastAsia="仿宋_GB2312" w:cs="Times New Roman"/>
          <w:kern w:val="2"/>
          <w:sz w:val="32"/>
          <w:szCs w:val="32"/>
          <w:highlight w:val="none"/>
          <w:shd w:val="clear" w:color="auto" w:fill="auto"/>
          <w:lang w:val="en-US" w:eastAsia="zh-CN" w:bidi="ar-SA"/>
        </w:rPr>
        <w:fldChar w:fldCharType="begin"/>
      </w:r>
      <w:r>
        <w:rPr>
          <w:rFonts w:hint="eastAsia" w:ascii="仿宋" w:hAnsi="仿宋" w:eastAsia="仿宋_GB2312" w:cs="Times New Roman"/>
          <w:kern w:val="2"/>
          <w:sz w:val="32"/>
          <w:szCs w:val="32"/>
          <w:highlight w:val="none"/>
          <w:shd w:val="clear" w:color="auto" w:fill="auto"/>
          <w:lang w:val="en-US" w:eastAsia="zh-CN" w:bidi="ar-SA"/>
        </w:rPr>
        <w:instrText xml:space="preserve"> HYPERLINK "http://www.chinafarming.com" \t "_blank" </w:instrText>
      </w:r>
      <w:r>
        <w:rPr>
          <w:rFonts w:hint="eastAsia" w:ascii="仿宋" w:hAnsi="仿宋" w:eastAsia="仿宋_GB2312" w:cs="Times New Roman"/>
          <w:kern w:val="2"/>
          <w:sz w:val="32"/>
          <w:szCs w:val="32"/>
          <w:highlight w:val="none"/>
          <w:shd w:val="clear" w:color="auto" w:fill="auto"/>
          <w:lang w:val="en-US" w:eastAsia="zh-CN" w:bidi="ar-SA"/>
        </w:rPr>
        <w:fldChar w:fldCharType="separate"/>
      </w:r>
      <w:r>
        <w:rPr>
          <w:rFonts w:hint="eastAsia" w:ascii="仿宋" w:hAnsi="仿宋" w:eastAsia="仿宋_GB2312" w:cs="Times New Roman"/>
          <w:kern w:val="2"/>
          <w:sz w:val="32"/>
          <w:szCs w:val="32"/>
          <w:highlight w:val="none"/>
          <w:shd w:val="clear" w:color="auto" w:fill="auto"/>
          <w:lang w:val="en-US" w:eastAsia="zh-CN" w:bidi="ar-SA"/>
        </w:rPr>
        <w:t>畜牧</w:t>
      </w:r>
      <w:r>
        <w:rPr>
          <w:rFonts w:hint="eastAsia" w:ascii="仿宋" w:hAnsi="仿宋" w:eastAsia="仿宋_GB2312" w:cs="Times New Roman"/>
          <w:kern w:val="2"/>
          <w:sz w:val="32"/>
          <w:szCs w:val="32"/>
          <w:highlight w:val="none"/>
          <w:shd w:val="clear" w:color="auto" w:fill="auto"/>
          <w:lang w:val="en-US" w:eastAsia="zh-CN" w:bidi="ar-SA"/>
        </w:rPr>
        <w:fldChar w:fldCharType="end"/>
      </w:r>
      <w:r>
        <w:rPr>
          <w:rFonts w:hint="eastAsia" w:ascii="仿宋" w:hAnsi="仿宋" w:eastAsia="仿宋_GB2312" w:cs="Times New Roman"/>
          <w:kern w:val="2"/>
          <w:sz w:val="32"/>
          <w:szCs w:val="32"/>
          <w:highlight w:val="none"/>
          <w:shd w:val="clear" w:color="auto" w:fill="auto"/>
          <w:lang w:val="en-US" w:eastAsia="zh-CN" w:bidi="ar-SA"/>
        </w:rPr>
        <w:t>业作为现代畜牧业转型升级的重要抓手，示范推广 “畜—沼—作物”等生态循环种养模式，通过政策引导、示范带动、项目拉动等措施，培育出了一批“猪（牛）—沼—作物”生态循环农业示范基地等精品生态示范养殖示范点。</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3、规范推进区域定点养殖场地建设</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根据生态畜牧业发展和布局规划，按照“畜牧进山、养殖上山”的基本原则和“农牧结合、循环利用、达标排放”的总体要求，旺苍县开展区域定点畜禽养殖工作，对新建畜禽养殖场一律统一建设标准、实行定点集中养殖，并按规范配套畜禽排泄物和病死动物无害化处理设施。</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4、科学制定《畜禽养殖废弃物综合利用试点方案》</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按照“政府支持、企业运作”的思路，组建沼液异地消纳利用的社会服务中介组织，建设沼液贮液池，购置沼液运送车，建立就地消纳与区域性沼液配送相结合的畜禽排泄物资源化利用机制，逐步构建生态循环大农业产业体系。同时按照减量化、生态化、资源化的治污原则，建立就地消纳、就近利用、异地利用三种循环模式的试点样板，树立生态循环利用典范。</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5、引导提升养殖场污染治理水平</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对禁养区外的畜禽规模养殖场，结合其场地、设施等实际情况，逐场逐户制定“一场一策”畜禽养殖污染治理方案，督促禁养区外各养殖业主尽快建立和完善“二分离三配套”治污设施，落实排污设施改造、种养对接、生态消纳地等措施。</w:t>
      </w:r>
    </w:p>
    <w:p>
      <w:pPr>
        <w:pStyle w:val="14"/>
        <w:spacing w:after="0" w:line="240" w:lineRule="auto"/>
        <w:ind w:left="0" w:leftChars="0" w:right="0" w:rightChars="0" w:firstLine="643" w:firstLineChars="200"/>
        <w:outlineLvl w:val="3"/>
        <w:rPr>
          <w:rFonts w:hint="eastAsia" w:ascii="仿宋" w:hAnsi="仿宋" w:cs="Times New Roman"/>
          <w:b/>
          <w:bCs/>
          <w:szCs w:val="32"/>
          <w:highlight w:val="none"/>
          <w:shd w:val="clear" w:color="auto" w:fill="auto"/>
          <w:lang w:val="en-US" w:eastAsia="zh-CN"/>
        </w:rPr>
      </w:pPr>
      <w:bookmarkStart w:id="48" w:name="_Toc6199"/>
      <w:r>
        <w:rPr>
          <w:rFonts w:hint="eastAsia" w:ascii="仿宋" w:hAnsi="仿宋" w:cs="Times New Roman"/>
          <w:b/>
          <w:bCs/>
          <w:szCs w:val="32"/>
          <w:highlight w:val="none"/>
          <w:shd w:val="clear" w:color="auto" w:fill="auto"/>
          <w:lang w:val="en-US" w:eastAsia="zh-CN"/>
        </w:rPr>
        <w:t>（二）</w:t>
      </w:r>
      <w:bookmarkEnd w:id="48"/>
      <w:r>
        <w:rPr>
          <w:rFonts w:hint="eastAsia" w:ascii="仿宋" w:hAnsi="仿宋" w:cs="Times New Roman"/>
          <w:b/>
          <w:bCs/>
          <w:szCs w:val="32"/>
          <w:highlight w:val="none"/>
          <w:shd w:val="clear" w:color="auto" w:fill="auto"/>
          <w:lang w:val="en-US" w:eastAsia="zh-CN"/>
        </w:rPr>
        <w:t>健全畜禽养殖污染防治规划工作机制</w:t>
      </w:r>
    </w:p>
    <w:p>
      <w:pPr>
        <w:pStyle w:val="14"/>
        <w:spacing w:after="0" w:line="240" w:lineRule="auto"/>
        <w:ind w:left="0" w:leftChars="0" w:right="0" w:rightChars="0" w:firstLine="640" w:firstLineChars="200"/>
        <w:rPr>
          <w:rFonts w:hint="eastAsia" w:ascii="仿宋" w:hAnsi="仿宋" w:eastAsia="仿宋_GB2312"/>
          <w:b w:val="0"/>
          <w:bCs/>
          <w:sz w:val="32"/>
          <w:szCs w:val="32"/>
          <w:highlight w:val="none"/>
          <w:shd w:val="clear" w:color="auto" w:fill="auto"/>
        </w:rPr>
      </w:pPr>
      <w:r>
        <w:rPr>
          <w:rFonts w:hint="eastAsia" w:ascii="仿宋" w:hAnsi="仿宋"/>
          <w:b w:val="0"/>
          <w:bCs/>
          <w:sz w:val="32"/>
          <w:szCs w:val="32"/>
          <w:highlight w:val="none"/>
          <w:shd w:val="clear" w:color="auto" w:fill="auto"/>
          <w:lang w:val="en-US" w:eastAsia="zh-CN"/>
        </w:rPr>
        <w:t>出台</w:t>
      </w:r>
      <w:r>
        <w:rPr>
          <w:rFonts w:hint="eastAsia" w:ascii="仿宋" w:hAnsi="仿宋" w:eastAsia="仿宋_GB2312"/>
          <w:b w:val="0"/>
          <w:bCs/>
          <w:sz w:val="32"/>
          <w:szCs w:val="32"/>
          <w:highlight w:val="none"/>
          <w:shd w:val="clear" w:color="auto" w:fill="auto"/>
        </w:rPr>
        <w:t>《旺苍县十三五畜禽养殖污染防治规划》（旺环发〔2017〕96号）、《旺苍县畜禽养殖环境污染治理实施方案》（旺农业〔2017〕63号）、《旺苍县畜禽养殖废弃物资源化处理与利用实施方案》（旺农业〔2018〕51号）等一系列</w:t>
      </w:r>
      <w:r>
        <w:rPr>
          <w:rFonts w:hint="eastAsia" w:ascii="仿宋" w:hAnsi="仿宋"/>
          <w:b w:val="0"/>
          <w:bCs/>
          <w:sz w:val="32"/>
          <w:szCs w:val="32"/>
          <w:highlight w:val="none"/>
          <w:shd w:val="clear" w:color="auto" w:fill="auto"/>
          <w:lang w:val="en-US" w:eastAsia="zh-CN"/>
        </w:rPr>
        <w:t>污染防治方针和政策。全县严格按照</w:t>
      </w:r>
      <w:r>
        <w:rPr>
          <w:rFonts w:hint="eastAsia" w:ascii="仿宋" w:hAnsi="仿宋" w:eastAsia="仿宋_GB2312"/>
          <w:b w:val="0"/>
          <w:bCs/>
          <w:sz w:val="32"/>
          <w:szCs w:val="32"/>
          <w:highlight w:val="none"/>
          <w:shd w:val="clear" w:color="auto" w:fill="auto"/>
        </w:rPr>
        <w:t>相关文件执行，落实了工作措施。</w:t>
      </w:r>
    </w:p>
    <w:p>
      <w:pPr>
        <w:pStyle w:val="14"/>
        <w:spacing w:after="0" w:line="240" w:lineRule="auto"/>
        <w:ind w:left="0" w:leftChars="0" w:right="0" w:rightChars="0" w:firstLine="640" w:firstLineChars="200"/>
        <w:rPr>
          <w:rFonts w:hint="eastAsia" w:ascii="仿宋" w:hAnsi="仿宋"/>
          <w:b w:val="0"/>
          <w:bCs/>
          <w:sz w:val="32"/>
          <w:szCs w:val="32"/>
          <w:highlight w:val="none"/>
          <w:shd w:val="clear" w:color="auto" w:fill="auto"/>
          <w:lang w:eastAsia="zh-CN"/>
        </w:rPr>
      </w:pPr>
      <w:r>
        <w:rPr>
          <w:rFonts w:hint="eastAsia" w:ascii="仿宋" w:hAnsi="仿宋"/>
          <w:b w:val="0"/>
          <w:bCs/>
          <w:sz w:val="32"/>
          <w:szCs w:val="32"/>
          <w:highlight w:val="none"/>
          <w:shd w:val="clear" w:color="auto" w:fill="auto"/>
          <w:lang w:val="en-US" w:eastAsia="zh-CN"/>
        </w:rPr>
        <w:t>严格审批畜禽养殖场。</w:t>
      </w:r>
      <w:r>
        <w:rPr>
          <w:rFonts w:hint="eastAsia" w:ascii="仿宋" w:hAnsi="仿宋" w:eastAsia="仿宋_GB2312"/>
          <w:b w:val="0"/>
          <w:bCs/>
          <w:sz w:val="32"/>
          <w:szCs w:val="32"/>
          <w:highlight w:val="none"/>
          <w:shd w:val="clear" w:color="auto" w:fill="auto"/>
        </w:rPr>
        <w:t>对新建（改扩建）养殖场，严格《旺苍县畜禽养殖区域划定方案》（旺府办函〔2018〕74号）文件审批，促进源头减量</w:t>
      </w:r>
      <w:r>
        <w:rPr>
          <w:rFonts w:hint="eastAsia" w:ascii="仿宋" w:hAnsi="仿宋"/>
          <w:b w:val="0"/>
          <w:bCs/>
          <w:sz w:val="32"/>
          <w:szCs w:val="32"/>
          <w:highlight w:val="none"/>
          <w:shd w:val="clear" w:color="auto" w:fill="auto"/>
          <w:lang w:eastAsia="zh-CN"/>
        </w:rPr>
        <w:t>。</w:t>
      </w:r>
    </w:p>
    <w:p>
      <w:pPr>
        <w:pStyle w:val="14"/>
        <w:spacing w:after="0" w:line="240" w:lineRule="auto"/>
        <w:ind w:left="0" w:leftChars="0" w:right="0" w:rightChars="0" w:firstLine="640" w:firstLineChars="200"/>
        <w:rPr>
          <w:rFonts w:hint="eastAsia" w:ascii="仿宋" w:hAnsi="仿宋" w:eastAsia="仿宋_GB2312"/>
          <w:b w:val="0"/>
          <w:bCs/>
          <w:sz w:val="32"/>
          <w:szCs w:val="32"/>
          <w:highlight w:val="none"/>
          <w:shd w:val="clear" w:color="auto" w:fill="auto"/>
        </w:rPr>
      </w:pPr>
      <w:r>
        <w:rPr>
          <w:rFonts w:hint="eastAsia" w:ascii="仿宋" w:hAnsi="仿宋" w:eastAsia="仿宋_GB2312"/>
          <w:b w:val="0"/>
          <w:bCs/>
          <w:sz w:val="32"/>
          <w:szCs w:val="32"/>
          <w:highlight w:val="none"/>
          <w:shd w:val="clear" w:color="auto" w:fill="auto"/>
        </w:rPr>
        <w:t>加强执法监管</w:t>
      </w:r>
      <w:r>
        <w:rPr>
          <w:rFonts w:hint="eastAsia" w:ascii="仿宋" w:hAnsi="仿宋"/>
          <w:b w:val="0"/>
          <w:bCs/>
          <w:sz w:val="32"/>
          <w:szCs w:val="32"/>
          <w:highlight w:val="none"/>
          <w:shd w:val="clear" w:color="auto" w:fill="auto"/>
          <w:lang w:val="en-US" w:eastAsia="zh-CN"/>
        </w:rPr>
        <w:t>力度</w:t>
      </w:r>
      <w:r>
        <w:rPr>
          <w:rFonts w:hint="eastAsia" w:ascii="仿宋" w:hAnsi="仿宋"/>
          <w:b w:val="0"/>
          <w:bCs/>
          <w:sz w:val="32"/>
          <w:szCs w:val="32"/>
          <w:highlight w:val="none"/>
          <w:shd w:val="clear" w:color="auto" w:fill="auto"/>
          <w:lang w:eastAsia="zh-CN"/>
        </w:rPr>
        <w:t>。</w:t>
      </w:r>
      <w:r>
        <w:rPr>
          <w:rFonts w:hint="eastAsia" w:ascii="仿宋" w:hAnsi="仿宋"/>
          <w:b w:val="0"/>
          <w:bCs/>
          <w:sz w:val="32"/>
          <w:szCs w:val="32"/>
          <w:highlight w:val="none"/>
          <w:shd w:val="clear" w:color="auto" w:fill="auto"/>
          <w:lang w:val="en-US" w:eastAsia="zh-CN"/>
        </w:rPr>
        <w:t>提高了对</w:t>
      </w:r>
      <w:r>
        <w:rPr>
          <w:rFonts w:hint="eastAsia" w:ascii="仿宋" w:hAnsi="仿宋" w:eastAsia="仿宋_GB2312"/>
          <w:b w:val="0"/>
          <w:bCs/>
          <w:sz w:val="32"/>
          <w:szCs w:val="32"/>
          <w:highlight w:val="none"/>
          <w:shd w:val="clear" w:color="auto" w:fill="auto"/>
        </w:rPr>
        <w:t>《畜牧法》、《动物防疫法》、《畜禽规模养殖污染防治条例》、《环境保护法》的宣传力度，加强执法监管和违法案件打击力度，防止畜禽养殖污染物超标排放、乱排乱放、防止病源微生物扩散传播；加大畜禽污染物处理，利用技术的推广应用，确保畜禽粪污的科学处理和合理利用。</w:t>
      </w:r>
    </w:p>
    <w:p>
      <w:pPr>
        <w:pStyle w:val="14"/>
        <w:spacing w:after="0" w:line="240" w:lineRule="auto"/>
        <w:ind w:left="0" w:leftChars="0" w:right="0" w:rightChars="0" w:firstLine="643" w:firstLineChars="200"/>
        <w:outlineLvl w:val="3"/>
        <w:rPr>
          <w:rFonts w:hint="eastAsia" w:ascii="仿宋" w:hAnsi="仿宋" w:cs="Times New Roman"/>
          <w:b/>
          <w:bCs/>
          <w:szCs w:val="32"/>
          <w:highlight w:val="none"/>
          <w:shd w:val="clear" w:color="auto" w:fill="auto"/>
          <w:lang w:val="en-US" w:eastAsia="zh-CN"/>
        </w:rPr>
      </w:pPr>
      <w:r>
        <w:rPr>
          <w:rFonts w:hint="eastAsia" w:ascii="仿宋" w:hAnsi="仿宋" w:cs="Times New Roman"/>
          <w:b/>
          <w:bCs/>
          <w:szCs w:val="32"/>
          <w:highlight w:val="none"/>
          <w:shd w:val="clear" w:color="auto" w:fill="auto"/>
          <w:lang w:val="en-US" w:eastAsia="zh-CN"/>
        </w:rPr>
        <w:t>（三）加强养殖污染监管</w:t>
      </w:r>
    </w:p>
    <w:p>
      <w:pPr>
        <w:pStyle w:val="14"/>
        <w:spacing w:after="0" w:line="240" w:lineRule="auto"/>
        <w:ind w:left="0" w:leftChars="0" w:right="0" w:rightChars="0" w:firstLine="640" w:firstLineChars="200"/>
        <w:rPr>
          <w:rFonts w:hint="eastAsia" w:ascii="仿宋" w:hAnsi="仿宋" w:eastAsia="仿宋_GB2312"/>
          <w:b w:val="0"/>
          <w:bCs/>
          <w:sz w:val="32"/>
          <w:szCs w:val="32"/>
          <w:highlight w:val="none"/>
          <w:shd w:val="clear" w:color="auto" w:fill="auto"/>
        </w:rPr>
      </w:pPr>
      <w:r>
        <w:rPr>
          <w:rFonts w:hint="eastAsia" w:ascii="仿宋" w:hAnsi="仿宋" w:eastAsia="仿宋_GB2312"/>
          <w:b w:val="0"/>
          <w:bCs/>
          <w:sz w:val="32"/>
          <w:szCs w:val="32"/>
          <w:highlight w:val="none"/>
          <w:shd w:val="clear" w:color="auto" w:fill="auto"/>
        </w:rPr>
        <w:t>将规模以上畜禽养殖场纳入重点污染源管理，依法执行环评和排污许可制度。巩固禁养区内的畜禽养殖场</w:t>
      </w:r>
      <w:r>
        <w:rPr>
          <w:rFonts w:hint="eastAsia" w:ascii="仿宋" w:hAnsi="仿宋"/>
          <w:b w:val="0"/>
          <w:bCs/>
          <w:sz w:val="32"/>
          <w:szCs w:val="32"/>
          <w:highlight w:val="none"/>
          <w:shd w:val="clear" w:color="auto" w:fill="auto"/>
          <w:lang w:eastAsia="zh-CN"/>
        </w:rPr>
        <w:t>（</w:t>
      </w:r>
      <w:r>
        <w:rPr>
          <w:rFonts w:hint="eastAsia" w:ascii="仿宋" w:hAnsi="仿宋" w:eastAsia="仿宋_GB2312"/>
          <w:b w:val="0"/>
          <w:bCs/>
          <w:sz w:val="32"/>
          <w:szCs w:val="32"/>
          <w:highlight w:val="none"/>
          <w:shd w:val="clear" w:color="auto" w:fill="auto"/>
        </w:rPr>
        <w:t>小区</w:t>
      </w:r>
      <w:r>
        <w:rPr>
          <w:rFonts w:hint="eastAsia" w:ascii="仿宋" w:hAnsi="仿宋"/>
          <w:b w:val="0"/>
          <w:bCs/>
          <w:sz w:val="32"/>
          <w:szCs w:val="32"/>
          <w:highlight w:val="none"/>
          <w:shd w:val="clear" w:color="auto" w:fill="auto"/>
          <w:lang w:eastAsia="zh-CN"/>
        </w:rPr>
        <w:t>）</w:t>
      </w:r>
      <w:r>
        <w:rPr>
          <w:rFonts w:hint="eastAsia" w:ascii="仿宋" w:hAnsi="仿宋" w:eastAsia="仿宋_GB2312"/>
          <w:b w:val="0"/>
          <w:bCs/>
          <w:sz w:val="32"/>
          <w:szCs w:val="32"/>
          <w:highlight w:val="none"/>
          <w:shd w:val="clear" w:color="auto" w:fill="auto"/>
        </w:rPr>
        <w:t>关闭、搬迁成果。完善畜禽规模养殖场直联直报信息系统，构建统一管理、分级使用、共享直联的监管平台。执行《畜禽粪污土地承载力测算技术指南》，养殖规模超过土地承载能力的养殖场要合理建设异位发酵床处理粪污或与第三方签订粪污消纳协议。将畜禽废弃物治理与资源化利用量纳入污染物减排总量核算。</w:t>
      </w:r>
    </w:p>
    <w:p>
      <w:pPr>
        <w:pStyle w:val="14"/>
        <w:spacing w:after="0" w:line="240" w:lineRule="auto"/>
        <w:ind w:left="0" w:leftChars="0" w:right="0" w:rightChars="0" w:firstLine="643" w:firstLineChars="200"/>
        <w:outlineLvl w:val="3"/>
        <w:rPr>
          <w:rFonts w:hint="eastAsia" w:ascii="仿宋" w:hAnsi="仿宋" w:cs="Times New Roman"/>
          <w:b/>
          <w:bCs/>
          <w:szCs w:val="32"/>
          <w:highlight w:val="none"/>
          <w:shd w:val="clear" w:color="auto" w:fill="auto"/>
          <w:lang w:val="en-US" w:eastAsia="zh-CN"/>
        </w:rPr>
      </w:pPr>
      <w:r>
        <w:rPr>
          <w:rFonts w:hint="eastAsia" w:ascii="仿宋" w:hAnsi="仿宋" w:cs="Times New Roman"/>
          <w:b/>
          <w:bCs/>
          <w:szCs w:val="32"/>
          <w:highlight w:val="none"/>
          <w:shd w:val="clear" w:color="auto" w:fill="auto"/>
          <w:lang w:val="en-US" w:eastAsia="zh-CN"/>
        </w:rPr>
        <w:t>（四）推进畜禽粪污资源化利用</w:t>
      </w:r>
    </w:p>
    <w:p>
      <w:pPr>
        <w:pStyle w:val="14"/>
        <w:spacing w:after="0" w:line="240" w:lineRule="auto"/>
        <w:ind w:left="0" w:leftChars="0" w:right="0" w:rightChars="0" w:firstLine="640" w:firstLineChars="200"/>
        <w:rPr>
          <w:rFonts w:hint="eastAsia" w:ascii="仿宋" w:hAnsi="仿宋" w:eastAsia="仿宋" w:cs="仿宋"/>
          <w:b w:val="0"/>
          <w:bCs/>
          <w:color w:val="auto"/>
          <w:sz w:val="32"/>
          <w:szCs w:val="32"/>
          <w:highlight w:val="none"/>
          <w:lang w:val="en-US" w:eastAsia="zh-CN"/>
        </w:rPr>
      </w:pPr>
      <w:r>
        <w:rPr>
          <w:rFonts w:hint="eastAsia" w:ascii="仿宋" w:hAnsi="仿宋" w:eastAsia="仿宋_GB2312" w:cs="仿宋_GB2312"/>
          <w:b w:val="0"/>
          <w:bCs/>
          <w:color w:val="auto"/>
          <w:sz w:val="32"/>
          <w:szCs w:val="32"/>
          <w:highlight w:val="none"/>
          <w:lang w:val="en-US" w:eastAsia="zh-CN"/>
        </w:rPr>
        <w:t>结合项目建设，扎实推进</w:t>
      </w:r>
      <w:r>
        <w:rPr>
          <w:rFonts w:hint="eastAsia" w:ascii="仿宋" w:hAnsi="仿宋" w:eastAsia="仿宋_GB2312" w:cs="仿宋_GB2312"/>
          <w:b w:val="0"/>
          <w:bCs/>
          <w:color w:val="000000"/>
          <w:sz w:val="32"/>
          <w:szCs w:val="32"/>
          <w:highlight w:val="none"/>
        </w:rPr>
        <w:t>畜禽养殖</w:t>
      </w:r>
      <w:r>
        <w:rPr>
          <w:rFonts w:hint="eastAsia" w:ascii="仿宋" w:hAnsi="仿宋" w:eastAsia="仿宋_GB2312" w:cs="仿宋_GB2312"/>
          <w:b w:val="0"/>
          <w:bCs/>
          <w:color w:val="000000"/>
          <w:sz w:val="32"/>
          <w:szCs w:val="32"/>
          <w:highlight w:val="none"/>
          <w:lang w:eastAsia="zh-CN"/>
        </w:rPr>
        <w:t>污染防治，实现粪污资源化利用。</w:t>
      </w:r>
      <w:r>
        <w:rPr>
          <w:rFonts w:hint="eastAsia" w:ascii="仿宋" w:hAnsi="仿宋" w:eastAsia="仿宋_GB2312" w:cs="仿宋_GB2312"/>
          <w:bCs/>
          <w:color w:val="000000"/>
          <w:sz w:val="32"/>
          <w:szCs w:val="32"/>
          <w:highlight w:val="none"/>
          <w:lang w:val="en-US" w:eastAsia="zh-CN"/>
        </w:rPr>
        <w:t>实施旺苍县畜禽粪污资源化利用整县推进项目，</w:t>
      </w:r>
      <w:r>
        <w:rPr>
          <w:rFonts w:hint="eastAsia" w:ascii="仿宋" w:hAnsi="仿宋" w:eastAsia="仿宋" w:cs="仿宋"/>
          <w:b w:val="0"/>
          <w:bCs/>
          <w:color w:val="auto"/>
          <w:sz w:val="32"/>
          <w:szCs w:val="32"/>
          <w:highlight w:val="none"/>
          <w:lang w:val="en-US" w:eastAsia="zh-CN"/>
        </w:rPr>
        <w:t>中央财政补助资金3500万元顺利到县财政，用于全县209个规模养殖场和第三方开展畜禽粪污资源化利用设施设备建设。</w:t>
      </w:r>
    </w:p>
    <w:p>
      <w:pPr>
        <w:pStyle w:val="14"/>
        <w:spacing w:after="0" w:line="240" w:lineRule="auto"/>
        <w:ind w:left="0" w:leftChars="0" w:right="0" w:rightChars="0" w:firstLine="640" w:firstLineChars="200"/>
        <w:rPr>
          <w:rFonts w:hint="eastAsia" w:ascii="仿宋" w:hAnsi="仿宋" w:eastAsia="仿宋_GB2312" w:cs="仿宋_GB2312"/>
          <w:b w:val="0"/>
          <w:bCs/>
          <w:color w:val="000000"/>
          <w:sz w:val="32"/>
          <w:szCs w:val="32"/>
          <w:highlight w:val="none"/>
          <w:lang w:eastAsia="zh-CN"/>
        </w:rPr>
      </w:pPr>
      <w:r>
        <w:rPr>
          <w:rFonts w:hint="eastAsia" w:ascii="仿宋" w:hAnsi="仿宋" w:cs="仿宋_GB2312"/>
          <w:b w:val="0"/>
          <w:bCs/>
          <w:color w:val="000000"/>
          <w:sz w:val="32"/>
          <w:szCs w:val="32"/>
          <w:highlight w:val="none"/>
          <w:lang w:val="en-US" w:eastAsia="zh-CN"/>
        </w:rPr>
        <w:t>开展</w:t>
      </w:r>
      <w:r>
        <w:rPr>
          <w:rFonts w:hint="eastAsia" w:ascii="仿宋" w:hAnsi="仿宋" w:eastAsia="仿宋_GB2312" w:cs="仿宋_GB2312"/>
          <w:b w:val="0"/>
          <w:bCs/>
          <w:color w:val="000000"/>
          <w:sz w:val="32"/>
          <w:szCs w:val="32"/>
          <w:highlight w:val="none"/>
          <w:lang w:eastAsia="zh-CN"/>
        </w:rPr>
        <w:t>农村人居环境整治工作，有效推进农村散养户和养殖专业户畜禽粪污进行资源化利用。将畜禽粪污资源化利用整县推进项目和农村人居环境整治工作有机结合，能实现规模养殖场、养殖专业户和散养户畜禽粪污资源化利用全覆盖。结合东凡园区建设项目、生猪调出大县奖励资金项目等项目进行全面、多方位的畜禽养殖污染防治工作，按照“种养结合、循环利用”的原则，有效实现畜禽粪污污染源变资源化利用。</w:t>
      </w:r>
    </w:p>
    <w:p>
      <w:pPr>
        <w:pStyle w:val="14"/>
        <w:spacing w:after="0" w:line="240" w:lineRule="auto"/>
        <w:ind w:left="0" w:leftChars="0" w:right="0" w:rightChars="0" w:firstLine="643" w:firstLineChars="200"/>
        <w:outlineLvl w:val="3"/>
        <w:rPr>
          <w:rFonts w:hint="eastAsia" w:ascii="仿宋" w:hAnsi="仿宋" w:cs="Times New Roman"/>
          <w:b/>
          <w:bCs/>
          <w:szCs w:val="32"/>
          <w:highlight w:val="none"/>
          <w:shd w:val="clear" w:color="auto" w:fill="auto"/>
          <w:lang w:val="en-US" w:eastAsia="zh-CN"/>
        </w:rPr>
      </w:pPr>
      <w:r>
        <w:rPr>
          <w:rFonts w:hint="eastAsia" w:ascii="仿宋" w:hAnsi="仿宋" w:cs="Times New Roman"/>
          <w:b/>
          <w:bCs/>
          <w:szCs w:val="32"/>
          <w:highlight w:val="none"/>
          <w:shd w:val="clear" w:color="auto" w:fill="auto"/>
          <w:lang w:val="en-US" w:eastAsia="zh-CN"/>
        </w:rPr>
        <w:t>（五）合理统筹农业农村产业发展布局</w:t>
      </w:r>
    </w:p>
    <w:p>
      <w:pPr>
        <w:pStyle w:val="14"/>
        <w:spacing w:after="0" w:line="240" w:lineRule="auto"/>
        <w:ind w:left="0" w:leftChars="0" w:right="0" w:rightChars="0" w:firstLine="640" w:firstLineChars="200"/>
        <w:rPr>
          <w:rFonts w:hint="eastAsia" w:ascii="仿宋" w:hAnsi="仿宋" w:eastAsia="仿宋_GB2312" w:cs="Times New Roman"/>
          <w:b w:val="0"/>
          <w:bCs/>
          <w:sz w:val="32"/>
          <w:szCs w:val="32"/>
          <w:highlight w:val="none"/>
          <w:shd w:val="clear" w:color="auto" w:fill="auto"/>
          <w:lang w:val="en-US" w:eastAsia="zh-CN"/>
        </w:rPr>
      </w:pPr>
      <w:r>
        <w:rPr>
          <w:rFonts w:hint="eastAsia" w:ascii="仿宋" w:hAnsi="仿宋" w:eastAsia="仿宋_GB2312" w:cs="Times New Roman"/>
          <w:b w:val="0"/>
          <w:bCs/>
          <w:sz w:val="32"/>
          <w:szCs w:val="32"/>
          <w:highlight w:val="none"/>
          <w:shd w:val="clear" w:color="auto" w:fill="auto"/>
          <w:lang w:val="en-US" w:eastAsia="zh-CN"/>
        </w:rPr>
        <w:t>促进粮食生产功能区和重要农产品生产保护区建设，积极推进特色农产品优势区建设，实现重要农产品和特色</w:t>
      </w:r>
      <w:r>
        <w:rPr>
          <w:rFonts w:hint="eastAsia" w:ascii="仿宋" w:hAnsi="仿宋" w:eastAsia="仿宋_GB2312" w:cs="Times New Roman"/>
          <w:kern w:val="2"/>
          <w:sz w:val="32"/>
          <w:szCs w:val="32"/>
          <w:highlight w:val="none"/>
          <w:shd w:val="clear" w:color="auto" w:fill="auto"/>
          <w:lang w:val="en-US" w:eastAsia="zh-CN" w:bidi="ar-SA"/>
        </w:rPr>
        <w:t>农产品向资源环境较好、生态系统稳定的优势区集中。依据土地消纳粪污能力合理确定养殖规模，适度调减水网密集区的畜禽养殖，引导畜牧业向环境容量大的地区转移，建立粪肥收集机制。严格落实畜禽养殖禁养区管理，严格落实水产养殖水域滩涂管理，严把养殖场新建（改扩建）审批关，依法开展环境影响评价。</w:t>
      </w:r>
    </w:p>
    <w:p>
      <w:pPr>
        <w:pStyle w:val="14"/>
        <w:spacing w:after="0" w:line="240" w:lineRule="auto"/>
        <w:ind w:left="0" w:leftChars="0" w:right="0" w:rightChars="0" w:firstLine="643" w:firstLineChars="200"/>
        <w:outlineLvl w:val="3"/>
        <w:rPr>
          <w:rFonts w:hint="eastAsia" w:ascii="仿宋" w:hAnsi="仿宋" w:cs="Times New Roman"/>
          <w:b/>
          <w:bCs/>
          <w:szCs w:val="32"/>
          <w:highlight w:val="none"/>
          <w:shd w:val="clear" w:color="auto" w:fill="auto"/>
          <w:lang w:val="en-US" w:eastAsia="zh-CN"/>
        </w:rPr>
      </w:pPr>
      <w:r>
        <w:rPr>
          <w:rFonts w:hint="eastAsia" w:ascii="仿宋" w:hAnsi="仿宋" w:cs="Times New Roman"/>
          <w:b/>
          <w:bCs/>
          <w:szCs w:val="32"/>
          <w:highlight w:val="none"/>
          <w:shd w:val="clear" w:color="auto" w:fill="auto"/>
          <w:lang w:val="en-US" w:eastAsia="zh-CN"/>
        </w:rPr>
        <w:t>（六）畜禽养殖污染防治实现有效治理</w:t>
      </w:r>
    </w:p>
    <w:p>
      <w:pPr>
        <w:pStyle w:val="14"/>
        <w:spacing w:after="0" w:line="240" w:lineRule="auto"/>
        <w:ind w:left="0" w:leftChars="0" w:right="0" w:rightChars="0" w:firstLine="640" w:firstLineChars="200"/>
        <w:rPr>
          <w:rFonts w:hint="default" w:ascii="仿宋" w:hAnsi="仿宋" w:cs="Times New Roman"/>
          <w:szCs w:val="32"/>
          <w:highlight w:val="none"/>
          <w:shd w:val="clear" w:color="auto" w:fill="auto"/>
          <w:lang w:val="en-US" w:eastAsia="zh-CN"/>
        </w:rPr>
      </w:pPr>
      <w:r>
        <w:rPr>
          <w:rFonts w:hint="eastAsia" w:ascii="仿宋" w:hAnsi="仿宋" w:eastAsia="仿宋_GB2312" w:cs="Times New Roman"/>
          <w:b w:val="0"/>
          <w:bCs/>
          <w:sz w:val="32"/>
          <w:szCs w:val="32"/>
          <w:highlight w:val="none"/>
          <w:shd w:val="clear" w:color="auto" w:fill="auto"/>
          <w:lang w:val="en-US" w:eastAsia="zh-CN"/>
        </w:rPr>
        <w:t>将东河、关门水库等重要饮用水水源地、河流等敏感区域作为重点治理区</w:t>
      </w:r>
      <w:r>
        <w:rPr>
          <w:rFonts w:hint="eastAsia" w:ascii="仿宋" w:hAnsi="仿宋" w:eastAsia="仿宋_GB2312" w:cs="Times New Roman"/>
          <w:kern w:val="2"/>
          <w:sz w:val="32"/>
          <w:szCs w:val="32"/>
          <w:highlight w:val="none"/>
          <w:lang w:val="en-US" w:eastAsia="zh-CN" w:bidi="ar-SA"/>
        </w:rPr>
        <w:t>域，以乡镇为单位集中连片开展农业农村面源污染全覆盖、“拉网式”治理。严格控制畜禽养殖污染，强化规模养殖场粪污处理设施装备建设，基本实现畜禽粪污资源化利用。</w:t>
      </w:r>
    </w:p>
    <w:bookmarkEnd w:id="44"/>
    <w:bookmarkEnd w:id="46"/>
    <w:p>
      <w:pPr>
        <w:bidi w:val="0"/>
        <w:rPr>
          <w:rFonts w:ascii="仿宋" w:hAnsi="仿宋"/>
        </w:rPr>
      </w:pPr>
      <w:bookmarkStart w:id="49" w:name="_Toc19050"/>
    </w:p>
    <w:p>
      <w:pPr>
        <w:keepNext/>
        <w:keepLines/>
        <w:pageBreakBefore w:val="0"/>
        <w:widowControl w:val="0"/>
        <w:kinsoku/>
        <w:wordWrap/>
        <w:overflowPunct/>
        <w:topLinePunct w:val="0"/>
        <w:bidi w:val="0"/>
        <w:snapToGrid/>
        <w:spacing w:line="240" w:lineRule="auto"/>
        <w:ind w:firstLine="0" w:firstLineChars="0"/>
        <w:jc w:val="center"/>
        <w:textAlignment w:val="auto"/>
        <w:outlineLvl w:val="1"/>
        <w:rPr>
          <w:rFonts w:hint="default" w:ascii="仿宋" w:hAnsi="仿宋" w:eastAsia="仿宋" w:cs="Times New Roman"/>
          <w:b/>
          <w:color w:val="auto"/>
          <w:kern w:val="2"/>
          <w:sz w:val="36"/>
          <w:szCs w:val="36"/>
          <w:highlight w:val="none"/>
          <w:shd w:val="clear" w:color="auto" w:fill="auto"/>
          <w:lang w:val="en-US" w:eastAsia="zh-CN" w:bidi="ar-SA"/>
        </w:rPr>
      </w:pPr>
      <w:bookmarkStart w:id="50" w:name="_Toc14945"/>
      <w:r>
        <w:rPr>
          <w:rFonts w:hint="eastAsia" w:ascii="仿宋" w:hAnsi="仿宋" w:eastAsia="仿宋" w:cs="Times New Roman"/>
          <w:b/>
          <w:color w:val="auto"/>
          <w:kern w:val="2"/>
          <w:sz w:val="36"/>
          <w:szCs w:val="36"/>
          <w:highlight w:val="none"/>
          <w:shd w:val="clear" w:color="auto" w:fill="auto"/>
          <w:lang w:val="en-US" w:eastAsia="zh-CN" w:bidi="ar-SA"/>
        </w:rPr>
        <w:t>第五节 污染防治</w:t>
      </w:r>
      <w:bookmarkEnd w:id="49"/>
      <w:r>
        <w:rPr>
          <w:rFonts w:hint="eastAsia" w:ascii="仿宋" w:hAnsi="仿宋" w:eastAsia="仿宋" w:cs="Times New Roman"/>
          <w:b/>
          <w:color w:val="auto"/>
          <w:kern w:val="2"/>
          <w:sz w:val="36"/>
          <w:szCs w:val="36"/>
          <w:highlight w:val="none"/>
          <w:shd w:val="clear" w:color="auto" w:fill="auto"/>
          <w:lang w:val="en-US" w:eastAsia="zh-CN" w:bidi="ar-SA"/>
        </w:rPr>
        <w:t>现状</w:t>
      </w:r>
      <w:bookmarkEnd w:id="50"/>
    </w:p>
    <w:p>
      <w:pPr>
        <w:keepNext/>
        <w:keepLines/>
        <w:pageBreakBefore w:val="0"/>
        <w:widowControl w:val="0"/>
        <w:kinsoku/>
        <w:wordWrap/>
        <w:overflowPunct/>
        <w:topLinePunct w:val="0"/>
        <w:autoSpaceDE/>
        <w:autoSpaceDN/>
        <w:bidi w:val="0"/>
        <w:adjustRightInd/>
        <w:snapToGrid/>
        <w:spacing w:line="240" w:lineRule="auto"/>
        <w:ind w:firstLine="643" w:firstLineChars="200"/>
        <w:jc w:val="left"/>
        <w:textAlignment w:val="auto"/>
        <w:outlineLvl w:val="2"/>
        <w:rPr>
          <w:rFonts w:hint="eastAsia" w:ascii="仿宋" w:hAnsi="仿宋" w:eastAsia="仿宋" w:cs="Times New Roman"/>
          <w:b/>
          <w:bCs/>
          <w:color w:val="auto"/>
          <w:kern w:val="2"/>
          <w:sz w:val="32"/>
          <w:szCs w:val="32"/>
          <w:highlight w:val="none"/>
          <w:shd w:val="clear" w:color="auto" w:fill="auto"/>
          <w:lang w:val="en-US" w:eastAsia="zh-CN" w:bidi="ar-SA"/>
        </w:rPr>
      </w:pPr>
      <w:r>
        <w:rPr>
          <w:rFonts w:hint="eastAsia" w:ascii="仿宋" w:hAnsi="仿宋" w:eastAsia="仿宋" w:cs="Times New Roman"/>
          <w:b/>
          <w:bCs/>
          <w:color w:val="auto"/>
          <w:kern w:val="2"/>
          <w:sz w:val="32"/>
          <w:szCs w:val="32"/>
          <w:highlight w:val="none"/>
          <w:shd w:val="clear" w:color="auto" w:fill="auto"/>
          <w:lang w:val="en-US" w:eastAsia="zh-CN" w:bidi="ar-SA"/>
        </w:rPr>
        <w:t>一、养殖场户粪污处理情况</w:t>
      </w:r>
    </w:p>
    <w:p>
      <w:pPr>
        <w:pStyle w:val="14"/>
        <w:spacing w:after="0" w:line="240" w:lineRule="auto"/>
        <w:ind w:left="0" w:leftChars="0" w:right="0" w:rightChars="0" w:firstLine="640" w:firstLineChars="200"/>
        <w:rPr>
          <w:rFonts w:ascii="仿宋" w:hAnsi="仿宋"/>
          <w:highlight w:val="none"/>
        </w:rPr>
      </w:pPr>
      <w:r>
        <w:rPr>
          <w:rFonts w:hint="eastAsia" w:ascii="仿宋" w:hAnsi="仿宋"/>
          <w:szCs w:val="32"/>
          <w:highlight w:val="none"/>
          <w:shd w:val="clear" w:color="auto" w:fill="auto"/>
          <w:lang w:val="en-US" w:eastAsia="zh-CN"/>
        </w:rPr>
        <w:t>按照《四川省农业农村厅关于切实加快畜禽粪污资源化利用项目建设的通知》要求，旺苍县完成畜禽粪污资源化利用整县推进项目，已完善194个畜禽养殖场粪污处理设施设备，完成小、中、大循环粪污沼液利用示范点建设，完成区域畜禽粪污集中处理有机肥厂建设，建立沼液收运机制，完成旺苍县米氏生态养殖家庭农场、裕盛养殖专业合作社、张华镇王氏养殖家庭农场、四新生态农场、洪峰农业有限公司等5个小型沼气工程建设。</w:t>
      </w:r>
    </w:p>
    <w:p>
      <w:pPr>
        <w:pStyle w:val="115"/>
        <w:pageBreakBefore w:val="0"/>
        <w:widowControl w:val="0"/>
        <w:kinsoku/>
        <w:wordWrap/>
        <w:overflowPunct/>
        <w:topLinePunct w:val="0"/>
        <w:bidi w:val="0"/>
        <w:snapToGrid/>
        <w:spacing w:line="560" w:lineRule="exact"/>
        <w:jc w:val="center"/>
        <w:textAlignment w:val="auto"/>
        <w:outlineLvl w:val="7"/>
        <w:rPr>
          <w:rFonts w:hint="default" w:ascii="仿宋" w:hAnsi="仿宋" w:eastAsia="仿宋" w:cs="Times New Roman"/>
          <w:b/>
          <w:color w:val="auto"/>
          <w:sz w:val="28"/>
          <w:szCs w:val="28"/>
          <w:highlight w:val="none"/>
          <w:shd w:val="clear" w:color="auto" w:fill="auto"/>
          <w:lang w:val="en-US" w:eastAsia="zh-CN"/>
        </w:rPr>
      </w:pPr>
      <w:r>
        <w:rPr>
          <w:rFonts w:hint="eastAsia" w:ascii="仿宋" w:hAnsi="仿宋" w:eastAsia="仿宋" w:cs="Times New Roman"/>
          <w:b/>
          <w:color w:val="auto"/>
          <w:sz w:val="28"/>
          <w:szCs w:val="28"/>
          <w:highlight w:val="none"/>
          <w:shd w:val="clear" w:color="auto" w:fill="auto"/>
          <w:lang w:val="en-US" w:eastAsia="zh-CN"/>
        </w:rPr>
        <w:t>表2-5  旺苍县畜禽养殖场户清粪方式现状表</w:t>
      </w:r>
    </w:p>
    <w:tbl>
      <w:tblPr>
        <w:tblStyle w:val="34"/>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45"/>
        <w:gridCol w:w="1341"/>
        <w:gridCol w:w="793"/>
        <w:gridCol w:w="1060"/>
        <w:gridCol w:w="1060"/>
        <w:gridCol w:w="1060"/>
        <w:gridCol w:w="1060"/>
        <w:gridCol w:w="7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blHeader/>
          <w:jc w:val="center"/>
        </w:trPr>
        <w:tc>
          <w:tcPr>
            <w:tcW w:w="78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清粪方式</w:t>
            </w:r>
          </w:p>
        </w:tc>
        <w:tc>
          <w:tcPr>
            <w:tcW w:w="787"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垫草垫料</w:t>
            </w:r>
          </w:p>
        </w:tc>
        <w:tc>
          <w:tcPr>
            <w:tcW w:w="465"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堆积</w:t>
            </w:r>
          </w:p>
        </w:tc>
        <w:tc>
          <w:tcPr>
            <w:tcW w:w="62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干清粪</w:t>
            </w:r>
          </w:p>
        </w:tc>
        <w:tc>
          <w:tcPr>
            <w:tcW w:w="62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水冲粪</w:t>
            </w:r>
          </w:p>
        </w:tc>
        <w:tc>
          <w:tcPr>
            <w:tcW w:w="62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水泡粪</w:t>
            </w:r>
          </w:p>
        </w:tc>
        <w:tc>
          <w:tcPr>
            <w:tcW w:w="62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发酵床</w:t>
            </w:r>
          </w:p>
        </w:tc>
        <w:tc>
          <w:tcPr>
            <w:tcW w:w="468"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其它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jc w:val="center"/>
        </w:trPr>
        <w:tc>
          <w:tcPr>
            <w:tcW w:w="78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养殖场</w:t>
            </w:r>
          </w:p>
        </w:tc>
        <w:tc>
          <w:tcPr>
            <w:tcW w:w="787"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3</w:t>
            </w:r>
          </w:p>
        </w:tc>
        <w:tc>
          <w:tcPr>
            <w:tcW w:w="465"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0</w:t>
            </w:r>
          </w:p>
        </w:tc>
        <w:tc>
          <w:tcPr>
            <w:tcW w:w="62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41</w:t>
            </w:r>
          </w:p>
        </w:tc>
        <w:tc>
          <w:tcPr>
            <w:tcW w:w="62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12</w:t>
            </w:r>
          </w:p>
        </w:tc>
        <w:tc>
          <w:tcPr>
            <w:tcW w:w="62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6</w:t>
            </w:r>
          </w:p>
        </w:tc>
        <w:tc>
          <w:tcPr>
            <w:tcW w:w="62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1</w:t>
            </w:r>
          </w:p>
        </w:tc>
        <w:tc>
          <w:tcPr>
            <w:tcW w:w="468"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jc w:val="center"/>
        </w:trPr>
        <w:tc>
          <w:tcPr>
            <w:tcW w:w="78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养殖户</w:t>
            </w:r>
          </w:p>
        </w:tc>
        <w:tc>
          <w:tcPr>
            <w:tcW w:w="787"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2</w:t>
            </w:r>
          </w:p>
        </w:tc>
        <w:tc>
          <w:tcPr>
            <w:tcW w:w="465"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1</w:t>
            </w:r>
          </w:p>
        </w:tc>
        <w:tc>
          <w:tcPr>
            <w:tcW w:w="62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105</w:t>
            </w:r>
          </w:p>
        </w:tc>
        <w:tc>
          <w:tcPr>
            <w:tcW w:w="62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22</w:t>
            </w:r>
          </w:p>
        </w:tc>
        <w:tc>
          <w:tcPr>
            <w:tcW w:w="62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8</w:t>
            </w:r>
          </w:p>
        </w:tc>
        <w:tc>
          <w:tcPr>
            <w:tcW w:w="62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0</w:t>
            </w:r>
          </w:p>
        </w:tc>
        <w:tc>
          <w:tcPr>
            <w:tcW w:w="468"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jc w:val="center"/>
        </w:trPr>
        <w:tc>
          <w:tcPr>
            <w:tcW w:w="78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合计</w:t>
            </w:r>
          </w:p>
        </w:tc>
        <w:tc>
          <w:tcPr>
            <w:tcW w:w="787"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fldChar w:fldCharType="begin"/>
            </w:r>
            <w:r>
              <w:rPr>
                <w:rFonts w:hint="eastAsia" w:ascii="仿宋" w:hAnsi="仿宋" w:cs="Times New Roman"/>
                <w:b w:val="0"/>
                <w:bCs w:val="0"/>
                <w:color w:val="auto"/>
                <w:sz w:val="28"/>
                <w:szCs w:val="28"/>
                <w:highlight w:val="none"/>
                <w:shd w:val="clear" w:color="auto" w:fill="auto"/>
                <w:lang w:val="en-US" w:eastAsia="zh-CN"/>
              </w:rPr>
              <w:instrText xml:space="preserve"> = sum(B2:B3) \* MERGEFORMAT </w:instrText>
            </w:r>
            <w:r>
              <w:rPr>
                <w:rFonts w:hint="eastAsia" w:ascii="仿宋" w:hAnsi="仿宋" w:cs="Times New Roman"/>
                <w:b w:val="0"/>
                <w:bCs w:val="0"/>
                <w:color w:val="auto"/>
                <w:sz w:val="28"/>
                <w:szCs w:val="28"/>
                <w:highlight w:val="none"/>
                <w:shd w:val="clear" w:color="auto" w:fill="auto"/>
                <w:lang w:val="en-US" w:eastAsia="zh-CN"/>
              </w:rPr>
              <w:fldChar w:fldCharType="separate"/>
            </w:r>
            <w:r>
              <w:rPr>
                <w:rFonts w:hint="eastAsia" w:ascii="仿宋" w:hAnsi="仿宋" w:cs="Times New Roman"/>
                <w:b w:val="0"/>
                <w:bCs w:val="0"/>
                <w:color w:val="auto"/>
                <w:sz w:val="28"/>
                <w:szCs w:val="28"/>
                <w:highlight w:val="none"/>
                <w:shd w:val="clear" w:color="auto" w:fill="auto"/>
                <w:lang w:val="en-US" w:eastAsia="zh-CN"/>
              </w:rPr>
              <w:t>5</w:t>
            </w:r>
            <w:r>
              <w:rPr>
                <w:rFonts w:hint="eastAsia" w:ascii="仿宋" w:hAnsi="仿宋" w:cs="Times New Roman"/>
                <w:b w:val="0"/>
                <w:bCs w:val="0"/>
                <w:color w:val="auto"/>
                <w:sz w:val="28"/>
                <w:szCs w:val="28"/>
                <w:highlight w:val="none"/>
                <w:shd w:val="clear" w:color="auto" w:fill="auto"/>
                <w:lang w:val="en-US" w:eastAsia="zh-CN"/>
              </w:rPr>
              <w:fldChar w:fldCharType="end"/>
            </w:r>
          </w:p>
        </w:tc>
        <w:tc>
          <w:tcPr>
            <w:tcW w:w="465"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fldChar w:fldCharType="begin"/>
            </w:r>
            <w:r>
              <w:rPr>
                <w:rFonts w:hint="eastAsia" w:ascii="仿宋" w:hAnsi="仿宋" w:cs="Times New Roman"/>
                <w:b w:val="0"/>
                <w:bCs w:val="0"/>
                <w:color w:val="auto"/>
                <w:sz w:val="28"/>
                <w:szCs w:val="28"/>
                <w:highlight w:val="none"/>
                <w:shd w:val="clear" w:color="auto" w:fill="auto"/>
                <w:lang w:val="en-US" w:eastAsia="zh-CN"/>
              </w:rPr>
              <w:instrText xml:space="preserve"> = sum(C2:C3) \* MERGEFORMAT </w:instrText>
            </w:r>
            <w:r>
              <w:rPr>
                <w:rFonts w:hint="eastAsia" w:ascii="仿宋" w:hAnsi="仿宋" w:cs="Times New Roman"/>
                <w:b w:val="0"/>
                <w:bCs w:val="0"/>
                <w:color w:val="auto"/>
                <w:sz w:val="28"/>
                <w:szCs w:val="28"/>
                <w:highlight w:val="none"/>
                <w:shd w:val="clear" w:color="auto" w:fill="auto"/>
                <w:lang w:val="en-US" w:eastAsia="zh-CN"/>
              </w:rPr>
              <w:fldChar w:fldCharType="separate"/>
            </w:r>
            <w:r>
              <w:rPr>
                <w:rFonts w:hint="eastAsia" w:ascii="仿宋" w:hAnsi="仿宋" w:cs="Times New Roman"/>
                <w:b w:val="0"/>
                <w:bCs w:val="0"/>
                <w:color w:val="auto"/>
                <w:sz w:val="28"/>
                <w:szCs w:val="28"/>
                <w:highlight w:val="none"/>
                <w:shd w:val="clear" w:color="auto" w:fill="auto"/>
                <w:lang w:val="en-US" w:eastAsia="zh-CN"/>
              </w:rPr>
              <w:t>1</w:t>
            </w:r>
            <w:r>
              <w:rPr>
                <w:rFonts w:hint="eastAsia" w:ascii="仿宋" w:hAnsi="仿宋" w:cs="Times New Roman"/>
                <w:b w:val="0"/>
                <w:bCs w:val="0"/>
                <w:color w:val="auto"/>
                <w:sz w:val="28"/>
                <w:szCs w:val="28"/>
                <w:highlight w:val="none"/>
                <w:shd w:val="clear" w:color="auto" w:fill="auto"/>
                <w:lang w:val="en-US" w:eastAsia="zh-CN"/>
              </w:rPr>
              <w:fldChar w:fldCharType="end"/>
            </w:r>
          </w:p>
        </w:tc>
        <w:tc>
          <w:tcPr>
            <w:tcW w:w="62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fldChar w:fldCharType="begin"/>
            </w:r>
            <w:r>
              <w:rPr>
                <w:rFonts w:hint="eastAsia" w:ascii="仿宋" w:hAnsi="仿宋" w:cs="Times New Roman"/>
                <w:b w:val="0"/>
                <w:bCs w:val="0"/>
                <w:color w:val="auto"/>
                <w:sz w:val="28"/>
                <w:szCs w:val="28"/>
                <w:highlight w:val="none"/>
                <w:shd w:val="clear" w:color="auto" w:fill="auto"/>
                <w:lang w:val="en-US" w:eastAsia="zh-CN"/>
              </w:rPr>
              <w:instrText xml:space="preserve"> = sum(D2:D3) \* MERGEFORMAT </w:instrText>
            </w:r>
            <w:r>
              <w:rPr>
                <w:rFonts w:hint="eastAsia" w:ascii="仿宋" w:hAnsi="仿宋" w:cs="Times New Roman"/>
                <w:b w:val="0"/>
                <w:bCs w:val="0"/>
                <w:color w:val="auto"/>
                <w:sz w:val="28"/>
                <w:szCs w:val="28"/>
                <w:highlight w:val="none"/>
                <w:shd w:val="clear" w:color="auto" w:fill="auto"/>
                <w:lang w:val="en-US" w:eastAsia="zh-CN"/>
              </w:rPr>
              <w:fldChar w:fldCharType="separate"/>
            </w:r>
            <w:r>
              <w:rPr>
                <w:rFonts w:hint="eastAsia" w:ascii="仿宋" w:hAnsi="仿宋" w:cs="Times New Roman"/>
                <w:b w:val="0"/>
                <w:bCs w:val="0"/>
                <w:color w:val="auto"/>
                <w:sz w:val="28"/>
                <w:szCs w:val="28"/>
                <w:highlight w:val="none"/>
                <w:shd w:val="clear" w:color="auto" w:fill="auto"/>
                <w:lang w:val="en-US" w:eastAsia="zh-CN"/>
              </w:rPr>
              <w:t>146</w:t>
            </w:r>
            <w:r>
              <w:rPr>
                <w:rFonts w:hint="eastAsia" w:ascii="仿宋" w:hAnsi="仿宋" w:cs="Times New Roman"/>
                <w:b w:val="0"/>
                <w:bCs w:val="0"/>
                <w:color w:val="auto"/>
                <w:sz w:val="28"/>
                <w:szCs w:val="28"/>
                <w:highlight w:val="none"/>
                <w:shd w:val="clear" w:color="auto" w:fill="auto"/>
                <w:lang w:val="en-US" w:eastAsia="zh-CN"/>
              </w:rPr>
              <w:fldChar w:fldCharType="end"/>
            </w:r>
          </w:p>
        </w:tc>
        <w:tc>
          <w:tcPr>
            <w:tcW w:w="62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fldChar w:fldCharType="begin"/>
            </w:r>
            <w:r>
              <w:rPr>
                <w:rFonts w:hint="eastAsia" w:ascii="仿宋" w:hAnsi="仿宋" w:cs="Times New Roman"/>
                <w:b w:val="0"/>
                <w:bCs w:val="0"/>
                <w:color w:val="auto"/>
                <w:sz w:val="28"/>
                <w:szCs w:val="28"/>
                <w:highlight w:val="none"/>
                <w:shd w:val="clear" w:color="auto" w:fill="auto"/>
                <w:lang w:val="en-US" w:eastAsia="zh-CN"/>
              </w:rPr>
              <w:instrText xml:space="preserve"> = sum(E2:E3) \* MERGEFORMAT </w:instrText>
            </w:r>
            <w:r>
              <w:rPr>
                <w:rFonts w:hint="eastAsia" w:ascii="仿宋" w:hAnsi="仿宋" w:cs="Times New Roman"/>
                <w:b w:val="0"/>
                <w:bCs w:val="0"/>
                <w:color w:val="auto"/>
                <w:sz w:val="28"/>
                <w:szCs w:val="28"/>
                <w:highlight w:val="none"/>
                <w:shd w:val="clear" w:color="auto" w:fill="auto"/>
                <w:lang w:val="en-US" w:eastAsia="zh-CN"/>
              </w:rPr>
              <w:fldChar w:fldCharType="separate"/>
            </w:r>
            <w:r>
              <w:rPr>
                <w:rFonts w:hint="eastAsia" w:ascii="仿宋" w:hAnsi="仿宋" w:cs="Times New Roman"/>
                <w:b w:val="0"/>
                <w:bCs w:val="0"/>
                <w:color w:val="auto"/>
                <w:sz w:val="28"/>
                <w:szCs w:val="28"/>
                <w:highlight w:val="none"/>
                <w:shd w:val="clear" w:color="auto" w:fill="auto"/>
                <w:lang w:val="en-US" w:eastAsia="zh-CN"/>
              </w:rPr>
              <w:t>34</w:t>
            </w:r>
            <w:r>
              <w:rPr>
                <w:rFonts w:hint="eastAsia" w:ascii="仿宋" w:hAnsi="仿宋" w:cs="Times New Roman"/>
                <w:b w:val="0"/>
                <w:bCs w:val="0"/>
                <w:color w:val="auto"/>
                <w:sz w:val="28"/>
                <w:szCs w:val="28"/>
                <w:highlight w:val="none"/>
                <w:shd w:val="clear" w:color="auto" w:fill="auto"/>
                <w:lang w:val="en-US" w:eastAsia="zh-CN"/>
              </w:rPr>
              <w:fldChar w:fldCharType="end"/>
            </w:r>
          </w:p>
        </w:tc>
        <w:tc>
          <w:tcPr>
            <w:tcW w:w="62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fldChar w:fldCharType="begin"/>
            </w:r>
            <w:r>
              <w:rPr>
                <w:rFonts w:hint="eastAsia" w:ascii="仿宋" w:hAnsi="仿宋" w:cs="Times New Roman"/>
                <w:b w:val="0"/>
                <w:bCs w:val="0"/>
                <w:color w:val="auto"/>
                <w:sz w:val="28"/>
                <w:szCs w:val="28"/>
                <w:highlight w:val="none"/>
                <w:shd w:val="clear" w:color="auto" w:fill="auto"/>
                <w:lang w:val="en-US" w:eastAsia="zh-CN"/>
              </w:rPr>
              <w:instrText xml:space="preserve"> = sum(F2:F3) \* MERGEFORMAT </w:instrText>
            </w:r>
            <w:r>
              <w:rPr>
                <w:rFonts w:hint="eastAsia" w:ascii="仿宋" w:hAnsi="仿宋" w:cs="Times New Roman"/>
                <w:b w:val="0"/>
                <w:bCs w:val="0"/>
                <w:color w:val="auto"/>
                <w:sz w:val="28"/>
                <w:szCs w:val="28"/>
                <w:highlight w:val="none"/>
                <w:shd w:val="clear" w:color="auto" w:fill="auto"/>
                <w:lang w:val="en-US" w:eastAsia="zh-CN"/>
              </w:rPr>
              <w:fldChar w:fldCharType="separate"/>
            </w:r>
            <w:r>
              <w:rPr>
                <w:rFonts w:hint="eastAsia" w:ascii="仿宋" w:hAnsi="仿宋" w:cs="Times New Roman"/>
                <w:b w:val="0"/>
                <w:bCs w:val="0"/>
                <w:color w:val="auto"/>
                <w:sz w:val="28"/>
                <w:szCs w:val="28"/>
                <w:highlight w:val="none"/>
                <w:shd w:val="clear" w:color="auto" w:fill="auto"/>
                <w:lang w:val="en-US" w:eastAsia="zh-CN"/>
              </w:rPr>
              <w:t>14</w:t>
            </w:r>
            <w:r>
              <w:rPr>
                <w:rFonts w:hint="eastAsia" w:ascii="仿宋" w:hAnsi="仿宋" w:cs="Times New Roman"/>
                <w:b w:val="0"/>
                <w:bCs w:val="0"/>
                <w:color w:val="auto"/>
                <w:sz w:val="28"/>
                <w:szCs w:val="28"/>
                <w:highlight w:val="none"/>
                <w:shd w:val="clear" w:color="auto" w:fill="auto"/>
                <w:lang w:val="en-US" w:eastAsia="zh-CN"/>
              </w:rPr>
              <w:fldChar w:fldCharType="end"/>
            </w:r>
          </w:p>
        </w:tc>
        <w:tc>
          <w:tcPr>
            <w:tcW w:w="62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fldChar w:fldCharType="begin"/>
            </w:r>
            <w:r>
              <w:rPr>
                <w:rFonts w:hint="eastAsia" w:ascii="仿宋" w:hAnsi="仿宋" w:cs="Times New Roman"/>
                <w:b w:val="0"/>
                <w:bCs w:val="0"/>
                <w:color w:val="auto"/>
                <w:sz w:val="28"/>
                <w:szCs w:val="28"/>
                <w:highlight w:val="none"/>
                <w:shd w:val="clear" w:color="auto" w:fill="auto"/>
                <w:lang w:val="en-US" w:eastAsia="zh-CN"/>
              </w:rPr>
              <w:instrText xml:space="preserve"> = sum(G2:G3) \* MERGEFORMAT </w:instrText>
            </w:r>
            <w:r>
              <w:rPr>
                <w:rFonts w:hint="eastAsia" w:ascii="仿宋" w:hAnsi="仿宋" w:cs="Times New Roman"/>
                <w:b w:val="0"/>
                <w:bCs w:val="0"/>
                <w:color w:val="auto"/>
                <w:sz w:val="28"/>
                <w:szCs w:val="28"/>
                <w:highlight w:val="none"/>
                <w:shd w:val="clear" w:color="auto" w:fill="auto"/>
                <w:lang w:val="en-US" w:eastAsia="zh-CN"/>
              </w:rPr>
              <w:fldChar w:fldCharType="separate"/>
            </w:r>
            <w:r>
              <w:rPr>
                <w:rFonts w:hint="eastAsia" w:ascii="仿宋" w:hAnsi="仿宋" w:cs="Times New Roman"/>
                <w:b w:val="0"/>
                <w:bCs w:val="0"/>
                <w:color w:val="auto"/>
                <w:sz w:val="28"/>
                <w:szCs w:val="28"/>
                <w:highlight w:val="none"/>
                <w:shd w:val="clear" w:color="auto" w:fill="auto"/>
                <w:lang w:val="en-US" w:eastAsia="zh-CN"/>
              </w:rPr>
              <w:t>1</w:t>
            </w:r>
            <w:r>
              <w:rPr>
                <w:rFonts w:hint="eastAsia" w:ascii="仿宋" w:hAnsi="仿宋" w:cs="Times New Roman"/>
                <w:b w:val="0"/>
                <w:bCs w:val="0"/>
                <w:color w:val="auto"/>
                <w:sz w:val="28"/>
                <w:szCs w:val="28"/>
                <w:highlight w:val="none"/>
                <w:shd w:val="clear" w:color="auto" w:fill="auto"/>
                <w:lang w:val="en-US" w:eastAsia="zh-CN"/>
              </w:rPr>
              <w:fldChar w:fldCharType="end"/>
            </w:r>
          </w:p>
        </w:tc>
        <w:tc>
          <w:tcPr>
            <w:tcW w:w="468"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fldChar w:fldCharType="begin"/>
            </w:r>
            <w:r>
              <w:rPr>
                <w:rFonts w:hint="eastAsia" w:ascii="仿宋" w:hAnsi="仿宋" w:cs="Times New Roman"/>
                <w:b w:val="0"/>
                <w:bCs w:val="0"/>
                <w:color w:val="auto"/>
                <w:sz w:val="28"/>
                <w:szCs w:val="28"/>
                <w:highlight w:val="none"/>
                <w:shd w:val="clear" w:color="auto" w:fill="auto"/>
                <w:lang w:val="en-US" w:eastAsia="zh-CN"/>
              </w:rPr>
              <w:instrText xml:space="preserve"> = sum(H2:H3) \* MERGEFORMAT </w:instrText>
            </w:r>
            <w:r>
              <w:rPr>
                <w:rFonts w:hint="eastAsia" w:ascii="仿宋" w:hAnsi="仿宋" w:cs="Times New Roman"/>
                <w:b w:val="0"/>
                <w:bCs w:val="0"/>
                <w:color w:val="auto"/>
                <w:sz w:val="28"/>
                <w:szCs w:val="28"/>
                <w:highlight w:val="none"/>
                <w:shd w:val="clear" w:color="auto" w:fill="auto"/>
                <w:lang w:val="en-US" w:eastAsia="zh-CN"/>
              </w:rPr>
              <w:fldChar w:fldCharType="separate"/>
            </w:r>
            <w:r>
              <w:rPr>
                <w:rFonts w:hint="eastAsia" w:ascii="仿宋" w:hAnsi="仿宋" w:cs="Times New Roman"/>
                <w:b w:val="0"/>
                <w:bCs w:val="0"/>
                <w:color w:val="auto"/>
                <w:sz w:val="28"/>
                <w:szCs w:val="28"/>
                <w:highlight w:val="none"/>
                <w:shd w:val="clear" w:color="auto" w:fill="auto"/>
                <w:lang w:val="en-US" w:eastAsia="zh-CN"/>
              </w:rPr>
              <w:t>4</w:t>
            </w:r>
            <w:r>
              <w:rPr>
                <w:rFonts w:hint="eastAsia" w:ascii="仿宋" w:hAnsi="仿宋" w:cs="Times New Roman"/>
                <w:b w:val="0"/>
                <w:bCs w:val="0"/>
                <w:color w:val="auto"/>
                <w:sz w:val="28"/>
                <w:szCs w:val="28"/>
                <w:highlight w:val="none"/>
                <w:shd w:val="clear" w:color="auto" w:fill="auto"/>
                <w:lang w:val="en-US" w:eastAsia="zh-CN"/>
              </w:rPr>
              <w:fldChar w:fldCharType="end"/>
            </w:r>
          </w:p>
        </w:tc>
      </w:tr>
    </w:tbl>
    <w:p>
      <w:pPr>
        <w:bidi w:val="0"/>
        <w:jc w:val="center"/>
        <w:rPr>
          <w:rFonts w:ascii="仿宋" w:hAnsi="仿宋"/>
          <w:highlight w:val="none"/>
        </w:rPr>
      </w:pPr>
      <w:r>
        <w:rPr>
          <w:rFonts w:ascii="仿宋" w:hAnsi="仿宋"/>
          <w:highlight w:val="none"/>
        </w:rPr>
        <w:drawing>
          <wp:inline distT="0" distB="0" distL="114300" distR="114300">
            <wp:extent cx="2511425" cy="2511425"/>
            <wp:effectExtent l="4445" t="4445" r="13970" b="1397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rFonts w:ascii="仿宋" w:hAnsi="仿宋"/>
          <w:highlight w:val="none"/>
        </w:rPr>
        <w:drawing>
          <wp:inline distT="0" distB="0" distL="114300" distR="114300">
            <wp:extent cx="2511425" cy="2511425"/>
            <wp:effectExtent l="4445" t="4445" r="13970" b="1397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14"/>
        <w:spacing w:after="0" w:line="240" w:lineRule="auto"/>
        <w:ind w:left="0" w:leftChars="0" w:right="0" w:rightChars="0" w:firstLine="0" w:firstLineChars="0"/>
        <w:jc w:val="center"/>
        <w:rPr>
          <w:rFonts w:hint="default" w:ascii="仿宋" w:hAnsi="仿宋" w:cs="Times New Roman"/>
          <w:b/>
          <w:bCs/>
          <w:sz w:val="28"/>
          <w:szCs w:val="28"/>
          <w:highlight w:val="none"/>
          <w:shd w:val="clear" w:color="auto" w:fill="auto"/>
          <w:lang w:val="en-US" w:eastAsia="zh-CN"/>
        </w:rPr>
      </w:pPr>
      <w:r>
        <w:rPr>
          <w:rFonts w:hint="eastAsia" w:ascii="仿宋" w:hAnsi="仿宋" w:cs="Times New Roman"/>
          <w:b/>
          <w:bCs/>
          <w:sz w:val="28"/>
          <w:szCs w:val="28"/>
          <w:highlight w:val="none"/>
          <w:shd w:val="clear" w:color="auto" w:fill="auto"/>
          <w:lang w:val="en-US" w:eastAsia="zh-CN"/>
        </w:rPr>
        <w:t>养殖场                   养殖户</w:t>
      </w:r>
    </w:p>
    <w:p>
      <w:pPr>
        <w:pStyle w:val="115"/>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7"/>
        <w:rPr>
          <w:rFonts w:hint="eastAsia" w:ascii="仿宋" w:hAnsi="仿宋" w:cs="Times New Roman"/>
          <w:szCs w:val="32"/>
          <w:highlight w:val="none"/>
          <w:shd w:val="clear" w:color="auto" w:fill="auto"/>
          <w:lang w:val="en-US" w:eastAsia="zh-CN"/>
        </w:rPr>
      </w:pPr>
      <w:r>
        <w:rPr>
          <w:rFonts w:hint="eastAsia" w:ascii="仿宋" w:hAnsi="仿宋" w:eastAsia="仿宋" w:cs="Times New Roman"/>
          <w:b/>
          <w:color w:val="auto"/>
          <w:sz w:val="28"/>
          <w:szCs w:val="28"/>
          <w:highlight w:val="none"/>
          <w:shd w:val="clear" w:color="auto" w:fill="auto"/>
          <w:lang w:val="en-US" w:eastAsia="zh-CN"/>
        </w:rPr>
        <w:t>图2-2</w:t>
      </w:r>
      <w:r>
        <w:rPr>
          <w:rFonts w:hint="eastAsia" w:ascii="仿宋" w:hAnsi="仿宋" w:eastAsia="仿宋" w:cs="Times New Roman"/>
          <w:b/>
          <w:color w:val="auto"/>
          <w:sz w:val="28"/>
          <w:szCs w:val="28"/>
          <w:highlight w:val="none"/>
          <w:shd w:val="clear" w:color="auto" w:fill="auto"/>
        </w:rPr>
        <w:t xml:space="preserve">  </w:t>
      </w:r>
      <w:r>
        <w:rPr>
          <w:rFonts w:hint="eastAsia" w:ascii="仿宋" w:hAnsi="仿宋" w:eastAsia="仿宋" w:cs="Times New Roman"/>
          <w:b/>
          <w:color w:val="auto"/>
          <w:sz w:val="28"/>
          <w:szCs w:val="28"/>
          <w:highlight w:val="none"/>
          <w:shd w:val="clear" w:color="auto" w:fill="auto"/>
          <w:lang w:eastAsia="zh-CN"/>
        </w:rPr>
        <w:t>旺苍</w:t>
      </w:r>
      <w:r>
        <w:rPr>
          <w:rFonts w:hint="eastAsia" w:ascii="仿宋" w:hAnsi="仿宋" w:eastAsia="仿宋" w:cs="Times New Roman"/>
          <w:b/>
          <w:color w:val="auto"/>
          <w:sz w:val="28"/>
          <w:szCs w:val="28"/>
          <w:highlight w:val="none"/>
          <w:shd w:val="clear" w:color="auto" w:fill="auto"/>
        </w:rPr>
        <w:t>县</w:t>
      </w:r>
      <w:r>
        <w:rPr>
          <w:rFonts w:hint="eastAsia" w:ascii="仿宋" w:hAnsi="仿宋" w:eastAsia="仿宋" w:cs="Times New Roman"/>
          <w:b/>
          <w:color w:val="auto"/>
          <w:sz w:val="28"/>
          <w:szCs w:val="28"/>
          <w:highlight w:val="none"/>
          <w:shd w:val="clear" w:color="auto" w:fill="auto"/>
          <w:lang w:val="en-US" w:eastAsia="zh-CN"/>
        </w:rPr>
        <w:t>养殖场户</w:t>
      </w:r>
      <w:r>
        <w:rPr>
          <w:rFonts w:hint="eastAsia" w:ascii="仿宋" w:hAnsi="仿宋" w:eastAsia="仿宋" w:cs="Times New Roman"/>
          <w:b/>
          <w:color w:val="auto"/>
          <w:sz w:val="28"/>
          <w:szCs w:val="28"/>
          <w:highlight w:val="none"/>
          <w:shd w:val="clear" w:color="auto" w:fill="auto"/>
        </w:rPr>
        <w:t>畜禽</w:t>
      </w:r>
      <w:r>
        <w:rPr>
          <w:rFonts w:hint="eastAsia" w:ascii="仿宋" w:hAnsi="仿宋" w:eastAsia="仿宋" w:cs="Times New Roman"/>
          <w:b/>
          <w:color w:val="auto"/>
          <w:sz w:val="28"/>
          <w:szCs w:val="28"/>
          <w:highlight w:val="none"/>
          <w:shd w:val="clear" w:color="auto" w:fill="auto"/>
          <w:lang w:val="en-US" w:eastAsia="zh-CN"/>
        </w:rPr>
        <w:t>清粪方式现状图</w:t>
      </w:r>
    </w:p>
    <w:p>
      <w:pPr>
        <w:pStyle w:val="14"/>
        <w:spacing w:after="0" w:line="240" w:lineRule="auto"/>
        <w:ind w:left="0" w:leftChars="0" w:right="0" w:rightChars="0" w:firstLine="640" w:firstLineChars="200"/>
        <w:rPr>
          <w:rFonts w:hint="eastAsia" w:ascii="仿宋" w:hAnsi="仿宋" w:cs="Times New Roman"/>
          <w:szCs w:val="32"/>
          <w:highlight w:val="none"/>
          <w:shd w:val="clear" w:color="auto" w:fill="auto"/>
          <w:lang w:val="en-US" w:eastAsia="zh-CN"/>
        </w:rPr>
      </w:pPr>
      <w:r>
        <w:rPr>
          <w:rFonts w:hint="eastAsia" w:ascii="仿宋" w:hAnsi="仿宋" w:cs="Times New Roman"/>
          <w:szCs w:val="32"/>
          <w:highlight w:val="none"/>
          <w:shd w:val="clear" w:color="auto" w:fill="auto"/>
          <w:lang w:val="en-US" w:eastAsia="zh-CN"/>
        </w:rPr>
        <w:t>通过旺苍县畜禽养殖现状调查表进行分析，全县畜禽养殖的主要以干湿分离处理粪便，清粪方式主要为干清粪。</w:t>
      </w:r>
    </w:p>
    <w:p>
      <w:pPr>
        <w:bidi w:val="0"/>
        <w:jc w:val="center"/>
        <w:rPr>
          <w:rFonts w:hint="eastAsia" w:ascii="仿宋" w:hAnsi="仿宋"/>
          <w:highlight w:val="none"/>
          <w:lang w:val="en-US" w:eastAsia="zh-CN"/>
        </w:rPr>
      </w:pPr>
      <w:r>
        <w:drawing>
          <wp:inline distT="0" distB="0" distL="114300" distR="114300">
            <wp:extent cx="2511425" cy="2512060"/>
            <wp:effectExtent l="4445" t="4445" r="13970" b="13335"/>
            <wp:docPr id="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115"/>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7"/>
        <w:rPr>
          <w:rFonts w:hint="eastAsia" w:ascii="仿宋" w:hAnsi="仿宋" w:cs="Times New Roman"/>
          <w:szCs w:val="32"/>
          <w:highlight w:val="none"/>
          <w:shd w:val="clear" w:color="auto" w:fill="auto"/>
          <w:lang w:val="en-US" w:eastAsia="zh-CN"/>
        </w:rPr>
      </w:pPr>
      <w:r>
        <w:rPr>
          <w:rFonts w:hint="eastAsia" w:ascii="仿宋" w:hAnsi="仿宋" w:eastAsia="仿宋" w:cs="Times New Roman"/>
          <w:b/>
          <w:color w:val="auto"/>
          <w:sz w:val="28"/>
          <w:szCs w:val="28"/>
          <w:highlight w:val="none"/>
          <w:shd w:val="clear" w:color="auto" w:fill="auto"/>
          <w:lang w:val="en-US" w:eastAsia="zh-CN"/>
        </w:rPr>
        <w:t>图2-3</w:t>
      </w:r>
      <w:r>
        <w:rPr>
          <w:rFonts w:hint="eastAsia" w:ascii="仿宋" w:hAnsi="仿宋" w:eastAsia="仿宋" w:cs="Times New Roman"/>
          <w:b/>
          <w:color w:val="auto"/>
          <w:sz w:val="28"/>
          <w:szCs w:val="28"/>
          <w:highlight w:val="none"/>
          <w:shd w:val="clear" w:color="auto" w:fill="auto"/>
        </w:rPr>
        <w:t xml:space="preserve">  </w:t>
      </w:r>
      <w:r>
        <w:rPr>
          <w:rFonts w:hint="eastAsia" w:ascii="仿宋" w:hAnsi="仿宋" w:eastAsia="仿宋" w:cs="Times New Roman"/>
          <w:b/>
          <w:color w:val="auto"/>
          <w:sz w:val="28"/>
          <w:szCs w:val="28"/>
          <w:highlight w:val="none"/>
          <w:shd w:val="clear" w:color="auto" w:fill="auto"/>
          <w:lang w:eastAsia="zh-CN"/>
        </w:rPr>
        <w:t>旺苍</w:t>
      </w:r>
      <w:r>
        <w:rPr>
          <w:rFonts w:hint="eastAsia" w:ascii="仿宋" w:hAnsi="仿宋" w:eastAsia="仿宋" w:cs="Times New Roman"/>
          <w:b/>
          <w:color w:val="auto"/>
          <w:sz w:val="28"/>
          <w:szCs w:val="28"/>
          <w:highlight w:val="none"/>
          <w:shd w:val="clear" w:color="auto" w:fill="auto"/>
        </w:rPr>
        <w:t>县</w:t>
      </w:r>
      <w:r>
        <w:rPr>
          <w:rFonts w:hint="eastAsia" w:ascii="仿宋" w:hAnsi="仿宋" w:eastAsia="仿宋" w:cs="Times New Roman"/>
          <w:b/>
          <w:color w:val="auto"/>
          <w:sz w:val="28"/>
          <w:szCs w:val="28"/>
          <w:highlight w:val="none"/>
          <w:shd w:val="clear" w:color="auto" w:fill="auto"/>
          <w:lang w:val="en-US" w:eastAsia="zh-CN"/>
        </w:rPr>
        <w:t>养殖场户</w:t>
      </w:r>
      <w:r>
        <w:rPr>
          <w:rFonts w:hint="eastAsia" w:ascii="仿宋" w:hAnsi="仿宋" w:eastAsia="仿宋" w:cs="Times New Roman"/>
          <w:b/>
          <w:color w:val="auto"/>
          <w:sz w:val="28"/>
          <w:szCs w:val="28"/>
          <w:highlight w:val="none"/>
          <w:shd w:val="clear" w:color="auto" w:fill="auto"/>
        </w:rPr>
        <w:t>畜禽</w:t>
      </w:r>
      <w:r>
        <w:rPr>
          <w:rFonts w:hint="eastAsia" w:ascii="仿宋" w:hAnsi="仿宋" w:eastAsia="仿宋" w:cs="Times New Roman"/>
          <w:b/>
          <w:color w:val="auto"/>
          <w:sz w:val="28"/>
          <w:szCs w:val="28"/>
          <w:highlight w:val="none"/>
          <w:shd w:val="clear" w:color="auto" w:fill="auto"/>
          <w:lang w:val="en-US" w:eastAsia="zh-CN"/>
        </w:rPr>
        <w:t>污水处理方式现状图</w:t>
      </w:r>
    </w:p>
    <w:p>
      <w:pPr>
        <w:pStyle w:val="115"/>
        <w:pageBreakBefore w:val="0"/>
        <w:widowControl w:val="0"/>
        <w:kinsoku/>
        <w:wordWrap/>
        <w:overflowPunct/>
        <w:topLinePunct w:val="0"/>
        <w:bidi w:val="0"/>
        <w:snapToGrid/>
        <w:spacing w:line="560" w:lineRule="exact"/>
        <w:jc w:val="center"/>
        <w:textAlignment w:val="auto"/>
        <w:outlineLvl w:val="7"/>
        <w:rPr>
          <w:rFonts w:hint="default" w:ascii="仿宋" w:hAnsi="仿宋" w:eastAsia="仿宋" w:cs="Times New Roman"/>
          <w:b/>
          <w:color w:val="auto"/>
          <w:sz w:val="28"/>
          <w:szCs w:val="28"/>
          <w:highlight w:val="none"/>
          <w:shd w:val="clear" w:color="auto" w:fill="auto"/>
          <w:lang w:val="en-US" w:eastAsia="zh-CN"/>
        </w:rPr>
      </w:pPr>
      <w:r>
        <w:rPr>
          <w:rFonts w:hint="eastAsia" w:ascii="仿宋" w:hAnsi="仿宋" w:eastAsia="仿宋" w:cs="Times New Roman"/>
          <w:b/>
          <w:color w:val="auto"/>
          <w:sz w:val="28"/>
          <w:szCs w:val="28"/>
          <w:highlight w:val="none"/>
          <w:shd w:val="clear" w:color="auto" w:fill="auto"/>
          <w:lang w:val="en-US" w:eastAsia="zh-CN"/>
        </w:rPr>
        <w:t>表2-6  旺苍县畜禽养殖场户污水处理方式现状表（家）</w:t>
      </w:r>
    </w:p>
    <w:tbl>
      <w:tblPr>
        <w:tblStyle w:val="34"/>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20"/>
        <w:gridCol w:w="1293"/>
        <w:gridCol w:w="1293"/>
        <w:gridCol w:w="1293"/>
        <w:gridCol w:w="23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blHeader/>
          <w:jc w:val="center"/>
        </w:trPr>
        <w:tc>
          <w:tcPr>
            <w:tcW w:w="1361"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污水处理方式</w:t>
            </w:r>
          </w:p>
        </w:tc>
        <w:tc>
          <w:tcPr>
            <w:tcW w:w="758"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沼气池</w:t>
            </w:r>
          </w:p>
        </w:tc>
        <w:tc>
          <w:tcPr>
            <w:tcW w:w="758"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储液池</w:t>
            </w:r>
          </w:p>
        </w:tc>
        <w:tc>
          <w:tcPr>
            <w:tcW w:w="758"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化粪池</w:t>
            </w:r>
          </w:p>
        </w:tc>
        <w:tc>
          <w:tcPr>
            <w:tcW w:w="1361"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污水处理设施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jc w:val="center"/>
        </w:trPr>
        <w:tc>
          <w:tcPr>
            <w:tcW w:w="1361"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养殖场</w:t>
            </w:r>
          </w:p>
        </w:tc>
        <w:tc>
          <w:tcPr>
            <w:tcW w:w="758"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18</w:t>
            </w:r>
          </w:p>
        </w:tc>
        <w:tc>
          <w:tcPr>
            <w:tcW w:w="758"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11</w:t>
            </w:r>
          </w:p>
        </w:tc>
        <w:tc>
          <w:tcPr>
            <w:tcW w:w="758"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32</w:t>
            </w:r>
          </w:p>
        </w:tc>
        <w:tc>
          <w:tcPr>
            <w:tcW w:w="1361"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jc w:val="center"/>
        </w:trPr>
        <w:tc>
          <w:tcPr>
            <w:tcW w:w="1361"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养殖户</w:t>
            </w:r>
          </w:p>
        </w:tc>
        <w:tc>
          <w:tcPr>
            <w:tcW w:w="758"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39</w:t>
            </w:r>
          </w:p>
        </w:tc>
        <w:tc>
          <w:tcPr>
            <w:tcW w:w="758"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22</w:t>
            </w:r>
          </w:p>
        </w:tc>
        <w:tc>
          <w:tcPr>
            <w:tcW w:w="758"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81</w:t>
            </w:r>
          </w:p>
        </w:tc>
        <w:tc>
          <w:tcPr>
            <w:tcW w:w="1361"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jc w:val="center"/>
        </w:trPr>
        <w:tc>
          <w:tcPr>
            <w:tcW w:w="1361"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合计</w:t>
            </w:r>
          </w:p>
        </w:tc>
        <w:tc>
          <w:tcPr>
            <w:tcW w:w="758"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fldChar w:fldCharType="begin"/>
            </w:r>
            <w:r>
              <w:rPr>
                <w:rFonts w:hint="eastAsia" w:ascii="仿宋" w:hAnsi="仿宋" w:cs="Times New Roman"/>
                <w:b w:val="0"/>
                <w:bCs w:val="0"/>
                <w:color w:val="auto"/>
                <w:sz w:val="28"/>
                <w:szCs w:val="28"/>
                <w:highlight w:val="none"/>
                <w:shd w:val="clear" w:color="auto" w:fill="auto"/>
                <w:lang w:val="en-US" w:eastAsia="zh-CN"/>
              </w:rPr>
              <w:instrText xml:space="preserve"> = sum(B2:B3) \* MERGEFORMAT </w:instrText>
            </w:r>
            <w:r>
              <w:rPr>
                <w:rFonts w:hint="eastAsia" w:ascii="仿宋" w:hAnsi="仿宋" w:cs="Times New Roman"/>
                <w:b w:val="0"/>
                <w:bCs w:val="0"/>
                <w:color w:val="auto"/>
                <w:sz w:val="28"/>
                <w:szCs w:val="28"/>
                <w:highlight w:val="none"/>
                <w:shd w:val="clear" w:color="auto" w:fill="auto"/>
                <w:lang w:val="en-US" w:eastAsia="zh-CN"/>
              </w:rPr>
              <w:fldChar w:fldCharType="separate"/>
            </w:r>
            <w:r>
              <w:rPr>
                <w:rFonts w:hint="eastAsia" w:ascii="仿宋" w:hAnsi="仿宋" w:cs="Times New Roman"/>
                <w:b w:val="0"/>
                <w:bCs w:val="0"/>
                <w:color w:val="auto"/>
                <w:sz w:val="28"/>
                <w:szCs w:val="28"/>
                <w:highlight w:val="none"/>
                <w:shd w:val="clear" w:color="auto" w:fill="auto"/>
                <w:lang w:val="en-US" w:eastAsia="zh-CN"/>
              </w:rPr>
              <w:t>57</w:t>
            </w:r>
            <w:r>
              <w:rPr>
                <w:rFonts w:hint="eastAsia" w:ascii="仿宋" w:hAnsi="仿宋" w:cs="Times New Roman"/>
                <w:b w:val="0"/>
                <w:bCs w:val="0"/>
                <w:color w:val="auto"/>
                <w:sz w:val="28"/>
                <w:szCs w:val="28"/>
                <w:highlight w:val="none"/>
                <w:shd w:val="clear" w:color="auto" w:fill="auto"/>
                <w:lang w:val="en-US" w:eastAsia="zh-CN"/>
              </w:rPr>
              <w:fldChar w:fldCharType="end"/>
            </w:r>
          </w:p>
        </w:tc>
        <w:tc>
          <w:tcPr>
            <w:tcW w:w="758"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fldChar w:fldCharType="begin"/>
            </w:r>
            <w:r>
              <w:rPr>
                <w:rFonts w:hint="eastAsia" w:ascii="仿宋" w:hAnsi="仿宋" w:cs="Times New Roman"/>
                <w:b w:val="0"/>
                <w:bCs w:val="0"/>
                <w:color w:val="auto"/>
                <w:sz w:val="28"/>
                <w:szCs w:val="28"/>
                <w:highlight w:val="none"/>
                <w:shd w:val="clear" w:color="auto" w:fill="auto"/>
                <w:lang w:val="en-US" w:eastAsia="zh-CN"/>
              </w:rPr>
              <w:instrText xml:space="preserve"> = sum(C2:C3) \* MERGEFORMAT </w:instrText>
            </w:r>
            <w:r>
              <w:rPr>
                <w:rFonts w:hint="eastAsia" w:ascii="仿宋" w:hAnsi="仿宋" w:cs="Times New Roman"/>
                <w:b w:val="0"/>
                <w:bCs w:val="0"/>
                <w:color w:val="auto"/>
                <w:sz w:val="28"/>
                <w:szCs w:val="28"/>
                <w:highlight w:val="none"/>
                <w:shd w:val="clear" w:color="auto" w:fill="auto"/>
                <w:lang w:val="en-US" w:eastAsia="zh-CN"/>
              </w:rPr>
              <w:fldChar w:fldCharType="separate"/>
            </w:r>
            <w:r>
              <w:rPr>
                <w:rFonts w:hint="eastAsia" w:ascii="仿宋" w:hAnsi="仿宋" w:cs="Times New Roman"/>
                <w:b w:val="0"/>
                <w:bCs w:val="0"/>
                <w:color w:val="auto"/>
                <w:sz w:val="28"/>
                <w:szCs w:val="28"/>
                <w:highlight w:val="none"/>
                <w:shd w:val="clear" w:color="auto" w:fill="auto"/>
                <w:lang w:val="en-US" w:eastAsia="zh-CN"/>
              </w:rPr>
              <w:t>33</w:t>
            </w:r>
            <w:r>
              <w:rPr>
                <w:rFonts w:hint="eastAsia" w:ascii="仿宋" w:hAnsi="仿宋" w:cs="Times New Roman"/>
                <w:b w:val="0"/>
                <w:bCs w:val="0"/>
                <w:color w:val="auto"/>
                <w:sz w:val="28"/>
                <w:szCs w:val="28"/>
                <w:highlight w:val="none"/>
                <w:shd w:val="clear" w:color="auto" w:fill="auto"/>
                <w:lang w:val="en-US" w:eastAsia="zh-CN"/>
              </w:rPr>
              <w:fldChar w:fldCharType="end"/>
            </w:r>
          </w:p>
        </w:tc>
        <w:tc>
          <w:tcPr>
            <w:tcW w:w="758"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fldChar w:fldCharType="begin"/>
            </w:r>
            <w:r>
              <w:rPr>
                <w:rFonts w:hint="eastAsia" w:ascii="仿宋" w:hAnsi="仿宋" w:cs="Times New Roman"/>
                <w:b w:val="0"/>
                <w:bCs w:val="0"/>
                <w:color w:val="auto"/>
                <w:sz w:val="28"/>
                <w:szCs w:val="28"/>
                <w:highlight w:val="none"/>
                <w:shd w:val="clear" w:color="auto" w:fill="auto"/>
                <w:lang w:val="en-US" w:eastAsia="zh-CN"/>
              </w:rPr>
              <w:instrText xml:space="preserve"> = sum(D2:D3) \* MERGEFORMAT </w:instrText>
            </w:r>
            <w:r>
              <w:rPr>
                <w:rFonts w:hint="eastAsia" w:ascii="仿宋" w:hAnsi="仿宋" w:cs="Times New Roman"/>
                <w:b w:val="0"/>
                <w:bCs w:val="0"/>
                <w:color w:val="auto"/>
                <w:sz w:val="28"/>
                <w:szCs w:val="28"/>
                <w:highlight w:val="none"/>
                <w:shd w:val="clear" w:color="auto" w:fill="auto"/>
                <w:lang w:val="en-US" w:eastAsia="zh-CN"/>
              </w:rPr>
              <w:fldChar w:fldCharType="separate"/>
            </w:r>
            <w:r>
              <w:rPr>
                <w:rFonts w:hint="eastAsia" w:ascii="仿宋" w:hAnsi="仿宋" w:cs="Times New Roman"/>
                <w:b w:val="0"/>
                <w:bCs w:val="0"/>
                <w:color w:val="auto"/>
                <w:sz w:val="28"/>
                <w:szCs w:val="28"/>
                <w:highlight w:val="none"/>
                <w:shd w:val="clear" w:color="auto" w:fill="auto"/>
                <w:lang w:val="en-US" w:eastAsia="zh-CN"/>
              </w:rPr>
              <w:t>113</w:t>
            </w:r>
            <w:r>
              <w:rPr>
                <w:rFonts w:hint="eastAsia" w:ascii="仿宋" w:hAnsi="仿宋" w:cs="Times New Roman"/>
                <w:b w:val="0"/>
                <w:bCs w:val="0"/>
                <w:color w:val="auto"/>
                <w:sz w:val="28"/>
                <w:szCs w:val="28"/>
                <w:highlight w:val="none"/>
                <w:shd w:val="clear" w:color="auto" w:fill="auto"/>
                <w:lang w:val="en-US" w:eastAsia="zh-CN"/>
              </w:rPr>
              <w:fldChar w:fldCharType="end"/>
            </w:r>
          </w:p>
        </w:tc>
        <w:tc>
          <w:tcPr>
            <w:tcW w:w="1361"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fldChar w:fldCharType="begin"/>
            </w:r>
            <w:r>
              <w:rPr>
                <w:rFonts w:hint="eastAsia" w:ascii="仿宋" w:hAnsi="仿宋" w:cs="Times New Roman"/>
                <w:b w:val="0"/>
                <w:bCs w:val="0"/>
                <w:color w:val="auto"/>
                <w:sz w:val="28"/>
                <w:szCs w:val="28"/>
                <w:highlight w:val="none"/>
                <w:shd w:val="clear" w:color="auto" w:fill="auto"/>
                <w:lang w:val="en-US" w:eastAsia="zh-CN"/>
              </w:rPr>
              <w:instrText xml:space="preserve"> = sum(E2:E3) \* MERGEFORMAT </w:instrText>
            </w:r>
            <w:r>
              <w:rPr>
                <w:rFonts w:hint="eastAsia" w:ascii="仿宋" w:hAnsi="仿宋" w:cs="Times New Roman"/>
                <w:b w:val="0"/>
                <w:bCs w:val="0"/>
                <w:color w:val="auto"/>
                <w:sz w:val="28"/>
                <w:szCs w:val="28"/>
                <w:highlight w:val="none"/>
                <w:shd w:val="clear" w:color="auto" w:fill="auto"/>
                <w:lang w:val="en-US" w:eastAsia="zh-CN"/>
              </w:rPr>
              <w:fldChar w:fldCharType="separate"/>
            </w:r>
            <w:r>
              <w:rPr>
                <w:rFonts w:hint="eastAsia" w:ascii="仿宋" w:hAnsi="仿宋" w:cs="Times New Roman"/>
                <w:b w:val="0"/>
                <w:bCs w:val="0"/>
                <w:color w:val="auto"/>
                <w:sz w:val="28"/>
                <w:szCs w:val="28"/>
                <w:highlight w:val="none"/>
                <w:shd w:val="clear" w:color="auto" w:fill="auto"/>
                <w:lang w:val="en-US" w:eastAsia="zh-CN"/>
              </w:rPr>
              <w:t>2</w:t>
            </w:r>
            <w:r>
              <w:rPr>
                <w:rFonts w:hint="eastAsia" w:ascii="仿宋" w:hAnsi="仿宋" w:cs="Times New Roman"/>
                <w:b w:val="0"/>
                <w:bCs w:val="0"/>
                <w:color w:val="auto"/>
                <w:sz w:val="28"/>
                <w:szCs w:val="28"/>
                <w:highlight w:val="none"/>
                <w:shd w:val="clear" w:color="auto" w:fill="auto"/>
                <w:lang w:val="en-US" w:eastAsia="zh-CN"/>
              </w:rPr>
              <w:fldChar w:fldCharType="end"/>
            </w:r>
          </w:p>
        </w:tc>
      </w:tr>
    </w:tbl>
    <w:p>
      <w:pPr>
        <w:bidi w:val="0"/>
        <w:rPr>
          <w:rFonts w:ascii="仿宋" w:hAnsi="仿宋"/>
        </w:rPr>
      </w:pPr>
    </w:p>
    <w:p>
      <w:pPr>
        <w:pStyle w:val="14"/>
        <w:spacing w:after="0" w:line="240" w:lineRule="auto"/>
        <w:ind w:left="0" w:leftChars="0" w:right="0" w:rightChars="0" w:firstLine="640" w:firstLineChars="200"/>
        <w:rPr>
          <w:rFonts w:hint="eastAsia" w:ascii="仿宋" w:hAnsi="仿宋" w:cs="Times New Roman"/>
          <w:szCs w:val="32"/>
          <w:highlight w:val="none"/>
          <w:shd w:val="clear" w:color="auto" w:fill="auto"/>
          <w:lang w:val="en-US" w:eastAsia="zh-CN"/>
        </w:rPr>
      </w:pPr>
      <w:r>
        <w:rPr>
          <w:rFonts w:hint="eastAsia" w:ascii="仿宋" w:hAnsi="仿宋" w:cs="Times New Roman"/>
          <w:szCs w:val="32"/>
          <w:highlight w:val="none"/>
          <w:shd w:val="clear" w:color="auto" w:fill="auto"/>
          <w:lang w:val="en-US" w:eastAsia="zh-CN"/>
        </w:rPr>
        <w:t>旺苍县畜禽粪污污水处理方式主要为化粪池，治理效果一般，粪污最终还田施肥，全县仅有2家畜禽养殖场使用污水处理设施。</w:t>
      </w:r>
    </w:p>
    <w:p>
      <w:pPr>
        <w:pStyle w:val="115"/>
        <w:pageBreakBefore w:val="0"/>
        <w:widowControl w:val="0"/>
        <w:kinsoku/>
        <w:wordWrap/>
        <w:overflowPunct/>
        <w:topLinePunct w:val="0"/>
        <w:bidi w:val="0"/>
        <w:snapToGrid/>
        <w:spacing w:line="560" w:lineRule="exact"/>
        <w:jc w:val="center"/>
        <w:textAlignment w:val="auto"/>
        <w:outlineLvl w:val="7"/>
        <w:rPr>
          <w:rFonts w:hint="eastAsia" w:ascii="仿宋" w:hAnsi="仿宋" w:eastAsia="仿宋" w:cs="Times New Roman"/>
          <w:b/>
          <w:color w:val="auto"/>
          <w:sz w:val="28"/>
          <w:szCs w:val="28"/>
          <w:highlight w:val="none"/>
          <w:shd w:val="clear" w:color="auto" w:fill="auto"/>
          <w:lang w:val="en-US" w:eastAsia="zh-CN"/>
        </w:rPr>
      </w:pPr>
      <w:r>
        <w:rPr>
          <w:rFonts w:hint="eastAsia" w:ascii="仿宋" w:hAnsi="仿宋" w:eastAsia="仿宋" w:cs="Times New Roman"/>
          <w:b/>
          <w:color w:val="auto"/>
          <w:sz w:val="28"/>
          <w:szCs w:val="28"/>
          <w:highlight w:val="none"/>
          <w:shd w:val="clear" w:color="auto" w:fill="auto"/>
          <w:lang w:val="en-US" w:eastAsia="zh-CN"/>
        </w:rPr>
        <w:t>表2-7  旺苍县畜禽养殖场户臭气处理方式现状表（家）</w:t>
      </w:r>
    </w:p>
    <w:tbl>
      <w:tblPr>
        <w:tblStyle w:val="34"/>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47"/>
        <w:gridCol w:w="1084"/>
        <w:gridCol w:w="1659"/>
        <w:gridCol w:w="796"/>
        <w:gridCol w:w="1372"/>
        <w:gridCol w:w="16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142"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臭气治理方式</w:t>
            </w:r>
          </w:p>
        </w:tc>
        <w:tc>
          <w:tcPr>
            <w:tcW w:w="636"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排气扇</w:t>
            </w:r>
          </w:p>
        </w:tc>
        <w:tc>
          <w:tcPr>
            <w:tcW w:w="973"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添加益生菌</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消毒</w:t>
            </w:r>
          </w:p>
        </w:tc>
        <w:tc>
          <w:tcPr>
            <w:tcW w:w="805"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植树造林</w:t>
            </w:r>
          </w:p>
        </w:tc>
        <w:tc>
          <w:tcPr>
            <w:tcW w:w="973"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密封、烧碱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142"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养殖场</w:t>
            </w:r>
          </w:p>
        </w:tc>
        <w:tc>
          <w:tcPr>
            <w:tcW w:w="636"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42</w:t>
            </w:r>
          </w:p>
        </w:tc>
        <w:tc>
          <w:tcPr>
            <w:tcW w:w="973"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2</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12</w:t>
            </w:r>
          </w:p>
        </w:tc>
        <w:tc>
          <w:tcPr>
            <w:tcW w:w="805"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6</w:t>
            </w:r>
          </w:p>
        </w:tc>
        <w:tc>
          <w:tcPr>
            <w:tcW w:w="973"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142"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养殖户</w:t>
            </w:r>
          </w:p>
        </w:tc>
        <w:tc>
          <w:tcPr>
            <w:tcW w:w="636"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96</w:t>
            </w:r>
          </w:p>
        </w:tc>
        <w:tc>
          <w:tcPr>
            <w:tcW w:w="973"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2</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43</w:t>
            </w:r>
          </w:p>
        </w:tc>
        <w:tc>
          <w:tcPr>
            <w:tcW w:w="805"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1</w:t>
            </w:r>
          </w:p>
        </w:tc>
        <w:tc>
          <w:tcPr>
            <w:tcW w:w="973"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142"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合计</w:t>
            </w:r>
          </w:p>
        </w:tc>
        <w:tc>
          <w:tcPr>
            <w:tcW w:w="636"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138</w:t>
            </w:r>
          </w:p>
        </w:tc>
        <w:tc>
          <w:tcPr>
            <w:tcW w:w="973"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4</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55</w:t>
            </w:r>
          </w:p>
        </w:tc>
        <w:tc>
          <w:tcPr>
            <w:tcW w:w="805"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7</w:t>
            </w:r>
          </w:p>
        </w:tc>
        <w:tc>
          <w:tcPr>
            <w:tcW w:w="973"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1</w:t>
            </w:r>
          </w:p>
        </w:tc>
      </w:tr>
    </w:tbl>
    <w:p>
      <w:pPr>
        <w:pStyle w:val="14"/>
        <w:spacing w:after="0" w:line="240" w:lineRule="auto"/>
        <w:ind w:left="0" w:leftChars="0" w:right="0" w:rightChars="0" w:firstLine="0" w:firstLineChars="0"/>
        <w:jc w:val="center"/>
        <w:rPr>
          <w:rFonts w:hint="eastAsia" w:ascii="仿宋" w:hAnsi="仿宋" w:cs="Times New Roman"/>
          <w:szCs w:val="32"/>
          <w:highlight w:val="none"/>
          <w:shd w:val="clear" w:color="auto" w:fill="auto"/>
          <w:lang w:val="en-US" w:eastAsia="zh-CN"/>
        </w:rPr>
      </w:pPr>
      <w:r>
        <w:rPr>
          <w:rFonts w:ascii="仿宋" w:hAnsi="仿宋"/>
          <w:highlight w:val="none"/>
        </w:rPr>
        <w:drawing>
          <wp:inline distT="0" distB="0" distL="114300" distR="114300">
            <wp:extent cx="2511425" cy="2511425"/>
            <wp:effectExtent l="4445" t="4445" r="13970" b="13970"/>
            <wp:docPr id="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Style w:val="115"/>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7"/>
        <w:rPr>
          <w:rFonts w:hint="eastAsia" w:ascii="仿宋" w:hAnsi="仿宋" w:cs="Times New Roman"/>
          <w:szCs w:val="32"/>
          <w:highlight w:val="none"/>
          <w:shd w:val="clear" w:color="auto" w:fill="auto"/>
          <w:lang w:val="en-US" w:eastAsia="zh-CN"/>
        </w:rPr>
      </w:pPr>
      <w:r>
        <w:rPr>
          <w:rFonts w:hint="eastAsia" w:ascii="仿宋" w:hAnsi="仿宋" w:eastAsia="仿宋" w:cs="Times New Roman"/>
          <w:b/>
          <w:color w:val="auto"/>
          <w:sz w:val="28"/>
          <w:szCs w:val="28"/>
          <w:highlight w:val="none"/>
          <w:shd w:val="clear" w:color="auto" w:fill="auto"/>
          <w:lang w:val="en-US" w:eastAsia="zh-CN"/>
        </w:rPr>
        <w:t>图2-4</w:t>
      </w:r>
      <w:r>
        <w:rPr>
          <w:rFonts w:hint="eastAsia" w:ascii="仿宋" w:hAnsi="仿宋" w:eastAsia="仿宋" w:cs="Times New Roman"/>
          <w:b/>
          <w:color w:val="auto"/>
          <w:sz w:val="28"/>
          <w:szCs w:val="28"/>
          <w:highlight w:val="none"/>
          <w:shd w:val="clear" w:color="auto" w:fill="auto"/>
        </w:rPr>
        <w:t xml:space="preserve">  </w:t>
      </w:r>
      <w:r>
        <w:rPr>
          <w:rFonts w:hint="eastAsia" w:ascii="仿宋" w:hAnsi="仿宋" w:eastAsia="仿宋" w:cs="Times New Roman"/>
          <w:b/>
          <w:color w:val="auto"/>
          <w:sz w:val="28"/>
          <w:szCs w:val="28"/>
          <w:highlight w:val="none"/>
          <w:shd w:val="clear" w:color="auto" w:fill="auto"/>
          <w:lang w:eastAsia="zh-CN"/>
        </w:rPr>
        <w:t>旺苍</w:t>
      </w:r>
      <w:r>
        <w:rPr>
          <w:rFonts w:hint="eastAsia" w:ascii="仿宋" w:hAnsi="仿宋" w:eastAsia="仿宋" w:cs="Times New Roman"/>
          <w:b/>
          <w:color w:val="auto"/>
          <w:sz w:val="28"/>
          <w:szCs w:val="28"/>
          <w:highlight w:val="none"/>
          <w:shd w:val="clear" w:color="auto" w:fill="auto"/>
        </w:rPr>
        <w:t>县</w:t>
      </w:r>
      <w:r>
        <w:rPr>
          <w:rFonts w:hint="eastAsia" w:ascii="仿宋" w:hAnsi="仿宋" w:eastAsia="仿宋" w:cs="Times New Roman"/>
          <w:b/>
          <w:color w:val="auto"/>
          <w:sz w:val="28"/>
          <w:szCs w:val="28"/>
          <w:highlight w:val="none"/>
          <w:shd w:val="clear" w:color="auto" w:fill="auto"/>
          <w:lang w:val="en-US" w:eastAsia="zh-CN"/>
        </w:rPr>
        <w:t>养殖场户</w:t>
      </w:r>
      <w:r>
        <w:rPr>
          <w:rFonts w:hint="eastAsia" w:ascii="仿宋" w:hAnsi="仿宋" w:eastAsia="仿宋" w:cs="Times New Roman"/>
          <w:b/>
          <w:color w:val="auto"/>
          <w:sz w:val="28"/>
          <w:szCs w:val="28"/>
          <w:highlight w:val="none"/>
          <w:shd w:val="clear" w:color="auto" w:fill="auto"/>
        </w:rPr>
        <w:t>畜禽</w:t>
      </w:r>
      <w:r>
        <w:rPr>
          <w:rFonts w:hint="eastAsia" w:ascii="仿宋" w:hAnsi="仿宋" w:eastAsia="仿宋" w:cs="Times New Roman"/>
          <w:b/>
          <w:color w:val="auto"/>
          <w:sz w:val="28"/>
          <w:szCs w:val="28"/>
          <w:highlight w:val="none"/>
          <w:shd w:val="clear" w:color="auto" w:fill="auto"/>
          <w:lang w:val="en-US" w:eastAsia="zh-CN"/>
        </w:rPr>
        <w:t>臭气处理方式现状图</w:t>
      </w:r>
    </w:p>
    <w:p>
      <w:pPr>
        <w:pStyle w:val="14"/>
        <w:spacing w:after="0" w:line="240" w:lineRule="auto"/>
        <w:ind w:left="0" w:leftChars="0" w:right="0" w:rightChars="0" w:firstLine="640" w:firstLineChars="200"/>
        <w:rPr>
          <w:rFonts w:hint="eastAsia" w:ascii="仿宋" w:hAnsi="仿宋" w:cs="Times New Roman"/>
          <w:szCs w:val="32"/>
          <w:highlight w:val="none"/>
          <w:shd w:val="clear" w:color="auto" w:fill="auto"/>
          <w:lang w:val="en-US" w:eastAsia="zh-CN"/>
        </w:rPr>
      </w:pPr>
      <w:r>
        <w:rPr>
          <w:rFonts w:hint="eastAsia" w:ascii="仿宋" w:hAnsi="仿宋" w:cs="Times New Roman"/>
          <w:szCs w:val="32"/>
          <w:highlight w:val="none"/>
          <w:shd w:val="clear" w:color="auto" w:fill="auto"/>
          <w:lang w:val="en-US" w:eastAsia="zh-CN"/>
        </w:rPr>
        <w:t>旺苍县畜禽养殖场户的臭气处理方式主要为排气扇，治理效果一般，臭气排出场外</w:t>
      </w:r>
      <w:r>
        <w:rPr>
          <w:rFonts w:hint="eastAsia" w:ascii="Times New Roman" w:hAnsi="Times New Roman" w:cs="Times New Roman"/>
          <w:szCs w:val="32"/>
          <w:highlight w:val="none"/>
          <w:shd w:val="clear" w:color="auto" w:fill="auto"/>
          <w:lang w:val="en-US" w:eastAsia="zh-CN"/>
        </w:rPr>
        <w:t>，有一定的臭气治理作用。</w:t>
      </w:r>
    </w:p>
    <w:p>
      <w:pPr>
        <w:pStyle w:val="115"/>
        <w:pageBreakBefore w:val="0"/>
        <w:widowControl w:val="0"/>
        <w:kinsoku/>
        <w:wordWrap/>
        <w:overflowPunct/>
        <w:topLinePunct w:val="0"/>
        <w:bidi w:val="0"/>
        <w:snapToGrid/>
        <w:spacing w:line="560" w:lineRule="exact"/>
        <w:jc w:val="center"/>
        <w:textAlignment w:val="auto"/>
        <w:outlineLvl w:val="7"/>
        <w:rPr>
          <w:rFonts w:hint="eastAsia" w:ascii="仿宋" w:hAnsi="仿宋" w:eastAsia="仿宋" w:cs="Times New Roman"/>
          <w:b/>
          <w:color w:val="auto"/>
          <w:sz w:val="28"/>
          <w:szCs w:val="28"/>
          <w:highlight w:val="none"/>
          <w:shd w:val="clear" w:color="auto" w:fill="auto"/>
          <w:lang w:val="en-US" w:eastAsia="zh-CN"/>
        </w:rPr>
      </w:pPr>
      <w:r>
        <w:rPr>
          <w:rFonts w:hint="eastAsia" w:ascii="仿宋" w:hAnsi="仿宋" w:eastAsia="仿宋" w:cs="Times New Roman"/>
          <w:b/>
          <w:color w:val="auto"/>
          <w:sz w:val="28"/>
          <w:szCs w:val="28"/>
          <w:highlight w:val="none"/>
          <w:shd w:val="clear" w:color="auto" w:fill="auto"/>
          <w:lang w:val="en-US" w:eastAsia="zh-CN"/>
        </w:rPr>
        <w:t>表2-8  旺苍县畜禽养殖场户病死畜禽尸体处置方式现状表（家）</w:t>
      </w:r>
    </w:p>
    <w:tbl>
      <w:tblPr>
        <w:tblStyle w:val="3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57"/>
        <w:gridCol w:w="1692"/>
        <w:gridCol w:w="1692"/>
        <w:gridCol w:w="19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852"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病死畜禽尸体处置方式</w:t>
            </w:r>
          </w:p>
        </w:tc>
        <w:tc>
          <w:tcPr>
            <w:tcW w:w="993"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化尸池</w:t>
            </w:r>
          </w:p>
        </w:tc>
        <w:tc>
          <w:tcPr>
            <w:tcW w:w="993"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消毒深埋</w:t>
            </w:r>
          </w:p>
        </w:tc>
        <w:tc>
          <w:tcPr>
            <w:tcW w:w="116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无害化处理池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852"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养殖场</w:t>
            </w:r>
          </w:p>
        </w:tc>
        <w:tc>
          <w:tcPr>
            <w:tcW w:w="993"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13</w:t>
            </w:r>
          </w:p>
        </w:tc>
        <w:tc>
          <w:tcPr>
            <w:tcW w:w="993"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41</w:t>
            </w:r>
          </w:p>
        </w:tc>
        <w:tc>
          <w:tcPr>
            <w:tcW w:w="116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852"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养殖户</w:t>
            </w:r>
          </w:p>
        </w:tc>
        <w:tc>
          <w:tcPr>
            <w:tcW w:w="993"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5</w:t>
            </w:r>
          </w:p>
        </w:tc>
        <w:tc>
          <w:tcPr>
            <w:tcW w:w="993"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134</w:t>
            </w:r>
          </w:p>
        </w:tc>
        <w:tc>
          <w:tcPr>
            <w:tcW w:w="116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852"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合计</w:t>
            </w:r>
          </w:p>
        </w:tc>
        <w:tc>
          <w:tcPr>
            <w:tcW w:w="993"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fldChar w:fldCharType="begin"/>
            </w:r>
            <w:r>
              <w:rPr>
                <w:rFonts w:hint="eastAsia" w:ascii="仿宋" w:hAnsi="仿宋" w:cs="Times New Roman"/>
                <w:b w:val="0"/>
                <w:bCs w:val="0"/>
                <w:color w:val="auto"/>
                <w:sz w:val="28"/>
                <w:szCs w:val="28"/>
                <w:highlight w:val="none"/>
                <w:shd w:val="clear" w:color="auto" w:fill="auto"/>
                <w:lang w:val="en-US" w:eastAsia="zh-CN"/>
              </w:rPr>
              <w:instrText xml:space="preserve"> = sum(B2:B3) \* MERGEFORMAT </w:instrText>
            </w:r>
            <w:r>
              <w:rPr>
                <w:rFonts w:hint="eastAsia" w:ascii="仿宋" w:hAnsi="仿宋" w:cs="Times New Roman"/>
                <w:b w:val="0"/>
                <w:bCs w:val="0"/>
                <w:color w:val="auto"/>
                <w:sz w:val="28"/>
                <w:szCs w:val="28"/>
                <w:highlight w:val="none"/>
                <w:shd w:val="clear" w:color="auto" w:fill="auto"/>
                <w:lang w:val="en-US" w:eastAsia="zh-CN"/>
              </w:rPr>
              <w:fldChar w:fldCharType="separate"/>
            </w:r>
            <w:r>
              <w:rPr>
                <w:rFonts w:hint="eastAsia" w:ascii="仿宋" w:hAnsi="仿宋" w:cs="Times New Roman"/>
                <w:b w:val="0"/>
                <w:bCs w:val="0"/>
                <w:color w:val="auto"/>
                <w:sz w:val="28"/>
                <w:szCs w:val="28"/>
                <w:highlight w:val="none"/>
                <w:shd w:val="clear" w:color="auto" w:fill="auto"/>
                <w:lang w:val="en-US" w:eastAsia="zh-CN"/>
              </w:rPr>
              <w:t>18</w:t>
            </w:r>
            <w:r>
              <w:rPr>
                <w:rFonts w:hint="eastAsia" w:ascii="仿宋" w:hAnsi="仿宋" w:cs="Times New Roman"/>
                <w:b w:val="0"/>
                <w:bCs w:val="0"/>
                <w:color w:val="auto"/>
                <w:sz w:val="28"/>
                <w:szCs w:val="28"/>
                <w:highlight w:val="none"/>
                <w:shd w:val="clear" w:color="auto" w:fill="auto"/>
                <w:lang w:val="en-US" w:eastAsia="zh-CN"/>
              </w:rPr>
              <w:fldChar w:fldCharType="end"/>
            </w:r>
          </w:p>
        </w:tc>
        <w:tc>
          <w:tcPr>
            <w:tcW w:w="993"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fldChar w:fldCharType="begin"/>
            </w:r>
            <w:r>
              <w:rPr>
                <w:rFonts w:hint="eastAsia" w:ascii="仿宋" w:hAnsi="仿宋" w:cs="Times New Roman"/>
                <w:b w:val="0"/>
                <w:bCs w:val="0"/>
                <w:color w:val="auto"/>
                <w:sz w:val="28"/>
                <w:szCs w:val="28"/>
                <w:highlight w:val="none"/>
                <w:shd w:val="clear" w:color="auto" w:fill="auto"/>
                <w:lang w:val="en-US" w:eastAsia="zh-CN"/>
              </w:rPr>
              <w:instrText xml:space="preserve"> = sum(C2:C3) \* MERGEFORMAT </w:instrText>
            </w:r>
            <w:r>
              <w:rPr>
                <w:rFonts w:hint="eastAsia" w:ascii="仿宋" w:hAnsi="仿宋" w:cs="Times New Roman"/>
                <w:b w:val="0"/>
                <w:bCs w:val="0"/>
                <w:color w:val="auto"/>
                <w:sz w:val="28"/>
                <w:szCs w:val="28"/>
                <w:highlight w:val="none"/>
                <w:shd w:val="clear" w:color="auto" w:fill="auto"/>
                <w:lang w:val="en-US" w:eastAsia="zh-CN"/>
              </w:rPr>
              <w:fldChar w:fldCharType="separate"/>
            </w:r>
            <w:r>
              <w:rPr>
                <w:rFonts w:hint="eastAsia" w:ascii="仿宋" w:hAnsi="仿宋" w:cs="Times New Roman"/>
                <w:b w:val="0"/>
                <w:bCs w:val="0"/>
                <w:color w:val="auto"/>
                <w:sz w:val="28"/>
                <w:szCs w:val="28"/>
                <w:highlight w:val="none"/>
                <w:shd w:val="clear" w:color="auto" w:fill="auto"/>
                <w:lang w:val="en-US" w:eastAsia="zh-CN"/>
              </w:rPr>
              <w:t>175</w:t>
            </w:r>
            <w:r>
              <w:rPr>
                <w:rFonts w:hint="eastAsia" w:ascii="仿宋" w:hAnsi="仿宋" w:cs="Times New Roman"/>
                <w:b w:val="0"/>
                <w:bCs w:val="0"/>
                <w:color w:val="auto"/>
                <w:sz w:val="28"/>
                <w:szCs w:val="28"/>
                <w:highlight w:val="none"/>
                <w:shd w:val="clear" w:color="auto" w:fill="auto"/>
                <w:lang w:val="en-US" w:eastAsia="zh-CN"/>
              </w:rPr>
              <w:fldChar w:fldCharType="end"/>
            </w:r>
          </w:p>
        </w:tc>
        <w:tc>
          <w:tcPr>
            <w:tcW w:w="116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fldChar w:fldCharType="begin"/>
            </w:r>
            <w:r>
              <w:rPr>
                <w:rFonts w:hint="eastAsia" w:ascii="仿宋" w:hAnsi="仿宋" w:cs="Times New Roman"/>
                <w:b w:val="0"/>
                <w:bCs w:val="0"/>
                <w:color w:val="auto"/>
                <w:sz w:val="28"/>
                <w:szCs w:val="28"/>
                <w:highlight w:val="none"/>
                <w:shd w:val="clear" w:color="auto" w:fill="auto"/>
                <w:lang w:val="en-US" w:eastAsia="zh-CN"/>
              </w:rPr>
              <w:instrText xml:space="preserve"> = sum(D2:D3) \* MERGEFORMAT </w:instrText>
            </w:r>
            <w:r>
              <w:rPr>
                <w:rFonts w:hint="eastAsia" w:ascii="仿宋" w:hAnsi="仿宋" w:cs="Times New Roman"/>
                <w:b w:val="0"/>
                <w:bCs w:val="0"/>
                <w:color w:val="auto"/>
                <w:sz w:val="28"/>
                <w:szCs w:val="28"/>
                <w:highlight w:val="none"/>
                <w:shd w:val="clear" w:color="auto" w:fill="auto"/>
                <w:lang w:val="en-US" w:eastAsia="zh-CN"/>
              </w:rPr>
              <w:fldChar w:fldCharType="separate"/>
            </w:r>
            <w:r>
              <w:rPr>
                <w:rFonts w:hint="eastAsia" w:ascii="仿宋" w:hAnsi="仿宋" w:cs="Times New Roman"/>
                <w:b w:val="0"/>
                <w:bCs w:val="0"/>
                <w:color w:val="auto"/>
                <w:sz w:val="28"/>
                <w:szCs w:val="28"/>
                <w:highlight w:val="none"/>
                <w:shd w:val="clear" w:color="auto" w:fill="auto"/>
                <w:lang w:val="en-US" w:eastAsia="zh-CN"/>
              </w:rPr>
              <w:t>12</w:t>
            </w:r>
            <w:r>
              <w:rPr>
                <w:rFonts w:hint="eastAsia" w:ascii="仿宋" w:hAnsi="仿宋" w:cs="Times New Roman"/>
                <w:b w:val="0"/>
                <w:bCs w:val="0"/>
                <w:color w:val="auto"/>
                <w:sz w:val="28"/>
                <w:szCs w:val="28"/>
                <w:highlight w:val="none"/>
                <w:shd w:val="clear" w:color="auto" w:fill="auto"/>
                <w:lang w:val="en-US" w:eastAsia="zh-CN"/>
              </w:rPr>
              <w:fldChar w:fldCharType="end"/>
            </w:r>
          </w:p>
        </w:tc>
      </w:tr>
    </w:tbl>
    <w:p>
      <w:pPr>
        <w:pStyle w:val="14"/>
        <w:spacing w:after="0" w:line="240" w:lineRule="auto"/>
        <w:ind w:left="0" w:leftChars="0" w:right="0" w:rightChars="0" w:firstLine="0" w:firstLineChars="0"/>
        <w:jc w:val="center"/>
        <w:rPr>
          <w:rFonts w:hint="eastAsia" w:ascii="仿宋" w:hAnsi="仿宋" w:cs="Times New Roman"/>
          <w:szCs w:val="32"/>
          <w:highlight w:val="none"/>
          <w:shd w:val="clear" w:color="auto" w:fill="auto"/>
          <w:lang w:val="en-US" w:eastAsia="zh-CN"/>
        </w:rPr>
      </w:pPr>
      <w:r>
        <w:drawing>
          <wp:inline distT="0" distB="0" distL="114300" distR="114300">
            <wp:extent cx="2511425" cy="2511425"/>
            <wp:effectExtent l="4445" t="4445" r="13970" b="13970"/>
            <wp:docPr id="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pStyle w:val="115"/>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7"/>
        <w:rPr>
          <w:rFonts w:hint="eastAsia" w:ascii="仿宋" w:hAnsi="仿宋" w:cs="Times New Roman"/>
          <w:szCs w:val="32"/>
          <w:highlight w:val="none"/>
          <w:shd w:val="clear" w:color="auto" w:fill="auto"/>
          <w:lang w:val="en-US" w:eastAsia="zh-CN"/>
        </w:rPr>
      </w:pPr>
      <w:r>
        <w:rPr>
          <w:rFonts w:hint="eastAsia" w:ascii="仿宋" w:hAnsi="仿宋" w:eastAsia="仿宋" w:cs="Times New Roman"/>
          <w:b/>
          <w:color w:val="auto"/>
          <w:sz w:val="28"/>
          <w:szCs w:val="28"/>
          <w:highlight w:val="none"/>
          <w:shd w:val="clear" w:color="auto" w:fill="auto"/>
          <w:lang w:val="en-US" w:eastAsia="zh-CN"/>
        </w:rPr>
        <w:t>图2-5</w:t>
      </w:r>
      <w:r>
        <w:rPr>
          <w:rFonts w:hint="eastAsia" w:ascii="仿宋" w:hAnsi="仿宋" w:eastAsia="仿宋" w:cs="Times New Roman"/>
          <w:b/>
          <w:color w:val="auto"/>
          <w:sz w:val="28"/>
          <w:szCs w:val="28"/>
          <w:highlight w:val="none"/>
          <w:shd w:val="clear" w:color="auto" w:fill="auto"/>
        </w:rPr>
        <w:t xml:space="preserve">  </w:t>
      </w:r>
      <w:r>
        <w:rPr>
          <w:rFonts w:hint="eastAsia" w:ascii="仿宋" w:hAnsi="仿宋" w:eastAsia="仿宋" w:cs="Times New Roman"/>
          <w:b/>
          <w:color w:val="auto"/>
          <w:sz w:val="28"/>
          <w:szCs w:val="28"/>
          <w:highlight w:val="none"/>
          <w:shd w:val="clear" w:color="auto" w:fill="auto"/>
          <w:lang w:eastAsia="zh-CN"/>
        </w:rPr>
        <w:t>旺苍</w:t>
      </w:r>
      <w:r>
        <w:rPr>
          <w:rFonts w:hint="eastAsia" w:ascii="仿宋" w:hAnsi="仿宋" w:eastAsia="仿宋" w:cs="Times New Roman"/>
          <w:b/>
          <w:color w:val="auto"/>
          <w:sz w:val="28"/>
          <w:szCs w:val="28"/>
          <w:highlight w:val="none"/>
          <w:shd w:val="clear" w:color="auto" w:fill="auto"/>
        </w:rPr>
        <w:t>县</w:t>
      </w:r>
      <w:r>
        <w:rPr>
          <w:rFonts w:hint="eastAsia" w:ascii="仿宋" w:hAnsi="仿宋" w:eastAsia="仿宋" w:cs="Times New Roman"/>
          <w:b/>
          <w:color w:val="auto"/>
          <w:sz w:val="28"/>
          <w:szCs w:val="28"/>
          <w:highlight w:val="none"/>
          <w:shd w:val="clear" w:color="auto" w:fill="auto"/>
          <w:lang w:val="en-US" w:eastAsia="zh-CN"/>
        </w:rPr>
        <w:t>养殖场户病死畜禽尸体处置方式现状图</w:t>
      </w:r>
    </w:p>
    <w:p>
      <w:pPr>
        <w:pStyle w:val="14"/>
        <w:spacing w:after="0" w:line="240" w:lineRule="auto"/>
        <w:ind w:left="0" w:leftChars="0" w:right="0" w:rightChars="0" w:firstLine="640" w:firstLineChars="200"/>
        <w:rPr>
          <w:rFonts w:hint="eastAsia" w:ascii="仿宋" w:hAnsi="仿宋" w:cs="Times New Roman"/>
          <w:szCs w:val="32"/>
          <w:highlight w:val="none"/>
          <w:shd w:val="clear" w:color="auto" w:fill="auto"/>
          <w:lang w:val="en-US" w:eastAsia="zh-CN"/>
        </w:rPr>
      </w:pPr>
      <w:r>
        <w:rPr>
          <w:rFonts w:hint="eastAsia" w:ascii="仿宋" w:hAnsi="仿宋" w:cs="Times New Roman"/>
          <w:szCs w:val="32"/>
          <w:highlight w:val="none"/>
          <w:shd w:val="clear" w:color="auto" w:fill="auto"/>
          <w:lang w:val="en-US" w:eastAsia="zh-CN"/>
        </w:rPr>
        <w:t>旺苍县畜禽养殖场户的病死畜禽尸体处置方式主要为消毒深埋，处理方式较为简易。</w:t>
      </w:r>
    </w:p>
    <w:p>
      <w:pPr>
        <w:pStyle w:val="115"/>
        <w:pageBreakBefore w:val="0"/>
        <w:widowControl w:val="0"/>
        <w:kinsoku/>
        <w:wordWrap/>
        <w:overflowPunct/>
        <w:topLinePunct w:val="0"/>
        <w:bidi w:val="0"/>
        <w:snapToGrid/>
        <w:spacing w:line="560" w:lineRule="exact"/>
        <w:jc w:val="center"/>
        <w:textAlignment w:val="auto"/>
        <w:outlineLvl w:val="7"/>
        <w:rPr>
          <w:rFonts w:hint="eastAsia" w:ascii="仿宋" w:hAnsi="仿宋" w:eastAsia="仿宋" w:cs="Times New Roman"/>
          <w:b/>
          <w:color w:val="auto"/>
          <w:sz w:val="28"/>
          <w:szCs w:val="28"/>
          <w:highlight w:val="none"/>
          <w:shd w:val="clear" w:color="auto" w:fill="auto"/>
          <w:lang w:val="en-US" w:eastAsia="zh-CN"/>
        </w:rPr>
      </w:pPr>
      <w:r>
        <w:rPr>
          <w:rFonts w:hint="eastAsia" w:ascii="仿宋" w:hAnsi="仿宋" w:eastAsia="仿宋" w:cs="Times New Roman"/>
          <w:b/>
          <w:color w:val="auto"/>
          <w:sz w:val="28"/>
          <w:szCs w:val="28"/>
          <w:highlight w:val="none"/>
          <w:shd w:val="clear" w:color="auto" w:fill="auto"/>
          <w:lang w:val="en-US" w:eastAsia="zh-CN"/>
        </w:rPr>
        <w:t>表2-9  旺苍县畜禽养殖场户沼气利用情况现状表（家）</w:t>
      </w:r>
    </w:p>
    <w:tbl>
      <w:tblPr>
        <w:tblStyle w:val="3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55"/>
        <w:gridCol w:w="2057"/>
        <w:gridCol w:w="2125"/>
        <w:gridCol w:w="23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1147" w:type="pct"/>
            <w:vMerge w:val="restart"/>
            <w:tcBorders>
              <w:top w:val="single" w:color="000000" w:sz="4" w:space="0"/>
              <w:left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沼气利用情况</w:t>
            </w:r>
          </w:p>
        </w:tc>
        <w:tc>
          <w:tcPr>
            <w:tcW w:w="1207" w:type="pct"/>
            <w:vMerge w:val="restart"/>
            <w:tcBorders>
              <w:top w:val="single" w:color="000000" w:sz="4" w:space="0"/>
              <w:left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未建沼气池</w:t>
            </w:r>
          </w:p>
        </w:tc>
        <w:tc>
          <w:tcPr>
            <w:tcW w:w="2645" w:type="pct"/>
            <w:gridSpan w:val="2"/>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已建沼气池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1147" w:type="pct"/>
            <w:vMerge w:val="continue"/>
            <w:tcBorders>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pPr>
          </w:p>
        </w:tc>
        <w:tc>
          <w:tcPr>
            <w:tcW w:w="1207" w:type="pct"/>
            <w:vMerge w:val="continue"/>
            <w:tcBorders>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pPr>
          </w:p>
        </w:tc>
        <w:tc>
          <w:tcPr>
            <w:tcW w:w="1247"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沼气已利用</w:t>
            </w:r>
          </w:p>
        </w:tc>
        <w:tc>
          <w:tcPr>
            <w:tcW w:w="1398"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沼气未利用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147"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养殖场</w:t>
            </w:r>
          </w:p>
        </w:tc>
        <w:tc>
          <w:tcPr>
            <w:tcW w:w="1207"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31</w:t>
            </w:r>
          </w:p>
        </w:tc>
        <w:tc>
          <w:tcPr>
            <w:tcW w:w="1247"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29</w:t>
            </w:r>
          </w:p>
        </w:tc>
        <w:tc>
          <w:tcPr>
            <w:tcW w:w="1398"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147"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养殖户</w:t>
            </w:r>
          </w:p>
        </w:tc>
        <w:tc>
          <w:tcPr>
            <w:tcW w:w="1207"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97</w:t>
            </w:r>
          </w:p>
        </w:tc>
        <w:tc>
          <w:tcPr>
            <w:tcW w:w="1247"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37</w:t>
            </w:r>
          </w:p>
        </w:tc>
        <w:tc>
          <w:tcPr>
            <w:tcW w:w="1398"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147"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合计</w:t>
            </w:r>
          </w:p>
        </w:tc>
        <w:tc>
          <w:tcPr>
            <w:tcW w:w="1207"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fldChar w:fldCharType="begin"/>
            </w:r>
            <w:r>
              <w:rPr>
                <w:rFonts w:hint="eastAsia" w:ascii="仿宋" w:hAnsi="仿宋" w:cs="Times New Roman"/>
                <w:b w:val="0"/>
                <w:bCs w:val="0"/>
                <w:color w:val="auto"/>
                <w:sz w:val="28"/>
                <w:szCs w:val="28"/>
                <w:highlight w:val="none"/>
                <w:shd w:val="clear" w:color="auto" w:fill="auto"/>
                <w:lang w:val="en-US" w:eastAsia="zh-CN"/>
              </w:rPr>
              <w:instrText xml:space="preserve"> = sum(B3:B4) \* MERGEFORMAT </w:instrText>
            </w:r>
            <w:r>
              <w:rPr>
                <w:rFonts w:hint="eastAsia" w:ascii="仿宋" w:hAnsi="仿宋" w:cs="Times New Roman"/>
                <w:b w:val="0"/>
                <w:bCs w:val="0"/>
                <w:color w:val="auto"/>
                <w:sz w:val="28"/>
                <w:szCs w:val="28"/>
                <w:highlight w:val="none"/>
                <w:shd w:val="clear" w:color="auto" w:fill="auto"/>
                <w:lang w:val="en-US" w:eastAsia="zh-CN"/>
              </w:rPr>
              <w:fldChar w:fldCharType="separate"/>
            </w:r>
            <w:r>
              <w:rPr>
                <w:rFonts w:hint="eastAsia" w:ascii="仿宋" w:hAnsi="仿宋" w:cs="Times New Roman"/>
                <w:b w:val="0"/>
                <w:bCs w:val="0"/>
                <w:color w:val="auto"/>
                <w:sz w:val="28"/>
                <w:szCs w:val="28"/>
                <w:highlight w:val="none"/>
                <w:shd w:val="clear" w:color="auto" w:fill="auto"/>
                <w:lang w:val="en-US" w:eastAsia="zh-CN"/>
              </w:rPr>
              <w:t>128</w:t>
            </w:r>
            <w:r>
              <w:rPr>
                <w:rFonts w:hint="eastAsia" w:ascii="仿宋" w:hAnsi="仿宋" w:cs="Times New Roman"/>
                <w:b w:val="0"/>
                <w:bCs w:val="0"/>
                <w:color w:val="auto"/>
                <w:sz w:val="28"/>
                <w:szCs w:val="28"/>
                <w:highlight w:val="none"/>
                <w:shd w:val="clear" w:color="auto" w:fill="auto"/>
                <w:lang w:val="en-US" w:eastAsia="zh-CN"/>
              </w:rPr>
              <w:fldChar w:fldCharType="end"/>
            </w:r>
          </w:p>
        </w:tc>
        <w:tc>
          <w:tcPr>
            <w:tcW w:w="1247"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fldChar w:fldCharType="begin"/>
            </w:r>
            <w:r>
              <w:rPr>
                <w:rFonts w:hint="eastAsia" w:ascii="仿宋" w:hAnsi="仿宋" w:cs="Times New Roman"/>
                <w:b w:val="0"/>
                <w:bCs w:val="0"/>
                <w:color w:val="auto"/>
                <w:sz w:val="28"/>
                <w:szCs w:val="28"/>
                <w:highlight w:val="none"/>
                <w:shd w:val="clear" w:color="auto" w:fill="auto"/>
                <w:lang w:val="en-US" w:eastAsia="zh-CN"/>
              </w:rPr>
              <w:instrText xml:space="preserve"> = sum(C3:C4) \* MERGEFORMAT </w:instrText>
            </w:r>
            <w:r>
              <w:rPr>
                <w:rFonts w:hint="eastAsia" w:ascii="仿宋" w:hAnsi="仿宋" w:cs="Times New Roman"/>
                <w:b w:val="0"/>
                <w:bCs w:val="0"/>
                <w:color w:val="auto"/>
                <w:sz w:val="28"/>
                <w:szCs w:val="28"/>
                <w:highlight w:val="none"/>
                <w:shd w:val="clear" w:color="auto" w:fill="auto"/>
                <w:lang w:val="en-US" w:eastAsia="zh-CN"/>
              </w:rPr>
              <w:fldChar w:fldCharType="separate"/>
            </w:r>
            <w:r>
              <w:rPr>
                <w:rFonts w:hint="eastAsia" w:ascii="仿宋" w:hAnsi="仿宋" w:cs="Times New Roman"/>
                <w:b w:val="0"/>
                <w:bCs w:val="0"/>
                <w:color w:val="auto"/>
                <w:sz w:val="28"/>
                <w:szCs w:val="28"/>
                <w:highlight w:val="none"/>
                <w:shd w:val="clear" w:color="auto" w:fill="auto"/>
                <w:lang w:val="en-US" w:eastAsia="zh-CN"/>
              </w:rPr>
              <w:t>66</w:t>
            </w:r>
            <w:r>
              <w:rPr>
                <w:rFonts w:hint="eastAsia" w:ascii="仿宋" w:hAnsi="仿宋" w:cs="Times New Roman"/>
                <w:b w:val="0"/>
                <w:bCs w:val="0"/>
                <w:color w:val="auto"/>
                <w:sz w:val="28"/>
                <w:szCs w:val="28"/>
                <w:highlight w:val="none"/>
                <w:shd w:val="clear" w:color="auto" w:fill="auto"/>
                <w:lang w:val="en-US" w:eastAsia="zh-CN"/>
              </w:rPr>
              <w:fldChar w:fldCharType="end"/>
            </w:r>
          </w:p>
        </w:tc>
        <w:tc>
          <w:tcPr>
            <w:tcW w:w="1398"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fldChar w:fldCharType="begin"/>
            </w:r>
            <w:r>
              <w:rPr>
                <w:rFonts w:hint="eastAsia" w:ascii="仿宋" w:hAnsi="仿宋" w:cs="Times New Roman"/>
                <w:b w:val="0"/>
                <w:bCs w:val="0"/>
                <w:color w:val="auto"/>
                <w:sz w:val="28"/>
                <w:szCs w:val="28"/>
                <w:highlight w:val="none"/>
                <w:shd w:val="clear" w:color="auto" w:fill="auto"/>
                <w:lang w:val="en-US" w:eastAsia="zh-CN"/>
              </w:rPr>
              <w:instrText xml:space="preserve"> = sum(D3:D4) \* MERGEFORMAT </w:instrText>
            </w:r>
            <w:r>
              <w:rPr>
                <w:rFonts w:hint="eastAsia" w:ascii="仿宋" w:hAnsi="仿宋" w:cs="Times New Roman"/>
                <w:b w:val="0"/>
                <w:bCs w:val="0"/>
                <w:color w:val="auto"/>
                <w:sz w:val="28"/>
                <w:szCs w:val="28"/>
                <w:highlight w:val="none"/>
                <w:shd w:val="clear" w:color="auto" w:fill="auto"/>
                <w:lang w:val="en-US" w:eastAsia="zh-CN"/>
              </w:rPr>
              <w:fldChar w:fldCharType="separate"/>
            </w:r>
            <w:r>
              <w:rPr>
                <w:rFonts w:hint="eastAsia" w:ascii="仿宋" w:hAnsi="仿宋" w:cs="Times New Roman"/>
                <w:b w:val="0"/>
                <w:bCs w:val="0"/>
                <w:color w:val="auto"/>
                <w:sz w:val="28"/>
                <w:szCs w:val="28"/>
                <w:highlight w:val="none"/>
                <w:shd w:val="clear" w:color="auto" w:fill="auto"/>
                <w:lang w:val="en-US" w:eastAsia="zh-CN"/>
              </w:rPr>
              <w:t>11</w:t>
            </w:r>
            <w:r>
              <w:rPr>
                <w:rFonts w:hint="eastAsia" w:ascii="仿宋" w:hAnsi="仿宋" w:cs="Times New Roman"/>
                <w:b w:val="0"/>
                <w:bCs w:val="0"/>
                <w:color w:val="auto"/>
                <w:sz w:val="28"/>
                <w:szCs w:val="28"/>
                <w:highlight w:val="none"/>
                <w:shd w:val="clear" w:color="auto" w:fill="auto"/>
                <w:lang w:val="en-US" w:eastAsia="zh-CN"/>
              </w:rPr>
              <w:fldChar w:fldCharType="end"/>
            </w:r>
          </w:p>
        </w:tc>
      </w:tr>
    </w:tbl>
    <w:p>
      <w:pPr>
        <w:pStyle w:val="14"/>
        <w:spacing w:after="0" w:line="240" w:lineRule="auto"/>
        <w:ind w:left="0" w:leftChars="0" w:right="0" w:rightChars="0" w:firstLine="0" w:firstLineChars="0"/>
        <w:jc w:val="center"/>
        <w:rPr>
          <w:rFonts w:hint="eastAsia" w:ascii="仿宋" w:hAnsi="仿宋" w:cs="Times New Roman"/>
          <w:szCs w:val="32"/>
          <w:highlight w:val="none"/>
          <w:shd w:val="clear" w:color="auto" w:fill="auto"/>
          <w:lang w:val="en-US" w:eastAsia="zh-CN"/>
        </w:rPr>
      </w:pPr>
      <w:r>
        <w:drawing>
          <wp:inline distT="0" distB="0" distL="114300" distR="114300">
            <wp:extent cx="2511425" cy="2511425"/>
            <wp:effectExtent l="4445" t="4445" r="13970" b="13970"/>
            <wp:docPr id="7"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pStyle w:val="115"/>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7"/>
        <w:rPr>
          <w:rFonts w:hint="eastAsia" w:ascii="仿宋" w:hAnsi="仿宋" w:cs="Times New Roman"/>
          <w:szCs w:val="32"/>
          <w:highlight w:val="none"/>
          <w:shd w:val="clear" w:color="auto" w:fill="auto"/>
          <w:lang w:val="en-US" w:eastAsia="zh-CN"/>
        </w:rPr>
      </w:pPr>
      <w:r>
        <w:rPr>
          <w:rFonts w:hint="eastAsia" w:ascii="仿宋" w:hAnsi="仿宋" w:eastAsia="仿宋" w:cs="Times New Roman"/>
          <w:b/>
          <w:color w:val="auto"/>
          <w:sz w:val="28"/>
          <w:szCs w:val="28"/>
          <w:highlight w:val="none"/>
          <w:shd w:val="clear" w:color="auto" w:fill="auto"/>
          <w:lang w:val="en-US" w:eastAsia="zh-CN"/>
        </w:rPr>
        <w:t>图2-6</w:t>
      </w:r>
      <w:r>
        <w:rPr>
          <w:rFonts w:hint="eastAsia" w:ascii="仿宋" w:hAnsi="仿宋" w:eastAsia="仿宋" w:cs="Times New Roman"/>
          <w:b/>
          <w:color w:val="auto"/>
          <w:sz w:val="28"/>
          <w:szCs w:val="28"/>
          <w:highlight w:val="none"/>
          <w:shd w:val="clear" w:color="auto" w:fill="auto"/>
        </w:rPr>
        <w:t xml:space="preserve">  </w:t>
      </w:r>
      <w:r>
        <w:rPr>
          <w:rFonts w:hint="eastAsia" w:ascii="仿宋" w:hAnsi="仿宋" w:eastAsia="仿宋" w:cs="Times New Roman"/>
          <w:b/>
          <w:color w:val="auto"/>
          <w:sz w:val="28"/>
          <w:szCs w:val="28"/>
          <w:highlight w:val="none"/>
          <w:shd w:val="clear" w:color="auto" w:fill="auto"/>
          <w:lang w:eastAsia="zh-CN"/>
        </w:rPr>
        <w:t>旺苍</w:t>
      </w:r>
      <w:r>
        <w:rPr>
          <w:rFonts w:hint="eastAsia" w:ascii="仿宋" w:hAnsi="仿宋" w:eastAsia="仿宋" w:cs="Times New Roman"/>
          <w:b/>
          <w:color w:val="auto"/>
          <w:sz w:val="28"/>
          <w:szCs w:val="28"/>
          <w:highlight w:val="none"/>
          <w:shd w:val="clear" w:color="auto" w:fill="auto"/>
        </w:rPr>
        <w:t>县</w:t>
      </w:r>
      <w:r>
        <w:rPr>
          <w:rFonts w:hint="eastAsia" w:ascii="仿宋" w:hAnsi="仿宋" w:eastAsia="仿宋" w:cs="Times New Roman"/>
          <w:b/>
          <w:color w:val="auto"/>
          <w:sz w:val="28"/>
          <w:szCs w:val="28"/>
          <w:highlight w:val="none"/>
          <w:shd w:val="clear" w:color="auto" w:fill="auto"/>
          <w:lang w:val="en-US" w:eastAsia="zh-CN"/>
        </w:rPr>
        <w:t>养殖场户沼气利用情况现状图</w:t>
      </w:r>
    </w:p>
    <w:p>
      <w:pPr>
        <w:pStyle w:val="14"/>
        <w:spacing w:after="0" w:line="240" w:lineRule="auto"/>
        <w:ind w:left="0" w:leftChars="0" w:right="0" w:rightChars="0" w:firstLine="640" w:firstLineChars="200"/>
        <w:rPr>
          <w:rFonts w:hint="eastAsia" w:ascii="仿宋" w:hAnsi="仿宋" w:cs="Times New Roman"/>
          <w:szCs w:val="32"/>
          <w:highlight w:val="none"/>
          <w:shd w:val="clear" w:color="auto" w:fill="auto"/>
          <w:lang w:val="en-US" w:eastAsia="zh-CN"/>
        </w:rPr>
      </w:pPr>
      <w:r>
        <w:rPr>
          <w:rFonts w:hint="eastAsia" w:ascii="仿宋" w:hAnsi="仿宋" w:cs="Times New Roman"/>
          <w:szCs w:val="32"/>
          <w:highlight w:val="none"/>
          <w:shd w:val="clear" w:color="auto" w:fill="auto"/>
          <w:lang w:val="en-US" w:eastAsia="zh-CN"/>
        </w:rPr>
        <w:t>旺苍县畜禽养殖场户大部分未建设沼气池，且已建设沼气池的养殖场户中14%未使用，总体利用率不佳。</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根据调研显示，旺苍县散养户的粪便、尿液等整体处理水平不高，除生态型规模养殖场和部分外，其余大部分养殖散户的处理设施基本很难达到治理要求。</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从污染治理工程措施来看，旺苍县现有畜禽养殖场大部分未建设有完善的粪污处理处置设施，一般作为还田利用处理，缺少粪污的贮存及处理处置设施，粪污综合利用率还需稳步提升；此外，在雨污分流方面，大部分养殖场未建有雨污分流系统，或仅建设了部分的雨污分流系统。在公共治污方面，旺苍县畜禽养殖污染治理缺少公共治理设施，如养殖小区沼气工程、粪污贮存与处理处置设施等；病死畜禽亦缺乏集中处置设施。</w:t>
      </w:r>
    </w:p>
    <w:p>
      <w:pPr>
        <w:keepNext/>
        <w:keepLines/>
        <w:pageBreakBefore w:val="0"/>
        <w:widowControl w:val="0"/>
        <w:kinsoku/>
        <w:wordWrap/>
        <w:overflowPunct/>
        <w:topLinePunct w:val="0"/>
        <w:autoSpaceDE/>
        <w:autoSpaceDN/>
        <w:bidi w:val="0"/>
        <w:adjustRightInd/>
        <w:snapToGrid/>
        <w:spacing w:line="240" w:lineRule="auto"/>
        <w:ind w:firstLine="643" w:firstLineChars="200"/>
        <w:jc w:val="left"/>
        <w:textAlignment w:val="auto"/>
        <w:outlineLvl w:val="2"/>
        <w:rPr>
          <w:rFonts w:hint="default" w:ascii="仿宋" w:hAnsi="仿宋" w:eastAsia="仿宋" w:cs="Times New Roman"/>
          <w:b/>
          <w:bCs/>
          <w:color w:val="auto"/>
          <w:kern w:val="2"/>
          <w:sz w:val="32"/>
          <w:szCs w:val="32"/>
          <w:highlight w:val="none"/>
          <w:shd w:val="clear" w:color="auto" w:fill="auto"/>
          <w:lang w:val="en-US" w:eastAsia="zh-CN" w:bidi="ar-SA"/>
        </w:rPr>
      </w:pPr>
      <w:r>
        <w:rPr>
          <w:rFonts w:hint="eastAsia" w:ascii="仿宋" w:hAnsi="仿宋" w:eastAsia="仿宋" w:cs="Times New Roman"/>
          <w:b/>
          <w:bCs/>
          <w:color w:val="auto"/>
          <w:kern w:val="2"/>
          <w:sz w:val="32"/>
          <w:szCs w:val="32"/>
          <w:highlight w:val="none"/>
          <w:shd w:val="clear" w:color="auto" w:fill="auto"/>
          <w:lang w:val="en-US" w:eastAsia="zh-CN" w:bidi="ar-SA"/>
        </w:rPr>
        <w:t>二、禁养区划定整治</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ascii="仿宋" w:hAnsi="仿宋" w:eastAsia="仿宋_GB2312" w:cs="Times New Roman"/>
          <w:kern w:val="2"/>
          <w:sz w:val="32"/>
          <w:szCs w:val="32"/>
          <w:highlight w:val="none"/>
          <w:shd w:val="clear" w:color="auto" w:fill="auto"/>
          <w:lang w:val="en-US" w:eastAsia="zh-CN" w:bidi="ar-SA"/>
        </w:rPr>
        <w:t>根据国家</w:t>
      </w:r>
      <w:r>
        <w:rPr>
          <w:rFonts w:hint="eastAsia" w:ascii="仿宋" w:hAnsi="仿宋" w:eastAsia="仿宋_GB2312" w:cs="Times New Roman"/>
          <w:kern w:val="2"/>
          <w:sz w:val="32"/>
          <w:szCs w:val="32"/>
          <w:highlight w:val="none"/>
          <w:shd w:val="clear" w:color="auto" w:fill="auto"/>
          <w:lang w:val="en-US" w:eastAsia="zh-CN" w:bidi="ar-SA"/>
        </w:rPr>
        <w:t>、省、市</w:t>
      </w:r>
      <w:r>
        <w:rPr>
          <w:rFonts w:ascii="仿宋" w:hAnsi="仿宋" w:eastAsia="仿宋_GB2312" w:cs="Times New Roman"/>
          <w:kern w:val="2"/>
          <w:sz w:val="32"/>
          <w:szCs w:val="32"/>
          <w:highlight w:val="none"/>
          <w:shd w:val="clear" w:color="auto" w:fill="auto"/>
          <w:lang w:val="en-US" w:eastAsia="zh-CN" w:bidi="ar-SA"/>
        </w:rPr>
        <w:t>部署要求，开展新一</w:t>
      </w:r>
      <w:r>
        <w:rPr>
          <w:rFonts w:ascii="仿宋" w:hAnsi="仿宋"/>
          <w:szCs w:val="32"/>
          <w:highlight w:val="none"/>
          <w:shd w:val="clear" w:color="auto" w:fill="auto"/>
        </w:rPr>
        <w:t>轮畜禽养殖禁养区规划调整，</w:t>
      </w:r>
      <w:r>
        <w:rPr>
          <w:rFonts w:hint="eastAsia" w:ascii="仿宋" w:hAnsi="仿宋"/>
          <w:szCs w:val="32"/>
          <w:highlight w:val="none"/>
          <w:shd w:val="clear" w:color="auto" w:fill="auto"/>
        </w:rPr>
        <w:t>全面完成畜禽养殖禁养区内养殖场（户）关闭或拆除工作</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rPr>
        <w:t>根据《旺苍县人民政府办公室关于印发旺苍县畜禽养殖禁养区内养殖场（户）关闭或拆除方案的通知》（旺府办函〔2017〕274号）需关闭或拆除养殖场（户）59家，中央环保督</w:t>
      </w:r>
      <w:r>
        <w:rPr>
          <w:rFonts w:hint="eastAsia" w:ascii="仿宋" w:hAnsi="仿宋"/>
          <w:szCs w:val="32"/>
          <w:highlight w:val="none"/>
          <w:shd w:val="clear" w:color="auto" w:fill="auto"/>
          <w:lang w:eastAsia="zh-CN"/>
        </w:rPr>
        <w:t>察</w:t>
      </w:r>
      <w:r>
        <w:rPr>
          <w:rFonts w:hint="eastAsia" w:ascii="仿宋" w:hAnsi="仿宋"/>
          <w:szCs w:val="32"/>
          <w:highlight w:val="none"/>
          <w:shd w:val="clear" w:color="auto" w:fill="auto"/>
        </w:rPr>
        <w:t>期间关闭拆除适养区九龙镇耳场粱养殖场1家、东河镇限养区内自行关闭1家、嘉川镇限养区内自行关闭1家，全县共关闭或拆除养殖场（户）62家，圈舍面积减少34505平方米，家禽存栏减少10.68万羽，生猪存栏减少6073头，肉牛存栏减少51头，肉羊存栏减少46头。</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ascii="仿宋" w:hAnsi="仿宋"/>
          <w:szCs w:val="32"/>
          <w:highlight w:val="none"/>
          <w:shd w:val="clear" w:color="auto" w:fill="auto"/>
        </w:rPr>
        <w:t>全</w:t>
      </w:r>
      <w:r>
        <w:rPr>
          <w:rFonts w:hint="eastAsia" w:ascii="仿宋" w:hAnsi="仿宋"/>
          <w:szCs w:val="32"/>
          <w:highlight w:val="none"/>
          <w:shd w:val="clear" w:color="auto" w:fill="auto"/>
        </w:rPr>
        <w:t>县</w:t>
      </w:r>
      <w:r>
        <w:rPr>
          <w:rFonts w:ascii="仿宋" w:hAnsi="仿宋"/>
          <w:szCs w:val="32"/>
          <w:highlight w:val="none"/>
          <w:shd w:val="clear" w:color="auto" w:fill="auto"/>
        </w:rPr>
        <w:t>调整后实际按照禁养区管理的个数为</w:t>
      </w:r>
      <w:r>
        <w:rPr>
          <w:rFonts w:hint="eastAsia" w:ascii="仿宋" w:hAnsi="仿宋"/>
          <w:szCs w:val="32"/>
          <w:highlight w:val="none"/>
          <w:shd w:val="clear" w:color="auto" w:fill="auto"/>
          <w:lang w:val="en-US" w:eastAsia="zh-CN"/>
        </w:rPr>
        <w:t>49</w:t>
      </w:r>
      <w:r>
        <w:rPr>
          <w:rFonts w:ascii="仿宋" w:hAnsi="仿宋"/>
          <w:szCs w:val="32"/>
          <w:highlight w:val="none"/>
          <w:shd w:val="clear" w:color="auto" w:fill="auto"/>
        </w:rPr>
        <w:t>个，禁养区面积</w:t>
      </w:r>
      <w:r>
        <w:rPr>
          <w:rFonts w:hint="eastAsia" w:ascii="仿宋" w:hAnsi="仿宋"/>
          <w:szCs w:val="32"/>
          <w:highlight w:val="none"/>
          <w:shd w:val="clear" w:color="auto" w:fill="auto"/>
          <w:lang w:val="en-US" w:eastAsia="zh-CN"/>
        </w:rPr>
        <w:t>200.31</w:t>
      </w:r>
      <w:r>
        <w:rPr>
          <w:rFonts w:ascii="仿宋" w:hAnsi="仿宋"/>
          <w:szCs w:val="32"/>
          <w:highlight w:val="none"/>
          <w:shd w:val="clear" w:color="auto" w:fill="auto"/>
        </w:rPr>
        <w:t>平方公里，进一步明确禁养区划定的法律法规和政策依据，厘清畜禽养殖空间管控范围，拓展产业发展空间</w:t>
      </w:r>
      <w:r>
        <w:rPr>
          <w:rFonts w:hint="eastAsia" w:ascii="仿宋" w:hAnsi="仿宋"/>
          <w:szCs w:val="32"/>
          <w:highlight w:val="none"/>
          <w:shd w:val="clear" w:color="auto" w:fill="auto"/>
        </w:rPr>
        <w:t>。畜禽养殖产业更为集聚，主要分布在白水镇、嘉川镇、东河镇、黄洋镇、普济镇、三江镇、龙凤镇等乡镇（街道）。</w:t>
      </w:r>
      <w:r>
        <w:rPr>
          <w:rFonts w:ascii="仿宋" w:hAnsi="仿宋"/>
          <w:szCs w:val="32"/>
          <w:highlight w:val="none"/>
          <w:shd w:val="clear" w:color="auto" w:fill="auto"/>
        </w:rPr>
        <w:t>结合资源环境承载力、猪肉消费需要及产业竞争力等因素，科学调整生猪养殖规模和布局，生猪养殖优势区、重点县产业优势更加明显，畜禽养殖区域分布更加合理。</w:t>
      </w:r>
    </w:p>
    <w:p>
      <w:pPr>
        <w:keepNext/>
        <w:keepLines/>
        <w:pageBreakBefore w:val="0"/>
        <w:widowControl w:val="0"/>
        <w:kinsoku/>
        <w:wordWrap/>
        <w:overflowPunct/>
        <w:topLinePunct w:val="0"/>
        <w:autoSpaceDE/>
        <w:autoSpaceDN/>
        <w:bidi w:val="0"/>
        <w:adjustRightInd/>
        <w:snapToGrid/>
        <w:spacing w:line="240" w:lineRule="auto"/>
        <w:ind w:firstLine="643" w:firstLineChars="200"/>
        <w:jc w:val="left"/>
        <w:textAlignment w:val="auto"/>
        <w:outlineLvl w:val="2"/>
        <w:rPr>
          <w:rFonts w:hint="eastAsia" w:ascii="仿宋" w:hAnsi="仿宋" w:cs="Times New Roman"/>
          <w:szCs w:val="32"/>
          <w:highlight w:val="none"/>
          <w:shd w:val="clear" w:color="auto" w:fill="auto"/>
          <w:lang w:val="en-US" w:eastAsia="zh-CN"/>
        </w:rPr>
      </w:pPr>
      <w:r>
        <w:rPr>
          <w:rFonts w:hint="eastAsia" w:ascii="仿宋" w:hAnsi="仿宋" w:eastAsia="仿宋" w:cs="Times New Roman"/>
          <w:b/>
          <w:bCs/>
          <w:color w:val="auto"/>
          <w:kern w:val="2"/>
          <w:sz w:val="32"/>
          <w:szCs w:val="32"/>
          <w:highlight w:val="none"/>
          <w:shd w:val="clear" w:color="auto" w:fill="auto"/>
          <w:lang w:val="en-US" w:eastAsia="zh-CN" w:bidi="ar-SA"/>
        </w:rPr>
        <w:t>三、养殖场户污染排放情况</w:t>
      </w:r>
    </w:p>
    <w:p>
      <w:pPr>
        <w:pStyle w:val="14"/>
        <w:spacing w:after="0" w:line="240" w:lineRule="auto"/>
        <w:ind w:left="0" w:leftChars="0" w:right="0" w:rightChars="0" w:firstLine="640" w:firstLineChars="200"/>
        <w:jc w:val="both"/>
        <w:rPr>
          <w:rFonts w:hint="eastAsia" w:ascii="仿宋" w:hAnsi="仿宋" w:cs="Times New Roman"/>
          <w:szCs w:val="32"/>
          <w:highlight w:val="none"/>
          <w:shd w:val="clear" w:color="auto" w:fill="auto"/>
          <w:lang w:val="en-US" w:eastAsia="zh-CN"/>
        </w:rPr>
      </w:pPr>
      <w:r>
        <w:rPr>
          <w:rFonts w:hint="eastAsia" w:ascii="仿宋" w:hAnsi="仿宋" w:cs="Times New Roman"/>
          <w:szCs w:val="32"/>
          <w:highlight w:val="none"/>
          <w:shd w:val="clear" w:color="auto" w:fill="auto"/>
          <w:lang w:val="en-US" w:eastAsia="zh-CN"/>
        </w:rPr>
        <w:t>根据国家《畜禽养殖业污染物排放标准》，将鸡、鸭、牛等畜禽种类的养殖量换算成猪的养殖量，换算比例为：30只蛋鸡、20只鸭、3只羊折算为1头猪，1头肉牛折算为5头猪。</w:t>
      </w:r>
    </w:p>
    <w:p>
      <w:pPr>
        <w:pStyle w:val="14"/>
        <w:spacing w:after="0" w:line="240" w:lineRule="auto"/>
        <w:ind w:left="0" w:leftChars="0" w:right="0" w:rightChars="0" w:firstLine="640" w:firstLineChars="200"/>
        <w:jc w:val="both"/>
        <w:rPr>
          <w:rFonts w:hint="eastAsia" w:ascii="仿宋" w:hAnsi="仿宋" w:cs="Times New Roman"/>
          <w:szCs w:val="32"/>
          <w:highlight w:val="none"/>
          <w:shd w:val="clear" w:color="auto" w:fill="auto"/>
          <w:lang w:val="en-US" w:eastAsia="zh-CN"/>
        </w:rPr>
      </w:pPr>
      <w:r>
        <w:rPr>
          <w:rFonts w:hint="eastAsia" w:ascii="仿宋" w:hAnsi="仿宋" w:cs="Times New Roman"/>
          <w:szCs w:val="32"/>
          <w:highlight w:val="none"/>
          <w:shd w:val="clear" w:color="auto" w:fill="auto"/>
          <w:lang w:val="en-US" w:eastAsia="zh-CN"/>
        </w:rPr>
        <w:t>畜禽养殖粪污的综合处理方式以堆肥、沼气为主，处理效率设定为70%，直接排放和多级沉淀的是规模化未综合处理的，以直排计算。</w:t>
      </w:r>
    </w:p>
    <w:p>
      <w:pPr>
        <w:pStyle w:val="14"/>
        <w:spacing w:after="0" w:line="240" w:lineRule="auto"/>
        <w:ind w:left="0" w:leftChars="0" w:right="0" w:rightChars="0" w:firstLine="640" w:firstLineChars="200"/>
        <w:jc w:val="both"/>
        <w:rPr>
          <w:rFonts w:hint="eastAsia" w:ascii="仿宋" w:hAnsi="仿宋" w:cs="Times New Roman"/>
          <w:szCs w:val="32"/>
          <w:highlight w:val="none"/>
          <w:shd w:val="clear" w:color="auto" w:fill="auto"/>
          <w:lang w:val="en-US" w:eastAsia="zh-CN"/>
        </w:rPr>
      </w:pPr>
      <w:r>
        <w:rPr>
          <w:rFonts w:hint="eastAsia" w:ascii="仿宋" w:hAnsi="仿宋" w:cs="Times New Roman"/>
          <w:szCs w:val="32"/>
          <w:highlight w:val="none"/>
          <w:shd w:val="clear" w:color="auto" w:fill="auto"/>
          <w:lang w:val="en-US" w:eastAsia="zh-CN"/>
        </w:rPr>
        <w:t>根据流域内畜禽养殖排放量公式：养殖业污染排放量=散养的畜禽粪污各污染物产生量+规模化综合处理的畜禽粪污各污染物产生量×（1-综合处理效率）+规模化未综合处理的畜禽粪污各污染物产生量。</w:t>
      </w:r>
    </w:p>
    <w:p>
      <w:pPr>
        <w:pStyle w:val="14"/>
        <w:spacing w:after="0" w:line="240" w:lineRule="auto"/>
        <w:ind w:left="0" w:leftChars="0" w:right="0" w:rightChars="0" w:firstLine="640" w:firstLineChars="200"/>
        <w:jc w:val="both"/>
        <w:rPr>
          <w:rFonts w:hint="eastAsia" w:ascii="仿宋" w:hAnsi="仿宋" w:cs="Times New Roman"/>
          <w:szCs w:val="32"/>
          <w:highlight w:val="none"/>
          <w:shd w:val="clear" w:color="auto" w:fill="auto"/>
          <w:lang w:val="en-US" w:eastAsia="zh-CN"/>
        </w:rPr>
      </w:pPr>
      <w:r>
        <w:rPr>
          <w:rFonts w:hint="eastAsia" w:ascii="仿宋" w:hAnsi="仿宋" w:cs="Times New Roman"/>
          <w:szCs w:val="32"/>
          <w:highlight w:val="none"/>
          <w:shd w:val="clear" w:color="auto" w:fill="auto"/>
          <w:lang w:val="en-US" w:eastAsia="zh-CN"/>
        </w:rPr>
        <w:t>根据国家生态环境部提供的排泄系数及相关的研究资料，畜禽的排泄指数和畜禽粪便中污染物的浓度，可以计算出每只畜禽一年中污染物的排泄量。对于规模化养殖污染物的排放按以下系数计算，猪粪中污染物含量为COD 52 kg（头</w:t>
      </w:r>
      <w:r>
        <w:rPr>
          <w:rFonts w:hint="default" w:ascii="仿宋" w:hAnsi="仿宋" w:cs="Times New Roman"/>
          <w:szCs w:val="32"/>
          <w:highlight w:val="none"/>
          <w:shd w:val="clear" w:color="auto" w:fill="auto"/>
          <w:lang w:val="en-US" w:eastAsia="zh-CN"/>
        </w:rPr>
        <w:t>·</w:t>
      </w:r>
      <w:r>
        <w:rPr>
          <w:rFonts w:hint="eastAsia" w:ascii="仿宋" w:hAnsi="仿宋" w:cs="Times New Roman"/>
          <w:szCs w:val="32"/>
          <w:highlight w:val="none"/>
          <w:shd w:val="clear" w:color="auto" w:fill="auto"/>
          <w:lang w:val="en-US" w:eastAsia="zh-CN"/>
        </w:rPr>
        <w:t>a），氨氮3.1 kg（头</w:t>
      </w:r>
      <w:r>
        <w:rPr>
          <w:rFonts w:hint="default" w:ascii="仿宋" w:hAnsi="仿宋" w:cs="Times New Roman"/>
          <w:szCs w:val="32"/>
          <w:highlight w:val="none"/>
          <w:shd w:val="clear" w:color="auto" w:fill="auto"/>
          <w:lang w:val="en-US" w:eastAsia="zh-CN"/>
        </w:rPr>
        <w:t>·</w:t>
      </w:r>
      <w:r>
        <w:rPr>
          <w:rFonts w:hint="eastAsia" w:ascii="仿宋" w:hAnsi="仿宋" w:cs="Times New Roman"/>
          <w:szCs w:val="32"/>
          <w:highlight w:val="none"/>
          <w:shd w:val="clear" w:color="auto" w:fill="auto"/>
          <w:lang w:val="en-US" w:eastAsia="zh-CN"/>
        </w:rPr>
        <w:t>a），总磷34 kg（头</w:t>
      </w:r>
      <w:r>
        <w:rPr>
          <w:rFonts w:hint="default" w:ascii="仿宋" w:hAnsi="仿宋" w:cs="Times New Roman"/>
          <w:szCs w:val="32"/>
          <w:highlight w:val="none"/>
          <w:shd w:val="clear" w:color="auto" w:fill="auto"/>
          <w:lang w:val="en-US" w:eastAsia="zh-CN"/>
        </w:rPr>
        <w:t>·</w:t>
      </w:r>
      <w:r>
        <w:rPr>
          <w:rFonts w:hint="eastAsia" w:ascii="仿宋" w:hAnsi="仿宋" w:cs="Times New Roman"/>
          <w:szCs w:val="32"/>
          <w:highlight w:val="none"/>
          <w:shd w:val="clear" w:color="auto" w:fill="auto"/>
          <w:lang w:val="en-US" w:eastAsia="zh-CN"/>
        </w:rPr>
        <w:t>a），鸡鸭粪污染物含量为COD 45 kg（头</w:t>
      </w:r>
      <w:r>
        <w:rPr>
          <w:rFonts w:hint="default" w:ascii="仿宋" w:hAnsi="仿宋" w:cs="Times New Roman"/>
          <w:szCs w:val="32"/>
          <w:highlight w:val="none"/>
          <w:shd w:val="clear" w:color="auto" w:fill="auto"/>
          <w:lang w:val="en-US" w:eastAsia="zh-CN"/>
        </w:rPr>
        <w:t>·</w:t>
      </w:r>
      <w:r>
        <w:rPr>
          <w:rFonts w:hint="eastAsia" w:ascii="仿宋" w:hAnsi="仿宋" w:cs="Times New Roman"/>
          <w:szCs w:val="32"/>
          <w:highlight w:val="none"/>
          <w:shd w:val="clear" w:color="auto" w:fill="auto"/>
          <w:lang w:val="en-US" w:eastAsia="zh-CN"/>
        </w:rPr>
        <w:t>a），氨氮4.8 k（头</w:t>
      </w:r>
      <w:r>
        <w:rPr>
          <w:rFonts w:hint="default" w:ascii="仿宋" w:hAnsi="仿宋" w:cs="Times New Roman"/>
          <w:szCs w:val="32"/>
          <w:highlight w:val="none"/>
          <w:shd w:val="clear" w:color="auto" w:fill="auto"/>
          <w:lang w:val="en-US" w:eastAsia="zh-CN"/>
        </w:rPr>
        <w:t>·</w:t>
      </w:r>
      <w:r>
        <w:rPr>
          <w:rFonts w:hint="eastAsia" w:ascii="仿宋" w:hAnsi="仿宋" w:cs="Times New Roman"/>
          <w:szCs w:val="32"/>
          <w:highlight w:val="none"/>
          <w:shd w:val="clear" w:color="auto" w:fill="auto"/>
          <w:lang w:val="en-US" w:eastAsia="zh-CN"/>
        </w:rPr>
        <w:t>a），总磷5.37 kg（头</w:t>
      </w:r>
      <w:r>
        <w:rPr>
          <w:rFonts w:hint="default" w:ascii="仿宋" w:hAnsi="仿宋" w:cs="Times New Roman"/>
          <w:szCs w:val="32"/>
          <w:highlight w:val="none"/>
          <w:shd w:val="clear" w:color="auto" w:fill="auto"/>
          <w:lang w:val="en-US" w:eastAsia="zh-CN"/>
        </w:rPr>
        <w:t>·</w:t>
      </w:r>
      <w:r>
        <w:rPr>
          <w:rFonts w:hint="eastAsia" w:ascii="仿宋" w:hAnsi="仿宋" w:cs="Times New Roman"/>
          <w:szCs w:val="32"/>
          <w:highlight w:val="none"/>
          <w:shd w:val="clear" w:color="auto" w:fill="auto"/>
          <w:lang w:val="en-US" w:eastAsia="zh-CN"/>
        </w:rPr>
        <w:t>a）。污水产生量根据实际调研情况取干清粪污水产生量最大值平均每头每天15 L。</w:t>
      </w:r>
    </w:p>
    <w:p>
      <w:pPr>
        <w:pStyle w:val="115"/>
        <w:pageBreakBefore w:val="0"/>
        <w:widowControl w:val="0"/>
        <w:kinsoku/>
        <w:wordWrap/>
        <w:overflowPunct/>
        <w:topLinePunct w:val="0"/>
        <w:bidi w:val="0"/>
        <w:snapToGrid/>
        <w:spacing w:line="560" w:lineRule="exact"/>
        <w:jc w:val="center"/>
        <w:textAlignment w:val="auto"/>
        <w:outlineLvl w:val="7"/>
        <w:rPr>
          <w:rFonts w:hint="eastAsia" w:ascii="仿宋" w:hAnsi="仿宋" w:eastAsia="仿宋" w:cs="Times New Roman"/>
          <w:b/>
          <w:color w:val="auto"/>
          <w:sz w:val="28"/>
          <w:szCs w:val="28"/>
          <w:highlight w:val="none"/>
          <w:shd w:val="clear" w:color="auto" w:fill="auto"/>
          <w:lang w:val="en-US" w:eastAsia="zh-CN"/>
        </w:rPr>
      </w:pPr>
      <w:r>
        <w:rPr>
          <w:rFonts w:hint="eastAsia" w:ascii="仿宋" w:hAnsi="仿宋" w:eastAsia="仿宋" w:cs="Times New Roman"/>
          <w:b/>
          <w:color w:val="auto"/>
          <w:sz w:val="28"/>
          <w:szCs w:val="28"/>
          <w:highlight w:val="none"/>
          <w:shd w:val="clear" w:color="auto" w:fill="auto"/>
          <w:lang w:val="en-US" w:eastAsia="zh-CN"/>
        </w:rPr>
        <w:t>表2-10  每头（只）畜禽每年排泄粪便中污染物含量</w:t>
      </w:r>
    </w:p>
    <w:tbl>
      <w:tblPr>
        <w:tblStyle w:val="3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2"/>
        <w:gridCol w:w="1301"/>
        <w:gridCol w:w="1117"/>
        <w:gridCol w:w="1233"/>
        <w:gridCol w:w="1030"/>
        <w:gridCol w:w="1028"/>
        <w:gridCol w:w="1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29" w:type="pct"/>
            <w:vMerge w:val="restart"/>
            <w:noWrap w:val="0"/>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项目</w:t>
            </w:r>
          </w:p>
        </w:tc>
        <w:tc>
          <w:tcPr>
            <w:tcW w:w="1418" w:type="pct"/>
            <w:gridSpan w:val="2"/>
            <w:noWrap w:val="0"/>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牛（kg/年）</w:t>
            </w:r>
          </w:p>
        </w:tc>
        <w:tc>
          <w:tcPr>
            <w:tcW w:w="1327" w:type="pct"/>
            <w:gridSpan w:val="2"/>
            <w:noWrap w:val="0"/>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猪（kg/年）</w:t>
            </w:r>
          </w:p>
        </w:tc>
        <w:tc>
          <w:tcPr>
            <w:tcW w:w="603" w:type="pct"/>
            <w:vMerge w:val="restart"/>
            <w:noWrap w:val="0"/>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羊粪</w:t>
            </w:r>
          </w:p>
        </w:tc>
        <w:tc>
          <w:tcPr>
            <w:tcW w:w="820" w:type="pct"/>
            <w:vMerge w:val="restart"/>
            <w:noWrap w:val="0"/>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家禽粪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29" w:type="pct"/>
            <w:vMerge w:val="continue"/>
            <w:noWrap w:val="0"/>
            <w:vAlign w:val="center"/>
          </w:tcPr>
          <w:p>
            <w:pPr>
              <w:pStyle w:val="14"/>
              <w:spacing w:after="0" w:line="240" w:lineRule="auto"/>
              <w:ind w:left="0" w:leftChars="0" w:right="0" w:rightChars="0"/>
              <w:jc w:val="center"/>
              <w:rPr>
                <w:rFonts w:hint="eastAsia" w:ascii="仿宋" w:hAnsi="仿宋" w:cs="Times New Roman"/>
                <w:b/>
                <w:bCs/>
                <w:color w:val="auto"/>
                <w:sz w:val="28"/>
                <w:szCs w:val="28"/>
                <w:highlight w:val="none"/>
                <w:shd w:val="clear" w:color="auto" w:fill="auto"/>
              </w:rPr>
            </w:pPr>
          </w:p>
        </w:tc>
        <w:tc>
          <w:tcPr>
            <w:tcW w:w="763" w:type="pct"/>
            <w:noWrap w:val="0"/>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粪</w:t>
            </w:r>
          </w:p>
        </w:tc>
        <w:tc>
          <w:tcPr>
            <w:tcW w:w="655" w:type="pct"/>
            <w:noWrap w:val="0"/>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尿</w:t>
            </w:r>
          </w:p>
        </w:tc>
        <w:tc>
          <w:tcPr>
            <w:tcW w:w="723" w:type="pct"/>
            <w:noWrap w:val="0"/>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粪</w:t>
            </w:r>
          </w:p>
        </w:tc>
        <w:tc>
          <w:tcPr>
            <w:tcW w:w="604" w:type="pct"/>
            <w:noWrap w:val="0"/>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尿</w:t>
            </w:r>
          </w:p>
        </w:tc>
        <w:tc>
          <w:tcPr>
            <w:tcW w:w="603" w:type="pct"/>
            <w:vMerge w:val="continue"/>
            <w:noWrap w:val="0"/>
            <w:vAlign w:val="center"/>
          </w:tcPr>
          <w:p>
            <w:pPr>
              <w:pStyle w:val="14"/>
              <w:spacing w:after="0" w:line="240" w:lineRule="auto"/>
              <w:ind w:left="0" w:leftChars="0" w:right="0" w:rightChars="0"/>
              <w:jc w:val="center"/>
              <w:rPr>
                <w:rFonts w:hint="eastAsia" w:ascii="仿宋" w:hAnsi="仿宋" w:cs="Times New Roman"/>
                <w:b/>
                <w:bCs/>
                <w:color w:val="auto"/>
                <w:sz w:val="28"/>
                <w:szCs w:val="28"/>
                <w:highlight w:val="none"/>
                <w:shd w:val="clear" w:color="auto" w:fill="auto"/>
                <w:lang w:val="en-US" w:eastAsia="zh-CN"/>
              </w:rPr>
            </w:pPr>
          </w:p>
        </w:tc>
        <w:tc>
          <w:tcPr>
            <w:tcW w:w="820" w:type="pct"/>
            <w:vMerge w:val="continue"/>
            <w:noWrap w:val="0"/>
            <w:vAlign w:val="center"/>
          </w:tcPr>
          <w:p>
            <w:pPr>
              <w:pStyle w:val="14"/>
              <w:spacing w:after="0" w:line="240" w:lineRule="auto"/>
              <w:ind w:left="0" w:leftChars="0" w:right="0" w:rightChars="0"/>
              <w:jc w:val="center"/>
              <w:rPr>
                <w:rFonts w:hint="eastAsia" w:ascii="仿宋" w:hAnsi="仿宋" w:cs="Times New Roman"/>
                <w:b/>
                <w:bCs/>
                <w:color w:val="auto"/>
                <w:sz w:val="28"/>
                <w:szCs w:val="28"/>
                <w:highlight w:val="none"/>
                <w:shd w:val="clear" w:color="auto" w:fil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pct"/>
            <w:noWrap w:val="0"/>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COD</w:t>
            </w:r>
          </w:p>
        </w:tc>
        <w:tc>
          <w:tcPr>
            <w:tcW w:w="763" w:type="pct"/>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226.3</w:t>
            </w:r>
          </w:p>
        </w:tc>
        <w:tc>
          <w:tcPr>
            <w:tcW w:w="655" w:type="pct"/>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21.9</w:t>
            </w:r>
          </w:p>
        </w:tc>
        <w:tc>
          <w:tcPr>
            <w:tcW w:w="723" w:type="pct"/>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20.7</w:t>
            </w:r>
          </w:p>
        </w:tc>
        <w:tc>
          <w:tcPr>
            <w:tcW w:w="604" w:type="pct"/>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5.91</w:t>
            </w:r>
          </w:p>
        </w:tc>
        <w:tc>
          <w:tcPr>
            <w:tcW w:w="603" w:type="pct"/>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4.4</w:t>
            </w:r>
          </w:p>
        </w:tc>
        <w:tc>
          <w:tcPr>
            <w:tcW w:w="820" w:type="pct"/>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1.165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pct"/>
            <w:noWrap w:val="0"/>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BOD</w:t>
            </w:r>
          </w:p>
        </w:tc>
        <w:tc>
          <w:tcPr>
            <w:tcW w:w="763" w:type="pct"/>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179.07</w:t>
            </w:r>
          </w:p>
        </w:tc>
        <w:tc>
          <w:tcPr>
            <w:tcW w:w="655" w:type="pct"/>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14.60</w:t>
            </w:r>
          </w:p>
        </w:tc>
        <w:tc>
          <w:tcPr>
            <w:tcW w:w="723" w:type="pct"/>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22.70</w:t>
            </w:r>
          </w:p>
        </w:tc>
        <w:tc>
          <w:tcPr>
            <w:tcW w:w="604" w:type="pct"/>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3.28</w:t>
            </w:r>
          </w:p>
        </w:tc>
        <w:tc>
          <w:tcPr>
            <w:tcW w:w="603" w:type="pct"/>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2.7</w:t>
            </w:r>
          </w:p>
        </w:tc>
        <w:tc>
          <w:tcPr>
            <w:tcW w:w="820" w:type="pct"/>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1.015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pct"/>
            <w:noWrap w:val="0"/>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NH3-N</w:t>
            </w:r>
          </w:p>
        </w:tc>
        <w:tc>
          <w:tcPr>
            <w:tcW w:w="763" w:type="pct"/>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12.48</w:t>
            </w:r>
          </w:p>
        </w:tc>
        <w:tc>
          <w:tcPr>
            <w:tcW w:w="655" w:type="pct"/>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12.67</w:t>
            </w:r>
          </w:p>
        </w:tc>
        <w:tc>
          <w:tcPr>
            <w:tcW w:w="723" w:type="pct"/>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1.23</w:t>
            </w:r>
          </w:p>
        </w:tc>
        <w:tc>
          <w:tcPr>
            <w:tcW w:w="604" w:type="pct"/>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0.84</w:t>
            </w:r>
          </w:p>
        </w:tc>
        <w:tc>
          <w:tcPr>
            <w:tcW w:w="603" w:type="pct"/>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0.57</w:t>
            </w:r>
          </w:p>
        </w:tc>
        <w:tc>
          <w:tcPr>
            <w:tcW w:w="820" w:type="pct"/>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0.125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pct"/>
            <w:noWrap w:val="0"/>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TP</w:t>
            </w:r>
          </w:p>
        </w:tc>
        <w:tc>
          <w:tcPr>
            <w:tcW w:w="763" w:type="pct"/>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8.61</w:t>
            </w:r>
          </w:p>
        </w:tc>
        <w:tc>
          <w:tcPr>
            <w:tcW w:w="655" w:type="pct"/>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1.46</w:t>
            </w:r>
          </w:p>
        </w:tc>
        <w:tc>
          <w:tcPr>
            <w:tcW w:w="723" w:type="pct"/>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1.36</w:t>
            </w:r>
          </w:p>
        </w:tc>
        <w:tc>
          <w:tcPr>
            <w:tcW w:w="604" w:type="pct"/>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0.34</w:t>
            </w:r>
          </w:p>
        </w:tc>
        <w:tc>
          <w:tcPr>
            <w:tcW w:w="603" w:type="pct"/>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0.45</w:t>
            </w:r>
          </w:p>
        </w:tc>
        <w:tc>
          <w:tcPr>
            <w:tcW w:w="820" w:type="pct"/>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0.115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pct"/>
            <w:noWrap w:val="0"/>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TN</w:t>
            </w:r>
          </w:p>
        </w:tc>
        <w:tc>
          <w:tcPr>
            <w:tcW w:w="763" w:type="pct"/>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31.90</w:t>
            </w:r>
          </w:p>
        </w:tc>
        <w:tc>
          <w:tcPr>
            <w:tcW w:w="655" w:type="pct"/>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29.20</w:t>
            </w:r>
          </w:p>
        </w:tc>
        <w:tc>
          <w:tcPr>
            <w:tcW w:w="723" w:type="pct"/>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2.34</w:t>
            </w:r>
          </w:p>
        </w:tc>
        <w:tc>
          <w:tcPr>
            <w:tcW w:w="604" w:type="pct"/>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2.17</w:t>
            </w:r>
          </w:p>
        </w:tc>
        <w:tc>
          <w:tcPr>
            <w:tcW w:w="603" w:type="pct"/>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2.28</w:t>
            </w:r>
          </w:p>
        </w:tc>
        <w:tc>
          <w:tcPr>
            <w:tcW w:w="820" w:type="pct"/>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0.275</w:t>
            </w:r>
          </w:p>
        </w:tc>
      </w:tr>
    </w:tbl>
    <w:p>
      <w:pPr>
        <w:keepNext w:val="0"/>
        <w:keepLines w:val="0"/>
        <w:pageBreakBefore w:val="0"/>
        <w:widowControl w:val="0"/>
        <w:kinsoku/>
        <w:wordWrap/>
        <w:overflowPunct/>
        <w:topLinePunct w:val="0"/>
        <w:autoSpaceDE/>
        <w:autoSpaceDN/>
        <w:bidi w:val="0"/>
        <w:adjustRightInd/>
        <w:snapToGrid/>
        <w:spacing w:before="157" w:beforeLines="50"/>
        <w:ind w:left="0" w:leftChars="0" w:firstLine="640" w:firstLineChars="200"/>
        <w:textAlignment w:val="auto"/>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计算得出旺苍县2020年规模化养殖污染排放情况如下表。2020年旺苍县畜禽养殖COD产生量为2.14万吨，BOD产生量为2.09万吨，氨氮产生量为0.17万吨，总磷产生量为0.14万吨，总氮产生量为0.36万吨。COD排放量为0.086万吨，BOD排放量为0.084万吨，氨氮排放量为0.0067万吨，总磷排放量为0.0055万吨，总氮排放量为0.015万吨。</w:t>
      </w:r>
    </w:p>
    <w:p>
      <w:pPr>
        <w:pStyle w:val="115"/>
        <w:pageBreakBefore w:val="0"/>
        <w:widowControl w:val="0"/>
        <w:kinsoku/>
        <w:wordWrap/>
        <w:overflowPunct/>
        <w:topLinePunct w:val="0"/>
        <w:bidi w:val="0"/>
        <w:snapToGrid/>
        <w:spacing w:line="560" w:lineRule="exact"/>
        <w:jc w:val="center"/>
        <w:textAlignment w:val="auto"/>
        <w:outlineLvl w:val="7"/>
        <w:rPr>
          <w:rFonts w:hint="default" w:ascii="仿宋" w:hAnsi="仿宋" w:eastAsia="仿宋" w:cs="Times New Roman"/>
          <w:b/>
          <w:color w:val="auto"/>
          <w:sz w:val="28"/>
          <w:szCs w:val="28"/>
          <w:highlight w:val="none"/>
          <w:shd w:val="clear" w:color="auto" w:fill="auto"/>
          <w:lang w:val="en-US" w:eastAsia="zh-CN"/>
        </w:rPr>
      </w:pPr>
      <w:r>
        <w:rPr>
          <w:rFonts w:hint="eastAsia" w:ascii="仿宋" w:hAnsi="仿宋" w:eastAsia="仿宋" w:cs="Times New Roman"/>
          <w:b/>
          <w:color w:val="auto"/>
          <w:sz w:val="28"/>
          <w:szCs w:val="28"/>
          <w:highlight w:val="none"/>
          <w:shd w:val="clear" w:color="auto" w:fill="auto"/>
          <w:lang w:val="en-US" w:eastAsia="zh-CN"/>
        </w:rPr>
        <w:t>表2-11  旺苍县2020年养殖污染产排情况</w:t>
      </w:r>
    </w:p>
    <w:tbl>
      <w:tblPr>
        <w:tblStyle w:val="34"/>
        <w:tblW w:w="5000" w:type="pct"/>
        <w:tblInd w:w="0" w:type="dxa"/>
        <w:tblLayout w:type="fixed"/>
        <w:tblCellMar>
          <w:top w:w="0" w:type="dxa"/>
          <w:left w:w="0" w:type="dxa"/>
          <w:bottom w:w="0" w:type="dxa"/>
          <w:right w:w="0" w:type="dxa"/>
        </w:tblCellMar>
      </w:tblPr>
      <w:tblGrid>
        <w:gridCol w:w="778"/>
        <w:gridCol w:w="732"/>
        <w:gridCol w:w="1440"/>
        <w:gridCol w:w="1077"/>
        <w:gridCol w:w="1077"/>
        <w:gridCol w:w="1077"/>
        <w:gridCol w:w="1077"/>
        <w:gridCol w:w="1078"/>
      </w:tblGrid>
      <w:tr>
        <w:tblPrEx>
          <w:tblCellMar>
            <w:top w:w="0" w:type="dxa"/>
            <w:left w:w="0" w:type="dxa"/>
            <w:bottom w:w="0" w:type="dxa"/>
            <w:right w:w="0" w:type="dxa"/>
          </w:tblCellMar>
        </w:tblPrEx>
        <w:trPr>
          <w:trHeight w:val="113" w:hRule="atLeast"/>
          <w:tblHeader/>
        </w:trPr>
        <w:tc>
          <w:tcPr>
            <w:tcW w:w="46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条件</w:t>
            </w:r>
          </w:p>
        </w:tc>
        <w:tc>
          <w:tcPr>
            <w:tcW w:w="4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指标</w:t>
            </w:r>
          </w:p>
        </w:tc>
        <w:tc>
          <w:tcPr>
            <w:tcW w:w="8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default" w:ascii="仿宋" w:hAnsi="仿宋" w:cs="Times New Roman"/>
                <w:b/>
                <w:bCs/>
                <w:color w:val="auto"/>
                <w:sz w:val="28"/>
                <w:szCs w:val="28"/>
                <w:highlight w:val="none"/>
                <w:shd w:val="clear" w:color="auto" w:fill="auto"/>
                <w:lang w:val="en-US" w:eastAsia="zh-CN"/>
              </w:rPr>
              <w:t>猪当量（头）</w:t>
            </w:r>
          </w:p>
        </w:tc>
        <w:tc>
          <w:tcPr>
            <w:tcW w:w="64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default" w:ascii="仿宋" w:hAnsi="仿宋" w:cs="Times New Roman"/>
                <w:b/>
                <w:bCs/>
                <w:color w:val="auto"/>
                <w:sz w:val="28"/>
                <w:szCs w:val="28"/>
                <w:highlight w:val="none"/>
                <w:shd w:val="clear" w:color="auto" w:fill="auto"/>
                <w:lang w:val="en-US" w:eastAsia="zh-CN"/>
              </w:rPr>
              <w:t>COD</w:t>
            </w:r>
            <w:r>
              <w:rPr>
                <w:rFonts w:hint="eastAsia" w:ascii="仿宋" w:hAnsi="仿宋" w:cs="Times New Roman"/>
                <w:b/>
                <w:bCs/>
                <w:color w:val="auto"/>
                <w:sz w:val="28"/>
                <w:szCs w:val="28"/>
                <w:highlight w:val="none"/>
                <w:shd w:val="clear" w:color="auto" w:fill="auto"/>
                <w:lang w:val="en-US" w:eastAsia="zh-CN"/>
              </w:rPr>
              <w:t>（</w:t>
            </w:r>
            <w:r>
              <w:rPr>
                <w:rFonts w:hint="default" w:ascii="仿宋" w:hAnsi="仿宋" w:cs="Times New Roman"/>
                <w:b/>
                <w:bCs/>
                <w:color w:val="auto"/>
                <w:sz w:val="28"/>
                <w:szCs w:val="28"/>
                <w:highlight w:val="none"/>
                <w:shd w:val="clear" w:color="auto" w:fill="auto"/>
                <w:lang w:val="en-US" w:eastAsia="zh-CN"/>
              </w:rPr>
              <w:t>t</w:t>
            </w:r>
            <w:r>
              <w:rPr>
                <w:rFonts w:hint="eastAsia" w:ascii="仿宋" w:hAnsi="仿宋" w:cs="Times New Roman"/>
                <w:b/>
                <w:bCs/>
                <w:color w:val="auto"/>
                <w:sz w:val="28"/>
                <w:szCs w:val="28"/>
                <w:highlight w:val="none"/>
                <w:shd w:val="clear" w:color="auto" w:fill="auto"/>
                <w:lang w:val="en-US" w:eastAsia="zh-CN"/>
              </w:rPr>
              <w:t>）</w:t>
            </w:r>
          </w:p>
        </w:tc>
        <w:tc>
          <w:tcPr>
            <w:tcW w:w="64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default" w:ascii="仿宋" w:hAnsi="仿宋" w:cs="Times New Roman"/>
                <w:b/>
                <w:bCs/>
                <w:color w:val="auto"/>
                <w:sz w:val="28"/>
                <w:szCs w:val="28"/>
                <w:highlight w:val="none"/>
                <w:shd w:val="clear" w:color="auto" w:fill="auto"/>
                <w:lang w:val="en-US" w:eastAsia="zh-CN"/>
              </w:rPr>
              <w:t>BOD（t</w:t>
            </w:r>
            <w:r>
              <w:rPr>
                <w:rFonts w:hint="eastAsia" w:ascii="仿宋" w:hAnsi="仿宋" w:cs="Times New Roman"/>
                <w:b/>
                <w:bCs/>
                <w:color w:val="auto"/>
                <w:sz w:val="28"/>
                <w:szCs w:val="28"/>
                <w:highlight w:val="none"/>
                <w:shd w:val="clear" w:color="auto" w:fill="auto"/>
                <w:lang w:val="en-US" w:eastAsia="zh-CN"/>
              </w:rPr>
              <w:t>）</w:t>
            </w:r>
          </w:p>
        </w:tc>
        <w:tc>
          <w:tcPr>
            <w:tcW w:w="64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14"/>
              <w:spacing w:after="0" w:line="240" w:lineRule="auto"/>
              <w:ind w:left="0" w:leftChars="0" w:right="0" w:rightChars="0"/>
              <w:jc w:val="center"/>
              <w:rPr>
                <w:rFonts w:hint="eastAsia"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氨氮（</w:t>
            </w:r>
            <w:r>
              <w:rPr>
                <w:rFonts w:hint="default" w:ascii="仿宋" w:hAnsi="仿宋" w:cs="Times New Roman"/>
                <w:b/>
                <w:bCs/>
                <w:color w:val="auto"/>
                <w:sz w:val="28"/>
                <w:szCs w:val="28"/>
                <w:highlight w:val="none"/>
                <w:shd w:val="clear" w:color="auto" w:fill="auto"/>
                <w:lang w:val="en-US" w:eastAsia="zh-CN"/>
              </w:rPr>
              <w:t>t</w:t>
            </w:r>
            <w:r>
              <w:rPr>
                <w:rFonts w:hint="eastAsia" w:ascii="仿宋" w:hAnsi="仿宋" w:cs="Times New Roman"/>
                <w:b/>
                <w:bCs/>
                <w:color w:val="auto"/>
                <w:sz w:val="28"/>
                <w:szCs w:val="28"/>
                <w:highlight w:val="none"/>
                <w:shd w:val="clear" w:color="auto" w:fill="auto"/>
                <w:lang w:val="en-US" w:eastAsia="zh-CN"/>
              </w:rPr>
              <w:t>）</w:t>
            </w:r>
          </w:p>
        </w:tc>
        <w:tc>
          <w:tcPr>
            <w:tcW w:w="64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default" w:ascii="仿宋" w:hAnsi="仿宋" w:cs="Times New Roman"/>
                <w:b/>
                <w:bCs/>
                <w:color w:val="auto"/>
                <w:sz w:val="28"/>
                <w:szCs w:val="28"/>
                <w:highlight w:val="none"/>
                <w:shd w:val="clear" w:color="auto" w:fill="auto"/>
                <w:lang w:val="en-US" w:eastAsia="zh-CN"/>
              </w:rPr>
              <w:t>TP（t</w:t>
            </w:r>
            <w:r>
              <w:rPr>
                <w:rFonts w:hint="eastAsia" w:ascii="仿宋" w:hAnsi="仿宋" w:cs="Times New Roman"/>
                <w:b/>
                <w:bCs/>
                <w:color w:val="auto"/>
                <w:sz w:val="28"/>
                <w:szCs w:val="28"/>
                <w:highlight w:val="none"/>
                <w:shd w:val="clear" w:color="auto" w:fill="auto"/>
                <w:lang w:val="en-US" w:eastAsia="zh-CN"/>
              </w:rPr>
              <w:t>）</w:t>
            </w:r>
          </w:p>
        </w:tc>
        <w:tc>
          <w:tcPr>
            <w:tcW w:w="64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default" w:ascii="仿宋" w:hAnsi="仿宋" w:cs="Times New Roman"/>
                <w:b/>
                <w:bCs/>
                <w:color w:val="auto"/>
                <w:sz w:val="28"/>
                <w:szCs w:val="28"/>
                <w:highlight w:val="none"/>
                <w:shd w:val="clear" w:color="auto" w:fill="auto"/>
                <w:lang w:val="en-US" w:eastAsia="zh-CN"/>
              </w:rPr>
              <w:t>TN（t</w:t>
            </w:r>
            <w:r>
              <w:rPr>
                <w:rFonts w:hint="eastAsia" w:ascii="仿宋" w:hAnsi="仿宋" w:cs="Times New Roman"/>
                <w:b/>
                <w:bCs/>
                <w:color w:val="auto"/>
                <w:sz w:val="28"/>
                <w:szCs w:val="28"/>
                <w:highlight w:val="none"/>
                <w:shd w:val="clear" w:color="auto" w:fill="auto"/>
                <w:lang w:val="en-US" w:eastAsia="zh-CN"/>
              </w:rPr>
              <w:t>）</w:t>
            </w:r>
          </w:p>
        </w:tc>
      </w:tr>
      <w:tr>
        <w:tblPrEx>
          <w:tblCellMar>
            <w:top w:w="0" w:type="dxa"/>
            <w:left w:w="0" w:type="dxa"/>
            <w:bottom w:w="0" w:type="dxa"/>
            <w:right w:w="0" w:type="dxa"/>
          </w:tblCellMar>
        </w:tblPrEx>
        <w:trPr>
          <w:trHeight w:val="270" w:hRule="atLeast"/>
        </w:trPr>
        <w:tc>
          <w:tcPr>
            <w:tcW w:w="466" w:type="pct"/>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全县出栏</w:t>
            </w:r>
          </w:p>
        </w:tc>
        <w:tc>
          <w:tcPr>
            <w:tcW w:w="439" w:type="pct"/>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产生</w:t>
            </w:r>
          </w:p>
        </w:tc>
        <w:tc>
          <w:tcPr>
            <w:tcW w:w="8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 xml:space="preserve">705933 </w:t>
            </w:r>
          </w:p>
        </w:tc>
        <w:tc>
          <w:tcPr>
            <w:tcW w:w="64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 xml:space="preserve">18785 </w:t>
            </w:r>
          </w:p>
        </w:tc>
        <w:tc>
          <w:tcPr>
            <w:tcW w:w="64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 xml:space="preserve">18340 </w:t>
            </w:r>
          </w:p>
        </w:tc>
        <w:tc>
          <w:tcPr>
            <w:tcW w:w="64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 xml:space="preserve">1461 </w:t>
            </w:r>
          </w:p>
        </w:tc>
        <w:tc>
          <w:tcPr>
            <w:tcW w:w="64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 xml:space="preserve">1200 </w:t>
            </w:r>
          </w:p>
        </w:tc>
        <w:tc>
          <w:tcPr>
            <w:tcW w:w="64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 xml:space="preserve">3184 </w:t>
            </w:r>
          </w:p>
        </w:tc>
      </w:tr>
      <w:tr>
        <w:tblPrEx>
          <w:tblCellMar>
            <w:top w:w="0" w:type="dxa"/>
            <w:left w:w="0" w:type="dxa"/>
            <w:bottom w:w="0" w:type="dxa"/>
            <w:right w:w="0" w:type="dxa"/>
          </w:tblCellMar>
        </w:tblPrEx>
        <w:trPr>
          <w:trHeight w:val="270" w:hRule="atLeast"/>
        </w:trPr>
        <w:tc>
          <w:tcPr>
            <w:tcW w:w="466" w:type="pct"/>
            <w:vMerge w:val="restart"/>
            <w:tcBorders>
              <w:top w:val="single" w:color="auto" w:sz="4" w:space="0"/>
              <w:left w:val="single" w:color="000000" w:sz="4" w:space="0"/>
              <w:right w:val="single" w:color="000000" w:sz="4" w:space="0"/>
            </w:tcBorders>
            <w:noWrap/>
            <w:tcMar>
              <w:top w:w="15" w:type="dxa"/>
              <w:left w:w="15" w:type="dxa"/>
              <w:right w:w="15" w:type="dxa"/>
            </w:tcMar>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规模以上</w:t>
            </w:r>
          </w:p>
        </w:tc>
        <w:tc>
          <w:tcPr>
            <w:tcW w:w="439" w:type="pct"/>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产生</w:t>
            </w:r>
          </w:p>
        </w:tc>
        <w:tc>
          <w:tcPr>
            <w:tcW w:w="8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 xml:space="preserve">95614 </w:t>
            </w:r>
          </w:p>
        </w:tc>
        <w:tc>
          <w:tcPr>
            <w:tcW w:w="64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 xml:space="preserve">2544 </w:t>
            </w:r>
          </w:p>
        </w:tc>
        <w:tc>
          <w:tcPr>
            <w:tcW w:w="64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 xml:space="preserve">2484 </w:t>
            </w:r>
          </w:p>
        </w:tc>
        <w:tc>
          <w:tcPr>
            <w:tcW w:w="64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 xml:space="preserve">198 </w:t>
            </w:r>
          </w:p>
        </w:tc>
        <w:tc>
          <w:tcPr>
            <w:tcW w:w="64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 xml:space="preserve">163 </w:t>
            </w:r>
          </w:p>
        </w:tc>
        <w:tc>
          <w:tcPr>
            <w:tcW w:w="64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 xml:space="preserve">431 </w:t>
            </w:r>
          </w:p>
        </w:tc>
      </w:tr>
      <w:tr>
        <w:tblPrEx>
          <w:tblCellMar>
            <w:top w:w="0" w:type="dxa"/>
            <w:left w:w="0" w:type="dxa"/>
            <w:bottom w:w="0" w:type="dxa"/>
            <w:right w:w="0" w:type="dxa"/>
          </w:tblCellMar>
        </w:tblPrEx>
        <w:trPr>
          <w:trHeight w:val="270" w:hRule="atLeast"/>
        </w:trPr>
        <w:tc>
          <w:tcPr>
            <w:tcW w:w="466" w:type="pct"/>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p>
        </w:tc>
        <w:tc>
          <w:tcPr>
            <w:tcW w:w="4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排放</w:t>
            </w:r>
          </w:p>
        </w:tc>
        <w:tc>
          <w:tcPr>
            <w:tcW w:w="8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 xml:space="preserve">3825 </w:t>
            </w:r>
          </w:p>
        </w:tc>
        <w:tc>
          <w:tcPr>
            <w:tcW w:w="64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 xml:space="preserve">102 </w:t>
            </w:r>
          </w:p>
        </w:tc>
        <w:tc>
          <w:tcPr>
            <w:tcW w:w="64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 xml:space="preserve">99 </w:t>
            </w:r>
          </w:p>
        </w:tc>
        <w:tc>
          <w:tcPr>
            <w:tcW w:w="64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 xml:space="preserve">8 </w:t>
            </w:r>
          </w:p>
        </w:tc>
        <w:tc>
          <w:tcPr>
            <w:tcW w:w="64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 xml:space="preserve">7 </w:t>
            </w:r>
          </w:p>
        </w:tc>
        <w:tc>
          <w:tcPr>
            <w:tcW w:w="64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 xml:space="preserve">17 </w:t>
            </w:r>
          </w:p>
        </w:tc>
      </w:tr>
    </w:tbl>
    <w:p>
      <w:pPr>
        <w:keepNext w:val="0"/>
        <w:keepLines w:val="0"/>
        <w:pageBreakBefore w:val="0"/>
        <w:widowControl w:val="0"/>
        <w:kinsoku/>
        <w:wordWrap/>
        <w:overflowPunct/>
        <w:topLinePunct w:val="0"/>
        <w:autoSpaceDE/>
        <w:autoSpaceDN/>
        <w:bidi w:val="0"/>
        <w:adjustRightInd/>
        <w:snapToGrid/>
        <w:spacing w:before="157" w:beforeLines="50"/>
        <w:ind w:left="0" w:leftChars="0" w:firstLine="640" w:firstLineChars="200"/>
        <w:textAlignment w:val="auto"/>
        <w:rPr>
          <w:rFonts w:hint="eastAsia" w:ascii="Times New Roman" w:hAnsi="Times New Roman" w:eastAsia="仿宋_GB2312" w:cs="Times New Roman"/>
          <w:b w:val="0"/>
          <w:bCs w:val="0"/>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根据旺苍县《旺苍县“十四五”畜牧业发展规划》，</w:t>
      </w:r>
      <w:r>
        <w:rPr>
          <w:rFonts w:hint="eastAsia" w:ascii="Times New Roman" w:hAnsi="Times New Roman" w:eastAsia="仿宋_GB2312" w:cs="Times New Roman"/>
          <w:b w:val="0"/>
          <w:bCs w:val="0"/>
          <w:kern w:val="2"/>
          <w:sz w:val="32"/>
          <w:szCs w:val="32"/>
          <w:highlight w:val="none"/>
          <w:shd w:val="clear" w:color="auto" w:fill="auto"/>
          <w:lang w:val="en-US" w:eastAsia="zh-CN" w:bidi="ar-SA"/>
        </w:rPr>
        <w:t>到2025年，年出栏肉牛</w:t>
      </w:r>
      <w:r>
        <w:rPr>
          <w:rFonts w:hint="eastAsia" w:eastAsia="仿宋_GB2312" w:cs="Times New Roman"/>
          <w:b w:val="0"/>
          <w:bCs w:val="0"/>
          <w:kern w:val="2"/>
          <w:sz w:val="32"/>
          <w:szCs w:val="32"/>
          <w:highlight w:val="none"/>
          <w:shd w:val="clear" w:color="auto" w:fill="auto"/>
          <w:lang w:val="en-US" w:eastAsia="zh-CN" w:bidi="ar-SA"/>
        </w:rPr>
        <w:t>3.2</w:t>
      </w:r>
      <w:r>
        <w:rPr>
          <w:rFonts w:hint="eastAsia" w:ascii="Times New Roman" w:hAnsi="Times New Roman" w:eastAsia="仿宋_GB2312" w:cs="Times New Roman"/>
          <w:b w:val="0"/>
          <w:bCs w:val="0"/>
          <w:kern w:val="2"/>
          <w:sz w:val="32"/>
          <w:szCs w:val="32"/>
          <w:highlight w:val="none"/>
          <w:shd w:val="clear" w:color="auto" w:fill="auto"/>
          <w:lang w:val="en-US" w:eastAsia="zh-CN" w:bidi="ar-SA"/>
        </w:rPr>
        <w:t>万头、生猪</w:t>
      </w:r>
      <w:r>
        <w:rPr>
          <w:rFonts w:hint="eastAsia" w:eastAsia="仿宋_GB2312" w:cs="Times New Roman"/>
          <w:b w:val="0"/>
          <w:bCs w:val="0"/>
          <w:kern w:val="2"/>
          <w:sz w:val="32"/>
          <w:szCs w:val="32"/>
          <w:highlight w:val="none"/>
          <w:shd w:val="clear" w:color="auto" w:fill="auto"/>
          <w:lang w:val="en-US" w:eastAsia="zh-CN" w:bidi="ar-SA"/>
        </w:rPr>
        <w:t>65</w:t>
      </w:r>
      <w:r>
        <w:rPr>
          <w:rFonts w:hint="eastAsia" w:ascii="Times New Roman" w:hAnsi="Times New Roman" w:eastAsia="仿宋_GB2312" w:cs="Times New Roman"/>
          <w:b w:val="0"/>
          <w:bCs w:val="0"/>
          <w:kern w:val="2"/>
          <w:sz w:val="32"/>
          <w:szCs w:val="32"/>
          <w:highlight w:val="none"/>
          <w:shd w:val="clear" w:color="auto" w:fill="auto"/>
          <w:lang w:val="en-US" w:eastAsia="zh-CN" w:bidi="ar-SA"/>
        </w:rPr>
        <w:t>万头、肉羊</w:t>
      </w:r>
      <w:r>
        <w:rPr>
          <w:rFonts w:hint="eastAsia" w:eastAsia="仿宋_GB2312" w:cs="Times New Roman"/>
          <w:b w:val="0"/>
          <w:bCs w:val="0"/>
          <w:kern w:val="2"/>
          <w:sz w:val="32"/>
          <w:szCs w:val="32"/>
          <w:highlight w:val="none"/>
          <w:shd w:val="clear" w:color="auto" w:fill="auto"/>
          <w:lang w:val="en-US" w:eastAsia="zh-CN" w:bidi="ar-SA"/>
        </w:rPr>
        <w:t>21</w:t>
      </w:r>
      <w:r>
        <w:rPr>
          <w:rFonts w:hint="eastAsia" w:ascii="Times New Roman" w:hAnsi="Times New Roman" w:eastAsia="仿宋_GB2312" w:cs="Times New Roman"/>
          <w:b w:val="0"/>
          <w:bCs w:val="0"/>
          <w:kern w:val="2"/>
          <w:sz w:val="32"/>
          <w:szCs w:val="32"/>
          <w:highlight w:val="none"/>
          <w:shd w:val="clear" w:color="auto" w:fill="auto"/>
          <w:lang w:val="en-US" w:eastAsia="zh-CN" w:bidi="ar-SA"/>
        </w:rPr>
        <w:t>万头、家禽1</w:t>
      </w:r>
      <w:r>
        <w:rPr>
          <w:rFonts w:hint="eastAsia" w:eastAsia="仿宋_GB2312" w:cs="Times New Roman"/>
          <w:b w:val="0"/>
          <w:bCs w:val="0"/>
          <w:kern w:val="2"/>
          <w:sz w:val="32"/>
          <w:szCs w:val="32"/>
          <w:highlight w:val="none"/>
          <w:shd w:val="clear" w:color="auto" w:fill="auto"/>
          <w:lang w:val="en-US" w:eastAsia="zh-CN" w:bidi="ar-SA"/>
        </w:rPr>
        <w:t>2</w:t>
      </w:r>
      <w:r>
        <w:rPr>
          <w:rFonts w:hint="eastAsia" w:ascii="Times New Roman" w:hAnsi="Times New Roman" w:eastAsia="仿宋_GB2312" w:cs="Times New Roman"/>
          <w:b w:val="0"/>
          <w:bCs w:val="0"/>
          <w:kern w:val="2"/>
          <w:sz w:val="32"/>
          <w:szCs w:val="32"/>
          <w:highlight w:val="none"/>
          <w:shd w:val="clear" w:color="auto" w:fill="auto"/>
          <w:lang w:val="en-US" w:eastAsia="zh-CN" w:bidi="ar-SA"/>
        </w:rPr>
        <w:t>00万</w:t>
      </w:r>
      <w:r>
        <w:rPr>
          <w:rFonts w:hint="eastAsia" w:eastAsia="仿宋_GB2312" w:cs="Times New Roman"/>
          <w:b w:val="0"/>
          <w:bCs w:val="0"/>
          <w:kern w:val="2"/>
          <w:sz w:val="32"/>
          <w:szCs w:val="32"/>
          <w:highlight w:val="none"/>
          <w:shd w:val="clear" w:color="auto" w:fill="auto"/>
          <w:lang w:val="en-US" w:eastAsia="zh-CN" w:bidi="ar-SA"/>
        </w:rPr>
        <w:t>只</w:t>
      </w:r>
      <w:r>
        <w:rPr>
          <w:rFonts w:hint="eastAsia" w:ascii="Times New Roman" w:hAnsi="Times New Roman" w:eastAsia="仿宋_GB2312" w:cs="Times New Roman"/>
          <w:b w:val="0"/>
          <w:bCs w:val="0"/>
          <w:kern w:val="2"/>
          <w:sz w:val="32"/>
          <w:szCs w:val="32"/>
          <w:highlight w:val="none"/>
          <w:shd w:val="clear" w:color="auto" w:fill="auto"/>
          <w:lang w:val="en-US" w:eastAsia="zh-CN" w:bidi="ar-SA"/>
        </w:rPr>
        <w:t>。全县规模化养殖达到60%，设施化程度达到90%以上。</w:t>
      </w:r>
    </w:p>
    <w:p>
      <w:pPr>
        <w:pStyle w:val="115"/>
        <w:pageBreakBefore w:val="0"/>
        <w:widowControl w:val="0"/>
        <w:kinsoku/>
        <w:wordWrap/>
        <w:overflowPunct/>
        <w:topLinePunct w:val="0"/>
        <w:bidi w:val="0"/>
        <w:snapToGrid/>
        <w:spacing w:line="560" w:lineRule="exact"/>
        <w:jc w:val="center"/>
        <w:textAlignment w:val="auto"/>
        <w:outlineLvl w:val="7"/>
        <w:rPr>
          <w:rFonts w:hint="default" w:ascii="仿宋" w:hAnsi="仿宋" w:eastAsia="仿宋" w:cs="Times New Roman"/>
          <w:b/>
          <w:color w:val="auto"/>
          <w:sz w:val="28"/>
          <w:szCs w:val="28"/>
          <w:highlight w:val="none"/>
          <w:shd w:val="clear" w:color="auto" w:fill="auto"/>
          <w:lang w:val="en-US" w:eastAsia="zh-CN"/>
        </w:rPr>
      </w:pPr>
      <w:r>
        <w:rPr>
          <w:rFonts w:hint="eastAsia" w:ascii="仿宋" w:hAnsi="仿宋" w:eastAsia="仿宋" w:cs="Times New Roman"/>
          <w:b/>
          <w:color w:val="auto"/>
          <w:sz w:val="28"/>
          <w:szCs w:val="28"/>
          <w:highlight w:val="none"/>
          <w:shd w:val="clear" w:color="auto" w:fill="auto"/>
          <w:lang w:val="en-US" w:eastAsia="zh-CN"/>
        </w:rPr>
        <w:t>表2-12  旺苍县2025年养殖污染产污情况</w:t>
      </w:r>
    </w:p>
    <w:tbl>
      <w:tblPr>
        <w:tblStyle w:val="34"/>
        <w:tblW w:w="4997" w:type="pct"/>
        <w:tblInd w:w="0" w:type="dxa"/>
        <w:tblLayout w:type="fixed"/>
        <w:tblCellMar>
          <w:top w:w="0" w:type="dxa"/>
          <w:left w:w="0" w:type="dxa"/>
          <w:bottom w:w="0" w:type="dxa"/>
          <w:right w:w="0" w:type="dxa"/>
        </w:tblCellMar>
      </w:tblPr>
      <w:tblGrid>
        <w:gridCol w:w="730"/>
        <w:gridCol w:w="648"/>
        <w:gridCol w:w="1512"/>
        <w:gridCol w:w="1088"/>
        <w:gridCol w:w="1088"/>
        <w:gridCol w:w="1088"/>
        <w:gridCol w:w="1088"/>
        <w:gridCol w:w="1089"/>
      </w:tblGrid>
      <w:tr>
        <w:tblPrEx>
          <w:tblCellMar>
            <w:top w:w="0" w:type="dxa"/>
            <w:left w:w="0" w:type="dxa"/>
            <w:bottom w:w="0" w:type="dxa"/>
            <w:right w:w="0" w:type="dxa"/>
          </w:tblCellMar>
        </w:tblPrEx>
        <w:trPr>
          <w:trHeight w:val="113" w:hRule="atLeast"/>
          <w:tblHeader/>
        </w:trPr>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条件</w:t>
            </w:r>
          </w:p>
        </w:tc>
        <w:tc>
          <w:tcPr>
            <w:tcW w:w="38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14"/>
              <w:spacing w:after="0" w:line="240" w:lineRule="auto"/>
              <w:ind w:left="0" w:leftChars="0" w:right="0" w:rightChars="0"/>
              <w:jc w:val="center"/>
              <w:rPr>
                <w:rFonts w:hint="default" w:ascii="仿宋" w:hAnsi="仿宋" w:eastAsia="仿宋_GB2312" w:cs="Times New Roman"/>
                <w:b/>
                <w:bCs/>
                <w:color w:val="auto"/>
                <w:kern w:val="2"/>
                <w:sz w:val="28"/>
                <w:szCs w:val="28"/>
                <w:highlight w:val="none"/>
                <w:shd w:val="clear" w:color="auto" w:fill="auto"/>
                <w:lang w:val="en-US" w:eastAsia="zh-CN" w:bidi="ar-SA"/>
              </w:rPr>
            </w:pPr>
            <w:r>
              <w:rPr>
                <w:rFonts w:hint="eastAsia" w:ascii="仿宋" w:hAnsi="仿宋" w:cs="Times New Roman"/>
                <w:b/>
                <w:bCs/>
                <w:color w:val="auto"/>
                <w:sz w:val="28"/>
                <w:szCs w:val="28"/>
                <w:highlight w:val="none"/>
                <w:shd w:val="clear" w:color="auto" w:fill="auto"/>
                <w:lang w:val="en-US" w:eastAsia="zh-CN"/>
              </w:rPr>
              <w:t>指标</w:t>
            </w:r>
          </w:p>
        </w:tc>
        <w:tc>
          <w:tcPr>
            <w:tcW w:w="90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default" w:ascii="仿宋" w:hAnsi="仿宋" w:cs="Times New Roman"/>
                <w:b/>
                <w:bCs/>
                <w:color w:val="auto"/>
                <w:sz w:val="28"/>
                <w:szCs w:val="28"/>
                <w:highlight w:val="none"/>
                <w:shd w:val="clear" w:color="auto" w:fill="auto"/>
                <w:lang w:val="en-US" w:eastAsia="zh-CN"/>
              </w:rPr>
              <w:t>猪当量（头）</w:t>
            </w:r>
          </w:p>
        </w:tc>
        <w:tc>
          <w:tcPr>
            <w:tcW w:w="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default" w:ascii="仿宋" w:hAnsi="仿宋" w:cs="Times New Roman"/>
                <w:b/>
                <w:bCs/>
                <w:color w:val="auto"/>
                <w:sz w:val="28"/>
                <w:szCs w:val="28"/>
                <w:highlight w:val="none"/>
                <w:shd w:val="clear" w:color="auto" w:fill="auto"/>
                <w:lang w:val="en-US" w:eastAsia="zh-CN"/>
              </w:rPr>
              <w:t>COD</w:t>
            </w:r>
            <w:r>
              <w:rPr>
                <w:rFonts w:hint="eastAsia" w:ascii="仿宋" w:hAnsi="仿宋" w:cs="Times New Roman"/>
                <w:b/>
                <w:bCs/>
                <w:color w:val="auto"/>
                <w:sz w:val="28"/>
                <w:szCs w:val="28"/>
                <w:highlight w:val="none"/>
                <w:shd w:val="clear" w:color="auto" w:fill="auto"/>
                <w:lang w:val="en-US" w:eastAsia="zh-CN"/>
              </w:rPr>
              <w:t>（</w:t>
            </w:r>
            <w:r>
              <w:rPr>
                <w:rFonts w:hint="default" w:ascii="仿宋" w:hAnsi="仿宋" w:cs="Times New Roman"/>
                <w:b/>
                <w:bCs/>
                <w:color w:val="auto"/>
                <w:sz w:val="28"/>
                <w:szCs w:val="28"/>
                <w:highlight w:val="none"/>
                <w:shd w:val="clear" w:color="auto" w:fill="auto"/>
                <w:lang w:val="en-US" w:eastAsia="zh-CN"/>
              </w:rPr>
              <w:t>t</w:t>
            </w:r>
            <w:r>
              <w:rPr>
                <w:rFonts w:hint="eastAsia" w:ascii="仿宋" w:hAnsi="仿宋" w:cs="Times New Roman"/>
                <w:b/>
                <w:bCs/>
                <w:color w:val="auto"/>
                <w:sz w:val="28"/>
                <w:szCs w:val="28"/>
                <w:highlight w:val="none"/>
                <w:shd w:val="clear" w:color="auto" w:fill="auto"/>
                <w:lang w:val="en-US" w:eastAsia="zh-CN"/>
              </w:rPr>
              <w:t>）</w:t>
            </w:r>
          </w:p>
        </w:tc>
        <w:tc>
          <w:tcPr>
            <w:tcW w:w="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default" w:ascii="仿宋" w:hAnsi="仿宋" w:cs="Times New Roman"/>
                <w:b/>
                <w:bCs/>
                <w:color w:val="auto"/>
                <w:sz w:val="28"/>
                <w:szCs w:val="28"/>
                <w:highlight w:val="none"/>
                <w:shd w:val="clear" w:color="auto" w:fill="auto"/>
                <w:lang w:val="en-US" w:eastAsia="zh-CN"/>
              </w:rPr>
              <w:t>BOD（t</w:t>
            </w:r>
            <w:r>
              <w:rPr>
                <w:rFonts w:hint="eastAsia" w:ascii="仿宋" w:hAnsi="仿宋" w:cs="Times New Roman"/>
                <w:b/>
                <w:bCs/>
                <w:color w:val="auto"/>
                <w:sz w:val="28"/>
                <w:szCs w:val="28"/>
                <w:highlight w:val="none"/>
                <w:shd w:val="clear" w:color="auto" w:fill="auto"/>
                <w:lang w:val="en-US" w:eastAsia="zh-CN"/>
              </w:rPr>
              <w:t>）</w:t>
            </w:r>
          </w:p>
        </w:tc>
        <w:tc>
          <w:tcPr>
            <w:tcW w:w="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14"/>
              <w:spacing w:after="0" w:line="240" w:lineRule="auto"/>
              <w:ind w:left="0" w:leftChars="0" w:right="0" w:rightChars="0"/>
              <w:jc w:val="center"/>
              <w:rPr>
                <w:rFonts w:hint="eastAsia"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氨氮（</w:t>
            </w:r>
            <w:r>
              <w:rPr>
                <w:rFonts w:hint="default" w:ascii="仿宋" w:hAnsi="仿宋" w:cs="Times New Roman"/>
                <w:b/>
                <w:bCs/>
                <w:color w:val="auto"/>
                <w:sz w:val="28"/>
                <w:szCs w:val="28"/>
                <w:highlight w:val="none"/>
                <w:shd w:val="clear" w:color="auto" w:fill="auto"/>
                <w:lang w:val="en-US" w:eastAsia="zh-CN"/>
              </w:rPr>
              <w:t>t</w:t>
            </w:r>
            <w:r>
              <w:rPr>
                <w:rFonts w:hint="eastAsia" w:ascii="仿宋" w:hAnsi="仿宋" w:cs="Times New Roman"/>
                <w:b/>
                <w:bCs/>
                <w:color w:val="auto"/>
                <w:sz w:val="28"/>
                <w:szCs w:val="28"/>
                <w:highlight w:val="none"/>
                <w:shd w:val="clear" w:color="auto" w:fill="auto"/>
                <w:lang w:val="en-US" w:eastAsia="zh-CN"/>
              </w:rPr>
              <w:t>）</w:t>
            </w:r>
          </w:p>
        </w:tc>
        <w:tc>
          <w:tcPr>
            <w:tcW w:w="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default" w:ascii="仿宋" w:hAnsi="仿宋" w:cs="Times New Roman"/>
                <w:b/>
                <w:bCs/>
                <w:color w:val="auto"/>
                <w:sz w:val="28"/>
                <w:szCs w:val="28"/>
                <w:highlight w:val="none"/>
                <w:shd w:val="clear" w:color="auto" w:fill="auto"/>
                <w:lang w:val="en-US" w:eastAsia="zh-CN"/>
              </w:rPr>
              <w:t>TP（t</w:t>
            </w:r>
            <w:r>
              <w:rPr>
                <w:rFonts w:hint="eastAsia" w:ascii="仿宋" w:hAnsi="仿宋" w:cs="Times New Roman"/>
                <w:b/>
                <w:bCs/>
                <w:color w:val="auto"/>
                <w:sz w:val="28"/>
                <w:szCs w:val="28"/>
                <w:highlight w:val="none"/>
                <w:shd w:val="clear" w:color="auto" w:fill="auto"/>
                <w:lang w:val="en-US" w:eastAsia="zh-CN"/>
              </w:rPr>
              <w:t>）</w:t>
            </w:r>
          </w:p>
        </w:tc>
        <w:tc>
          <w:tcPr>
            <w:tcW w:w="6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default" w:ascii="仿宋" w:hAnsi="仿宋" w:cs="Times New Roman"/>
                <w:b/>
                <w:bCs/>
                <w:color w:val="auto"/>
                <w:sz w:val="28"/>
                <w:szCs w:val="28"/>
                <w:highlight w:val="none"/>
                <w:shd w:val="clear" w:color="auto" w:fill="auto"/>
                <w:lang w:val="en-US" w:eastAsia="zh-CN"/>
              </w:rPr>
              <w:t>TN（t</w:t>
            </w:r>
            <w:r>
              <w:rPr>
                <w:rFonts w:hint="eastAsia" w:ascii="仿宋" w:hAnsi="仿宋" w:cs="Times New Roman"/>
                <w:b/>
                <w:bCs/>
                <w:color w:val="auto"/>
                <w:sz w:val="28"/>
                <w:szCs w:val="28"/>
                <w:highlight w:val="none"/>
                <w:shd w:val="clear" w:color="auto" w:fill="auto"/>
                <w:lang w:val="en-US" w:eastAsia="zh-CN"/>
              </w:rPr>
              <w:t>）</w:t>
            </w:r>
          </w:p>
        </w:tc>
      </w:tr>
      <w:tr>
        <w:tblPrEx>
          <w:tblCellMar>
            <w:top w:w="0" w:type="dxa"/>
            <w:left w:w="0" w:type="dxa"/>
            <w:bottom w:w="0" w:type="dxa"/>
            <w:right w:w="0"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全县出栏</w:t>
            </w:r>
          </w:p>
        </w:tc>
        <w:tc>
          <w:tcPr>
            <w:tcW w:w="38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8"/>
                <w:szCs w:val="28"/>
                <w:highlight w:val="none"/>
                <w:shd w:val="clear" w:color="auto" w:fill="auto"/>
                <w:lang w:val="en-US" w:eastAsia="zh-CN" w:bidi="ar-SA"/>
              </w:rPr>
            </w:pPr>
            <w:r>
              <w:rPr>
                <w:rFonts w:hint="eastAsia" w:ascii="仿宋" w:hAnsi="仿宋" w:cs="Times New Roman"/>
                <w:b w:val="0"/>
                <w:bCs w:val="0"/>
                <w:color w:val="auto"/>
                <w:sz w:val="28"/>
                <w:szCs w:val="28"/>
                <w:highlight w:val="none"/>
                <w:shd w:val="clear" w:color="auto" w:fill="auto"/>
                <w:lang w:val="en-US" w:eastAsia="zh-CN"/>
              </w:rPr>
              <w:t>产生</w:t>
            </w:r>
          </w:p>
        </w:tc>
        <w:tc>
          <w:tcPr>
            <w:tcW w:w="9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1320667</w:t>
            </w:r>
          </w:p>
        </w:tc>
        <w:tc>
          <w:tcPr>
            <w:tcW w:w="6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 xml:space="preserve">35143 </w:t>
            </w:r>
          </w:p>
        </w:tc>
        <w:tc>
          <w:tcPr>
            <w:tcW w:w="6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 xml:space="preserve">34311 </w:t>
            </w:r>
          </w:p>
        </w:tc>
        <w:tc>
          <w:tcPr>
            <w:tcW w:w="6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 xml:space="preserve">2734 </w:t>
            </w:r>
          </w:p>
        </w:tc>
        <w:tc>
          <w:tcPr>
            <w:tcW w:w="6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 xml:space="preserve">2245 </w:t>
            </w:r>
          </w:p>
        </w:tc>
        <w:tc>
          <w:tcPr>
            <w:tcW w:w="65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 xml:space="preserve">5956 </w:t>
            </w:r>
          </w:p>
        </w:tc>
      </w:tr>
      <w:tr>
        <w:tblPrEx>
          <w:tblCellMar>
            <w:top w:w="0" w:type="dxa"/>
            <w:left w:w="0" w:type="dxa"/>
            <w:bottom w:w="0" w:type="dxa"/>
            <w:right w:w="0" w:type="dxa"/>
          </w:tblCellMar>
        </w:tblPrEx>
        <w:trPr>
          <w:trHeight w:val="270" w:hRule="atLeast"/>
        </w:trPr>
        <w:tc>
          <w:tcPr>
            <w:tcW w:w="438" w:type="pct"/>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规模以上</w:t>
            </w:r>
          </w:p>
        </w:tc>
        <w:tc>
          <w:tcPr>
            <w:tcW w:w="38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8"/>
                <w:szCs w:val="28"/>
                <w:highlight w:val="none"/>
                <w:shd w:val="clear" w:color="auto" w:fill="auto"/>
                <w:lang w:val="en-US" w:eastAsia="zh-CN" w:bidi="ar-SA"/>
              </w:rPr>
            </w:pPr>
            <w:r>
              <w:rPr>
                <w:rFonts w:hint="eastAsia" w:ascii="仿宋" w:hAnsi="仿宋" w:cs="Times New Roman"/>
                <w:b w:val="0"/>
                <w:bCs w:val="0"/>
                <w:color w:val="auto"/>
                <w:sz w:val="28"/>
                <w:szCs w:val="28"/>
                <w:highlight w:val="none"/>
                <w:shd w:val="clear" w:color="auto" w:fill="auto"/>
                <w:lang w:val="en-US" w:eastAsia="zh-CN"/>
              </w:rPr>
              <w:t>产生</w:t>
            </w:r>
          </w:p>
        </w:tc>
        <w:tc>
          <w:tcPr>
            <w:tcW w:w="9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 xml:space="preserve">792400 </w:t>
            </w:r>
          </w:p>
        </w:tc>
        <w:tc>
          <w:tcPr>
            <w:tcW w:w="6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 xml:space="preserve">21086 </w:t>
            </w:r>
          </w:p>
        </w:tc>
        <w:tc>
          <w:tcPr>
            <w:tcW w:w="6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 xml:space="preserve">20586 </w:t>
            </w:r>
          </w:p>
        </w:tc>
        <w:tc>
          <w:tcPr>
            <w:tcW w:w="6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 xml:space="preserve">1640 </w:t>
            </w:r>
          </w:p>
        </w:tc>
        <w:tc>
          <w:tcPr>
            <w:tcW w:w="6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 xml:space="preserve">1347 </w:t>
            </w:r>
          </w:p>
        </w:tc>
        <w:tc>
          <w:tcPr>
            <w:tcW w:w="65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 xml:space="preserve">3574 </w:t>
            </w:r>
          </w:p>
        </w:tc>
      </w:tr>
      <w:tr>
        <w:tblPrEx>
          <w:tblCellMar>
            <w:top w:w="0" w:type="dxa"/>
            <w:left w:w="0" w:type="dxa"/>
            <w:bottom w:w="0" w:type="dxa"/>
            <w:right w:w="0" w:type="dxa"/>
          </w:tblCellMar>
        </w:tblPrEx>
        <w:trPr>
          <w:trHeight w:val="270" w:hRule="atLeast"/>
        </w:trPr>
        <w:tc>
          <w:tcPr>
            <w:tcW w:w="438" w:type="pct"/>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p>
        </w:tc>
        <w:tc>
          <w:tcPr>
            <w:tcW w:w="38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8"/>
                <w:szCs w:val="28"/>
                <w:highlight w:val="none"/>
                <w:shd w:val="clear" w:color="auto" w:fill="auto"/>
                <w:lang w:val="en-US" w:eastAsia="zh-CN" w:bidi="ar-SA"/>
              </w:rPr>
            </w:pPr>
            <w:r>
              <w:rPr>
                <w:rFonts w:hint="eastAsia" w:ascii="仿宋" w:hAnsi="仿宋" w:cs="Times New Roman"/>
                <w:b w:val="0"/>
                <w:bCs w:val="0"/>
                <w:color w:val="auto"/>
                <w:sz w:val="28"/>
                <w:szCs w:val="28"/>
                <w:highlight w:val="none"/>
                <w:shd w:val="clear" w:color="auto" w:fill="auto"/>
                <w:lang w:val="en-US" w:eastAsia="zh-CN"/>
              </w:rPr>
              <w:t>排放</w:t>
            </w:r>
          </w:p>
        </w:tc>
        <w:tc>
          <w:tcPr>
            <w:tcW w:w="9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 xml:space="preserve">31696 </w:t>
            </w:r>
          </w:p>
        </w:tc>
        <w:tc>
          <w:tcPr>
            <w:tcW w:w="6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 xml:space="preserve">843 </w:t>
            </w:r>
          </w:p>
        </w:tc>
        <w:tc>
          <w:tcPr>
            <w:tcW w:w="6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 xml:space="preserve">823 </w:t>
            </w:r>
          </w:p>
        </w:tc>
        <w:tc>
          <w:tcPr>
            <w:tcW w:w="6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 xml:space="preserve">66 </w:t>
            </w:r>
          </w:p>
        </w:tc>
        <w:tc>
          <w:tcPr>
            <w:tcW w:w="6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 xml:space="preserve">54 </w:t>
            </w:r>
          </w:p>
        </w:tc>
        <w:tc>
          <w:tcPr>
            <w:tcW w:w="65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 xml:space="preserve">143 </w:t>
            </w:r>
          </w:p>
        </w:tc>
      </w:tr>
    </w:tbl>
    <w:p>
      <w:pPr>
        <w:keepNext w:val="0"/>
        <w:keepLines w:val="0"/>
        <w:pageBreakBefore w:val="0"/>
        <w:widowControl w:val="0"/>
        <w:kinsoku/>
        <w:wordWrap/>
        <w:overflowPunct/>
        <w:topLinePunct w:val="0"/>
        <w:autoSpaceDE/>
        <w:autoSpaceDN/>
        <w:bidi w:val="0"/>
        <w:adjustRightInd/>
        <w:snapToGrid/>
        <w:spacing w:before="157" w:beforeLines="50"/>
        <w:ind w:left="0" w:leftChars="0" w:firstLine="640" w:firstLineChars="200"/>
        <w:textAlignment w:val="auto"/>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根据调查资料和数据分析，旺苍县畜禽养殖行业污染主要来自于畜类养殖行业，而且畜类以肉牛和生猪为主。因此，规划中所提企业治理现状以及相应治理措施主要针对于规模化肉牛和生猪养殖行业。2020年多项目相结合后，目前，全县畜禽粪污综合利用率达到96%，规模养殖场粪污处理设施装备配套率达到100%，大型规模养殖场粪污处理设施装备配套率达到100%。预计到2025年，全县畜禽粪污综合利用率仍可动态增长达到96%以上，规模养殖场粪污处理设施装备配套率仍可动态增长保持100%，大型规模养殖场粪污处理设施装备配套率仍可动态增长保持100%。</w:t>
      </w:r>
    </w:p>
    <w:p>
      <w:pPr>
        <w:bidi w:val="0"/>
      </w:pPr>
    </w:p>
    <w:p>
      <w:pPr>
        <w:keepNext/>
        <w:keepLines/>
        <w:pageBreakBefore w:val="0"/>
        <w:widowControl w:val="0"/>
        <w:kinsoku/>
        <w:wordWrap/>
        <w:overflowPunct/>
        <w:topLinePunct w:val="0"/>
        <w:bidi w:val="0"/>
        <w:snapToGrid/>
        <w:spacing w:line="240" w:lineRule="auto"/>
        <w:ind w:firstLine="0" w:firstLineChars="0"/>
        <w:jc w:val="center"/>
        <w:textAlignment w:val="auto"/>
        <w:outlineLvl w:val="1"/>
        <w:rPr>
          <w:rFonts w:hint="default" w:ascii="仿宋" w:hAnsi="仿宋" w:eastAsia="仿宋" w:cs="Times New Roman"/>
          <w:b/>
          <w:color w:val="auto"/>
          <w:kern w:val="2"/>
          <w:sz w:val="36"/>
          <w:szCs w:val="36"/>
          <w:highlight w:val="none"/>
          <w:shd w:val="clear" w:color="auto" w:fill="auto"/>
          <w:lang w:val="en-US" w:eastAsia="zh-CN" w:bidi="ar-SA"/>
        </w:rPr>
      </w:pPr>
      <w:bookmarkStart w:id="51" w:name="_Toc22695"/>
      <w:r>
        <w:rPr>
          <w:rFonts w:hint="eastAsia" w:ascii="仿宋" w:hAnsi="仿宋" w:eastAsia="仿宋" w:cs="Times New Roman"/>
          <w:b/>
          <w:color w:val="auto"/>
          <w:kern w:val="2"/>
          <w:sz w:val="36"/>
          <w:szCs w:val="36"/>
          <w:highlight w:val="none"/>
          <w:shd w:val="clear" w:color="auto" w:fill="auto"/>
          <w:lang w:val="en-US" w:eastAsia="zh-CN" w:bidi="ar-SA"/>
        </w:rPr>
        <w:t>第六节 旺苍县畜禽养殖现状种养结合现状</w:t>
      </w:r>
      <w:bookmarkEnd w:id="51"/>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cs="Times New Roman"/>
          <w:szCs w:val="32"/>
          <w:highlight w:val="none"/>
          <w:shd w:val="clear" w:color="auto" w:fill="auto"/>
          <w:lang w:val="en-US" w:eastAsia="zh-CN"/>
        </w:rPr>
        <w:t>据《旺苍县国民经济和社会发展统计公报》和农业农村局数据，</w:t>
      </w:r>
      <w:r>
        <w:rPr>
          <w:rFonts w:hint="eastAsia" w:ascii="仿宋" w:hAnsi="仿宋"/>
          <w:szCs w:val="32"/>
          <w:highlight w:val="none"/>
          <w:shd w:val="clear" w:color="auto" w:fill="auto"/>
        </w:rPr>
        <w:t>2020年全</w:t>
      </w:r>
      <w:r>
        <w:rPr>
          <w:rFonts w:hint="eastAsia" w:ascii="仿宋" w:hAnsi="仿宋"/>
          <w:szCs w:val="32"/>
          <w:highlight w:val="none"/>
          <w:shd w:val="clear" w:color="auto" w:fill="auto"/>
          <w:lang w:val="en-US" w:eastAsia="zh-CN"/>
        </w:rPr>
        <w:t>县</w:t>
      </w:r>
      <w:r>
        <w:rPr>
          <w:rFonts w:hint="eastAsia" w:ascii="仿宋" w:hAnsi="仿宋"/>
          <w:szCs w:val="32"/>
          <w:highlight w:val="none"/>
          <w:shd w:val="clear" w:color="auto" w:fill="auto"/>
        </w:rPr>
        <w:t>农作物总播种面积6.55万公顷，其中，粮食作物播种面积4.34万公顷。粮食总产量达到23.58万吨，其中：小春粮食产量6.25万吨，大春粮食产量17.51万吨</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rPr>
        <w:t>油料产量2.19万吨，蔬菜产量24.76万吨。</w:t>
      </w:r>
    </w:p>
    <w:p>
      <w:pPr>
        <w:pStyle w:val="115"/>
        <w:pageBreakBefore w:val="0"/>
        <w:widowControl w:val="0"/>
        <w:kinsoku/>
        <w:wordWrap/>
        <w:overflowPunct/>
        <w:topLinePunct w:val="0"/>
        <w:bidi w:val="0"/>
        <w:snapToGrid/>
        <w:spacing w:line="560" w:lineRule="exact"/>
        <w:jc w:val="center"/>
        <w:textAlignment w:val="auto"/>
        <w:outlineLvl w:val="7"/>
        <w:rPr>
          <w:rFonts w:hint="eastAsia" w:ascii="仿宋" w:hAnsi="仿宋"/>
          <w:szCs w:val="32"/>
          <w:highlight w:val="none"/>
          <w:shd w:val="clear" w:color="auto" w:fill="auto"/>
        </w:rPr>
      </w:pPr>
      <w:r>
        <w:rPr>
          <w:rFonts w:hint="eastAsia" w:ascii="仿宋" w:hAnsi="仿宋" w:eastAsia="仿宋" w:cs="Times New Roman"/>
          <w:b/>
          <w:color w:val="auto"/>
          <w:sz w:val="28"/>
          <w:szCs w:val="28"/>
          <w:highlight w:val="none"/>
          <w:shd w:val="clear" w:color="auto" w:fill="auto"/>
          <w:lang w:val="en-US" w:eastAsia="zh-CN"/>
        </w:rPr>
        <w:t>表2-13  旺苍县2020年主要农产品产量（吨）</w:t>
      </w:r>
    </w:p>
    <w:tbl>
      <w:tblPr>
        <w:tblStyle w:val="34"/>
        <w:tblW w:w="4997"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1531"/>
        <w:gridCol w:w="1209"/>
        <w:gridCol w:w="1048"/>
        <w:gridCol w:w="1209"/>
        <w:gridCol w:w="888"/>
        <w:gridCol w:w="1744"/>
        <w:gridCol w:w="88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11" w:hRule="atLeast"/>
          <w:jc w:val="center"/>
        </w:trPr>
        <w:tc>
          <w:tcPr>
            <w:tcW w:w="898" w:type="pct"/>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产品名称</w:t>
            </w:r>
          </w:p>
        </w:tc>
        <w:tc>
          <w:tcPr>
            <w:tcW w:w="709" w:type="pct"/>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稻谷</w:t>
            </w:r>
          </w:p>
        </w:tc>
        <w:tc>
          <w:tcPr>
            <w:tcW w:w="615" w:type="pct"/>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小麦</w:t>
            </w:r>
          </w:p>
        </w:tc>
        <w:tc>
          <w:tcPr>
            <w:tcW w:w="709" w:type="pct"/>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玉米</w:t>
            </w:r>
          </w:p>
        </w:tc>
        <w:tc>
          <w:tcPr>
            <w:tcW w:w="521" w:type="pct"/>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豆类</w:t>
            </w:r>
          </w:p>
        </w:tc>
        <w:tc>
          <w:tcPr>
            <w:tcW w:w="1023" w:type="pct"/>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薯类（折粮）</w:t>
            </w:r>
          </w:p>
        </w:tc>
        <w:tc>
          <w:tcPr>
            <w:tcW w:w="521" w:type="pct"/>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花生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3" w:hRule="atLeast"/>
          <w:jc w:val="center"/>
        </w:trPr>
        <w:tc>
          <w:tcPr>
            <w:tcW w:w="898" w:type="pct"/>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产量</w:t>
            </w:r>
          </w:p>
        </w:tc>
        <w:tc>
          <w:tcPr>
            <w:tcW w:w="709" w:type="pct"/>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69071</w:t>
            </w:r>
          </w:p>
        </w:tc>
        <w:tc>
          <w:tcPr>
            <w:tcW w:w="615" w:type="pct"/>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33668</w:t>
            </w:r>
          </w:p>
        </w:tc>
        <w:tc>
          <w:tcPr>
            <w:tcW w:w="709" w:type="pct"/>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88800</w:t>
            </w:r>
          </w:p>
        </w:tc>
        <w:tc>
          <w:tcPr>
            <w:tcW w:w="521" w:type="pct"/>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3234</w:t>
            </w:r>
          </w:p>
        </w:tc>
        <w:tc>
          <w:tcPr>
            <w:tcW w:w="1023" w:type="pct"/>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40808</w:t>
            </w:r>
          </w:p>
        </w:tc>
        <w:tc>
          <w:tcPr>
            <w:tcW w:w="521" w:type="pct"/>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3697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11" w:hRule="atLeast"/>
          <w:jc w:val="center"/>
        </w:trPr>
        <w:tc>
          <w:tcPr>
            <w:tcW w:w="898" w:type="pct"/>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产品名称</w:t>
            </w:r>
          </w:p>
        </w:tc>
        <w:tc>
          <w:tcPr>
            <w:tcW w:w="709" w:type="pct"/>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油菜籽</w:t>
            </w:r>
          </w:p>
        </w:tc>
        <w:tc>
          <w:tcPr>
            <w:tcW w:w="615" w:type="pct"/>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烟叶</w:t>
            </w:r>
          </w:p>
        </w:tc>
        <w:tc>
          <w:tcPr>
            <w:tcW w:w="709" w:type="pct"/>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蔬菜</w:t>
            </w:r>
          </w:p>
        </w:tc>
        <w:tc>
          <w:tcPr>
            <w:tcW w:w="521" w:type="pct"/>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茶叶</w:t>
            </w:r>
          </w:p>
        </w:tc>
        <w:tc>
          <w:tcPr>
            <w:tcW w:w="1023" w:type="pct"/>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水果</w:t>
            </w:r>
          </w:p>
        </w:tc>
        <w:tc>
          <w:tcPr>
            <w:tcW w:w="521"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3" w:hRule="atLeast"/>
          <w:jc w:val="center"/>
        </w:trPr>
        <w:tc>
          <w:tcPr>
            <w:tcW w:w="898" w:type="pct"/>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产量</w:t>
            </w:r>
          </w:p>
        </w:tc>
        <w:tc>
          <w:tcPr>
            <w:tcW w:w="709" w:type="pct"/>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17982</w:t>
            </w:r>
          </w:p>
        </w:tc>
        <w:tc>
          <w:tcPr>
            <w:tcW w:w="615" w:type="pct"/>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96</w:t>
            </w:r>
          </w:p>
        </w:tc>
        <w:tc>
          <w:tcPr>
            <w:tcW w:w="709" w:type="pct"/>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247562</w:t>
            </w:r>
          </w:p>
        </w:tc>
        <w:tc>
          <w:tcPr>
            <w:tcW w:w="521" w:type="pct"/>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6395</w:t>
            </w:r>
          </w:p>
        </w:tc>
        <w:tc>
          <w:tcPr>
            <w:tcW w:w="1023" w:type="pct"/>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28203</w:t>
            </w:r>
          </w:p>
        </w:tc>
        <w:tc>
          <w:tcPr>
            <w:tcW w:w="521" w:type="pct"/>
            <w:tcBorders>
              <w:tl2br w:val="nil"/>
              <w:tr2bl w:val="nil"/>
            </w:tcBorders>
            <w:noWrap/>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w:t>
            </w:r>
          </w:p>
        </w:tc>
      </w:tr>
    </w:tbl>
    <w:p>
      <w:pPr>
        <w:bidi w:val="0"/>
        <w:rPr>
          <w:rFonts w:hint="eastAsia" w:ascii="仿宋" w:hAnsi="仿宋"/>
          <w:highlight w:val="none"/>
          <w:lang w:val="en-US" w:eastAsia="zh-CN"/>
        </w:rPr>
      </w:pPr>
    </w:p>
    <w:p>
      <w:pPr>
        <w:pStyle w:val="14"/>
        <w:spacing w:after="0" w:line="240" w:lineRule="auto"/>
        <w:ind w:left="0" w:leftChars="0" w:right="0" w:rightChars="0" w:firstLine="640" w:firstLineChars="200"/>
        <w:jc w:val="both"/>
        <w:rPr>
          <w:rFonts w:hint="eastAsia" w:ascii="仿宋" w:hAnsi="仿宋" w:cs="Times New Roman"/>
          <w:color w:val="auto"/>
          <w:szCs w:val="32"/>
          <w:highlight w:val="none"/>
          <w:shd w:val="clear" w:color="auto" w:fill="auto"/>
          <w:lang w:val="en-US" w:eastAsia="zh-CN"/>
        </w:rPr>
      </w:pPr>
      <w:r>
        <w:rPr>
          <w:rFonts w:hint="eastAsia" w:ascii="仿宋" w:hAnsi="仿宋" w:eastAsia="仿宋_GB2312" w:cs="Times New Roman"/>
          <w:kern w:val="2"/>
          <w:sz w:val="32"/>
          <w:szCs w:val="32"/>
          <w:highlight w:val="none"/>
          <w:shd w:val="clear" w:color="auto" w:fill="auto"/>
          <w:lang w:val="en-US" w:eastAsia="zh-CN" w:bidi="ar-SA"/>
        </w:rPr>
        <w:t>根据调查资料和数据分析，旺苍县畜禽养殖</w:t>
      </w:r>
      <w:r>
        <w:rPr>
          <w:rFonts w:hint="eastAsia" w:ascii="仿宋" w:hAnsi="仿宋" w:cs="Times New Roman"/>
          <w:kern w:val="2"/>
          <w:sz w:val="32"/>
          <w:szCs w:val="32"/>
          <w:highlight w:val="none"/>
          <w:shd w:val="clear" w:color="auto" w:fill="auto"/>
          <w:lang w:val="en-US" w:eastAsia="zh-CN" w:bidi="ar-SA"/>
        </w:rPr>
        <w:t>场户的房前屋后，都有一定的配套种植作物利用粪肥还田施肥，例如：</w:t>
      </w:r>
      <w:r>
        <w:rPr>
          <w:rFonts w:hint="eastAsia" w:ascii="仿宋" w:hAnsi="仿宋" w:cs="Times New Roman"/>
          <w:color w:val="auto"/>
          <w:szCs w:val="32"/>
          <w:highlight w:val="none"/>
          <w:shd w:val="clear" w:color="auto" w:fill="auto"/>
          <w:lang w:val="en-US" w:eastAsia="zh-CN"/>
        </w:rPr>
        <w:t>草、玉米、小麦、油菜、水稻、茶叶、果树、蔬菜、花椒、猕猴桃、苜宿草、大豆、核桃、牡丹等，基本符合典型制度的小麦+玉米、双季稻、玉米+大豆、玉米+玉米、蔬菜、香蕉、茶叶等。</w:t>
      </w:r>
    </w:p>
    <w:p>
      <w:pPr>
        <w:pStyle w:val="14"/>
        <w:spacing w:after="0" w:line="240" w:lineRule="auto"/>
        <w:ind w:left="0" w:leftChars="0" w:right="0" w:rightChars="0" w:firstLine="640" w:firstLineChars="200"/>
        <w:jc w:val="both"/>
        <w:rPr>
          <w:rFonts w:hint="eastAsia" w:ascii="仿宋" w:hAnsi="仿宋" w:cs="Times New Roman"/>
          <w:color w:val="auto"/>
          <w:szCs w:val="32"/>
          <w:highlight w:val="none"/>
          <w:shd w:val="clear" w:color="auto" w:fill="auto"/>
          <w:lang w:val="en-US" w:eastAsia="zh-CN"/>
        </w:rPr>
      </w:pPr>
      <w:r>
        <w:rPr>
          <w:rFonts w:hint="eastAsia" w:ascii="仿宋" w:hAnsi="仿宋" w:cs="Times New Roman"/>
          <w:color w:val="auto"/>
          <w:szCs w:val="32"/>
          <w:highlight w:val="none"/>
          <w:shd w:val="clear" w:color="auto" w:fill="auto"/>
          <w:lang w:val="en-US" w:eastAsia="zh-CN"/>
        </w:rPr>
        <w:t>通过猪当量和配套粪污消纳地面积，根据《畜禽粪便土地承载力测算方法》（NY/T 3877-2021），通过养分平衡区域内各种作物类型种植面积和产量核算总养分需求量，根据粪肥当季利用效率和化肥替代比例，核算畜禽粪肥养分需求量。</w:t>
      </w:r>
    </w:p>
    <w:p>
      <w:pPr>
        <w:pStyle w:val="14"/>
        <w:spacing w:after="0" w:line="240" w:lineRule="auto"/>
        <w:ind w:left="0" w:leftChars="0" w:right="0" w:rightChars="0" w:firstLine="640" w:firstLineChars="200"/>
        <w:jc w:val="both"/>
        <w:rPr>
          <w:rFonts w:hint="eastAsia" w:ascii="仿宋" w:hAnsi="仿宋" w:cs="Times New Roman"/>
          <w:color w:val="auto"/>
          <w:szCs w:val="32"/>
          <w:highlight w:val="none"/>
          <w:shd w:val="clear" w:color="auto" w:fill="auto"/>
          <w:lang w:val="en-US" w:eastAsia="zh-CN"/>
        </w:rPr>
      </w:pPr>
      <w:r>
        <w:rPr>
          <w:rFonts w:hint="eastAsia" w:ascii="仿宋" w:hAnsi="仿宋" w:cs="Times New Roman"/>
          <w:color w:val="auto"/>
          <w:szCs w:val="32"/>
          <w:highlight w:val="none"/>
          <w:shd w:val="clear" w:color="auto" w:fill="auto"/>
          <w:lang w:val="en-US" w:eastAsia="zh-CN"/>
        </w:rPr>
        <w:t>根据畜禽粪肥养分需求量测算结果，考虑畜禽粪污各环节损失率，推算粪肥养分实际需求量，通过猪当量氮磷营养元素排泄量推算猪当量养殖量（以存栏量计），即区域畜禽粪污土地承载力。再通过典型种植制度下土地承载力推荐值（N/P）可得各乡镇的要求配套土地面积、可新增畜禽粪肥消纳土地面积、土地承载力和差值。</w:t>
      </w:r>
    </w:p>
    <w:p>
      <w:pPr>
        <w:pStyle w:val="115"/>
        <w:pageBreakBefore w:val="0"/>
        <w:widowControl w:val="0"/>
        <w:kinsoku/>
        <w:wordWrap/>
        <w:overflowPunct/>
        <w:topLinePunct w:val="0"/>
        <w:bidi w:val="0"/>
        <w:snapToGrid/>
        <w:spacing w:line="560" w:lineRule="exact"/>
        <w:jc w:val="center"/>
        <w:textAlignment w:val="auto"/>
        <w:outlineLvl w:val="7"/>
        <w:rPr>
          <w:rFonts w:hint="default" w:ascii="仿宋" w:hAnsi="仿宋" w:cs="Times New Roman"/>
          <w:color w:val="auto"/>
          <w:szCs w:val="32"/>
          <w:highlight w:val="none"/>
          <w:shd w:val="clear" w:color="auto" w:fill="auto"/>
          <w:lang w:val="en-US" w:eastAsia="zh-CN"/>
        </w:rPr>
      </w:pPr>
      <w:r>
        <w:rPr>
          <w:rFonts w:hint="eastAsia" w:ascii="仿宋" w:hAnsi="仿宋" w:eastAsia="仿宋" w:cs="Times New Roman"/>
          <w:b/>
          <w:color w:val="auto"/>
          <w:sz w:val="28"/>
          <w:szCs w:val="28"/>
          <w:highlight w:val="none"/>
          <w:shd w:val="clear" w:color="auto" w:fill="auto"/>
          <w:lang w:val="en-US" w:eastAsia="zh-CN"/>
        </w:rPr>
        <w:t>表2-14  旺苍县各乡镇畜禽养殖场户配套粪污消纳地面积情况表</w:t>
      </w:r>
    </w:p>
    <w:tbl>
      <w:tblPr>
        <w:tblStyle w:val="3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8"/>
        <w:gridCol w:w="1465"/>
        <w:gridCol w:w="2063"/>
        <w:gridCol w:w="2063"/>
        <w:gridCol w:w="22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blHeader/>
        </w:trPr>
        <w:tc>
          <w:tcPr>
            <w:tcW w:w="40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序号</w:t>
            </w:r>
          </w:p>
        </w:tc>
        <w:tc>
          <w:tcPr>
            <w:tcW w:w="85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乡镇</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bCs/>
                <w:color w:val="auto"/>
                <w:kern w:val="2"/>
                <w:sz w:val="24"/>
                <w:szCs w:val="24"/>
                <w:highlight w:val="none"/>
                <w:shd w:val="clear" w:color="auto" w:fill="auto"/>
                <w:lang w:val="en-US" w:eastAsia="zh-CN" w:bidi="ar-SA"/>
              </w:rPr>
            </w:pPr>
            <w:r>
              <w:rPr>
                <w:rFonts w:hint="eastAsia" w:ascii="仿宋" w:hAnsi="仿宋" w:cs="Times New Roman"/>
                <w:b/>
                <w:bCs/>
                <w:color w:val="auto"/>
                <w:sz w:val="24"/>
                <w:szCs w:val="24"/>
                <w:highlight w:val="none"/>
                <w:shd w:val="clear" w:color="auto" w:fill="auto"/>
                <w:lang w:val="en-US" w:eastAsia="zh-CN"/>
              </w:rPr>
              <w:t>配套粪污消纳地面积（亩）</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bCs/>
                <w:color w:val="auto"/>
                <w:kern w:val="2"/>
                <w:sz w:val="24"/>
                <w:szCs w:val="24"/>
                <w:highlight w:val="none"/>
                <w:shd w:val="clear" w:color="auto" w:fill="auto"/>
                <w:lang w:val="en-US" w:eastAsia="zh-CN" w:bidi="ar-SA"/>
              </w:rPr>
            </w:pPr>
            <w:r>
              <w:rPr>
                <w:rFonts w:hint="eastAsia" w:ascii="仿宋" w:hAnsi="仿宋" w:cs="Times New Roman"/>
                <w:b/>
                <w:bCs/>
                <w:color w:val="auto"/>
                <w:sz w:val="24"/>
                <w:szCs w:val="24"/>
                <w:highlight w:val="none"/>
                <w:shd w:val="clear" w:color="auto" w:fill="auto"/>
                <w:lang w:val="en-US" w:eastAsia="zh-CN"/>
              </w:rPr>
              <w:t>要求配套土地面积（亩）</w:t>
            </w:r>
          </w:p>
        </w:tc>
        <w:tc>
          <w:tcPr>
            <w:tcW w:w="13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cs="Times New Roman"/>
                <w:b/>
                <w:bCs/>
                <w:color w:val="auto"/>
                <w:sz w:val="24"/>
                <w:szCs w:val="24"/>
                <w:highlight w:val="none"/>
                <w:shd w:val="clear" w:color="auto" w:fill="auto"/>
                <w:lang w:val="en-US" w:eastAsia="zh-CN"/>
              </w:rPr>
            </w:pPr>
            <w:r>
              <w:rPr>
                <w:rFonts w:hint="default" w:ascii="仿宋" w:hAnsi="仿宋" w:eastAsia="仿宋_GB2312" w:cs="仿宋_GB2312"/>
                <w:b/>
                <w:bCs/>
                <w:i w:val="0"/>
                <w:iCs w:val="0"/>
                <w:color w:val="000000"/>
                <w:kern w:val="0"/>
                <w:sz w:val="24"/>
                <w:szCs w:val="24"/>
                <w:highlight w:val="none"/>
                <w:u w:val="none"/>
                <w:lang w:val="en-US" w:eastAsia="zh-CN" w:bidi="ar"/>
              </w:rPr>
              <w:t>可新增畜禽粪肥消纳土地面积（亩）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c>
          <w:tcPr>
            <w:tcW w:w="85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白水镇</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411 </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3807 </w:t>
            </w:r>
          </w:p>
        </w:tc>
        <w:tc>
          <w:tcPr>
            <w:tcW w:w="13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cs="Times New Roman"/>
                <w:b w:val="0"/>
                <w:bCs w:val="0"/>
                <w:color w:val="auto"/>
                <w:sz w:val="24"/>
                <w:szCs w:val="24"/>
                <w:highlight w:val="none"/>
                <w:shd w:val="clear" w:color="auto" w:fill="auto"/>
                <w:lang w:val="en-US" w:eastAsia="zh-CN"/>
              </w:rPr>
              <w:t>3396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2</w:t>
            </w:r>
          </w:p>
        </w:tc>
        <w:tc>
          <w:tcPr>
            <w:tcW w:w="85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双汇镇</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20 </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219 </w:t>
            </w:r>
          </w:p>
        </w:tc>
        <w:tc>
          <w:tcPr>
            <w:tcW w:w="13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cs="Times New Roman"/>
                <w:b w:val="0"/>
                <w:bCs w:val="0"/>
                <w:color w:val="auto"/>
                <w:sz w:val="24"/>
                <w:szCs w:val="24"/>
                <w:highlight w:val="none"/>
                <w:shd w:val="clear" w:color="auto" w:fill="auto"/>
                <w:lang w:val="en-US" w:eastAsia="zh-CN"/>
              </w:rPr>
              <w:t>199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3</w:t>
            </w:r>
          </w:p>
        </w:tc>
        <w:tc>
          <w:tcPr>
            <w:tcW w:w="85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龙凤镇</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3850 </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3134 </w:t>
            </w:r>
          </w:p>
        </w:tc>
        <w:tc>
          <w:tcPr>
            <w:tcW w:w="13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cs="Times New Roman"/>
                <w:b w:val="0"/>
                <w:bCs w:val="0"/>
                <w:color w:val="auto"/>
                <w:sz w:val="24"/>
                <w:szCs w:val="24"/>
                <w:highlight w:val="none"/>
                <w:shd w:val="clear" w:color="auto" w:fill="auto"/>
                <w:lang w:val="en-US" w:eastAsia="zh-CN"/>
              </w:rPr>
              <w:t>-716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4</w:t>
            </w:r>
          </w:p>
        </w:tc>
        <w:tc>
          <w:tcPr>
            <w:tcW w:w="85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大德镇</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2090 </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3276 </w:t>
            </w:r>
          </w:p>
        </w:tc>
        <w:tc>
          <w:tcPr>
            <w:tcW w:w="13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cs="Times New Roman"/>
                <w:b w:val="0"/>
                <w:bCs w:val="0"/>
                <w:color w:val="auto"/>
                <w:sz w:val="24"/>
                <w:szCs w:val="24"/>
                <w:highlight w:val="none"/>
                <w:shd w:val="clear" w:color="auto" w:fill="auto"/>
                <w:lang w:val="en-US" w:eastAsia="zh-CN"/>
              </w:rPr>
              <w:t>1186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5</w:t>
            </w:r>
          </w:p>
        </w:tc>
        <w:tc>
          <w:tcPr>
            <w:tcW w:w="85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大两镇</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570 </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2020 </w:t>
            </w:r>
          </w:p>
        </w:tc>
        <w:tc>
          <w:tcPr>
            <w:tcW w:w="13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cs="Times New Roman"/>
                <w:b w:val="0"/>
                <w:bCs w:val="0"/>
                <w:color w:val="auto"/>
                <w:sz w:val="24"/>
                <w:szCs w:val="24"/>
                <w:highlight w:val="none"/>
                <w:shd w:val="clear" w:color="auto" w:fill="auto"/>
                <w:lang w:val="en-US" w:eastAsia="zh-CN"/>
              </w:rPr>
              <w:t>1450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6</w:t>
            </w:r>
          </w:p>
        </w:tc>
        <w:tc>
          <w:tcPr>
            <w:tcW w:w="85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高阳镇</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1020 </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1747 </w:t>
            </w:r>
          </w:p>
        </w:tc>
        <w:tc>
          <w:tcPr>
            <w:tcW w:w="13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cs="Times New Roman"/>
                <w:b w:val="0"/>
                <w:bCs w:val="0"/>
                <w:color w:val="auto"/>
                <w:sz w:val="24"/>
                <w:szCs w:val="24"/>
                <w:highlight w:val="none"/>
                <w:shd w:val="clear" w:color="auto" w:fill="auto"/>
                <w:lang w:val="en-US" w:eastAsia="zh-CN"/>
              </w:rPr>
              <w:t>727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7</w:t>
            </w:r>
          </w:p>
        </w:tc>
        <w:tc>
          <w:tcPr>
            <w:tcW w:w="85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国华镇</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830 </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852 </w:t>
            </w:r>
          </w:p>
        </w:tc>
        <w:tc>
          <w:tcPr>
            <w:tcW w:w="13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cs="Times New Roman"/>
                <w:b w:val="0"/>
                <w:bCs w:val="0"/>
                <w:color w:val="auto"/>
                <w:sz w:val="24"/>
                <w:szCs w:val="24"/>
                <w:highlight w:val="none"/>
                <w:shd w:val="clear" w:color="auto" w:fill="auto"/>
                <w:lang w:val="en-US" w:eastAsia="zh-CN"/>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8</w:t>
            </w:r>
          </w:p>
        </w:tc>
        <w:tc>
          <w:tcPr>
            <w:tcW w:w="85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黄洋镇</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250 </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673 </w:t>
            </w:r>
          </w:p>
        </w:tc>
        <w:tc>
          <w:tcPr>
            <w:tcW w:w="13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cs="Times New Roman"/>
                <w:b w:val="0"/>
                <w:bCs w:val="0"/>
                <w:color w:val="auto"/>
                <w:sz w:val="24"/>
                <w:szCs w:val="24"/>
                <w:highlight w:val="none"/>
                <w:shd w:val="clear" w:color="auto" w:fill="auto"/>
                <w:lang w:val="en-US" w:eastAsia="zh-CN"/>
              </w:rPr>
              <w:t>423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9</w:t>
            </w:r>
          </w:p>
        </w:tc>
        <w:tc>
          <w:tcPr>
            <w:tcW w:w="85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九龙镇</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101 </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1397 </w:t>
            </w:r>
          </w:p>
        </w:tc>
        <w:tc>
          <w:tcPr>
            <w:tcW w:w="13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cs="Times New Roman"/>
                <w:b w:val="0"/>
                <w:bCs w:val="0"/>
                <w:color w:val="auto"/>
                <w:sz w:val="24"/>
                <w:szCs w:val="24"/>
                <w:highlight w:val="none"/>
                <w:shd w:val="clear" w:color="auto" w:fill="auto"/>
                <w:lang w:val="en-US" w:eastAsia="zh-CN"/>
              </w:rPr>
              <w:t>1296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10</w:t>
            </w:r>
          </w:p>
        </w:tc>
        <w:tc>
          <w:tcPr>
            <w:tcW w:w="85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张华镇</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6300 </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4585 </w:t>
            </w:r>
          </w:p>
        </w:tc>
        <w:tc>
          <w:tcPr>
            <w:tcW w:w="13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cs="Times New Roman"/>
                <w:b w:val="0"/>
                <w:bCs w:val="0"/>
                <w:color w:val="auto"/>
                <w:sz w:val="24"/>
                <w:szCs w:val="24"/>
                <w:highlight w:val="none"/>
                <w:shd w:val="clear" w:color="auto" w:fill="auto"/>
                <w:lang w:val="en-US" w:eastAsia="zh-CN"/>
              </w:rPr>
              <w:t>-1715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11</w:t>
            </w:r>
          </w:p>
        </w:tc>
        <w:tc>
          <w:tcPr>
            <w:tcW w:w="85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盐河镇</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9 </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162 </w:t>
            </w:r>
          </w:p>
        </w:tc>
        <w:tc>
          <w:tcPr>
            <w:tcW w:w="13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cs="Times New Roman"/>
                <w:b w:val="0"/>
                <w:bCs w:val="0"/>
                <w:color w:val="auto"/>
                <w:sz w:val="24"/>
                <w:szCs w:val="24"/>
                <w:highlight w:val="none"/>
                <w:shd w:val="clear" w:color="auto" w:fill="auto"/>
                <w:lang w:val="en-US" w:eastAsia="zh-CN"/>
              </w:rPr>
              <w:t>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12</w:t>
            </w:r>
          </w:p>
        </w:tc>
        <w:tc>
          <w:tcPr>
            <w:tcW w:w="85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普济镇</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7000 </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13201 </w:t>
            </w:r>
          </w:p>
        </w:tc>
        <w:tc>
          <w:tcPr>
            <w:tcW w:w="13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cs="Times New Roman"/>
                <w:b w:val="0"/>
                <w:bCs w:val="0"/>
                <w:color w:val="auto"/>
                <w:sz w:val="24"/>
                <w:szCs w:val="24"/>
                <w:highlight w:val="none"/>
                <w:shd w:val="clear" w:color="auto" w:fill="auto"/>
                <w:lang w:val="en-US" w:eastAsia="zh-CN"/>
              </w:rPr>
              <w:t>6201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13</w:t>
            </w:r>
          </w:p>
        </w:tc>
        <w:tc>
          <w:tcPr>
            <w:tcW w:w="85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水磨镇</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130 </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1185 </w:t>
            </w:r>
          </w:p>
        </w:tc>
        <w:tc>
          <w:tcPr>
            <w:tcW w:w="13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cs="Times New Roman"/>
                <w:b w:val="0"/>
                <w:bCs w:val="0"/>
                <w:color w:val="auto"/>
                <w:sz w:val="24"/>
                <w:szCs w:val="24"/>
                <w:highlight w:val="none"/>
                <w:shd w:val="clear" w:color="auto" w:fill="auto"/>
                <w:lang w:val="en-US" w:eastAsia="zh-CN"/>
              </w:rPr>
              <w:t>1055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14</w:t>
            </w:r>
          </w:p>
        </w:tc>
        <w:tc>
          <w:tcPr>
            <w:tcW w:w="85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五权镇</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1620 </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1668 </w:t>
            </w:r>
          </w:p>
        </w:tc>
        <w:tc>
          <w:tcPr>
            <w:tcW w:w="13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cs="Times New Roman"/>
                <w:b w:val="0"/>
                <w:bCs w:val="0"/>
                <w:color w:val="auto"/>
                <w:sz w:val="24"/>
                <w:szCs w:val="24"/>
                <w:highlight w:val="none"/>
                <w:shd w:val="clear" w:color="auto" w:fill="auto"/>
                <w:lang w:val="en-US" w:eastAsia="zh-CN"/>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15</w:t>
            </w:r>
          </w:p>
        </w:tc>
        <w:tc>
          <w:tcPr>
            <w:tcW w:w="85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嘉川镇</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1934 </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3801 </w:t>
            </w:r>
          </w:p>
        </w:tc>
        <w:tc>
          <w:tcPr>
            <w:tcW w:w="13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cs="Times New Roman"/>
                <w:b w:val="0"/>
                <w:bCs w:val="0"/>
                <w:color w:val="auto"/>
                <w:sz w:val="24"/>
                <w:szCs w:val="24"/>
                <w:highlight w:val="none"/>
                <w:shd w:val="clear" w:color="auto" w:fill="auto"/>
                <w:lang w:val="en-US" w:eastAsia="zh-CN"/>
              </w:rPr>
              <w:t>1867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16</w:t>
            </w:r>
          </w:p>
        </w:tc>
        <w:tc>
          <w:tcPr>
            <w:tcW w:w="85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米仓山镇</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30 </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101 </w:t>
            </w:r>
          </w:p>
        </w:tc>
        <w:tc>
          <w:tcPr>
            <w:tcW w:w="13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cs="Times New Roman"/>
                <w:b w:val="0"/>
                <w:bCs w:val="0"/>
                <w:color w:val="auto"/>
                <w:sz w:val="24"/>
                <w:szCs w:val="24"/>
                <w:highlight w:val="none"/>
                <w:shd w:val="clear" w:color="auto" w:fill="auto"/>
                <w:lang w:val="en-US" w:eastAsia="zh-CN"/>
              </w:rPr>
              <w:t>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17</w:t>
            </w:r>
          </w:p>
        </w:tc>
        <w:tc>
          <w:tcPr>
            <w:tcW w:w="85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东河镇</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4770 </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3478 </w:t>
            </w:r>
          </w:p>
        </w:tc>
        <w:tc>
          <w:tcPr>
            <w:tcW w:w="13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cs="Times New Roman"/>
                <w:b w:val="0"/>
                <w:bCs w:val="0"/>
                <w:color w:val="auto"/>
                <w:sz w:val="24"/>
                <w:szCs w:val="24"/>
                <w:highlight w:val="none"/>
                <w:shd w:val="clear" w:color="auto" w:fill="auto"/>
                <w:lang w:val="en-US" w:eastAsia="zh-CN"/>
              </w:rPr>
              <w:t>-1292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18</w:t>
            </w:r>
          </w:p>
        </w:tc>
        <w:tc>
          <w:tcPr>
            <w:tcW w:w="85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木门镇</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2850 </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2387 </w:t>
            </w:r>
          </w:p>
        </w:tc>
        <w:tc>
          <w:tcPr>
            <w:tcW w:w="13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cs="Times New Roman"/>
                <w:b w:val="0"/>
                <w:bCs w:val="0"/>
                <w:color w:val="auto"/>
                <w:sz w:val="24"/>
                <w:szCs w:val="24"/>
                <w:highlight w:val="none"/>
                <w:shd w:val="clear" w:color="auto" w:fill="auto"/>
                <w:lang w:val="en-US" w:eastAsia="zh-CN"/>
              </w:rPr>
              <w:t>-463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19</w:t>
            </w:r>
          </w:p>
        </w:tc>
        <w:tc>
          <w:tcPr>
            <w:tcW w:w="85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燕子乡</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2095 </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4690 </w:t>
            </w:r>
          </w:p>
        </w:tc>
        <w:tc>
          <w:tcPr>
            <w:tcW w:w="13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cs="Times New Roman"/>
                <w:b w:val="0"/>
                <w:bCs w:val="0"/>
                <w:color w:val="auto"/>
                <w:sz w:val="24"/>
                <w:szCs w:val="24"/>
                <w:highlight w:val="none"/>
                <w:shd w:val="clear" w:color="auto" w:fill="auto"/>
                <w:lang w:val="en-US" w:eastAsia="zh-CN"/>
              </w:rPr>
              <w:t>2595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20</w:t>
            </w:r>
          </w:p>
        </w:tc>
        <w:tc>
          <w:tcPr>
            <w:tcW w:w="85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天星镇</w:t>
            </w:r>
          </w:p>
        </w:tc>
        <w:tc>
          <w:tcPr>
            <w:tcW w:w="1210"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2515 </w:t>
            </w:r>
          </w:p>
        </w:tc>
        <w:tc>
          <w:tcPr>
            <w:tcW w:w="1210"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2695 </w:t>
            </w:r>
          </w:p>
        </w:tc>
        <w:tc>
          <w:tcPr>
            <w:tcW w:w="1310"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cs="Times New Roman"/>
                <w:b w:val="0"/>
                <w:bCs w:val="0"/>
                <w:color w:val="auto"/>
                <w:sz w:val="24"/>
                <w:szCs w:val="24"/>
                <w:highlight w:val="none"/>
                <w:shd w:val="clear" w:color="auto" w:fill="auto"/>
                <w:lang w:val="en-US" w:eastAsia="zh-CN"/>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21</w:t>
            </w:r>
          </w:p>
        </w:tc>
        <w:tc>
          <w:tcPr>
            <w:tcW w:w="85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英萃镇</w:t>
            </w:r>
          </w:p>
        </w:tc>
        <w:tc>
          <w:tcPr>
            <w:tcW w:w="1210"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522 </w:t>
            </w:r>
          </w:p>
        </w:tc>
        <w:tc>
          <w:tcPr>
            <w:tcW w:w="1210"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1955 </w:t>
            </w:r>
          </w:p>
        </w:tc>
        <w:tc>
          <w:tcPr>
            <w:tcW w:w="1310"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cs="Times New Roman"/>
                <w:b w:val="0"/>
                <w:bCs w:val="0"/>
                <w:color w:val="auto"/>
                <w:sz w:val="24"/>
                <w:szCs w:val="24"/>
                <w:highlight w:val="none"/>
                <w:shd w:val="clear" w:color="auto" w:fill="auto"/>
                <w:lang w:val="en-US" w:eastAsia="zh-CN"/>
              </w:rPr>
              <w:t>1433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22</w:t>
            </w:r>
          </w:p>
        </w:tc>
        <w:tc>
          <w:tcPr>
            <w:tcW w:w="85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三江镇</w:t>
            </w:r>
          </w:p>
        </w:tc>
        <w:tc>
          <w:tcPr>
            <w:tcW w:w="1210"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6340 </w:t>
            </w:r>
          </w:p>
        </w:tc>
        <w:tc>
          <w:tcPr>
            <w:tcW w:w="1210"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7326 </w:t>
            </w:r>
          </w:p>
        </w:tc>
        <w:tc>
          <w:tcPr>
            <w:tcW w:w="1310"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cs="Times New Roman"/>
                <w:b w:val="0"/>
                <w:bCs w:val="0"/>
                <w:color w:val="auto"/>
                <w:sz w:val="24"/>
                <w:szCs w:val="24"/>
                <w:highlight w:val="none"/>
                <w:shd w:val="clear" w:color="auto" w:fill="auto"/>
                <w:lang w:val="en-US" w:eastAsia="zh-CN"/>
              </w:rPr>
              <w:t>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269" w:type="pct"/>
            <w:gridSpan w:val="2"/>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合计</w:t>
            </w:r>
          </w:p>
        </w:tc>
        <w:tc>
          <w:tcPr>
            <w:tcW w:w="1210"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fldChar w:fldCharType="begin"/>
            </w:r>
            <w:r>
              <w:rPr>
                <w:rFonts w:hint="eastAsia" w:ascii="仿宋" w:hAnsi="仿宋" w:cs="Times New Roman"/>
                <w:b w:val="0"/>
                <w:bCs w:val="0"/>
                <w:color w:val="auto"/>
                <w:sz w:val="24"/>
                <w:szCs w:val="24"/>
                <w:highlight w:val="none"/>
                <w:shd w:val="clear" w:color="auto" w:fill="auto"/>
                <w:lang w:val="en-US" w:eastAsia="zh-CN"/>
              </w:rPr>
              <w:instrText xml:space="preserve"> = sum(D2:D23) \* MERGEFORMAT </w:instrText>
            </w:r>
            <w:r>
              <w:rPr>
                <w:rFonts w:hint="eastAsia" w:ascii="仿宋" w:hAnsi="仿宋" w:cs="Times New Roman"/>
                <w:b w:val="0"/>
                <w:bCs w:val="0"/>
                <w:color w:val="auto"/>
                <w:sz w:val="24"/>
                <w:szCs w:val="24"/>
                <w:highlight w:val="none"/>
                <w:shd w:val="clear" w:color="auto" w:fill="auto"/>
                <w:lang w:val="en-US" w:eastAsia="zh-CN"/>
              </w:rPr>
              <w:fldChar w:fldCharType="separate"/>
            </w:r>
            <w:r>
              <w:rPr>
                <w:rFonts w:hint="eastAsia" w:ascii="仿宋" w:hAnsi="仿宋" w:cs="Times New Roman"/>
                <w:b w:val="0"/>
                <w:bCs w:val="0"/>
                <w:color w:val="auto"/>
                <w:sz w:val="24"/>
                <w:szCs w:val="24"/>
                <w:highlight w:val="none"/>
                <w:shd w:val="clear" w:color="auto" w:fill="auto"/>
                <w:lang w:val="en-US" w:eastAsia="zh-CN"/>
              </w:rPr>
              <w:t>45257</w:t>
            </w:r>
            <w:r>
              <w:rPr>
                <w:rFonts w:hint="eastAsia" w:ascii="仿宋" w:hAnsi="仿宋" w:cs="Times New Roman"/>
                <w:b w:val="0"/>
                <w:bCs w:val="0"/>
                <w:color w:val="auto"/>
                <w:sz w:val="24"/>
                <w:szCs w:val="24"/>
                <w:highlight w:val="none"/>
                <w:shd w:val="clear" w:color="auto" w:fill="auto"/>
                <w:lang w:val="en-US" w:eastAsia="zh-CN"/>
              </w:rPr>
              <w:fldChar w:fldCharType="end"/>
            </w:r>
          </w:p>
        </w:tc>
        <w:tc>
          <w:tcPr>
            <w:tcW w:w="1210" w:type="pct"/>
            <w:tcBorders>
              <w:top w:val="single" w:color="000000" w:sz="4" w:space="0"/>
              <w:left w:val="single" w:color="000000" w:sz="4" w:space="0"/>
              <w:bottom w:val="single" w:color="000000" w:sz="4" w:space="0"/>
              <w:right w:val="single" w:color="000000" w:sz="4" w:space="0"/>
            </w:tcBorders>
            <w:noWrap/>
            <w:vAlign w:val="top"/>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fldChar w:fldCharType="begin"/>
            </w:r>
            <w:r>
              <w:rPr>
                <w:rFonts w:hint="eastAsia" w:ascii="仿宋" w:hAnsi="仿宋" w:cs="Times New Roman"/>
                <w:b w:val="0"/>
                <w:bCs w:val="0"/>
                <w:color w:val="auto"/>
                <w:sz w:val="24"/>
                <w:szCs w:val="24"/>
                <w:highlight w:val="none"/>
                <w:shd w:val="clear" w:color="auto" w:fill="auto"/>
                <w:lang w:val="en-US" w:eastAsia="zh-CN"/>
              </w:rPr>
              <w:instrText xml:space="preserve"> = sum(D2:D23) \* MERGEFORMAT </w:instrText>
            </w:r>
            <w:r>
              <w:rPr>
                <w:rFonts w:hint="eastAsia" w:ascii="仿宋" w:hAnsi="仿宋" w:cs="Times New Roman"/>
                <w:b w:val="0"/>
                <w:bCs w:val="0"/>
                <w:color w:val="auto"/>
                <w:sz w:val="24"/>
                <w:szCs w:val="24"/>
                <w:highlight w:val="none"/>
                <w:shd w:val="clear" w:color="auto" w:fill="auto"/>
                <w:lang w:val="en-US" w:eastAsia="zh-CN"/>
              </w:rPr>
              <w:fldChar w:fldCharType="separate"/>
            </w:r>
            <w:r>
              <w:rPr>
                <w:rFonts w:hint="eastAsia" w:ascii="仿宋" w:hAnsi="仿宋" w:cs="Times New Roman"/>
                <w:b w:val="0"/>
                <w:bCs w:val="0"/>
                <w:color w:val="auto"/>
                <w:sz w:val="24"/>
                <w:szCs w:val="24"/>
                <w:highlight w:val="none"/>
                <w:shd w:val="clear" w:color="auto" w:fill="auto"/>
                <w:lang w:val="en-US" w:eastAsia="zh-CN"/>
              </w:rPr>
              <w:t>64359</w:t>
            </w:r>
            <w:r>
              <w:rPr>
                <w:rFonts w:hint="eastAsia" w:ascii="仿宋" w:hAnsi="仿宋" w:cs="Times New Roman"/>
                <w:b w:val="0"/>
                <w:bCs w:val="0"/>
                <w:color w:val="auto"/>
                <w:sz w:val="24"/>
                <w:szCs w:val="24"/>
                <w:highlight w:val="none"/>
                <w:shd w:val="clear" w:color="auto" w:fill="auto"/>
                <w:lang w:val="en-US" w:eastAsia="zh-CN"/>
              </w:rPr>
              <w:fldChar w:fldCharType="end"/>
            </w:r>
          </w:p>
        </w:tc>
        <w:tc>
          <w:tcPr>
            <w:tcW w:w="1310"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cs="Times New Roman"/>
                <w:b w:val="0"/>
                <w:bCs w:val="0"/>
                <w:color w:val="auto"/>
                <w:sz w:val="24"/>
                <w:szCs w:val="24"/>
                <w:highlight w:val="none"/>
                <w:shd w:val="clear" w:color="auto" w:fill="auto"/>
                <w:lang w:val="en-US" w:eastAsia="zh-CN"/>
              </w:rPr>
              <w:t>19102</w:t>
            </w:r>
          </w:p>
        </w:tc>
      </w:tr>
    </w:tbl>
    <w:p>
      <w:pPr>
        <w:bidi w:val="0"/>
        <w:rPr>
          <w:rFonts w:hint="default" w:ascii="仿宋" w:hAnsi="仿宋"/>
          <w:highlight w:val="none"/>
          <w:lang w:val="en-US" w:eastAsia="zh-CN"/>
        </w:rPr>
      </w:pPr>
    </w:p>
    <w:p>
      <w:pPr>
        <w:pStyle w:val="115"/>
        <w:pageBreakBefore w:val="0"/>
        <w:widowControl w:val="0"/>
        <w:kinsoku/>
        <w:wordWrap/>
        <w:overflowPunct/>
        <w:topLinePunct w:val="0"/>
        <w:bidi w:val="0"/>
        <w:snapToGrid/>
        <w:spacing w:line="560" w:lineRule="exact"/>
        <w:jc w:val="center"/>
        <w:textAlignment w:val="auto"/>
        <w:outlineLvl w:val="7"/>
        <w:rPr>
          <w:rFonts w:hint="default" w:ascii="仿宋" w:hAnsi="仿宋" w:cs="Times New Roman"/>
          <w:color w:val="auto"/>
          <w:szCs w:val="32"/>
          <w:highlight w:val="none"/>
          <w:shd w:val="clear" w:color="auto" w:fill="auto"/>
          <w:lang w:val="en-US" w:eastAsia="zh-CN"/>
        </w:rPr>
      </w:pPr>
      <w:r>
        <w:rPr>
          <w:rFonts w:hint="eastAsia" w:ascii="仿宋" w:hAnsi="仿宋" w:eastAsia="仿宋" w:cs="Times New Roman"/>
          <w:b/>
          <w:color w:val="auto"/>
          <w:sz w:val="28"/>
          <w:szCs w:val="28"/>
          <w:highlight w:val="none"/>
          <w:shd w:val="clear" w:color="auto" w:fill="auto"/>
          <w:lang w:val="en-US" w:eastAsia="zh-CN"/>
        </w:rPr>
        <w:t>表2-15  旺苍县各乡镇畜禽养殖场户土地承载力情况表</w:t>
      </w:r>
    </w:p>
    <w:tbl>
      <w:tblPr>
        <w:tblStyle w:val="3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8"/>
        <w:gridCol w:w="1416"/>
        <w:gridCol w:w="1476"/>
        <w:gridCol w:w="1644"/>
        <w:gridCol w:w="1644"/>
        <w:gridCol w:w="16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blHeader/>
        </w:trPr>
        <w:tc>
          <w:tcPr>
            <w:tcW w:w="40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序号</w:t>
            </w:r>
          </w:p>
        </w:tc>
        <w:tc>
          <w:tcPr>
            <w:tcW w:w="830"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乡镇</w:t>
            </w:r>
          </w:p>
        </w:tc>
        <w:tc>
          <w:tcPr>
            <w:tcW w:w="865"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猪当量</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bCs/>
                <w:color w:val="auto"/>
                <w:kern w:val="2"/>
                <w:sz w:val="24"/>
                <w:szCs w:val="24"/>
                <w:highlight w:val="none"/>
                <w:shd w:val="clear" w:color="auto" w:fill="auto"/>
                <w:lang w:val="en-US" w:eastAsia="zh-CN" w:bidi="ar-SA"/>
              </w:rPr>
            </w:pPr>
            <w:r>
              <w:rPr>
                <w:rFonts w:hint="eastAsia" w:ascii="仿宋" w:hAnsi="仿宋" w:cs="Times New Roman"/>
                <w:b/>
                <w:bCs/>
                <w:color w:val="auto"/>
                <w:sz w:val="24"/>
                <w:szCs w:val="24"/>
                <w:highlight w:val="none"/>
                <w:shd w:val="clear" w:color="auto" w:fill="auto"/>
                <w:lang w:val="en-US" w:eastAsia="zh-CN"/>
              </w:rPr>
              <w:t>土地承载力（猪当量/亩）</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差值</w:t>
            </w:r>
          </w:p>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+：剩余</w:t>
            </w:r>
          </w:p>
          <w:p>
            <w:pPr>
              <w:pStyle w:val="14"/>
              <w:spacing w:after="0" w:line="240" w:lineRule="auto"/>
              <w:ind w:left="0" w:leftChars="0" w:right="0" w:rightChars="0"/>
              <w:jc w:val="center"/>
              <w:rPr>
                <w:rFonts w:hint="eastAsia" w:ascii="仿宋" w:hAnsi="仿宋" w:eastAsia="仿宋_GB2312" w:cs="Times New Roman"/>
                <w:b/>
                <w:bCs/>
                <w:color w:val="auto"/>
                <w:kern w:val="2"/>
                <w:sz w:val="24"/>
                <w:szCs w:val="24"/>
                <w:highlight w:val="none"/>
                <w:shd w:val="clear" w:color="auto" w:fill="auto"/>
                <w:lang w:val="en-US" w:eastAsia="zh-CN" w:bidi="ar-SA"/>
              </w:rPr>
            </w:pPr>
            <w:r>
              <w:rPr>
                <w:rFonts w:hint="eastAsia" w:ascii="仿宋" w:hAnsi="仿宋" w:cs="Times New Roman"/>
                <w:b/>
                <w:bCs/>
                <w:color w:val="auto"/>
                <w:sz w:val="24"/>
                <w:szCs w:val="24"/>
                <w:highlight w:val="none"/>
                <w:shd w:val="clear" w:color="auto" w:fill="auto"/>
                <w:lang w:val="en-US" w:eastAsia="zh-CN"/>
              </w:rPr>
              <w:t>-：缺少</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eastAsia="仿宋_GB2312" w:cs="Times New Roman"/>
                <w:b/>
                <w:bCs/>
                <w:color w:val="auto"/>
                <w:kern w:val="2"/>
                <w:sz w:val="24"/>
                <w:szCs w:val="24"/>
                <w:highlight w:val="none"/>
                <w:shd w:val="clear" w:color="auto" w:fill="auto"/>
                <w:lang w:val="en-US" w:eastAsia="zh-CN" w:bidi="ar-SA"/>
              </w:rPr>
            </w:pPr>
            <w:r>
              <w:rPr>
                <w:rFonts w:hint="eastAsia" w:ascii="仿宋" w:hAnsi="仿宋" w:cs="Times New Roman"/>
                <w:b/>
                <w:bCs/>
                <w:color w:val="auto"/>
                <w:sz w:val="24"/>
                <w:szCs w:val="24"/>
                <w:highlight w:val="none"/>
                <w:shd w:val="clear" w:color="auto" w:fill="auto"/>
                <w:lang w:val="en-US" w:eastAsia="zh-CN"/>
              </w:rPr>
              <w:t>是否可以当地消纳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c>
          <w:tcPr>
            <w:tcW w:w="830"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白水镇</w:t>
            </w:r>
          </w:p>
        </w:tc>
        <w:tc>
          <w:tcPr>
            <w:tcW w:w="865"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7539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1565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-5974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不可以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2</w:t>
            </w:r>
          </w:p>
        </w:tc>
        <w:tc>
          <w:tcPr>
            <w:tcW w:w="830"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双汇镇</w:t>
            </w:r>
          </w:p>
        </w:tc>
        <w:tc>
          <w:tcPr>
            <w:tcW w:w="865"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433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46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-387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不可以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3</w:t>
            </w:r>
          </w:p>
        </w:tc>
        <w:tc>
          <w:tcPr>
            <w:tcW w:w="830"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龙凤镇</w:t>
            </w:r>
          </w:p>
        </w:tc>
        <w:tc>
          <w:tcPr>
            <w:tcW w:w="865"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6207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11830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5623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可以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4</w:t>
            </w:r>
          </w:p>
        </w:tc>
        <w:tc>
          <w:tcPr>
            <w:tcW w:w="830"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大德镇</w:t>
            </w:r>
          </w:p>
        </w:tc>
        <w:tc>
          <w:tcPr>
            <w:tcW w:w="865"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6487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4807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-1680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不可以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5</w:t>
            </w:r>
          </w:p>
        </w:tc>
        <w:tc>
          <w:tcPr>
            <w:tcW w:w="830"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大两镇</w:t>
            </w:r>
          </w:p>
        </w:tc>
        <w:tc>
          <w:tcPr>
            <w:tcW w:w="865"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4000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1661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-2339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不可以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6</w:t>
            </w:r>
          </w:p>
        </w:tc>
        <w:tc>
          <w:tcPr>
            <w:tcW w:w="830"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高阳镇</w:t>
            </w:r>
          </w:p>
        </w:tc>
        <w:tc>
          <w:tcPr>
            <w:tcW w:w="865"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3460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2958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-502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不可以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7</w:t>
            </w:r>
          </w:p>
        </w:tc>
        <w:tc>
          <w:tcPr>
            <w:tcW w:w="830"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国华镇</w:t>
            </w:r>
          </w:p>
        </w:tc>
        <w:tc>
          <w:tcPr>
            <w:tcW w:w="865"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1687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2647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960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可以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8</w:t>
            </w:r>
          </w:p>
        </w:tc>
        <w:tc>
          <w:tcPr>
            <w:tcW w:w="830"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黄洋镇</w:t>
            </w:r>
          </w:p>
        </w:tc>
        <w:tc>
          <w:tcPr>
            <w:tcW w:w="865"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1333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750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-583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不可以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9</w:t>
            </w:r>
          </w:p>
        </w:tc>
        <w:tc>
          <w:tcPr>
            <w:tcW w:w="830"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九龙镇</w:t>
            </w:r>
          </w:p>
        </w:tc>
        <w:tc>
          <w:tcPr>
            <w:tcW w:w="865"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2767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271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-2496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不可以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10</w:t>
            </w:r>
          </w:p>
        </w:tc>
        <w:tc>
          <w:tcPr>
            <w:tcW w:w="830"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张华镇</w:t>
            </w:r>
          </w:p>
        </w:tc>
        <w:tc>
          <w:tcPr>
            <w:tcW w:w="865"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9080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16250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7170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可以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11</w:t>
            </w:r>
          </w:p>
        </w:tc>
        <w:tc>
          <w:tcPr>
            <w:tcW w:w="830"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盐河镇</w:t>
            </w:r>
          </w:p>
        </w:tc>
        <w:tc>
          <w:tcPr>
            <w:tcW w:w="865"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320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21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-299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不可以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12</w:t>
            </w:r>
          </w:p>
        </w:tc>
        <w:tc>
          <w:tcPr>
            <w:tcW w:w="830"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普济镇</w:t>
            </w:r>
          </w:p>
        </w:tc>
        <w:tc>
          <w:tcPr>
            <w:tcW w:w="865"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26140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22400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-3740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不可以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13</w:t>
            </w:r>
          </w:p>
        </w:tc>
        <w:tc>
          <w:tcPr>
            <w:tcW w:w="830"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水磨镇</w:t>
            </w:r>
          </w:p>
        </w:tc>
        <w:tc>
          <w:tcPr>
            <w:tcW w:w="865"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2347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598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-1749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不可以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14</w:t>
            </w:r>
          </w:p>
        </w:tc>
        <w:tc>
          <w:tcPr>
            <w:tcW w:w="830"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五权镇</w:t>
            </w:r>
          </w:p>
        </w:tc>
        <w:tc>
          <w:tcPr>
            <w:tcW w:w="865"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3303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4698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1395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可以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15</w:t>
            </w:r>
          </w:p>
        </w:tc>
        <w:tc>
          <w:tcPr>
            <w:tcW w:w="830"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嘉川镇</w:t>
            </w:r>
          </w:p>
        </w:tc>
        <w:tc>
          <w:tcPr>
            <w:tcW w:w="865"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7527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5304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-2222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不可以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16</w:t>
            </w:r>
          </w:p>
        </w:tc>
        <w:tc>
          <w:tcPr>
            <w:tcW w:w="830"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米仓山镇</w:t>
            </w:r>
          </w:p>
        </w:tc>
        <w:tc>
          <w:tcPr>
            <w:tcW w:w="865"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200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90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-110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不可以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17</w:t>
            </w:r>
          </w:p>
        </w:tc>
        <w:tc>
          <w:tcPr>
            <w:tcW w:w="830"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东河镇</w:t>
            </w:r>
          </w:p>
        </w:tc>
        <w:tc>
          <w:tcPr>
            <w:tcW w:w="865"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6887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18713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11826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可以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18</w:t>
            </w:r>
          </w:p>
        </w:tc>
        <w:tc>
          <w:tcPr>
            <w:tcW w:w="830"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木门镇</w:t>
            </w:r>
          </w:p>
        </w:tc>
        <w:tc>
          <w:tcPr>
            <w:tcW w:w="865"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4727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8085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3358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可以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19</w:t>
            </w:r>
          </w:p>
        </w:tc>
        <w:tc>
          <w:tcPr>
            <w:tcW w:w="830"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燕子乡</w:t>
            </w:r>
          </w:p>
        </w:tc>
        <w:tc>
          <w:tcPr>
            <w:tcW w:w="865"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9287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5470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-3817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不可以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20</w:t>
            </w:r>
          </w:p>
        </w:tc>
        <w:tc>
          <w:tcPr>
            <w:tcW w:w="830"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天星镇</w:t>
            </w:r>
          </w:p>
        </w:tc>
        <w:tc>
          <w:tcPr>
            <w:tcW w:w="865"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5337 </w:t>
            </w:r>
          </w:p>
        </w:tc>
        <w:tc>
          <w:tcPr>
            <w:tcW w:w="964"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7294 </w:t>
            </w:r>
          </w:p>
        </w:tc>
        <w:tc>
          <w:tcPr>
            <w:tcW w:w="964"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1957 </w:t>
            </w:r>
          </w:p>
        </w:tc>
        <w:tc>
          <w:tcPr>
            <w:tcW w:w="964"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可以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21</w:t>
            </w:r>
          </w:p>
        </w:tc>
        <w:tc>
          <w:tcPr>
            <w:tcW w:w="830"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英萃镇</w:t>
            </w:r>
          </w:p>
        </w:tc>
        <w:tc>
          <w:tcPr>
            <w:tcW w:w="865"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3872</w:t>
            </w:r>
          </w:p>
        </w:tc>
        <w:tc>
          <w:tcPr>
            <w:tcW w:w="964"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1566 </w:t>
            </w:r>
          </w:p>
        </w:tc>
        <w:tc>
          <w:tcPr>
            <w:tcW w:w="964"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-2306 </w:t>
            </w:r>
          </w:p>
        </w:tc>
        <w:tc>
          <w:tcPr>
            <w:tcW w:w="964"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不可以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22</w:t>
            </w:r>
          </w:p>
        </w:tc>
        <w:tc>
          <w:tcPr>
            <w:tcW w:w="830"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三江镇</w:t>
            </w:r>
          </w:p>
        </w:tc>
        <w:tc>
          <w:tcPr>
            <w:tcW w:w="865"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14507 </w:t>
            </w:r>
          </w:p>
        </w:tc>
        <w:tc>
          <w:tcPr>
            <w:tcW w:w="964"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20378 </w:t>
            </w:r>
          </w:p>
        </w:tc>
        <w:tc>
          <w:tcPr>
            <w:tcW w:w="964"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5871 </w:t>
            </w:r>
          </w:p>
        </w:tc>
        <w:tc>
          <w:tcPr>
            <w:tcW w:w="964"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可以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 w:hRule="atLeast"/>
        </w:trPr>
        <w:tc>
          <w:tcPr>
            <w:tcW w:w="1240" w:type="pct"/>
            <w:gridSpan w:val="2"/>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合计</w:t>
            </w:r>
          </w:p>
        </w:tc>
        <w:tc>
          <w:tcPr>
            <w:tcW w:w="865"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fldChar w:fldCharType="begin"/>
            </w:r>
            <w:r>
              <w:rPr>
                <w:rFonts w:hint="eastAsia" w:ascii="仿宋" w:hAnsi="仿宋" w:cs="Times New Roman"/>
                <w:b w:val="0"/>
                <w:bCs w:val="0"/>
                <w:color w:val="auto"/>
                <w:sz w:val="24"/>
                <w:szCs w:val="24"/>
                <w:highlight w:val="none"/>
                <w:shd w:val="clear" w:color="auto" w:fill="auto"/>
                <w:lang w:val="en-US" w:eastAsia="zh-CN"/>
              </w:rPr>
              <w:instrText xml:space="preserve"> = sum(C2:C23) \* MERGEFORMAT </w:instrText>
            </w:r>
            <w:r>
              <w:rPr>
                <w:rFonts w:hint="eastAsia" w:ascii="仿宋" w:hAnsi="仿宋" w:cs="Times New Roman"/>
                <w:b w:val="0"/>
                <w:bCs w:val="0"/>
                <w:color w:val="auto"/>
                <w:sz w:val="24"/>
                <w:szCs w:val="24"/>
                <w:highlight w:val="none"/>
                <w:shd w:val="clear" w:color="auto" w:fill="auto"/>
                <w:lang w:val="en-US" w:eastAsia="zh-CN"/>
              </w:rPr>
              <w:fldChar w:fldCharType="separate"/>
            </w:r>
            <w:r>
              <w:rPr>
                <w:rFonts w:hint="eastAsia" w:ascii="仿宋" w:hAnsi="仿宋" w:cs="Times New Roman"/>
                <w:b w:val="0"/>
                <w:bCs w:val="0"/>
                <w:color w:val="auto"/>
                <w:sz w:val="24"/>
                <w:szCs w:val="24"/>
                <w:highlight w:val="none"/>
                <w:shd w:val="clear" w:color="auto" w:fill="auto"/>
                <w:lang w:val="en-US" w:eastAsia="zh-CN"/>
              </w:rPr>
              <w:t>127447</w:t>
            </w:r>
            <w:r>
              <w:rPr>
                <w:rFonts w:hint="eastAsia" w:ascii="仿宋" w:hAnsi="仿宋" w:cs="Times New Roman"/>
                <w:b w:val="0"/>
                <w:bCs w:val="0"/>
                <w:color w:val="auto"/>
                <w:sz w:val="24"/>
                <w:szCs w:val="24"/>
                <w:highlight w:val="none"/>
                <w:shd w:val="clear" w:color="auto" w:fill="auto"/>
                <w:lang w:val="en-US" w:eastAsia="zh-CN"/>
              </w:rPr>
              <w:fldChar w:fldCharType="end"/>
            </w:r>
          </w:p>
        </w:tc>
        <w:tc>
          <w:tcPr>
            <w:tcW w:w="964"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fldChar w:fldCharType="begin"/>
            </w:r>
            <w:r>
              <w:rPr>
                <w:rFonts w:hint="eastAsia" w:ascii="仿宋" w:hAnsi="仿宋" w:cs="Times New Roman"/>
                <w:b w:val="0"/>
                <w:bCs w:val="0"/>
                <w:color w:val="auto"/>
                <w:sz w:val="24"/>
                <w:szCs w:val="24"/>
                <w:highlight w:val="none"/>
                <w:shd w:val="clear" w:color="auto" w:fill="auto"/>
                <w:lang w:val="en-US" w:eastAsia="zh-CN"/>
              </w:rPr>
              <w:instrText xml:space="preserve"> = sum(E2:E23) \* MERGEFORMAT </w:instrText>
            </w:r>
            <w:r>
              <w:rPr>
                <w:rFonts w:hint="eastAsia" w:ascii="仿宋" w:hAnsi="仿宋" w:cs="Times New Roman"/>
                <w:b w:val="0"/>
                <w:bCs w:val="0"/>
                <w:color w:val="auto"/>
                <w:sz w:val="24"/>
                <w:szCs w:val="24"/>
                <w:highlight w:val="none"/>
                <w:shd w:val="clear" w:color="auto" w:fill="auto"/>
                <w:lang w:val="en-US" w:eastAsia="zh-CN"/>
              </w:rPr>
              <w:fldChar w:fldCharType="separate"/>
            </w:r>
            <w:r>
              <w:rPr>
                <w:rFonts w:hint="eastAsia" w:ascii="仿宋" w:hAnsi="仿宋" w:cs="Times New Roman"/>
                <w:b w:val="0"/>
                <w:bCs w:val="0"/>
                <w:color w:val="auto"/>
                <w:sz w:val="24"/>
                <w:szCs w:val="24"/>
                <w:highlight w:val="none"/>
                <w:shd w:val="clear" w:color="auto" w:fill="auto"/>
                <w:lang w:val="en-US" w:eastAsia="zh-CN"/>
              </w:rPr>
              <w:t>137402</w:t>
            </w:r>
            <w:r>
              <w:rPr>
                <w:rFonts w:hint="eastAsia" w:ascii="仿宋" w:hAnsi="仿宋" w:cs="Times New Roman"/>
                <w:b w:val="0"/>
                <w:bCs w:val="0"/>
                <w:color w:val="auto"/>
                <w:sz w:val="24"/>
                <w:szCs w:val="24"/>
                <w:highlight w:val="none"/>
                <w:shd w:val="clear" w:color="auto" w:fill="auto"/>
                <w:lang w:val="en-US" w:eastAsia="zh-CN"/>
              </w:rPr>
              <w:fldChar w:fldCharType="end"/>
            </w:r>
          </w:p>
        </w:tc>
        <w:tc>
          <w:tcPr>
            <w:tcW w:w="964" w:type="pct"/>
            <w:tcBorders>
              <w:top w:val="single" w:color="000000" w:sz="4" w:space="0"/>
              <w:left w:val="single" w:color="000000" w:sz="4" w:space="0"/>
              <w:bottom w:val="single" w:color="000000" w:sz="4" w:space="0"/>
              <w:right w:val="single" w:color="000000" w:sz="4" w:space="0"/>
            </w:tcBorders>
            <w:noWrap/>
            <w:vAlign w:val="top"/>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fldChar w:fldCharType="begin"/>
            </w:r>
            <w:r>
              <w:rPr>
                <w:rFonts w:hint="eastAsia" w:ascii="仿宋" w:hAnsi="仿宋" w:cs="Times New Roman"/>
                <w:b w:val="0"/>
                <w:bCs w:val="0"/>
                <w:color w:val="auto"/>
                <w:sz w:val="24"/>
                <w:szCs w:val="24"/>
                <w:highlight w:val="none"/>
                <w:shd w:val="clear" w:color="auto" w:fill="auto"/>
                <w:lang w:val="en-US" w:eastAsia="zh-CN"/>
              </w:rPr>
              <w:instrText xml:space="preserve"> = sum(F2:F23) \* MERGEFORMAT </w:instrText>
            </w:r>
            <w:r>
              <w:rPr>
                <w:rFonts w:hint="eastAsia" w:ascii="仿宋" w:hAnsi="仿宋" w:cs="Times New Roman"/>
                <w:b w:val="0"/>
                <w:bCs w:val="0"/>
                <w:color w:val="auto"/>
                <w:sz w:val="24"/>
                <w:szCs w:val="24"/>
                <w:highlight w:val="none"/>
                <w:shd w:val="clear" w:color="auto" w:fill="auto"/>
                <w:lang w:val="en-US" w:eastAsia="zh-CN"/>
              </w:rPr>
              <w:fldChar w:fldCharType="separate"/>
            </w:r>
            <w:r>
              <w:rPr>
                <w:rFonts w:hint="eastAsia" w:ascii="仿宋" w:hAnsi="仿宋" w:cs="Times New Roman"/>
                <w:b w:val="0"/>
                <w:bCs w:val="0"/>
                <w:color w:val="auto"/>
                <w:sz w:val="24"/>
                <w:szCs w:val="24"/>
                <w:highlight w:val="none"/>
                <w:shd w:val="clear" w:color="auto" w:fill="auto"/>
                <w:lang w:val="en-US" w:eastAsia="zh-CN"/>
              </w:rPr>
              <w:t>9956</w:t>
            </w:r>
            <w:r>
              <w:rPr>
                <w:rFonts w:hint="eastAsia" w:ascii="仿宋" w:hAnsi="仿宋" w:cs="Times New Roman"/>
                <w:b w:val="0"/>
                <w:bCs w:val="0"/>
                <w:color w:val="auto"/>
                <w:sz w:val="24"/>
                <w:szCs w:val="24"/>
                <w:highlight w:val="none"/>
                <w:shd w:val="clear" w:color="auto" w:fill="auto"/>
                <w:lang w:val="en-US" w:eastAsia="zh-CN"/>
              </w:rPr>
              <w:fldChar w:fldCharType="end"/>
            </w:r>
          </w:p>
        </w:tc>
        <w:tc>
          <w:tcPr>
            <w:tcW w:w="964"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w:t>
            </w:r>
          </w:p>
        </w:tc>
      </w:tr>
    </w:tbl>
    <w:p>
      <w:pPr>
        <w:bidi w:val="0"/>
        <w:rPr>
          <w:rFonts w:hint="eastAsia" w:ascii="仿宋" w:hAnsi="仿宋"/>
          <w:highlight w:val="none"/>
          <w:lang w:val="en-US" w:eastAsia="zh-CN"/>
        </w:rPr>
      </w:pPr>
    </w:p>
    <w:p>
      <w:pPr>
        <w:pStyle w:val="14"/>
        <w:spacing w:after="0" w:line="240" w:lineRule="auto"/>
        <w:ind w:left="0" w:leftChars="0" w:right="0" w:rightChars="0" w:firstLine="640" w:firstLineChars="200"/>
        <w:rPr>
          <w:rFonts w:hint="default" w:ascii="仿宋" w:hAnsi="仿宋" w:cs="Times New Roman"/>
          <w:color w:val="auto"/>
          <w:szCs w:val="32"/>
          <w:highlight w:val="none"/>
          <w:shd w:val="clear" w:color="auto" w:fill="auto"/>
          <w:lang w:val="en-US" w:eastAsia="zh-CN"/>
        </w:rPr>
      </w:pPr>
      <w:r>
        <w:rPr>
          <w:rFonts w:hint="eastAsia" w:ascii="仿宋" w:hAnsi="仿宋"/>
          <w:color w:val="auto"/>
          <w:szCs w:val="32"/>
          <w:highlight w:val="none"/>
          <w:shd w:val="clear" w:color="auto" w:fill="auto"/>
          <w:lang w:val="en-US" w:eastAsia="zh-CN"/>
        </w:rPr>
        <w:t>从</w:t>
      </w:r>
      <w:r>
        <w:rPr>
          <w:rFonts w:hint="eastAsia" w:ascii="仿宋" w:hAnsi="仿宋"/>
          <w:color w:val="auto"/>
          <w:szCs w:val="32"/>
          <w:highlight w:val="none"/>
          <w:shd w:val="clear" w:color="auto" w:fill="auto"/>
        </w:rPr>
        <w:t>畜禽粪污土地承载力测算</w:t>
      </w:r>
      <w:r>
        <w:rPr>
          <w:rFonts w:hint="eastAsia" w:ascii="仿宋" w:hAnsi="仿宋"/>
          <w:color w:val="auto"/>
          <w:szCs w:val="32"/>
          <w:highlight w:val="none"/>
          <w:shd w:val="clear" w:color="auto" w:fill="auto"/>
          <w:lang w:val="en-US" w:eastAsia="zh-CN"/>
        </w:rPr>
        <w:t>可知</w:t>
      </w:r>
      <w:r>
        <w:rPr>
          <w:rFonts w:hint="eastAsia" w:ascii="仿宋" w:hAnsi="仿宋"/>
          <w:color w:val="auto"/>
          <w:szCs w:val="32"/>
          <w:highlight w:val="none"/>
          <w:shd w:val="clear" w:color="auto" w:fill="auto"/>
          <w:lang w:eastAsia="zh-CN"/>
        </w:rPr>
        <w:t>，</w:t>
      </w:r>
      <w:r>
        <w:rPr>
          <w:rFonts w:hint="eastAsia" w:ascii="仿宋" w:hAnsi="仿宋"/>
          <w:color w:val="auto"/>
          <w:szCs w:val="32"/>
          <w:highlight w:val="none"/>
          <w:shd w:val="clear" w:color="auto" w:fill="auto"/>
          <w:lang w:val="en-US" w:eastAsia="zh-CN"/>
        </w:rPr>
        <w:t>旺苍县全域养殖场户养殖总畜禽猪当量127447头，土地可承载力猪当量137402头，总体情况全域畜禽养殖粪污可当地土地消纳。</w:t>
      </w:r>
      <w:r>
        <w:rPr>
          <w:rFonts w:hint="eastAsia" w:ascii="仿宋" w:hAnsi="仿宋"/>
          <w:lang w:val="en-US" w:eastAsia="zh-CN"/>
        </w:rPr>
        <w:t>结合</w:t>
      </w:r>
      <w:r>
        <w:rPr>
          <w:rFonts w:hint="eastAsia" w:ascii="仿宋" w:hAnsi="仿宋"/>
        </w:rPr>
        <w:t>实际调查，</w:t>
      </w:r>
      <w:r>
        <w:rPr>
          <w:rFonts w:hint="eastAsia" w:ascii="仿宋" w:hAnsi="仿宋"/>
          <w:lang w:val="en-US" w:eastAsia="zh-CN"/>
        </w:rPr>
        <w:t>全县</w:t>
      </w:r>
      <w:r>
        <w:rPr>
          <w:rFonts w:hint="eastAsia" w:ascii="仿宋" w:hAnsi="仿宋"/>
        </w:rPr>
        <w:t>基本做到种养结合，畜禽养殖粪污基本全部还田，</w:t>
      </w:r>
      <w:r>
        <w:rPr>
          <w:rFonts w:hint="eastAsia" w:ascii="仿宋" w:hAnsi="仿宋"/>
          <w:color w:val="auto"/>
          <w:szCs w:val="32"/>
          <w:highlight w:val="none"/>
          <w:shd w:val="clear" w:color="auto" w:fill="auto"/>
          <w:lang w:val="en-US" w:eastAsia="zh-CN"/>
        </w:rPr>
        <w:t>但根据各乡镇</w:t>
      </w:r>
      <w:r>
        <w:rPr>
          <w:rFonts w:hint="eastAsia" w:ascii="仿宋" w:hAnsi="仿宋"/>
          <w:color w:val="auto"/>
          <w:szCs w:val="32"/>
          <w:highlight w:val="none"/>
          <w:shd w:val="clear" w:color="auto" w:fill="auto"/>
        </w:rPr>
        <w:t>畜禽粪污土地承载力测算</w:t>
      </w:r>
      <w:r>
        <w:rPr>
          <w:rFonts w:hint="eastAsia" w:ascii="仿宋" w:hAnsi="仿宋"/>
          <w:color w:val="auto"/>
          <w:szCs w:val="32"/>
          <w:highlight w:val="none"/>
          <w:shd w:val="clear" w:color="auto" w:fill="auto"/>
          <w:lang w:val="en-US" w:eastAsia="zh-CN"/>
        </w:rPr>
        <w:t>情况，全县仍有14个乡镇存在超出</w:t>
      </w:r>
      <w:r>
        <w:rPr>
          <w:rFonts w:hint="eastAsia" w:ascii="仿宋" w:hAnsi="仿宋"/>
          <w:color w:val="auto"/>
          <w:szCs w:val="32"/>
          <w:highlight w:val="none"/>
          <w:shd w:val="clear" w:color="auto" w:fill="auto"/>
        </w:rPr>
        <w:t>畜禽粪污土地承载力</w:t>
      </w:r>
      <w:r>
        <w:rPr>
          <w:rFonts w:hint="eastAsia" w:ascii="仿宋" w:hAnsi="仿宋"/>
          <w:color w:val="auto"/>
          <w:szCs w:val="32"/>
          <w:highlight w:val="none"/>
          <w:shd w:val="clear" w:color="auto" w:fill="auto"/>
          <w:lang w:val="en-US" w:eastAsia="zh-CN"/>
        </w:rPr>
        <w:t>的情况。</w:t>
      </w:r>
    </w:p>
    <w:p>
      <w:pPr>
        <w:bidi w:val="0"/>
        <w:rPr>
          <w:rFonts w:ascii="仿宋" w:hAnsi="仿宋"/>
        </w:rPr>
      </w:pPr>
      <w:bookmarkStart w:id="52" w:name="_Toc1335"/>
    </w:p>
    <w:p>
      <w:pPr>
        <w:keepNext/>
        <w:keepLines/>
        <w:pageBreakBefore w:val="0"/>
        <w:widowControl w:val="0"/>
        <w:kinsoku/>
        <w:wordWrap/>
        <w:overflowPunct/>
        <w:topLinePunct w:val="0"/>
        <w:bidi w:val="0"/>
        <w:snapToGrid/>
        <w:spacing w:line="240" w:lineRule="auto"/>
        <w:ind w:firstLine="0" w:firstLineChars="0"/>
        <w:jc w:val="center"/>
        <w:textAlignment w:val="auto"/>
        <w:outlineLvl w:val="1"/>
        <w:rPr>
          <w:rFonts w:hint="eastAsia" w:ascii="仿宋" w:hAnsi="仿宋" w:eastAsia="仿宋" w:cs="Times New Roman"/>
          <w:b/>
          <w:color w:val="auto"/>
          <w:kern w:val="2"/>
          <w:sz w:val="36"/>
          <w:szCs w:val="36"/>
          <w:highlight w:val="none"/>
          <w:shd w:val="clear" w:color="auto" w:fill="auto"/>
          <w:lang w:val="en-US" w:eastAsia="zh-CN" w:bidi="ar-SA"/>
        </w:rPr>
      </w:pPr>
      <w:bookmarkStart w:id="53" w:name="_Toc30277"/>
      <w:r>
        <w:rPr>
          <w:rFonts w:hint="eastAsia" w:ascii="仿宋" w:hAnsi="仿宋" w:eastAsia="仿宋" w:cs="Times New Roman"/>
          <w:b/>
          <w:color w:val="auto"/>
          <w:kern w:val="2"/>
          <w:sz w:val="36"/>
          <w:szCs w:val="36"/>
          <w:highlight w:val="none"/>
          <w:shd w:val="clear" w:color="auto" w:fill="auto"/>
          <w:lang w:val="en-US" w:eastAsia="zh-CN" w:bidi="ar-SA"/>
        </w:rPr>
        <w:t>第七节 主要问题</w:t>
      </w:r>
      <w:bookmarkEnd w:id="52"/>
      <w:bookmarkEnd w:id="53"/>
    </w:p>
    <w:p>
      <w:pPr>
        <w:keepNext/>
        <w:keepLines/>
        <w:pageBreakBefore w:val="0"/>
        <w:widowControl w:val="0"/>
        <w:kinsoku/>
        <w:wordWrap/>
        <w:overflowPunct/>
        <w:topLinePunct w:val="0"/>
        <w:autoSpaceDE/>
        <w:autoSpaceDN/>
        <w:bidi w:val="0"/>
        <w:adjustRightInd/>
        <w:snapToGrid/>
        <w:spacing w:line="240" w:lineRule="auto"/>
        <w:ind w:firstLine="643" w:firstLineChars="200"/>
        <w:jc w:val="left"/>
        <w:textAlignment w:val="auto"/>
        <w:outlineLvl w:val="2"/>
        <w:rPr>
          <w:rFonts w:hint="eastAsia" w:ascii="仿宋" w:hAnsi="仿宋" w:eastAsia="仿宋" w:cs="Times New Roman"/>
          <w:b/>
          <w:bCs/>
          <w:color w:val="auto"/>
          <w:kern w:val="2"/>
          <w:sz w:val="32"/>
          <w:szCs w:val="32"/>
          <w:highlight w:val="none"/>
          <w:shd w:val="clear" w:color="auto" w:fill="auto"/>
          <w:lang w:val="en-US" w:eastAsia="zh-CN" w:bidi="ar-SA"/>
        </w:rPr>
      </w:pPr>
      <w:r>
        <w:rPr>
          <w:rFonts w:hint="eastAsia" w:ascii="仿宋" w:hAnsi="仿宋" w:eastAsia="仿宋" w:cs="Times New Roman"/>
          <w:b/>
          <w:bCs/>
          <w:color w:val="auto"/>
          <w:kern w:val="2"/>
          <w:sz w:val="32"/>
          <w:szCs w:val="32"/>
          <w:highlight w:val="none"/>
          <w:shd w:val="clear" w:color="auto" w:fill="auto"/>
          <w:lang w:val="en-US" w:eastAsia="zh-CN" w:bidi="ar-SA"/>
        </w:rPr>
        <w:t>一、规模化畜禽养殖业区域发展不平衡</w:t>
      </w:r>
    </w:p>
    <w:p>
      <w:pPr>
        <w:spacing w:line="240" w:lineRule="auto"/>
        <w:ind w:firstLine="640" w:firstLineChars="200"/>
        <w:rPr>
          <w:rFonts w:hint="eastAsia" w:ascii="仿宋" w:hAnsi="仿宋" w:eastAsia="仿宋_GB2312"/>
          <w:b w:val="0"/>
          <w:bCs/>
          <w:sz w:val="32"/>
          <w:szCs w:val="32"/>
          <w:highlight w:val="none"/>
          <w:shd w:val="clear" w:color="auto" w:fill="auto"/>
        </w:rPr>
      </w:pPr>
      <w:r>
        <w:rPr>
          <w:rFonts w:hint="eastAsia" w:ascii="仿宋" w:hAnsi="仿宋" w:eastAsia="仿宋_GB2312"/>
          <w:b w:val="0"/>
          <w:bCs/>
          <w:sz w:val="32"/>
          <w:szCs w:val="32"/>
          <w:highlight w:val="none"/>
          <w:shd w:val="clear" w:color="auto" w:fill="auto"/>
          <w:lang w:val="en-US" w:eastAsia="zh-CN"/>
        </w:rPr>
        <w:t>旺苍</w:t>
      </w:r>
      <w:r>
        <w:rPr>
          <w:rFonts w:hint="eastAsia" w:ascii="仿宋" w:hAnsi="仿宋" w:eastAsia="仿宋_GB2312"/>
          <w:b w:val="0"/>
          <w:bCs/>
          <w:sz w:val="32"/>
          <w:szCs w:val="32"/>
          <w:highlight w:val="none"/>
          <w:shd w:val="clear" w:color="auto" w:fill="auto"/>
        </w:rPr>
        <w:t>县畜禽养殖业中较为突出的问题是数量多、单体小，多数属于过渡养殖模式。规模化生猪养殖场主要集中在旺苍南部山区，包括南部山区和公路沿线乡镇，包括白水镇、张华镇、东河镇、黄洋镇、普济镇、木门镇、三江镇、 龙凤镇、九龙镇、大德镇、燕子乡等11个重点乡镇。</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b w:val="0"/>
          <w:bCs/>
          <w:sz w:val="32"/>
          <w:szCs w:val="32"/>
          <w:highlight w:val="none"/>
          <w:shd w:val="clear" w:color="auto" w:fill="auto"/>
        </w:rPr>
        <w:t>作为传统的农业地区，养殖业一直是主要传统行业。除规模养殖场外，尚有大部分散养养殖户无法有效纳入统计口径。</w:t>
      </w:r>
    </w:p>
    <w:p>
      <w:pPr>
        <w:keepNext/>
        <w:keepLines/>
        <w:pageBreakBefore w:val="0"/>
        <w:widowControl w:val="0"/>
        <w:tabs>
          <w:tab w:val="left" w:pos="5040"/>
        </w:tabs>
        <w:kinsoku/>
        <w:wordWrap/>
        <w:overflowPunct/>
        <w:topLinePunct w:val="0"/>
        <w:autoSpaceDE/>
        <w:autoSpaceDN/>
        <w:bidi w:val="0"/>
        <w:adjustRightInd/>
        <w:snapToGrid/>
        <w:spacing w:line="240" w:lineRule="auto"/>
        <w:ind w:firstLine="643" w:firstLineChars="200"/>
        <w:jc w:val="left"/>
        <w:textAlignment w:val="auto"/>
        <w:outlineLvl w:val="2"/>
        <w:rPr>
          <w:rFonts w:hint="eastAsia" w:ascii="仿宋" w:hAnsi="仿宋" w:eastAsia="仿宋" w:cs="Times New Roman"/>
          <w:b/>
          <w:bCs/>
          <w:color w:val="auto"/>
          <w:kern w:val="2"/>
          <w:sz w:val="32"/>
          <w:szCs w:val="32"/>
          <w:highlight w:val="none"/>
          <w:shd w:val="clear" w:color="auto" w:fill="auto"/>
          <w:lang w:val="en-US" w:eastAsia="zh-CN" w:bidi="ar-SA"/>
        </w:rPr>
      </w:pPr>
      <w:r>
        <w:rPr>
          <w:rFonts w:hint="eastAsia" w:ascii="仿宋" w:hAnsi="仿宋" w:eastAsia="仿宋" w:cs="Times New Roman"/>
          <w:b/>
          <w:bCs/>
          <w:color w:val="auto"/>
          <w:kern w:val="2"/>
          <w:sz w:val="32"/>
          <w:szCs w:val="32"/>
          <w:highlight w:val="none"/>
          <w:shd w:val="clear" w:color="auto" w:fill="auto"/>
          <w:lang w:val="en-US" w:eastAsia="zh-CN" w:bidi="ar-SA"/>
        </w:rPr>
        <w:t>二、种养平衡和综合利用难度加大</w:t>
      </w:r>
    </w:p>
    <w:p>
      <w:pPr>
        <w:spacing w:line="240" w:lineRule="auto"/>
        <w:ind w:firstLine="640" w:firstLineChars="200"/>
        <w:rPr>
          <w:rFonts w:hint="eastAsia" w:ascii="仿宋" w:hAnsi="仿宋" w:eastAsia="仿宋_GB2312"/>
          <w:b w:val="0"/>
          <w:bCs/>
          <w:sz w:val="32"/>
          <w:szCs w:val="32"/>
          <w:highlight w:val="none"/>
          <w:shd w:val="clear" w:color="auto" w:fill="auto"/>
          <w:lang w:eastAsia="zh-CN"/>
        </w:rPr>
      </w:pPr>
      <w:r>
        <w:rPr>
          <w:rFonts w:hint="eastAsia" w:ascii="仿宋" w:hAnsi="仿宋" w:eastAsia="仿宋_GB2312"/>
          <w:b w:val="0"/>
          <w:bCs/>
          <w:sz w:val="32"/>
          <w:szCs w:val="32"/>
          <w:highlight w:val="none"/>
          <w:shd w:val="clear" w:color="auto" w:fill="auto"/>
          <w:lang w:val="en-US" w:eastAsia="zh-CN"/>
        </w:rPr>
        <w:t>由于产业布局不合理，导致各乡镇产生种养失衡，</w:t>
      </w:r>
      <w:r>
        <w:rPr>
          <w:rFonts w:hint="eastAsia" w:ascii="仿宋" w:hAnsi="仿宋" w:eastAsia="仿宋_GB2312"/>
          <w:b w:val="0"/>
          <w:bCs/>
          <w:sz w:val="32"/>
          <w:szCs w:val="32"/>
          <w:highlight w:val="none"/>
          <w:shd w:val="clear" w:color="auto" w:fill="auto"/>
        </w:rPr>
        <w:t>在重点养殖区域大量分布养殖企业，在偏远地方无养殖企业</w:t>
      </w:r>
      <w:r>
        <w:rPr>
          <w:rFonts w:hint="eastAsia" w:ascii="仿宋" w:hAnsi="仿宋" w:eastAsia="仿宋_GB2312"/>
          <w:b w:val="0"/>
          <w:bCs/>
          <w:sz w:val="32"/>
          <w:szCs w:val="32"/>
          <w:highlight w:val="none"/>
          <w:shd w:val="clear" w:color="auto" w:fill="auto"/>
          <w:lang w:eastAsia="zh-CN"/>
        </w:rPr>
        <w:t>，</w:t>
      </w:r>
      <w:r>
        <w:rPr>
          <w:rFonts w:hint="eastAsia" w:ascii="仿宋" w:hAnsi="仿宋" w:eastAsia="仿宋_GB2312"/>
          <w:b w:val="0"/>
          <w:bCs/>
          <w:sz w:val="32"/>
          <w:szCs w:val="32"/>
          <w:highlight w:val="none"/>
          <w:shd w:val="clear" w:color="auto" w:fill="auto"/>
          <w:lang w:val="en-US" w:eastAsia="zh-CN"/>
        </w:rPr>
        <w:t>因此部分土</w:t>
      </w:r>
      <w:r>
        <w:rPr>
          <w:rFonts w:hint="eastAsia" w:ascii="仿宋" w:hAnsi="仿宋" w:eastAsia="仿宋_GB2312"/>
          <w:b w:val="0"/>
          <w:bCs/>
          <w:sz w:val="32"/>
          <w:szCs w:val="32"/>
          <w:highlight w:val="none"/>
          <w:shd w:val="clear" w:color="auto" w:fill="auto"/>
        </w:rPr>
        <w:t>地</w:t>
      </w:r>
      <w:r>
        <w:rPr>
          <w:rFonts w:hint="eastAsia" w:ascii="仿宋" w:hAnsi="仿宋" w:eastAsia="仿宋_GB2312"/>
          <w:b w:val="0"/>
          <w:bCs/>
          <w:sz w:val="32"/>
          <w:szCs w:val="32"/>
          <w:highlight w:val="none"/>
          <w:shd w:val="clear" w:color="auto" w:fill="auto"/>
          <w:lang w:val="en-US" w:eastAsia="zh-CN"/>
        </w:rPr>
        <w:t>受到粪污还田</w:t>
      </w:r>
      <w:r>
        <w:rPr>
          <w:rFonts w:hint="eastAsia" w:ascii="仿宋" w:hAnsi="仿宋" w:eastAsia="仿宋_GB2312"/>
          <w:b w:val="0"/>
          <w:bCs/>
          <w:sz w:val="32"/>
          <w:szCs w:val="32"/>
          <w:highlight w:val="none"/>
          <w:shd w:val="clear" w:color="auto" w:fill="auto"/>
        </w:rPr>
        <w:t>过量施肥，造成土地过量承载</w:t>
      </w:r>
      <w:r>
        <w:rPr>
          <w:rFonts w:hint="eastAsia" w:ascii="仿宋" w:hAnsi="仿宋" w:eastAsia="仿宋_GB2312"/>
          <w:b w:val="0"/>
          <w:bCs/>
          <w:sz w:val="32"/>
          <w:szCs w:val="32"/>
          <w:highlight w:val="none"/>
          <w:shd w:val="clear" w:color="auto" w:fill="auto"/>
          <w:lang w:eastAsia="zh-CN"/>
        </w:rPr>
        <w:t>。</w:t>
      </w:r>
    </w:p>
    <w:p>
      <w:pPr>
        <w:spacing w:line="240" w:lineRule="auto"/>
        <w:ind w:firstLine="640" w:firstLineChars="200"/>
        <w:rPr>
          <w:rFonts w:hint="eastAsia" w:ascii="仿宋" w:hAnsi="仿宋" w:eastAsia="仿宋_GB2312"/>
          <w:b w:val="0"/>
          <w:bCs/>
          <w:sz w:val="32"/>
          <w:szCs w:val="32"/>
          <w:highlight w:val="none"/>
          <w:shd w:val="clear" w:color="auto" w:fill="auto"/>
          <w:lang w:val="en-US" w:eastAsia="zh-CN"/>
        </w:rPr>
      </w:pPr>
      <w:r>
        <w:rPr>
          <w:rFonts w:hint="eastAsia" w:ascii="仿宋" w:hAnsi="仿宋" w:eastAsia="仿宋_GB2312"/>
          <w:b w:val="0"/>
          <w:bCs/>
          <w:sz w:val="32"/>
          <w:szCs w:val="32"/>
          <w:highlight w:val="none"/>
          <w:shd w:val="clear" w:color="auto" w:fill="auto"/>
        </w:rPr>
        <w:t>随着</w:t>
      </w:r>
      <w:r>
        <w:rPr>
          <w:rFonts w:hint="eastAsia" w:ascii="仿宋" w:hAnsi="仿宋" w:eastAsia="仿宋_GB2312"/>
          <w:b w:val="0"/>
          <w:bCs/>
          <w:sz w:val="32"/>
          <w:szCs w:val="32"/>
          <w:highlight w:val="none"/>
          <w:shd w:val="clear" w:color="auto" w:fill="auto"/>
          <w:lang w:val="en-US" w:eastAsia="zh-CN"/>
        </w:rPr>
        <w:t>全县</w:t>
      </w:r>
      <w:r>
        <w:rPr>
          <w:rFonts w:hint="eastAsia" w:ascii="仿宋" w:hAnsi="仿宋" w:eastAsia="仿宋_GB2312"/>
          <w:b w:val="0"/>
          <w:bCs/>
          <w:sz w:val="32"/>
          <w:szCs w:val="32"/>
          <w:highlight w:val="none"/>
          <w:shd w:val="clear" w:color="auto" w:fill="auto"/>
        </w:rPr>
        <w:t>畜禽养殖业不断规模化发展，单体养殖场规模将不断增大，大型养殖场周围适宜还田的耕地与林地数量不一定能满足消纳要求，传统就地还田的种养平衡手段需要进一步的创新和提升。综合利用效益难以进一步增强，畜禽养殖废弃物发酵处理生成沼气后，往往远远超出养殖场的使用需求，周边农户接入沼气的成本又较高，且居民用气存在较强的时效性，导致气压平衡难度大，工程投入难以控制，效益较差，导致很多大型养殖场沼气得不到有效利用。</w:t>
      </w:r>
    </w:p>
    <w:p>
      <w:pPr>
        <w:keepNext/>
        <w:keepLines/>
        <w:pageBreakBefore w:val="0"/>
        <w:widowControl w:val="0"/>
        <w:tabs>
          <w:tab w:val="left" w:pos="5040"/>
        </w:tabs>
        <w:kinsoku/>
        <w:wordWrap/>
        <w:overflowPunct/>
        <w:topLinePunct w:val="0"/>
        <w:autoSpaceDE/>
        <w:autoSpaceDN/>
        <w:bidi w:val="0"/>
        <w:adjustRightInd/>
        <w:snapToGrid/>
        <w:spacing w:line="240" w:lineRule="auto"/>
        <w:ind w:firstLine="643" w:firstLineChars="200"/>
        <w:jc w:val="left"/>
        <w:textAlignment w:val="auto"/>
        <w:outlineLvl w:val="2"/>
        <w:rPr>
          <w:rFonts w:hint="eastAsia" w:ascii="仿宋" w:hAnsi="仿宋" w:eastAsia="仿宋_GB2312"/>
          <w:b w:val="0"/>
          <w:bCs/>
          <w:sz w:val="32"/>
          <w:szCs w:val="32"/>
          <w:highlight w:val="none"/>
          <w:shd w:val="clear" w:color="auto" w:fill="auto"/>
          <w:lang w:val="en-US" w:eastAsia="zh-CN"/>
        </w:rPr>
      </w:pPr>
      <w:r>
        <w:rPr>
          <w:rFonts w:hint="eastAsia" w:ascii="仿宋" w:hAnsi="仿宋" w:eastAsia="仿宋" w:cs="Times New Roman"/>
          <w:b/>
          <w:bCs/>
          <w:color w:val="auto"/>
          <w:kern w:val="2"/>
          <w:sz w:val="32"/>
          <w:szCs w:val="32"/>
          <w:highlight w:val="none"/>
          <w:shd w:val="clear" w:color="auto" w:fill="auto"/>
          <w:lang w:val="en-US" w:eastAsia="zh-CN" w:bidi="ar-SA"/>
        </w:rPr>
        <w:t>三、污染治理设施不完善</w:t>
      </w:r>
    </w:p>
    <w:p>
      <w:pPr>
        <w:spacing w:line="240" w:lineRule="auto"/>
        <w:ind w:firstLine="640" w:firstLineChars="200"/>
        <w:rPr>
          <w:rFonts w:hint="eastAsia" w:ascii="仿宋" w:hAnsi="仿宋" w:eastAsia="仿宋_GB2312"/>
          <w:b w:val="0"/>
          <w:bCs/>
          <w:sz w:val="32"/>
          <w:szCs w:val="32"/>
          <w:highlight w:val="none"/>
          <w:shd w:val="clear" w:color="auto" w:fill="auto"/>
        </w:rPr>
      </w:pPr>
      <w:r>
        <w:rPr>
          <w:rFonts w:hint="eastAsia" w:ascii="仿宋" w:hAnsi="仿宋" w:eastAsia="仿宋_GB2312"/>
          <w:b w:val="0"/>
          <w:bCs/>
          <w:sz w:val="32"/>
          <w:szCs w:val="32"/>
          <w:highlight w:val="none"/>
          <w:shd w:val="clear" w:color="auto" w:fill="auto"/>
          <w:lang w:val="en-US" w:eastAsia="zh-CN"/>
        </w:rPr>
        <w:t>目前，规模养殖配套设施相对完善，规模下企业配套设施不完善，缺少配套田间池，配套粪污堆肥设施。且部分</w:t>
      </w:r>
      <w:r>
        <w:rPr>
          <w:rFonts w:hint="eastAsia" w:ascii="仿宋" w:hAnsi="仿宋" w:eastAsia="仿宋_GB2312"/>
          <w:b w:val="0"/>
          <w:bCs/>
          <w:sz w:val="32"/>
          <w:szCs w:val="32"/>
          <w:highlight w:val="none"/>
          <w:shd w:val="clear" w:color="auto" w:fill="auto"/>
        </w:rPr>
        <w:t>养殖户对畜禽养殖业污染问题的严重性和防治工作的紧迫性认识不足，污染治理设施运行管理存在缺陷</w:t>
      </w:r>
      <w:r>
        <w:rPr>
          <w:rFonts w:hint="eastAsia" w:ascii="仿宋" w:hAnsi="仿宋" w:eastAsia="仿宋_GB2312"/>
          <w:b w:val="0"/>
          <w:bCs/>
          <w:sz w:val="32"/>
          <w:szCs w:val="32"/>
          <w:highlight w:val="none"/>
          <w:shd w:val="clear" w:color="auto" w:fill="auto"/>
          <w:lang w:eastAsia="zh-CN"/>
        </w:rPr>
        <w:t>。</w:t>
      </w:r>
      <w:r>
        <w:rPr>
          <w:rFonts w:hint="eastAsia" w:ascii="仿宋" w:hAnsi="仿宋" w:eastAsia="仿宋_GB2312"/>
          <w:b w:val="0"/>
          <w:bCs/>
          <w:sz w:val="32"/>
          <w:szCs w:val="32"/>
          <w:highlight w:val="none"/>
          <w:shd w:val="clear" w:color="auto" w:fill="auto"/>
          <w:lang w:val="en-US" w:eastAsia="zh-CN"/>
        </w:rPr>
        <w:t>养殖户存在</w:t>
      </w:r>
      <w:r>
        <w:rPr>
          <w:rFonts w:hint="eastAsia" w:ascii="仿宋" w:hAnsi="仿宋" w:eastAsia="仿宋_GB2312"/>
          <w:b w:val="0"/>
          <w:bCs/>
          <w:sz w:val="32"/>
          <w:szCs w:val="32"/>
          <w:highlight w:val="none"/>
          <w:shd w:val="clear" w:color="auto" w:fill="auto"/>
        </w:rPr>
        <w:t>养殖场虽有污水处理设施和沼气池，但其容积小、处理能力弱，与污水生产量不配套；养殖场甚至任意将粪堆放在场外；实行沼气发酵处理的养殖场，未对发酵后的沼渣、沼液作有机肥用，而是直接还田，植物吸收率低，造成</w:t>
      </w:r>
      <w:r>
        <w:rPr>
          <w:rFonts w:hint="eastAsia" w:ascii="仿宋" w:hAnsi="仿宋" w:eastAsia="仿宋_GB2312"/>
          <w:b w:val="0"/>
          <w:bCs/>
          <w:sz w:val="32"/>
          <w:szCs w:val="32"/>
          <w:highlight w:val="none"/>
          <w:shd w:val="clear" w:color="auto" w:fill="auto"/>
          <w:lang w:val="en-US" w:eastAsia="zh-CN"/>
        </w:rPr>
        <w:t>一定的</w:t>
      </w:r>
      <w:r>
        <w:rPr>
          <w:rFonts w:hint="eastAsia" w:ascii="仿宋" w:hAnsi="仿宋" w:eastAsia="仿宋_GB2312"/>
          <w:b w:val="0"/>
          <w:bCs/>
          <w:sz w:val="32"/>
          <w:szCs w:val="32"/>
          <w:highlight w:val="none"/>
          <w:shd w:val="clear" w:color="auto" w:fill="auto"/>
        </w:rPr>
        <w:t>面源污染</w:t>
      </w:r>
      <w:r>
        <w:rPr>
          <w:rFonts w:hint="eastAsia" w:ascii="仿宋" w:hAnsi="仿宋" w:eastAsia="仿宋_GB2312"/>
          <w:b w:val="0"/>
          <w:bCs/>
          <w:sz w:val="32"/>
          <w:szCs w:val="32"/>
          <w:highlight w:val="none"/>
          <w:shd w:val="clear" w:color="auto" w:fill="auto"/>
          <w:lang w:val="en-US" w:eastAsia="zh-CN"/>
        </w:rPr>
        <w:t>等问题</w:t>
      </w:r>
      <w:r>
        <w:rPr>
          <w:rFonts w:hint="eastAsia" w:ascii="仿宋" w:hAnsi="仿宋" w:eastAsia="仿宋_GB2312"/>
          <w:b w:val="0"/>
          <w:bCs/>
          <w:sz w:val="32"/>
          <w:szCs w:val="32"/>
          <w:highlight w:val="none"/>
          <w:shd w:val="clear" w:color="auto" w:fill="auto"/>
        </w:rPr>
        <w:t>。</w:t>
      </w:r>
    </w:p>
    <w:p>
      <w:pPr>
        <w:keepNext/>
        <w:keepLines/>
        <w:pageBreakBefore w:val="0"/>
        <w:widowControl w:val="0"/>
        <w:numPr>
          <w:ilvl w:val="0"/>
          <w:numId w:val="0"/>
        </w:numPr>
        <w:tabs>
          <w:tab w:val="left" w:pos="5040"/>
        </w:tabs>
        <w:kinsoku/>
        <w:wordWrap/>
        <w:overflowPunct/>
        <w:topLinePunct w:val="0"/>
        <w:autoSpaceDE/>
        <w:autoSpaceDN/>
        <w:bidi w:val="0"/>
        <w:adjustRightInd/>
        <w:snapToGrid/>
        <w:spacing w:line="240" w:lineRule="auto"/>
        <w:ind w:leftChars="0" w:firstLine="643" w:firstLineChars="200"/>
        <w:jc w:val="left"/>
        <w:textAlignment w:val="auto"/>
        <w:outlineLvl w:val="2"/>
        <w:rPr>
          <w:rFonts w:hint="eastAsia" w:ascii="仿宋" w:hAnsi="仿宋" w:eastAsia="仿宋" w:cs="Times New Roman"/>
          <w:b/>
          <w:bCs/>
          <w:color w:val="auto"/>
          <w:kern w:val="2"/>
          <w:sz w:val="32"/>
          <w:szCs w:val="32"/>
          <w:highlight w:val="none"/>
          <w:shd w:val="clear" w:color="auto" w:fill="auto"/>
          <w:lang w:val="en-US" w:eastAsia="zh-CN" w:bidi="ar-SA"/>
        </w:rPr>
      </w:pPr>
      <w:r>
        <w:rPr>
          <w:rFonts w:hint="eastAsia" w:ascii="仿宋" w:hAnsi="仿宋" w:eastAsia="仿宋" w:cs="Times New Roman"/>
          <w:b/>
          <w:bCs/>
          <w:color w:val="auto"/>
          <w:kern w:val="2"/>
          <w:sz w:val="32"/>
          <w:szCs w:val="32"/>
          <w:highlight w:val="none"/>
          <w:shd w:val="clear" w:color="auto" w:fill="auto"/>
          <w:lang w:val="en-US" w:eastAsia="zh-CN" w:bidi="ar-SA"/>
        </w:rPr>
        <w:t>四、台账管理有所缺失</w:t>
      </w:r>
    </w:p>
    <w:p>
      <w:pPr>
        <w:spacing w:line="240" w:lineRule="auto"/>
        <w:ind w:firstLine="640" w:firstLineChars="200"/>
        <w:rPr>
          <w:rFonts w:hint="eastAsia" w:ascii="仿宋" w:hAnsi="仿宋" w:eastAsia="仿宋_GB2312"/>
          <w:b w:val="0"/>
          <w:bCs/>
          <w:sz w:val="32"/>
          <w:szCs w:val="32"/>
          <w:highlight w:val="none"/>
          <w:shd w:val="clear" w:color="auto" w:fill="auto"/>
        </w:rPr>
      </w:pPr>
      <w:r>
        <w:rPr>
          <w:rFonts w:hint="eastAsia" w:ascii="仿宋" w:hAnsi="仿宋" w:eastAsia="仿宋_GB2312"/>
          <w:b w:val="0"/>
          <w:bCs/>
          <w:sz w:val="32"/>
          <w:szCs w:val="32"/>
          <w:highlight w:val="none"/>
          <w:shd w:val="clear" w:color="auto" w:fill="auto"/>
          <w:lang w:val="en-US" w:eastAsia="zh-CN"/>
        </w:rPr>
        <w:t>部分</w:t>
      </w:r>
      <w:r>
        <w:rPr>
          <w:rFonts w:hint="eastAsia" w:ascii="仿宋" w:hAnsi="仿宋" w:eastAsia="仿宋_GB2312"/>
          <w:b w:val="0"/>
          <w:bCs/>
          <w:sz w:val="32"/>
          <w:szCs w:val="32"/>
          <w:highlight w:val="none"/>
          <w:shd w:val="clear" w:color="auto" w:fill="auto"/>
        </w:rPr>
        <w:t>养殖场未履行环保“三同时”手续，且受制于从业人员的素质，</w:t>
      </w:r>
      <w:r>
        <w:rPr>
          <w:rFonts w:hint="eastAsia" w:ascii="仿宋" w:hAnsi="仿宋" w:eastAsia="仿宋_GB2312"/>
          <w:b w:val="0"/>
          <w:bCs/>
          <w:sz w:val="32"/>
          <w:szCs w:val="32"/>
          <w:highlight w:val="none"/>
          <w:shd w:val="clear" w:color="auto" w:fill="auto"/>
          <w:lang w:val="en-US" w:eastAsia="zh-CN"/>
        </w:rPr>
        <w:t>相关台账</w:t>
      </w:r>
      <w:r>
        <w:rPr>
          <w:rFonts w:hint="eastAsia" w:ascii="仿宋" w:hAnsi="仿宋" w:eastAsia="仿宋_GB2312"/>
          <w:b w:val="0"/>
          <w:bCs/>
          <w:sz w:val="32"/>
          <w:szCs w:val="32"/>
          <w:highlight w:val="none"/>
          <w:shd w:val="clear" w:color="auto" w:fill="auto"/>
        </w:rPr>
        <w:t>管理水平也较低，相关污染治理设施台帐不健全或无台帐。</w:t>
      </w:r>
    </w:p>
    <w:p>
      <w:pPr>
        <w:keepNext/>
        <w:keepLines/>
        <w:pageBreakBefore w:val="0"/>
        <w:widowControl w:val="0"/>
        <w:numPr>
          <w:ilvl w:val="0"/>
          <w:numId w:val="0"/>
        </w:numPr>
        <w:tabs>
          <w:tab w:val="left" w:pos="5040"/>
        </w:tabs>
        <w:kinsoku/>
        <w:wordWrap/>
        <w:overflowPunct/>
        <w:topLinePunct w:val="0"/>
        <w:autoSpaceDE/>
        <w:autoSpaceDN/>
        <w:bidi w:val="0"/>
        <w:adjustRightInd/>
        <w:snapToGrid/>
        <w:spacing w:line="240" w:lineRule="auto"/>
        <w:ind w:leftChars="0" w:firstLine="643" w:firstLineChars="200"/>
        <w:jc w:val="left"/>
        <w:textAlignment w:val="auto"/>
        <w:outlineLvl w:val="2"/>
        <w:rPr>
          <w:rFonts w:hint="eastAsia" w:ascii="仿宋" w:hAnsi="仿宋" w:eastAsia="仿宋_GB2312"/>
          <w:b w:val="0"/>
          <w:bCs/>
          <w:sz w:val="32"/>
          <w:szCs w:val="32"/>
          <w:highlight w:val="none"/>
          <w:shd w:val="clear" w:color="auto" w:fill="auto"/>
        </w:rPr>
      </w:pPr>
      <w:r>
        <w:rPr>
          <w:rFonts w:hint="eastAsia" w:ascii="仿宋" w:hAnsi="仿宋" w:eastAsia="仿宋" w:cs="Times New Roman"/>
          <w:b/>
          <w:bCs/>
          <w:color w:val="auto"/>
          <w:kern w:val="2"/>
          <w:sz w:val="32"/>
          <w:szCs w:val="32"/>
          <w:highlight w:val="none"/>
          <w:shd w:val="clear" w:color="auto" w:fill="auto"/>
          <w:lang w:val="en-US" w:eastAsia="zh-CN" w:bidi="ar-SA"/>
        </w:rPr>
        <w:t>五、环境监管能力还需进一步提高</w:t>
      </w:r>
    </w:p>
    <w:p>
      <w:pPr>
        <w:pStyle w:val="14"/>
        <w:spacing w:after="0" w:line="240" w:lineRule="auto"/>
        <w:ind w:left="0" w:leftChars="0" w:right="0" w:rightChars="0" w:firstLine="640" w:firstLineChars="200"/>
        <w:rPr>
          <w:rFonts w:hint="eastAsia" w:ascii="仿宋" w:hAnsi="仿宋" w:eastAsia="仿宋_GB2312"/>
          <w:b w:val="0"/>
          <w:bCs/>
          <w:sz w:val="32"/>
          <w:szCs w:val="32"/>
          <w:highlight w:val="none"/>
          <w:shd w:val="clear" w:color="auto" w:fill="auto"/>
        </w:rPr>
      </w:pPr>
      <w:r>
        <w:rPr>
          <w:rFonts w:hint="eastAsia" w:ascii="仿宋" w:hAnsi="仿宋" w:eastAsia="仿宋_GB2312"/>
          <w:b w:val="0"/>
          <w:bCs/>
          <w:sz w:val="32"/>
          <w:szCs w:val="32"/>
          <w:highlight w:val="none"/>
          <w:shd w:val="clear" w:color="auto" w:fill="auto"/>
        </w:rPr>
        <w:t>目前</w:t>
      </w:r>
      <w:r>
        <w:rPr>
          <w:rFonts w:hint="eastAsia" w:ascii="仿宋" w:hAnsi="仿宋" w:eastAsia="仿宋_GB2312"/>
          <w:b w:val="0"/>
          <w:bCs/>
          <w:sz w:val="32"/>
          <w:szCs w:val="32"/>
          <w:highlight w:val="none"/>
          <w:shd w:val="clear" w:color="auto" w:fill="auto"/>
          <w:lang w:eastAsia="zh-CN"/>
        </w:rPr>
        <w:t>，</w:t>
      </w:r>
      <w:r>
        <w:rPr>
          <w:rFonts w:hint="eastAsia" w:ascii="仿宋" w:hAnsi="仿宋" w:eastAsia="仿宋_GB2312"/>
          <w:b w:val="0"/>
          <w:bCs/>
          <w:sz w:val="32"/>
          <w:szCs w:val="32"/>
          <w:highlight w:val="none"/>
          <w:shd w:val="clear" w:color="auto" w:fill="auto"/>
        </w:rPr>
        <w:t>尚未对畜禽养殖场的污水、粪便和恶臭进行定期监测，规模养殖场排污口尚未纳入重点污染源监管。环保执法和监测力量只能勉强应对工业企业的日常监管，相较于养殖企业、养殖户的量大面广，乡镇基层普遍缺乏专业环保执法人员，导致农业生产领域的环境监管与执法力度不够。由于缺少有效的长效监管手段，关停退养农户易反弹。当畜禽市场价格上涨时，部分养殖户抵不住财富诱惑，重新搭建棚舍重操旧业，难以有效控制</w:t>
      </w:r>
      <w:r>
        <w:rPr>
          <w:rFonts w:hint="eastAsia" w:ascii="仿宋" w:hAnsi="仿宋" w:eastAsia="仿宋_GB2312"/>
          <w:b w:val="0"/>
          <w:bCs/>
          <w:color w:val="auto"/>
          <w:sz w:val="32"/>
          <w:szCs w:val="32"/>
          <w:highlight w:val="none"/>
          <w:shd w:val="clear" w:color="auto" w:fill="auto"/>
        </w:rPr>
        <w:t>。</w:t>
      </w:r>
      <w:r>
        <w:rPr>
          <w:rFonts w:hint="eastAsia" w:ascii="仿宋" w:hAnsi="仿宋"/>
          <w:b w:val="0"/>
          <w:bCs/>
          <w:color w:val="auto"/>
          <w:sz w:val="32"/>
          <w:szCs w:val="32"/>
          <w:highlight w:val="none"/>
          <w:shd w:val="clear" w:color="auto" w:fill="auto"/>
          <w:lang w:val="en-US" w:eastAsia="zh-CN"/>
        </w:rPr>
        <w:t>并</w:t>
      </w:r>
      <w:r>
        <w:rPr>
          <w:rFonts w:hint="eastAsia" w:ascii="仿宋" w:hAnsi="仿宋" w:cs="Times New Roman"/>
          <w:strike w:val="0"/>
          <w:dstrike w:val="0"/>
          <w:color w:val="auto"/>
          <w:szCs w:val="32"/>
          <w:highlight w:val="none"/>
          <w:shd w:val="clear" w:color="auto" w:fill="auto"/>
          <w:lang w:val="en-US" w:eastAsia="zh-CN"/>
        </w:rPr>
        <w:t>因粪污资源化利用收转运体系还不健全，粪污资源化利用市场化运营机制尚未建立，粪肥利用粗放，存在农村面源污染风险，经济政策带动作用发挥不足，监督执法难度大、倒逼力度不足等原因，导致畜禽养殖污染还存在一定的问题。</w:t>
      </w:r>
    </w:p>
    <w:p>
      <w:pPr>
        <w:spacing w:line="240" w:lineRule="auto"/>
        <w:ind w:firstLine="420" w:firstLineChars="200"/>
        <w:rPr>
          <w:rFonts w:hint="eastAsia" w:ascii="仿宋" w:hAnsi="仿宋"/>
          <w:highlight w:val="none"/>
          <w:shd w:val="clear" w:color="auto" w:fill="auto"/>
        </w:rPr>
      </w:pPr>
    </w:p>
    <w:p>
      <w:pPr>
        <w:keepNext/>
        <w:keepLines/>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center"/>
        <w:textAlignment w:val="auto"/>
        <w:outlineLvl w:val="0"/>
        <w:rPr>
          <w:rFonts w:hint="default" w:ascii="仿宋" w:hAnsi="仿宋" w:eastAsia="黑体" w:cs="黑体"/>
          <w:b w:val="0"/>
          <w:bCs w:val="0"/>
          <w:color w:val="auto"/>
          <w:kern w:val="44"/>
          <w:sz w:val="44"/>
          <w:szCs w:val="44"/>
          <w:highlight w:val="none"/>
          <w:shd w:val="clear" w:color="auto" w:fill="auto"/>
          <w:lang w:val="en-US" w:eastAsia="zh-CN" w:bidi="ar-SA"/>
        </w:rPr>
      </w:pPr>
      <w:r>
        <w:rPr>
          <w:rFonts w:hint="eastAsia" w:ascii="仿宋" w:hAnsi="仿宋" w:eastAsia="黑体" w:cs="黑体"/>
          <w:b w:val="0"/>
          <w:bCs w:val="0"/>
          <w:color w:val="auto"/>
          <w:kern w:val="44"/>
          <w:sz w:val="44"/>
          <w:szCs w:val="44"/>
          <w:highlight w:val="none"/>
          <w:shd w:val="clear" w:color="auto" w:fill="auto"/>
          <w:lang w:val="en-US" w:eastAsia="zh-CN" w:bidi="ar-SA"/>
        </w:rPr>
        <w:br w:type="page"/>
      </w:r>
      <w:bookmarkStart w:id="54" w:name="_Toc31753"/>
      <w:r>
        <w:rPr>
          <w:rFonts w:hint="eastAsia" w:ascii="仿宋" w:hAnsi="仿宋" w:eastAsia="黑体" w:cs="黑体"/>
          <w:b w:val="0"/>
          <w:bCs w:val="0"/>
          <w:color w:val="auto"/>
          <w:kern w:val="44"/>
          <w:sz w:val="44"/>
          <w:szCs w:val="44"/>
          <w:highlight w:val="none"/>
          <w:shd w:val="clear" w:color="auto" w:fill="auto"/>
          <w:lang w:val="en-US" w:eastAsia="zh-CN" w:bidi="ar-SA"/>
        </w:rPr>
        <w:t>第三章 规划目标</w:t>
      </w:r>
      <w:bookmarkEnd w:id="54"/>
    </w:p>
    <w:p>
      <w:pPr>
        <w:keepNext/>
        <w:keepLines/>
        <w:pageBreakBefore w:val="0"/>
        <w:widowControl w:val="0"/>
        <w:kinsoku/>
        <w:wordWrap/>
        <w:overflowPunct/>
        <w:topLinePunct w:val="0"/>
        <w:bidi w:val="0"/>
        <w:snapToGrid/>
        <w:spacing w:line="240" w:lineRule="auto"/>
        <w:ind w:firstLine="0" w:firstLineChars="0"/>
        <w:jc w:val="center"/>
        <w:textAlignment w:val="auto"/>
        <w:outlineLvl w:val="1"/>
        <w:rPr>
          <w:rFonts w:hint="eastAsia" w:ascii="仿宋" w:hAnsi="仿宋" w:eastAsia="仿宋" w:cs="Times New Roman"/>
          <w:b/>
          <w:color w:val="auto"/>
          <w:kern w:val="2"/>
          <w:sz w:val="36"/>
          <w:szCs w:val="36"/>
          <w:highlight w:val="none"/>
          <w:shd w:val="clear" w:color="auto" w:fill="auto"/>
          <w:lang w:val="en-US" w:eastAsia="zh-CN" w:bidi="ar-SA"/>
        </w:rPr>
      </w:pPr>
      <w:bookmarkStart w:id="55" w:name="_Toc14104"/>
      <w:r>
        <w:rPr>
          <w:rFonts w:hint="eastAsia" w:ascii="仿宋" w:hAnsi="仿宋" w:eastAsia="仿宋" w:cs="Times New Roman"/>
          <w:b/>
          <w:color w:val="auto"/>
          <w:kern w:val="2"/>
          <w:sz w:val="36"/>
          <w:szCs w:val="36"/>
          <w:highlight w:val="none"/>
          <w:shd w:val="clear" w:color="auto" w:fill="auto"/>
          <w:lang w:val="en-US" w:eastAsia="zh-CN" w:bidi="ar-SA"/>
        </w:rPr>
        <w:t>第一节 目  标</w:t>
      </w:r>
      <w:bookmarkEnd w:id="55"/>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szCs w:val="32"/>
          <w:highlight w:val="none"/>
          <w:shd w:val="clear" w:color="auto" w:fill="auto"/>
          <w:lang w:val="en-US" w:eastAsia="zh-CN"/>
        </w:rPr>
        <w:t>规划</w:t>
      </w:r>
      <w:r>
        <w:rPr>
          <w:rFonts w:ascii="仿宋" w:hAnsi="仿宋"/>
          <w:szCs w:val="32"/>
          <w:highlight w:val="none"/>
          <w:shd w:val="clear" w:color="auto" w:fill="auto"/>
        </w:rPr>
        <w:t>到2025年，全</w:t>
      </w:r>
      <w:r>
        <w:rPr>
          <w:rFonts w:hint="eastAsia" w:ascii="仿宋" w:hAnsi="仿宋"/>
          <w:szCs w:val="32"/>
          <w:highlight w:val="none"/>
          <w:shd w:val="clear" w:color="auto" w:fill="auto"/>
        </w:rPr>
        <w:t>县</w:t>
      </w:r>
      <w:r>
        <w:rPr>
          <w:rFonts w:ascii="仿宋" w:hAnsi="仿宋"/>
          <w:szCs w:val="32"/>
          <w:highlight w:val="none"/>
          <w:shd w:val="clear" w:color="auto" w:fill="auto"/>
        </w:rPr>
        <w:t>畜牧业总体</w:t>
      </w:r>
      <w:r>
        <w:rPr>
          <w:rFonts w:hint="eastAsia" w:ascii="仿宋" w:hAnsi="仿宋"/>
          <w:szCs w:val="32"/>
          <w:highlight w:val="none"/>
          <w:shd w:val="clear" w:color="auto" w:fill="auto"/>
        </w:rPr>
        <w:t>产业</w:t>
      </w:r>
      <w:r>
        <w:rPr>
          <w:rFonts w:ascii="仿宋" w:hAnsi="仿宋"/>
          <w:szCs w:val="32"/>
          <w:highlight w:val="none"/>
          <w:shd w:val="clear" w:color="auto" w:fill="auto"/>
        </w:rPr>
        <w:t>结构合理，</w:t>
      </w:r>
      <w:r>
        <w:rPr>
          <w:rFonts w:hint="eastAsia" w:ascii="仿宋" w:hAnsi="仿宋"/>
          <w:szCs w:val="32"/>
          <w:highlight w:val="none"/>
          <w:shd w:val="clear" w:color="auto" w:fill="auto"/>
        </w:rPr>
        <w:t>畜牧养殖污染防治体系更加完善，</w:t>
      </w:r>
      <w:r>
        <w:rPr>
          <w:rFonts w:ascii="仿宋" w:hAnsi="仿宋"/>
          <w:szCs w:val="32"/>
          <w:highlight w:val="none"/>
          <w:shd w:val="clear" w:color="auto" w:fill="auto"/>
        </w:rPr>
        <w:t>化学需氧量、氨氮减排工作完成</w:t>
      </w:r>
      <w:r>
        <w:rPr>
          <w:rFonts w:hint="eastAsia" w:ascii="仿宋" w:hAnsi="仿宋"/>
          <w:szCs w:val="32"/>
          <w:highlight w:val="none"/>
          <w:shd w:val="clear" w:color="auto" w:fill="auto"/>
        </w:rPr>
        <w:t>市</w:t>
      </w:r>
      <w:r>
        <w:rPr>
          <w:rFonts w:ascii="仿宋" w:hAnsi="仿宋"/>
          <w:szCs w:val="32"/>
          <w:highlight w:val="none"/>
          <w:shd w:val="clear" w:color="auto" w:fill="auto"/>
        </w:rPr>
        <w:t>下达的目标任务</w:t>
      </w:r>
      <w:r>
        <w:rPr>
          <w:rFonts w:hint="eastAsia" w:ascii="仿宋" w:hAnsi="仿宋"/>
          <w:szCs w:val="32"/>
          <w:highlight w:val="none"/>
          <w:shd w:val="clear" w:color="auto" w:fill="auto"/>
        </w:rPr>
        <w:t>，</w:t>
      </w:r>
      <w:r>
        <w:rPr>
          <w:rFonts w:ascii="仿宋" w:hAnsi="仿宋"/>
          <w:szCs w:val="32"/>
          <w:highlight w:val="none"/>
          <w:shd w:val="clear" w:color="auto" w:fill="auto"/>
        </w:rPr>
        <w:t>全</w:t>
      </w:r>
      <w:r>
        <w:rPr>
          <w:rFonts w:hint="eastAsia" w:ascii="仿宋" w:hAnsi="仿宋"/>
          <w:szCs w:val="32"/>
          <w:highlight w:val="none"/>
          <w:shd w:val="clear" w:color="auto" w:fill="auto"/>
        </w:rPr>
        <w:t>县畜禽粪污综合利用率</w:t>
      </w:r>
      <w:r>
        <w:rPr>
          <w:rFonts w:hint="eastAsia" w:ascii="仿宋" w:hAnsi="仿宋"/>
          <w:szCs w:val="32"/>
          <w:highlight w:val="none"/>
          <w:shd w:val="clear" w:color="auto" w:fill="auto"/>
          <w:lang w:val="en-US" w:eastAsia="zh-CN"/>
        </w:rPr>
        <w:t>动态增长保持</w:t>
      </w:r>
      <w:r>
        <w:rPr>
          <w:rFonts w:hint="eastAsia" w:ascii="仿宋" w:hAnsi="仿宋"/>
          <w:szCs w:val="32"/>
          <w:highlight w:val="none"/>
          <w:shd w:val="clear" w:color="auto" w:fill="auto"/>
        </w:rPr>
        <w:t>9</w:t>
      </w:r>
      <w:r>
        <w:rPr>
          <w:rFonts w:hint="eastAsia" w:ascii="仿宋" w:hAnsi="仿宋"/>
          <w:szCs w:val="32"/>
          <w:highlight w:val="none"/>
          <w:shd w:val="clear" w:color="auto" w:fill="auto"/>
          <w:lang w:val="en-US" w:eastAsia="zh-CN"/>
        </w:rPr>
        <w:t>6</w:t>
      </w:r>
      <w:r>
        <w:rPr>
          <w:rFonts w:hint="eastAsia" w:ascii="仿宋" w:hAnsi="仿宋"/>
          <w:szCs w:val="32"/>
          <w:highlight w:val="none"/>
          <w:shd w:val="clear" w:color="auto" w:fill="auto"/>
        </w:rPr>
        <w:t>%</w:t>
      </w:r>
      <w:r>
        <w:rPr>
          <w:rFonts w:hint="eastAsia" w:ascii="仿宋" w:hAnsi="仿宋"/>
          <w:szCs w:val="32"/>
          <w:highlight w:val="none"/>
          <w:shd w:val="clear" w:color="auto" w:fill="auto"/>
          <w:lang w:val="en-US" w:eastAsia="zh-CN"/>
        </w:rPr>
        <w:t>以上</w:t>
      </w:r>
      <w:r>
        <w:rPr>
          <w:rFonts w:hint="eastAsia" w:ascii="仿宋" w:hAnsi="仿宋"/>
          <w:szCs w:val="32"/>
          <w:highlight w:val="none"/>
          <w:shd w:val="clear" w:color="auto" w:fill="auto"/>
        </w:rPr>
        <w:t>，</w:t>
      </w:r>
      <w:r>
        <w:rPr>
          <w:rFonts w:hint="eastAsia" w:ascii="仿宋" w:hAnsi="仿宋"/>
          <w:szCs w:val="32"/>
          <w:highlight w:val="none"/>
          <w:shd w:val="clear" w:color="auto" w:fill="auto"/>
          <w:lang w:val="en-US" w:eastAsia="zh-CN"/>
        </w:rPr>
        <w:t>畜禽</w:t>
      </w:r>
      <w:r>
        <w:rPr>
          <w:rFonts w:hint="eastAsia" w:ascii="仿宋" w:hAnsi="仿宋"/>
          <w:szCs w:val="32"/>
          <w:highlight w:val="none"/>
          <w:shd w:val="clear" w:color="auto" w:fill="auto"/>
        </w:rPr>
        <w:t>规模养殖场粪污处理设施装备配套</w:t>
      </w:r>
      <w:r>
        <w:rPr>
          <w:rFonts w:hint="eastAsia" w:ascii="仿宋" w:hAnsi="仿宋"/>
          <w:szCs w:val="32"/>
          <w:highlight w:val="none"/>
          <w:shd w:val="clear" w:color="auto" w:fill="auto"/>
          <w:lang w:val="en-US" w:eastAsia="zh-CN"/>
        </w:rPr>
        <w:t>率动态增长保持</w:t>
      </w:r>
      <w:r>
        <w:rPr>
          <w:rFonts w:hint="eastAsia" w:ascii="仿宋" w:hAnsi="仿宋"/>
          <w:szCs w:val="32"/>
          <w:highlight w:val="none"/>
          <w:shd w:val="clear" w:color="auto" w:fill="auto"/>
        </w:rPr>
        <w:t>100%</w:t>
      </w:r>
      <w:r>
        <w:rPr>
          <w:rFonts w:hint="eastAsia" w:ascii="仿宋" w:hAnsi="仿宋"/>
          <w:szCs w:val="32"/>
          <w:highlight w:val="none"/>
          <w:shd w:val="clear" w:color="auto" w:fill="auto"/>
          <w:lang w:eastAsia="zh-CN"/>
        </w:rPr>
        <w:t>，畜禽规模养殖场粪污资源化利用台账建设率</w:t>
      </w:r>
      <w:r>
        <w:rPr>
          <w:rFonts w:hint="eastAsia" w:ascii="仿宋" w:hAnsi="仿宋"/>
          <w:szCs w:val="32"/>
          <w:highlight w:val="none"/>
          <w:shd w:val="clear" w:color="auto" w:fill="auto"/>
          <w:lang w:val="en-US" w:eastAsia="zh-CN"/>
        </w:rPr>
        <w:t>达到97</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lang w:val="en-US" w:eastAsia="zh-CN"/>
        </w:rPr>
        <w:t>取得排污许可证的畜禽规模</w:t>
      </w:r>
      <w:r>
        <w:rPr>
          <w:rFonts w:hint="eastAsia" w:ascii="仿宋" w:hAnsi="仿宋"/>
          <w:szCs w:val="32"/>
          <w:highlight w:val="none"/>
          <w:shd w:val="clear" w:color="auto" w:fill="auto"/>
        </w:rPr>
        <w:t>养殖场自行监测</w:t>
      </w:r>
      <w:r>
        <w:rPr>
          <w:rFonts w:hint="eastAsia" w:ascii="仿宋" w:hAnsi="仿宋"/>
          <w:szCs w:val="32"/>
          <w:highlight w:val="none"/>
          <w:shd w:val="clear" w:color="auto" w:fill="auto"/>
          <w:lang w:val="en-US" w:eastAsia="zh-CN"/>
        </w:rPr>
        <w:t>覆盖率达到100%</w:t>
      </w:r>
      <w:r>
        <w:rPr>
          <w:rFonts w:hint="eastAsia" w:ascii="仿宋" w:hAnsi="仿宋"/>
          <w:szCs w:val="32"/>
          <w:highlight w:val="none"/>
          <w:shd w:val="clear" w:color="auto" w:fill="auto"/>
        </w:rPr>
        <w:t>。</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szCs w:val="32"/>
          <w:highlight w:val="none"/>
          <w:shd w:val="clear" w:color="auto" w:fill="auto"/>
        </w:rPr>
        <w:t>进一步提升畜禽养殖污染治理的标准化、生态化水平，全面完成规模化养殖场和散养密集区的治理、设施修复改造和标准化提升，</w:t>
      </w:r>
      <w:r>
        <w:rPr>
          <w:rFonts w:hint="eastAsia" w:ascii="仿宋" w:hAnsi="仿宋"/>
          <w:szCs w:val="32"/>
          <w:highlight w:val="none"/>
          <w:shd w:val="clear" w:color="auto" w:fill="auto"/>
          <w:lang w:val="en-US" w:eastAsia="zh-CN"/>
        </w:rPr>
        <w:t>争创</w:t>
      </w:r>
      <w:r>
        <w:rPr>
          <w:rFonts w:hint="eastAsia" w:ascii="仿宋" w:hAnsi="仿宋"/>
          <w:szCs w:val="32"/>
          <w:highlight w:val="none"/>
          <w:shd w:val="clear" w:color="auto" w:fill="auto"/>
        </w:rPr>
        <w:t>畜牧业绿色发展示范县，打造畜牧业绿色发展强县。</w:t>
      </w:r>
    </w:p>
    <w:p>
      <w:pPr>
        <w:keepNext/>
        <w:keepLines/>
        <w:pageBreakBefore w:val="0"/>
        <w:widowControl w:val="0"/>
        <w:kinsoku/>
        <w:wordWrap/>
        <w:overflowPunct/>
        <w:topLinePunct w:val="0"/>
        <w:bidi w:val="0"/>
        <w:snapToGrid/>
        <w:spacing w:line="240" w:lineRule="auto"/>
        <w:ind w:firstLine="0" w:firstLineChars="0"/>
        <w:jc w:val="center"/>
        <w:textAlignment w:val="auto"/>
        <w:outlineLvl w:val="1"/>
        <w:rPr>
          <w:rFonts w:hint="default" w:ascii="仿宋" w:hAnsi="仿宋" w:eastAsia="仿宋" w:cs="Times New Roman"/>
          <w:b/>
          <w:color w:val="auto"/>
          <w:kern w:val="2"/>
          <w:sz w:val="36"/>
          <w:szCs w:val="36"/>
          <w:highlight w:val="none"/>
          <w:shd w:val="clear" w:color="auto" w:fill="auto"/>
          <w:lang w:val="en-US" w:eastAsia="zh-CN" w:bidi="ar-SA"/>
        </w:rPr>
      </w:pPr>
      <w:bookmarkStart w:id="56" w:name="_Toc14061"/>
      <w:bookmarkStart w:id="57" w:name="_Toc10312"/>
      <w:r>
        <w:rPr>
          <w:rFonts w:hint="eastAsia" w:ascii="仿宋" w:hAnsi="仿宋" w:eastAsia="仿宋" w:cs="Times New Roman"/>
          <w:b/>
          <w:color w:val="auto"/>
          <w:kern w:val="2"/>
          <w:sz w:val="36"/>
          <w:szCs w:val="36"/>
          <w:highlight w:val="none"/>
          <w:shd w:val="clear" w:color="auto" w:fill="auto"/>
          <w:lang w:val="en-US" w:eastAsia="zh-CN" w:bidi="ar-SA"/>
        </w:rPr>
        <w:t>第二节 畜禽养殖</w:t>
      </w:r>
      <w:bookmarkEnd w:id="56"/>
      <w:r>
        <w:rPr>
          <w:rFonts w:hint="eastAsia" w:ascii="仿宋" w:hAnsi="仿宋" w:eastAsia="仿宋" w:cs="Times New Roman"/>
          <w:b/>
          <w:color w:val="auto"/>
          <w:kern w:val="2"/>
          <w:sz w:val="36"/>
          <w:szCs w:val="36"/>
          <w:highlight w:val="none"/>
          <w:shd w:val="clear" w:color="auto" w:fill="auto"/>
          <w:lang w:val="en-US" w:eastAsia="zh-CN" w:bidi="ar-SA"/>
        </w:rPr>
        <w:t>环境承载力分析</w:t>
      </w:r>
      <w:bookmarkEnd w:id="57"/>
    </w:p>
    <w:p>
      <w:pPr>
        <w:keepNext/>
        <w:keepLines/>
        <w:pageBreakBefore w:val="0"/>
        <w:widowControl w:val="0"/>
        <w:kinsoku/>
        <w:wordWrap/>
        <w:overflowPunct/>
        <w:topLinePunct w:val="0"/>
        <w:autoSpaceDE/>
        <w:autoSpaceDN/>
        <w:bidi w:val="0"/>
        <w:adjustRightInd/>
        <w:snapToGrid/>
        <w:spacing w:line="240" w:lineRule="auto"/>
        <w:ind w:firstLine="643" w:firstLineChars="200"/>
        <w:jc w:val="left"/>
        <w:textAlignment w:val="auto"/>
        <w:outlineLvl w:val="2"/>
        <w:rPr>
          <w:rFonts w:hint="eastAsia" w:ascii="仿宋" w:hAnsi="仿宋" w:eastAsia="仿宋" w:cs="Times New Roman"/>
          <w:b/>
          <w:bCs/>
          <w:color w:val="auto"/>
          <w:kern w:val="2"/>
          <w:sz w:val="32"/>
          <w:szCs w:val="32"/>
          <w:highlight w:val="none"/>
          <w:shd w:val="clear" w:color="auto" w:fill="auto"/>
          <w:lang w:val="en-US" w:eastAsia="zh-CN" w:bidi="ar-SA"/>
        </w:rPr>
      </w:pPr>
      <w:r>
        <w:rPr>
          <w:rFonts w:hint="eastAsia" w:ascii="仿宋" w:hAnsi="仿宋" w:eastAsia="仿宋" w:cs="Times New Roman"/>
          <w:b/>
          <w:bCs/>
          <w:color w:val="auto"/>
          <w:kern w:val="2"/>
          <w:sz w:val="32"/>
          <w:szCs w:val="32"/>
          <w:highlight w:val="none"/>
          <w:shd w:val="clear" w:color="auto" w:fill="auto"/>
          <w:lang w:val="en-US" w:eastAsia="zh-CN" w:bidi="ar-SA"/>
        </w:rPr>
        <w:t>一、县域畜禽养殖环境承载力</w:t>
      </w:r>
    </w:p>
    <w:p>
      <w:pPr>
        <w:pStyle w:val="14"/>
        <w:spacing w:after="0" w:line="240" w:lineRule="auto"/>
        <w:ind w:left="0" w:leftChars="0" w:right="0" w:rightChars="0" w:firstLine="640" w:firstLineChars="200"/>
        <w:rPr>
          <w:rFonts w:hint="eastAsia" w:ascii="仿宋" w:hAnsi="仿宋"/>
          <w:szCs w:val="32"/>
          <w:highlight w:val="none"/>
          <w:shd w:val="clear" w:color="auto" w:fill="auto"/>
          <w:lang w:eastAsia="zh-CN"/>
        </w:rPr>
      </w:pPr>
      <w:r>
        <w:rPr>
          <w:rFonts w:hint="eastAsia" w:ascii="仿宋" w:hAnsi="仿宋"/>
          <w:szCs w:val="32"/>
          <w:highlight w:val="none"/>
          <w:shd w:val="clear" w:color="auto" w:fill="auto"/>
          <w:lang w:val="en-US" w:eastAsia="zh-CN"/>
        </w:rPr>
        <w:t>分析</w:t>
      </w:r>
      <w:r>
        <w:rPr>
          <w:rFonts w:hint="eastAsia" w:ascii="仿宋" w:hAnsi="仿宋"/>
          <w:szCs w:val="32"/>
          <w:highlight w:val="none"/>
          <w:shd w:val="clear" w:color="auto" w:fill="auto"/>
        </w:rPr>
        <w:t>根据</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rPr>
        <w:t>关于印发旺苍县畜禽养殖区域划定方案的通知</w:t>
      </w:r>
      <w:r>
        <w:rPr>
          <w:rFonts w:hint="eastAsia" w:ascii="仿宋" w:hAnsi="仿宋"/>
          <w:szCs w:val="32"/>
          <w:highlight w:val="none"/>
          <w:shd w:val="clear" w:color="auto" w:fill="auto"/>
          <w:lang w:eastAsia="zh-CN"/>
        </w:rPr>
        <w:t>（旺府办函</w:t>
      </w:r>
      <w:r>
        <w:rPr>
          <w:rFonts w:hint="eastAsia" w:ascii="仿宋" w:hAnsi="仿宋" w:cs="Times New Roman"/>
          <w:szCs w:val="32"/>
          <w:highlight w:val="none"/>
          <w:shd w:val="clear" w:color="auto" w:fill="auto"/>
          <w:lang w:eastAsia="zh-CN"/>
        </w:rPr>
        <w:t>〔</w:t>
      </w:r>
      <w:r>
        <w:rPr>
          <w:rFonts w:hint="eastAsia" w:ascii="仿宋" w:hAnsi="仿宋" w:cs="Times New Roman"/>
          <w:szCs w:val="32"/>
          <w:highlight w:val="none"/>
          <w:shd w:val="clear" w:color="auto" w:fill="auto"/>
          <w:lang w:val="en-US" w:eastAsia="zh-CN"/>
        </w:rPr>
        <w:t>2018</w:t>
      </w:r>
      <w:r>
        <w:rPr>
          <w:rFonts w:hint="eastAsia" w:ascii="仿宋" w:hAnsi="仿宋" w:cs="Times New Roman"/>
          <w:szCs w:val="32"/>
          <w:highlight w:val="none"/>
          <w:shd w:val="clear" w:color="auto" w:fill="auto"/>
          <w:lang w:eastAsia="zh-CN"/>
        </w:rPr>
        <w:t>〕</w:t>
      </w:r>
      <w:r>
        <w:rPr>
          <w:rFonts w:hint="eastAsia" w:ascii="仿宋" w:hAnsi="仿宋"/>
          <w:szCs w:val="32"/>
          <w:highlight w:val="none"/>
          <w:shd w:val="clear" w:color="auto" w:fill="auto"/>
          <w:lang w:eastAsia="zh-CN"/>
        </w:rPr>
        <w:t>74号），</w:t>
      </w:r>
      <w:r>
        <w:rPr>
          <w:rFonts w:hint="eastAsia" w:ascii="仿宋" w:hAnsi="仿宋"/>
          <w:szCs w:val="32"/>
          <w:highlight w:val="none"/>
          <w:shd w:val="clear" w:color="auto" w:fill="auto"/>
        </w:rPr>
        <w:t>20</w:t>
      </w:r>
      <w:r>
        <w:rPr>
          <w:rFonts w:hint="eastAsia" w:ascii="仿宋" w:hAnsi="仿宋"/>
          <w:szCs w:val="32"/>
          <w:highlight w:val="none"/>
          <w:shd w:val="clear" w:color="auto" w:fill="auto"/>
          <w:lang w:val="en-US" w:eastAsia="zh-CN"/>
        </w:rPr>
        <w:t>20</w:t>
      </w:r>
      <w:r>
        <w:rPr>
          <w:rFonts w:hint="eastAsia" w:ascii="仿宋" w:hAnsi="仿宋"/>
          <w:szCs w:val="32"/>
          <w:highlight w:val="none"/>
          <w:shd w:val="clear" w:color="auto" w:fill="auto"/>
        </w:rPr>
        <w:t>年旺苍县畜禽产量统计</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rPr>
        <w:t>出栏生猪47.18万头，出栏牛1.36万头，出栏羊11.2万只，出栏家禽360万只</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rPr>
        <w:t>年末生猪存栏35.54万头，牛存栏3.68万头，羊存栏6.1万只</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lang w:val="en-US" w:eastAsia="zh-CN"/>
        </w:rPr>
        <w:t>家禽存栏</w:t>
      </w:r>
      <w:r>
        <w:rPr>
          <w:rFonts w:hint="eastAsia" w:ascii="仿宋" w:hAnsi="仿宋"/>
          <w:szCs w:val="32"/>
          <w:highlight w:val="none"/>
          <w:shd w:val="clear" w:color="auto" w:fill="auto"/>
        </w:rPr>
        <w:t>183.74万</w:t>
      </w:r>
      <w:r>
        <w:rPr>
          <w:rFonts w:hint="eastAsia" w:ascii="仿宋" w:hAnsi="仿宋"/>
          <w:szCs w:val="32"/>
          <w:highlight w:val="none"/>
          <w:shd w:val="clear" w:color="auto" w:fill="auto"/>
          <w:lang w:val="en-US" w:eastAsia="zh-CN"/>
        </w:rPr>
        <w:t>只</w:t>
      </w:r>
      <w:r>
        <w:rPr>
          <w:rFonts w:hint="eastAsia" w:ascii="仿宋" w:hAnsi="仿宋"/>
          <w:szCs w:val="32"/>
          <w:highlight w:val="none"/>
          <w:shd w:val="clear" w:color="auto" w:fill="auto"/>
        </w:rPr>
        <w:t>。参照《四川省畜禽养殖污染防治技术指南</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rPr>
        <w:t>试行</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rPr>
        <w:t>》</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rPr>
        <w:t>川农业函</w:t>
      </w:r>
      <w:r>
        <w:rPr>
          <w:rFonts w:hint="eastAsia" w:ascii="仿宋" w:hAnsi="仿宋" w:cs="Times New Roman"/>
          <w:szCs w:val="32"/>
          <w:highlight w:val="none"/>
          <w:shd w:val="clear" w:color="auto" w:fill="auto"/>
          <w:lang w:eastAsia="zh-CN"/>
        </w:rPr>
        <w:t>〔</w:t>
      </w:r>
      <w:r>
        <w:rPr>
          <w:rFonts w:hint="eastAsia" w:ascii="仿宋" w:hAnsi="仿宋" w:cs="Times New Roman"/>
          <w:szCs w:val="32"/>
          <w:highlight w:val="none"/>
          <w:shd w:val="clear" w:color="auto" w:fill="auto"/>
          <w:lang w:val="en-US" w:eastAsia="zh-CN"/>
        </w:rPr>
        <w:t>2017</w:t>
      </w:r>
      <w:r>
        <w:rPr>
          <w:rFonts w:hint="eastAsia" w:ascii="仿宋" w:hAnsi="仿宋" w:cs="Times New Roman"/>
          <w:szCs w:val="32"/>
          <w:highlight w:val="none"/>
          <w:shd w:val="clear" w:color="auto" w:fill="auto"/>
          <w:lang w:eastAsia="zh-CN"/>
        </w:rPr>
        <w:t>〕</w:t>
      </w:r>
      <w:r>
        <w:rPr>
          <w:rFonts w:hint="eastAsia" w:ascii="仿宋" w:hAnsi="仿宋"/>
          <w:szCs w:val="32"/>
          <w:highlight w:val="none"/>
          <w:shd w:val="clear" w:color="auto" w:fill="auto"/>
        </w:rPr>
        <w:t>647号</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rPr>
        <w:t>经计算</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rPr>
        <w:t>20</w:t>
      </w:r>
      <w:r>
        <w:rPr>
          <w:rFonts w:hint="eastAsia" w:ascii="仿宋" w:hAnsi="仿宋"/>
          <w:szCs w:val="32"/>
          <w:highlight w:val="none"/>
          <w:shd w:val="clear" w:color="auto" w:fill="auto"/>
          <w:lang w:val="en-US" w:eastAsia="zh-CN"/>
        </w:rPr>
        <w:t>20</w:t>
      </w:r>
      <w:r>
        <w:rPr>
          <w:rFonts w:hint="eastAsia" w:ascii="仿宋" w:hAnsi="仿宋"/>
          <w:szCs w:val="32"/>
          <w:highlight w:val="none"/>
          <w:shd w:val="clear" w:color="auto" w:fill="auto"/>
        </w:rPr>
        <w:t>年全县畜禽存栏约为</w:t>
      </w:r>
      <w:r>
        <w:rPr>
          <w:rFonts w:hint="eastAsia" w:ascii="仿宋" w:hAnsi="仿宋"/>
          <w:szCs w:val="32"/>
          <w:highlight w:val="none"/>
          <w:shd w:val="clear" w:color="auto" w:fill="auto"/>
          <w:lang w:val="en-US" w:eastAsia="zh-CN"/>
        </w:rPr>
        <w:t>57.59</w:t>
      </w:r>
      <w:r>
        <w:rPr>
          <w:rFonts w:hint="eastAsia" w:ascii="仿宋" w:hAnsi="仿宋"/>
          <w:szCs w:val="32"/>
          <w:highlight w:val="none"/>
          <w:shd w:val="clear" w:color="auto" w:fill="auto"/>
        </w:rPr>
        <w:t>万猪当量。针对不同畜种需要的不同土地承载面积，全县共需承载土地</w:t>
      </w:r>
      <w:r>
        <w:rPr>
          <w:rFonts w:hint="eastAsia" w:ascii="仿宋" w:hAnsi="仿宋"/>
          <w:szCs w:val="32"/>
          <w:highlight w:val="none"/>
          <w:shd w:val="clear" w:color="auto" w:fill="auto"/>
          <w:lang w:val="en-US" w:eastAsia="zh-CN"/>
        </w:rPr>
        <w:t>26.72</w:t>
      </w:r>
      <w:r>
        <w:rPr>
          <w:rFonts w:hint="eastAsia" w:ascii="仿宋" w:hAnsi="仿宋"/>
          <w:szCs w:val="32"/>
          <w:highlight w:val="none"/>
          <w:shd w:val="clear" w:color="auto" w:fill="auto"/>
        </w:rPr>
        <w:t>万亩，占全县</w:t>
      </w:r>
      <w:r>
        <w:rPr>
          <w:rFonts w:hint="eastAsia" w:ascii="仿宋" w:hAnsi="仿宋"/>
          <w:szCs w:val="32"/>
          <w:highlight w:val="none"/>
          <w:shd w:val="clear" w:color="auto" w:fill="auto"/>
          <w:lang w:val="en-US" w:eastAsia="zh-CN"/>
        </w:rPr>
        <w:t>2020年县域现状</w:t>
      </w:r>
      <w:r>
        <w:rPr>
          <w:rFonts w:hint="eastAsia" w:ascii="仿宋" w:hAnsi="仿宋"/>
          <w:szCs w:val="32"/>
          <w:highlight w:val="none"/>
          <w:shd w:val="clear" w:color="auto" w:fill="auto"/>
        </w:rPr>
        <w:t>耕地面积</w:t>
      </w:r>
      <w:r>
        <w:rPr>
          <w:rFonts w:hint="eastAsia" w:ascii="仿宋" w:hAnsi="仿宋"/>
          <w:szCs w:val="32"/>
          <w:highlight w:val="none"/>
          <w:shd w:val="clear" w:color="auto" w:fill="auto"/>
          <w:lang w:val="en-US" w:eastAsia="zh-CN"/>
        </w:rPr>
        <w:t>67.37</w:t>
      </w:r>
      <w:r>
        <w:rPr>
          <w:rFonts w:hint="eastAsia" w:ascii="仿宋" w:hAnsi="仿宋"/>
          <w:szCs w:val="32"/>
          <w:highlight w:val="none"/>
          <w:shd w:val="clear" w:color="auto" w:fill="auto"/>
        </w:rPr>
        <w:t>万亩</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lang w:val="en-US" w:eastAsia="zh-CN"/>
        </w:rPr>
        <w:t>旺苍县国土空间总体规划（2020-2035年）</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rPr>
        <w:t>的</w:t>
      </w:r>
      <w:r>
        <w:rPr>
          <w:rFonts w:hint="eastAsia" w:ascii="仿宋" w:hAnsi="仿宋"/>
          <w:szCs w:val="32"/>
          <w:highlight w:val="none"/>
          <w:shd w:val="clear" w:color="auto" w:fill="auto"/>
          <w:lang w:val="en-US" w:eastAsia="zh-CN"/>
        </w:rPr>
        <w:t>39.66</w:t>
      </w:r>
      <w:r>
        <w:rPr>
          <w:rFonts w:hint="eastAsia" w:ascii="仿宋" w:hAnsi="仿宋"/>
          <w:szCs w:val="32"/>
          <w:highlight w:val="none"/>
          <w:shd w:val="clear" w:color="auto" w:fill="auto"/>
        </w:rPr>
        <w:t>%，还有</w:t>
      </w:r>
      <w:r>
        <w:rPr>
          <w:rFonts w:hint="eastAsia" w:ascii="仿宋" w:hAnsi="仿宋"/>
          <w:szCs w:val="32"/>
          <w:highlight w:val="none"/>
          <w:shd w:val="clear" w:color="auto" w:fill="auto"/>
          <w:lang w:val="en-US" w:eastAsia="zh-CN"/>
        </w:rPr>
        <w:t>40.65</w:t>
      </w:r>
      <w:r>
        <w:rPr>
          <w:rFonts w:hint="eastAsia" w:ascii="仿宋" w:hAnsi="仿宋"/>
          <w:szCs w:val="32"/>
          <w:highlight w:val="none"/>
          <w:shd w:val="clear" w:color="auto" w:fill="auto"/>
        </w:rPr>
        <w:t>万亩耕地可承载</w:t>
      </w:r>
      <w:r>
        <w:rPr>
          <w:rFonts w:hint="eastAsia" w:ascii="仿宋" w:hAnsi="仿宋"/>
          <w:szCs w:val="32"/>
          <w:highlight w:val="none"/>
          <w:shd w:val="clear" w:color="auto" w:fill="auto"/>
          <w:lang w:val="en-US" w:eastAsia="zh-CN"/>
        </w:rPr>
        <w:t>18.23</w:t>
      </w:r>
      <w:r>
        <w:rPr>
          <w:rFonts w:hint="eastAsia" w:ascii="仿宋" w:hAnsi="仿宋"/>
          <w:szCs w:val="32"/>
          <w:highlight w:val="none"/>
          <w:shd w:val="clear" w:color="auto" w:fill="auto"/>
        </w:rPr>
        <w:t>万猪当量畜禽</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lang w:val="en-US" w:eastAsia="zh-CN"/>
        </w:rPr>
        <w:t>另</w:t>
      </w:r>
      <w:r>
        <w:rPr>
          <w:rFonts w:hint="eastAsia" w:ascii="仿宋" w:hAnsi="仿宋"/>
          <w:szCs w:val="32"/>
          <w:highlight w:val="none"/>
          <w:shd w:val="clear" w:color="auto" w:fill="auto"/>
          <w:lang w:eastAsia="zh-CN"/>
        </w:rPr>
        <w:t>外，全县有90万亩人工林(林地294.33万亩)，按照畜禽</w:t>
      </w:r>
    </w:p>
    <w:p>
      <w:pPr>
        <w:pStyle w:val="14"/>
        <w:spacing w:after="0" w:line="240" w:lineRule="auto"/>
        <w:ind w:left="0" w:leftChars="0" w:right="0" w:rightChars="0" w:firstLine="0" w:firstLineChars="0"/>
        <w:rPr>
          <w:rFonts w:hint="eastAsia" w:ascii="仿宋" w:hAnsi="仿宋" w:eastAsia="仿宋_GB2312"/>
          <w:szCs w:val="32"/>
          <w:highlight w:val="none"/>
          <w:shd w:val="clear" w:color="auto" w:fill="auto"/>
          <w:lang w:eastAsia="zh-CN"/>
        </w:rPr>
      </w:pPr>
      <w:r>
        <w:rPr>
          <w:rFonts w:hint="eastAsia" w:ascii="仿宋" w:hAnsi="仿宋"/>
          <w:szCs w:val="32"/>
          <w:highlight w:val="none"/>
          <w:shd w:val="clear" w:color="auto" w:fill="auto"/>
          <w:lang w:eastAsia="zh-CN"/>
        </w:rPr>
        <w:t>养殖耕地承载能力的10%计算,也可承载18万猪当量的畜禽。</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szCs w:val="32"/>
          <w:highlight w:val="none"/>
          <w:shd w:val="clear" w:color="auto" w:fill="auto"/>
        </w:rPr>
        <w:t>由统计数据可知，就旺苍整体情况来看，现有畜禽养殖量未饱和，新发展空间较大</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rPr>
        <w:t>还有</w:t>
      </w:r>
      <w:r>
        <w:rPr>
          <w:rFonts w:hint="eastAsia" w:ascii="仿宋" w:hAnsi="仿宋"/>
          <w:szCs w:val="32"/>
          <w:highlight w:val="none"/>
          <w:shd w:val="clear" w:color="auto" w:fill="auto"/>
          <w:lang w:val="en-US" w:eastAsia="zh-CN"/>
        </w:rPr>
        <w:t>36.23</w:t>
      </w:r>
      <w:r>
        <w:rPr>
          <w:rFonts w:hint="eastAsia" w:ascii="仿宋" w:hAnsi="仿宋"/>
          <w:szCs w:val="32"/>
          <w:highlight w:val="none"/>
          <w:shd w:val="clear" w:color="auto" w:fill="auto"/>
        </w:rPr>
        <w:t>万猪当量的畜禽发展空间。</w:t>
      </w:r>
    </w:p>
    <w:p>
      <w:pPr>
        <w:keepNext/>
        <w:keepLines/>
        <w:pageBreakBefore w:val="0"/>
        <w:widowControl w:val="0"/>
        <w:kinsoku/>
        <w:wordWrap/>
        <w:overflowPunct/>
        <w:topLinePunct w:val="0"/>
        <w:autoSpaceDE/>
        <w:autoSpaceDN/>
        <w:bidi w:val="0"/>
        <w:adjustRightInd/>
        <w:snapToGrid/>
        <w:spacing w:line="240" w:lineRule="auto"/>
        <w:ind w:firstLine="643" w:firstLineChars="200"/>
        <w:jc w:val="left"/>
        <w:textAlignment w:val="auto"/>
        <w:outlineLvl w:val="2"/>
        <w:rPr>
          <w:rFonts w:hint="default" w:ascii="仿宋" w:hAnsi="仿宋" w:eastAsia="仿宋" w:cs="Times New Roman"/>
          <w:b/>
          <w:bCs/>
          <w:color w:val="auto"/>
          <w:kern w:val="2"/>
          <w:sz w:val="32"/>
          <w:szCs w:val="32"/>
          <w:highlight w:val="none"/>
          <w:shd w:val="clear" w:color="auto" w:fill="auto"/>
          <w:lang w:val="en-US" w:eastAsia="zh-CN" w:bidi="ar-SA"/>
        </w:rPr>
      </w:pPr>
      <w:r>
        <w:rPr>
          <w:rFonts w:hint="eastAsia" w:ascii="仿宋" w:hAnsi="仿宋" w:eastAsia="仿宋" w:cs="Times New Roman"/>
          <w:b/>
          <w:bCs/>
          <w:color w:val="auto"/>
          <w:kern w:val="2"/>
          <w:sz w:val="32"/>
          <w:szCs w:val="32"/>
          <w:highlight w:val="none"/>
          <w:shd w:val="clear" w:color="auto" w:fill="auto"/>
          <w:lang w:val="en-US" w:eastAsia="zh-CN" w:bidi="ar-SA"/>
        </w:rPr>
        <w:t>二、环境敏感区</w:t>
      </w:r>
    </w:p>
    <w:p>
      <w:pPr>
        <w:pStyle w:val="14"/>
        <w:spacing w:after="0" w:line="240" w:lineRule="auto"/>
        <w:ind w:left="0" w:leftChars="0" w:right="0" w:rightChars="0" w:firstLine="643" w:firstLineChars="200"/>
        <w:outlineLvl w:val="3"/>
        <w:rPr>
          <w:rFonts w:hint="eastAsia" w:ascii="仿宋" w:hAnsi="仿宋" w:cs="Times New Roman"/>
          <w:b/>
          <w:bCs/>
          <w:szCs w:val="32"/>
          <w:highlight w:val="none"/>
          <w:shd w:val="clear" w:color="auto" w:fill="auto"/>
          <w:lang w:val="en-US" w:eastAsia="zh-CN"/>
        </w:rPr>
      </w:pPr>
      <w:r>
        <w:rPr>
          <w:rFonts w:hint="eastAsia" w:ascii="仿宋" w:hAnsi="仿宋" w:cs="Times New Roman"/>
          <w:b/>
          <w:bCs/>
          <w:szCs w:val="32"/>
          <w:highlight w:val="none"/>
          <w:shd w:val="clear" w:color="auto" w:fill="auto"/>
          <w:lang w:val="en-US" w:eastAsia="zh-CN"/>
        </w:rPr>
        <w:t>（一）集中式饮用水水源地</w:t>
      </w:r>
    </w:p>
    <w:p>
      <w:pPr>
        <w:pStyle w:val="14"/>
        <w:spacing w:after="0" w:line="240" w:lineRule="auto"/>
        <w:ind w:left="0" w:leftChars="0" w:right="0" w:rightChars="0" w:firstLine="640" w:firstLineChars="200"/>
        <w:rPr>
          <w:rFonts w:hint="eastAsia" w:ascii="仿宋" w:hAnsi="仿宋" w:cs="Times New Roman"/>
          <w:szCs w:val="32"/>
          <w:highlight w:val="none"/>
          <w:shd w:val="clear" w:color="auto" w:fill="auto"/>
          <w:lang w:val="en-US" w:eastAsia="zh-CN"/>
        </w:rPr>
      </w:pPr>
      <w:r>
        <w:rPr>
          <w:rFonts w:hint="eastAsia" w:ascii="仿宋" w:hAnsi="仿宋" w:cs="Times New Roman"/>
          <w:szCs w:val="32"/>
          <w:highlight w:val="none"/>
          <w:shd w:val="clear" w:color="auto" w:fill="auto"/>
          <w:lang w:val="en-US" w:eastAsia="zh-CN"/>
        </w:rPr>
        <w:t>1、县级集中式饮用水水源地</w:t>
      </w:r>
    </w:p>
    <w:p>
      <w:pPr>
        <w:pStyle w:val="115"/>
        <w:pageBreakBefore w:val="0"/>
        <w:widowControl w:val="0"/>
        <w:kinsoku/>
        <w:wordWrap/>
        <w:overflowPunct/>
        <w:topLinePunct w:val="0"/>
        <w:bidi w:val="0"/>
        <w:snapToGrid/>
        <w:spacing w:line="560" w:lineRule="exact"/>
        <w:jc w:val="center"/>
        <w:textAlignment w:val="auto"/>
        <w:outlineLvl w:val="7"/>
        <w:rPr>
          <w:rFonts w:hint="default" w:ascii="仿宋" w:hAnsi="仿宋" w:cs="Times New Roman"/>
          <w:szCs w:val="32"/>
          <w:highlight w:val="none"/>
          <w:shd w:val="clear" w:color="auto" w:fill="auto"/>
          <w:lang w:val="en-US" w:eastAsia="zh-CN"/>
        </w:rPr>
      </w:pPr>
      <w:r>
        <w:rPr>
          <w:rFonts w:hint="eastAsia" w:ascii="仿宋" w:hAnsi="仿宋" w:eastAsia="仿宋" w:cs="Times New Roman"/>
          <w:b/>
          <w:color w:val="auto"/>
          <w:sz w:val="28"/>
          <w:szCs w:val="28"/>
          <w:highlight w:val="none"/>
          <w:shd w:val="clear" w:color="auto" w:fill="auto"/>
          <w:lang w:val="en-US" w:eastAsia="zh-CN"/>
        </w:rPr>
        <w:t>表3-1  旺苍县县级集中式饮用水水源地清单</w:t>
      </w:r>
    </w:p>
    <w:tbl>
      <w:tblPr>
        <w:tblStyle w:val="3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58"/>
        <w:gridCol w:w="992"/>
        <w:gridCol w:w="1572"/>
        <w:gridCol w:w="1008"/>
        <w:gridCol w:w="1440"/>
        <w:gridCol w:w="1512"/>
        <w:gridCol w:w="12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blHeader/>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序号</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乡镇</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水源名称</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水源类型</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实际服务人口（万人）</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实际供水量（万吨/天）</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保护区划定文号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blHeader/>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东河镇</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东河城市饮用水水源地</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河流型</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11</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1.97</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川办函〔2010〕26号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blHeader/>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2</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黄洋镇</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黄洋水库集中式饮用水水源地</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水库型</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11</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1.5</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川府函〔2021〕161号</w:t>
            </w:r>
          </w:p>
        </w:tc>
      </w:tr>
    </w:tbl>
    <w:p>
      <w:pPr>
        <w:pStyle w:val="14"/>
        <w:spacing w:after="0" w:line="240" w:lineRule="auto"/>
        <w:ind w:left="0" w:leftChars="0" w:right="0" w:rightChars="0" w:firstLine="640" w:firstLineChars="200"/>
        <w:rPr>
          <w:rFonts w:hint="eastAsia" w:ascii="仿宋" w:hAnsi="仿宋"/>
          <w:szCs w:val="32"/>
          <w:highlight w:val="none"/>
          <w:shd w:val="clear" w:color="auto" w:fill="auto"/>
          <w:lang w:val="en-US" w:eastAsia="zh-CN"/>
        </w:rPr>
      </w:pPr>
      <w:r>
        <w:rPr>
          <w:rFonts w:hint="eastAsia" w:ascii="仿宋" w:hAnsi="仿宋"/>
          <w:szCs w:val="32"/>
          <w:highlight w:val="none"/>
          <w:shd w:val="clear" w:color="auto" w:fill="auto"/>
          <w:lang w:val="en-US" w:eastAsia="zh-CN"/>
        </w:rPr>
        <w:t>2、乡镇级及以下集中式饮用水水源地</w:t>
      </w:r>
    </w:p>
    <w:p>
      <w:pPr>
        <w:pStyle w:val="14"/>
        <w:spacing w:after="0" w:line="240" w:lineRule="auto"/>
        <w:ind w:left="0" w:leftChars="0" w:right="0" w:rightChars="0" w:firstLine="640" w:firstLineChars="200"/>
        <w:rPr>
          <w:rFonts w:hint="eastAsia" w:ascii="仿宋" w:hAnsi="仿宋"/>
          <w:szCs w:val="32"/>
          <w:highlight w:val="none"/>
          <w:shd w:val="clear" w:color="auto" w:fill="auto"/>
          <w:lang w:val="en-US" w:eastAsia="zh-CN"/>
        </w:rPr>
      </w:pPr>
      <w:r>
        <w:rPr>
          <w:rFonts w:hint="eastAsia" w:ascii="仿宋" w:hAnsi="仿宋"/>
          <w:szCs w:val="32"/>
          <w:highlight w:val="none"/>
          <w:shd w:val="clear" w:color="auto" w:fill="auto"/>
          <w:lang w:val="en-US" w:eastAsia="zh-CN"/>
        </w:rPr>
        <w:t>旺苍县“千人万吨”</w:t>
      </w:r>
      <w:r>
        <w:rPr>
          <w:rFonts w:hint="eastAsia" w:ascii="仿宋" w:hAnsi="仿宋" w:cs="Times New Roman"/>
          <w:szCs w:val="32"/>
          <w:highlight w:val="none"/>
          <w:shd w:val="clear" w:color="auto" w:fill="auto"/>
          <w:lang w:val="en-US" w:eastAsia="zh-CN"/>
        </w:rPr>
        <w:t>集中式饮用水水源地</w:t>
      </w:r>
      <w:r>
        <w:rPr>
          <w:rFonts w:hint="eastAsia" w:ascii="仿宋" w:hAnsi="仿宋"/>
          <w:szCs w:val="32"/>
          <w:highlight w:val="none"/>
          <w:shd w:val="clear" w:color="auto" w:fill="auto"/>
          <w:lang w:val="en-US" w:eastAsia="zh-CN"/>
        </w:rPr>
        <w:t>共5个，分布在嘉川镇、普济镇、木门镇和三江镇，乡镇级</w:t>
      </w:r>
      <w:r>
        <w:rPr>
          <w:rFonts w:hint="eastAsia" w:ascii="仿宋" w:hAnsi="仿宋" w:cs="Times New Roman"/>
          <w:szCs w:val="32"/>
          <w:highlight w:val="none"/>
          <w:shd w:val="clear" w:color="auto" w:fill="auto"/>
          <w:lang w:val="en-US" w:eastAsia="zh-CN"/>
        </w:rPr>
        <w:t>集中式饮用水水源地共20个，乡镇级以下集中式饮用水水源地共21个</w:t>
      </w:r>
      <w:r>
        <w:rPr>
          <w:rFonts w:hint="eastAsia" w:ascii="仿宋" w:hAnsi="仿宋"/>
          <w:szCs w:val="32"/>
          <w:highlight w:val="none"/>
          <w:shd w:val="clear" w:color="auto" w:fill="auto"/>
          <w:lang w:val="en-US" w:eastAsia="zh-CN"/>
        </w:rPr>
        <w:t>。</w:t>
      </w:r>
    </w:p>
    <w:p>
      <w:pPr>
        <w:pStyle w:val="115"/>
        <w:pageBreakBefore w:val="0"/>
        <w:widowControl w:val="0"/>
        <w:kinsoku/>
        <w:wordWrap/>
        <w:overflowPunct/>
        <w:topLinePunct w:val="0"/>
        <w:bidi w:val="0"/>
        <w:snapToGrid/>
        <w:spacing w:line="560" w:lineRule="exact"/>
        <w:jc w:val="center"/>
        <w:textAlignment w:val="auto"/>
        <w:outlineLvl w:val="7"/>
        <w:rPr>
          <w:rFonts w:hint="eastAsia" w:ascii="仿宋" w:hAnsi="仿宋"/>
          <w:szCs w:val="32"/>
          <w:highlight w:val="none"/>
          <w:shd w:val="clear" w:color="auto" w:fill="auto"/>
          <w:lang w:val="en-US" w:eastAsia="zh-CN"/>
        </w:rPr>
      </w:pPr>
      <w:r>
        <w:rPr>
          <w:rFonts w:hint="eastAsia" w:ascii="仿宋" w:hAnsi="仿宋" w:eastAsia="仿宋" w:cs="Times New Roman"/>
          <w:b/>
          <w:color w:val="auto"/>
          <w:sz w:val="28"/>
          <w:szCs w:val="28"/>
          <w:highlight w:val="none"/>
          <w:shd w:val="clear" w:color="auto" w:fill="auto"/>
          <w:lang w:val="en-US" w:eastAsia="zh-CN"/>
        </w:rPr>
        <w:t>表3-2  旺苍乡镇级及以下集中式饮用水水源地清单</w:t>
      </w:r>
    </w:p>
    <w:tbl>
      <w:tblPr>
        <w:tblStyle w:val="34"/>
        <w:tblW w:w="842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23"/>
        <w:gridCol w:w="1644"/>
        <w:gridCol w:w="1542"/>
        <w:gridCol w:w="1807"/>
        <w:gridCol w:w="18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blHeader/>
        </w:trPr>
        <w:tc>
          <w:tcPr>
            <w:tcW w:w="1623"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序号</w:t>
            </w:r>
          </w:p>
        </w:tc>
        <w:tc>
          <w:tcPr>
            <w:tcW w:w="1644"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乡镇</w:t>
            </w:r>
          </w:p>
        </w:tc>
        <w:tc>
          <w:tcPr>
            <w:tcW w:w="1542"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乡镇级</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乡镇级以下</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“千人万吨”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23"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c>
          <w:tcPr>
            <w:tcW w:w="1644"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白水镇</w:t>
            </w:r>
          </w:p>
        </w:tc>
        <w:tc>
          <w:tcPr>
            <w:tcW w:w="1542"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2</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23"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2</w:t>
            </w:r>
          </w:p>
        </w:tc>
        <w:tc>
          <w:tcPr>
            <w:tcW w:w="1644"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大德镇</w:t>
            </w:r>
          </w:p>
        </w:tc>
        <w:tc>
          <w:tcPr>
            <w:tcW w:w="1542"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23"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3</w:t>
            </w:r>
          </w:p>
        </w:tc>
        <w:tc>
          <w:tcPr>
            <w:tcW w:w="1644"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大两镇</w:t>
            </w:r>
          </w:p>
        </w:tc>
        <w:tc>
          <w:tcPr>
            <w:tcW w:w="1542"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2</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23"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4</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高阳镇</w:t>
            </w:r>
          </w:p>
        </w:tc>
        <w:tc>
          <w:tcPr>
            <w:tcW w:w="1542"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0</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23"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5</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国华镇</w:t>
            </w:r>
          </w:p>
        </w:tc>
        <w:tc>
          <w:tcPr>
            <w:tcW w:w="1542"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0</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623"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6</w:t>
            </w:r>
          </w:p>
        </w:tc>
        <w:tc>
          <w:tcPr>
            <w:tcW w:w="1644"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黄洋镇</w:t>
            </w:r>
          </w:p>
        </w:tc>
        <w:tc>
          <w:tcPr>
            <w:tcW w:w="1542"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0</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623"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7</w:t>
            </w:r>
          </w:p>
        </w:tc>
        <w:tc>
          <w:tcPr>
            <w:tcW w:w="1644"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嘉川镇</w:t>
            </w:r>
          </w:p>
        </w:tc>
        <w:tc>
          <w:tcPr>
            <w:tcW w:w="1542"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0</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2</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23"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8</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九龙镇</w:t>
            </w:r>
          </w:p>
        </w:tc>
        <w:tc>
          <w:tcPr>
            <w:tcW w:w="1542"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0</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23"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9</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龙凤镇</w:t>
            </w:r>
          </w:p>
        </w:tc>
        <w:tc>
          <w:tcPr>
            <w:tcW w:w="1542"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0</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23"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10</w:t>
            </w:r>
          </w:p>
        </w:tc>
        <w:tc>
          <w:tcPr>
            <w:tcW w:w="1644"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檬子乡</w:t>
            </w:r>
          </w:p>
        </w:tc>
        <w:tc>
          <w:tcPr>
            <w:tcW w:w="1542"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0</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23"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11</w:t>
            </w:r>
          </w:p>
        </w:tc>
        <w:tc>
          <w:tcPr>
            <w:tcW w:w="1644"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米仓山镇</w:t>
            </w:r>
          </w:p>
        </w:tc>
        <w:tc>
          <w:tcPr>
            <w:tcW w:w="1542"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0</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23"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12</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木门镇</w:t>
            </w:r>
          </w:p>
        </w:tc>
        <w:tc>
          <w:tcPr>
            <w:tcW w:w="1542"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4</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23"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13</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普济镇</w:t>
            </w:r>
          </w:p>
        </w:tc>
        <w:tc>
          <w:tcPr>
            <w:tcW w:w="1542"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2</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23"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14</w:t>
            </w:r>
          </w:p>
        </w:tc>
        <w:tc>
          <w:tcPr>
            <w:tcW w:w="1644"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三江镇</w:t>
            </w:r>
          </w:p>
        </w:tc>
        <w:tc>
          <w:tcPr>
            <w:tcW w:w="1542"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2</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2</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23"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15</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双汇镇</w:t>
            </w:r>
          </w:p>
        </w:tc>
        <w:tc>
          <w:tcPr>
            <w:tcW w:w="1542"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2</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23"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16</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水磨镇</w:t>
            </w:r>
          </w:p>
        </w:tc>
        <w:tc>
          <w:tcPr>
            <w:tcW w:w="1542"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23"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17</w:t>
            </w:r>
          </w:p>
        </w:tc>
        <w:tc>
          <w:tcPr>
            <w:tcW w:w="1644"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天星镇</w:t>
            </w:r>
          </w:p>
        </w:tc>
        <w:tc>
          <w:tcPr>
            <w:tcW w:w="1542"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23"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18</w:t>
            </w:r>
          </w:p>
        </w:tc>
        <w:tc>
          <w:tcPr>
            <w:tcW w:w="1644"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五权镇</w:t>
            </w:r>
          </w:p>
        </w:tc>
        <w:tc>
          <w:tcPr>
            <w:tcW w:w="1542"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0</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23"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19</w:t>
            </w:r>
          </w:p>
        </w:tc>
        <w:tc>
          <w:tcPr>
            <w:tcW w:w="1644"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盐河镇</w:t>
            </w:r>
          </w:p>
        </w:tc>
        <w:tc>
          <w:tcPr>
            <w:tcW w:w="1542"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23"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20</w:t>
            </w:r>
          </w:p>
        </w:tc>
        <w:tc>
          <w:tcPr>
            <w:tcW w:w="1644"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燕子乡</w:t>
            </w:r>
          </w:p>
        </w:tc>
        <w:tc>
          <w:tcPr>
            <w:tcW w:w="1542"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0</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23"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21</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英萃镇</w:t>
            </w:r>
          </w:p>
        </w:tc>
        <w:tc>
          <w:tcPr>
            <w:tcW w:w="1542"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0</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623"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22</w:t>
            </w:r>
          </w:p>
        </w:tc>
        <w:tc>
          <w:tcPr>
            <w:tcW w:w="1644"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张华镇</w:t>
            </w:r>
          </w:p>
        </w:tc>
        <w:tc>
          <w:tcPr>
            <w:tcW w:w="1542"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0</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0</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267" w:type="dxa"/>
            <w:gridSpan w:val="2"/>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合计</w:t>
            </w:r>
          </w:p>
        </w:tc>
        <w:tc>
          <w:tcPr>
            <w:tcW w:w="1542"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fldChar w:fldCharType="begin"/>
            </w:r>
            <w:r>
              <w:rPr>
                <w:rFonts w:hint="eastAsia" w:ascii="仿宋" w:hAnsi="仿宋" w:cs="Times New Roman"/>
                <w:b w:val="0"/>
                <w:bCs w:val="0"/>
                <w:color w:val="auto"/>
                <w:sz w:val="24"/>
                <w:szCs w:val="24"/>
                <w:highlight w:val="none"/>
                <w:shd w:val="clear" w:color="auto" w:fill="auto"/>
                <w:lang w:val="en-US" w:eastAsia="zh-CN"/>
              </w:rPr>
              <w:instrText xml:space="preserve"> = sum(C2:C23) \* MERGEFORMAT </w:instrText>
            </w:r>
            <w:r>
              <w:rPr>
                <w:rFonts w:hint="eastAsia" w:ascii="仿宋" w:hAnsi="仿宋" w:cs="Times New Roman"/>
                <w:b w:val="0"/>
                <w:bCs w:val="0"/>
                <w:color w:val="auto"/>
                <w:sz w:val="24"/>
                <w:szCs w:val="24"/>
                <w:highlight w:val="none"/>
                <w:shd w:val="clear" w:color="auto" w:fill="auto"/>
                <w:lang w:val="en-US" w:eastAsia="zh-CN"/>
              </w:rPr>
              <w:fldChar w:fldCharType="separate"/>
            </w:r>
            <w:r>
              <w:rPr>
                <w:rFonts w:hint="eastAsia" w:ascii="仿宋" w:hAnsi="仿宋" w:cs="Times New Roman"/>
                <w:b w:val="0"/>
                <w:bCs w:val="0"/>
                <w:color w:val="auto"/>
                <w:sz w:val="24"/>
                <w:szCs w:val="24"/>
                <w:highlight w:val="none"/>
                <w:shd w:val="clear" w:color="auto" w:fill="auto"/>
                <w:lang w:val="en-US" w:eastAsia="zh-CN"/>
              </w:rPr>
              <w:t>20</w:t>
            </w:r>
            <w:r>
              <w:rPr>
                <w:rFonts w:hint="eastAsia" w:ascii="仿宋" w:hAnsi="仿宋" w:cs="Times New Roman"/>
                <w:b w:val="0"/>
                <w:bCs w:val="0"/>
                <w:color w:val="auto"/>
                <w:sz w:val="24"/>
                <w:szCs w:val="24"/>
                <w:highlight w:val="none"/>
                <w:shd w:val="clear" w:color="auto" w:fill="auto"/>
                <w:lang w:val="en-US" w:eastAsia="zh-CN"/>
              </w:rPr>
              <w:fldChar w:fldCharType="end"/>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fldChar w:fldCharType="begin"/>
            </w:r>
            <w:r>
              <w:rPr>
                <w:rFonts w:hint="eastAsia" w:ascii="仿宋" w:hAnsi="仿宋" w:cs="Times New Roman"/>
                <w:b w:val="0"/>
                <w:bCs w:val="0"/>
                <w:color w:val="auto"/>
                <w:sz w:val="24"/>
                <w:szCs w:val="24"/>
                <w:highlight w:val="none"/>
                <w:shd w:val="clear" w:color="auto" w:fill="auto"/>
                <w:lang w:val="en-US" w:eastAsia="zh-CN"/>
              </w:rPr>
              <w:instrText xml:space="preserve"> = sum(D2:D23) \* MERGEFORMAT </w:instrText>
            </w:r>
            <w:r>
              <w:rPr>
                <w:rFonts w:hint="eastAsia" w:ascii="仿宋" w:hAnsi="仿宋" w:cs="Times New Roman"/>
                <w:b w:val="0"/>
                <w:bCs w:val="0"/>
                <w:color w:val="auto"/>
                <w:sz w:val="24"/>
                <w:szCs w:val="24"/>
                <w:highlight w:val="none"/>
                <w:shd w:val="clear" w:color="auto" w:fill="auto"/>
                <w:lang w:val="en-US" w:eastAsia="zh-CN"/>
              </w:rPr>
              <w:fldChar w:fldCharType="separate"/>
            </w:r>
            <w:r>
              <w:rPr>
                <w:rFonts w:hint="eastAsia" w:ascii="仿宋" w:hAnsi="仿宋" w:cs="Times New Roman"/>
                <w:b w:val="0"/>
                <w:bCs w:val="0"/>
                <w:color w:val="auto"/>
                <w:sz w:val="24"/>
                <w:szCs w:val="24"/>
                <w:highlight w:val="none"/>
                <w:shd w:val="clear" w:color="auto" w:fill="auto"/>
                <w:lang w:val="en-US" w:eastAsia="zh-CN"/>
              </w:rPr>
              <w:t>21</w:t>
            </w:r>
            <w:r>
              <w:rPr>
                <w:rFonts w:hint="eastAsia" w:ascii="仿宋" w:hAnsi="仿宋" w:cs="Times New Roman"/>
                <w:b w:val="0"/>
                <w:bCs w:val="0"/>
                <w:color w:val="auto"/>
                <w:sz w:val="24"/>
                <w:szCs w:val="24"/>
                <w:highlight w:val="none"/>
                <w:shd w:val="clear" w:color="auto" w:fill="auto"/>
                <w:lang w:val="en-US" w:eastAsia="zh-CN"/>
              </w:rPr>
              <w:fldChar w:fldCharType="end"/>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5</w:t>
            </w:r>
          </w:p>
        </w:tc>
      </w:tr>
    </w:tbl>
    <w:p>
      <w:pPr>
        <w:pStyle w:val="14"/>
        <w:spacing w:after="0" w:line="240" w:lineRule="auto"/>
        <w:ind w:left="0" w:leftChars="0" w:right="0" w:rightChars="0" w:firstLine="643" w:firstLineChars="200"/>
        <w:outlineLvl w:val="3"/>
        <w:rPr>
          <w:rFonts w:hint="default" w:ascii="仿宋" w:hAnsi="仿宋" w:cs="Times New Roman"/>
          <w:b/>
          <w:bCs/>
          <w:szCs w:val="32"/>
          <w:highlight w:val="none"/>
          <w:shd w:val="clear" w:color="auto" w:fill="auto"/>
          <w:lang w:val="en-US" w:eastAsia="zh-CN"/>
        </w:rPr>
      </w:pPr>
      <w:r>
        <w:rPr>
          <w:rFonts w:hint="eastAsia" w:ascii="仿宋" w:hAnsi="仿宋" w:cs="Times New Roman"/>
          <w:b/>
          <w:bCs/>
          <w:szCs w:val="32"/>
          <w:highlight w:val="none"/>
          <w:shd w:val="clear" w:color="auto" w:fill="auto"/>
          <w:lang w:val="en-US" w:eastAsia="zh-CN"/>
        </w:rPr>
        <w:t>（二）自然保护地</w:t>
      </w:r>
    </w:p>
    <w:p>
      <w:pPr>
        <w:pStyle w:val="14"/>
        <w:spacing w:after="0" w:line="240" w:lineRule="auto"/>
        <w:ind w:left="0" w:leftChars="0" w:right="0" w:rightChars="0" w:firstLine="640" w:firstLineChars="200"/>
        <w:rPr>
          <w:rFonts w:hint="eastAsia" w:ascii="仿宋" w:hAnsi="仿宋" w:cs="Times New Roman"/>
          <w:szCs w:val="32"/>
          <w:highlight w:val="none"/>
          <w:shd w:val="clear" w:color="auto" w:fill="auto"/>
          <w:lang w:val="en-US" w:eastAsia="zh-CN"/>
        </w:rPr>
      </w:pPr>
      <w:r>
        <w:rPr>
          <w:rFonts w:hint="eastAsia" w:ascii="仿宋" w:hAnsi="仿宋" w:cs="Times New Roman"/>
          <w:szCs w:val="32"/>
          <w:highlight w:val="none"/>
          <w:shd w:val="clear" w:color="auto" w:fill="auto"/>
          <w:lang w:val="en-US" w:eastAsia="zh-CN"/>
        </w:rPr>
        <w:t>旺苍县域内有自然保护区2个，风景自然公园1个，森林自然公园1个，共涉及黄洋镇、高阳镇、双汇镇、英萃镇、米仓山镇、檬子乡、国华镇、盐河镇、天星镇等9个乡镇。</w:t>
      </w:r>
    </w:p>
    <w:p>
      <w:pPr>
        <w:pStyle w:val="115"/>
        <w:pageBreakBefore w:val="0"/>
        <w:widowControl w:val="0"/>
        <w:kinsoku/>
        <w:wordWrap/>
        <w:overflowPunct/>
        <w:topLinePunct w:val="0"/>
        <w:bidi w:val="0"/>
        <w:snapToGrid/>
        <w:spacing w:line="560" w:lineRule="exact"/>
        <w:jc w:val="center"/>
        <w:textAlignment w:val="auto"/>
        <w:outlineLvl w:val="7"/>
        <w:rPr>
          <w:rFonts w:hint="default" w:ascii="仿宋" w:hAnsi="仿宋" w:cs="Times New Roman"/>
          <w:szCs w:val="32"/>
          <w:highlight w:val="none"/>
          <w:shd w:val="clear" w:color="auto" w:fill="auto"/>
          <w:lang w:val="en-US" w:eastAsia="zh-CN"/>
        </w:rPr>
      </w:pPr>
      <w:r>
        <w:rPr>
          <w:rFonts w:hint="eastAsia" w:ascii="仿宋" w:hAnsi="仿宋" w:eastAsia="仿宋" w:cs="Times New Roman"/>
          <w:b/>
          <w:color w:val="auto"/>
          <w:sz w:val="28"/>
          <w:szCs w:val="28"/>
          <w:highlight w:val="none"/>
          <w:shd w:val="clear" w:color="auto" w:fill="auto"/>
          <w:lang w:val="en-US" w:eastAsia="zh-CN"/>
        </w:rPr>
        <w:t>表3-3  旺苍县自然保护地一览表</w:t>
      </w:r>
    </w:p>
    <w:tbl>
      <w:tblPr>
        <w:tblStyle w:val="3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91"/>
        <w:gridCol w:w="1947"/>
        <w:gridCol w:w="2448"/>
        <w:gridCol w:w="1320"/>
        <w:gridCol w:w="1079"/>
        <w:gridCol w:w="9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blHeader/>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序号</w:t>
            </w:r>
          </w:p>
        </w:tc>
        <w:tc>
          <w:tcPr>
            <w:tcW w:w="1142"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名称</w:t>
            </w:r>
          </w:p>
        </w:tc>
        <w:tc>
          <w:tcPr>
            <w:tcW w:w="1436"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保护区范围所在乡镇</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总面积（平方公里）</w:t>
            </w:r>
          </w:p>
        </w:tc>
        <w:tc>
          <w:tcPr>
            <w:tcW w:w="633"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保护区类型</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级别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c>
          <w:tcPr>
            <w:tcW w:w="1142"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米仓山国家级自然保护区</w:t>
            </w:r>
          </w:p>
        </w:tc>
        <w:tc>
          <w:tcPr>
            <w:tcW w:w="1436"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米仓山镇、檬子乡</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2418.96</w:t>
            </w:r>
          </w:p>
        </w:tc>
        <w:tc>
          <w:tcPr>
            <w:tcW w:w="633"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自然保护区</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国家级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8"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2</w:t>
            </w:r>
          </w:p>
        </w:tc>
        <w:tc>
          <w:tcPr>
            <w:tcW w:w="1142"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汉王山东河湿地自然保护区</w:t>
            </w:r>
          </w:p>
        </w:tc>
        <w:tc>
          <w:tcPr>
            <w:tcW w:w="1436"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黄洋镇、高阳镇、双汇镇、英萃镇、米仓山镇、檬子乡、国华镇、盐河镇、天星镇</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49.21</w:t>
            </w:r>
          </w:p>
        </w:tc>
        <w:tc>
          <w:tcPr>
            <w:tcW w:w="633"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自然保护区</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地方级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3"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3</w:t>
            </w:r>
          </w:p>
        </w:tc>
        <w:tc>
          <w:tcPr>
            <w:tcW w:w="1142"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米仓山大峡谷风景区自然公园</w:t>
            </w:r>
          </w:p>
        </w:tc>
        <w:tc>
          <w:tcPr>
            <w:tcW w:w="1436"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盐河镇、高阳镇、黄洋镇</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1433. 52</w:t>
            </w:r>
          </w:p>
        </w:tc>
        <w:tc>
          <w:tcPr>
            <w:tcW w:w="633"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风景自然公园</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国家级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3"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4</w:t>
            </w:r>
          </w:p>
        </w:tc>
        <w:tc>
          <w:tcPr>
            <w:tcW w:w="1142"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旺苍大峡谷森林自然公园</w:t>
            </w:r>
          </w:p>
        </w:tc>
        <w:tc>
          <w:tcPr>
            <w:tcW w:w="1436"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盐河镇</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310.70</w:t>
            </w:r>
          </w:p>
        </w:tc>
        <w:tc>
          <w:tcPr>
            <w:tcW w:w="633"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森林自然公园</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地方级</w:t>
            </w:r>
          </w:p>
        </w:tc>
      </w:tr>
    </w:tbl>
    <w:p>
      <w:pPr>
        <w:bidi w:val="0"/>
        <w:rPr>
          <w:rFonts w:hint="eastAsia" w:ascii="仿宋" w:hAnsi="仿宋"/>
        </w:rPr>
      </w:pPr>
    </w:p>
    <w:p>
      <w:pPr>
        <w:pStyle w:val="14"/>
        <w:spacing w:after="0" w:line="240" w:lineRule="auto"/>
        <w:ind w:left="0" w:leftChars="0" w:right="0" w:rightChars="0" w:firstLine="640" w:firstLineChars="200"/>
        <w:outlineLvl w:val="3"/>
        <w:rPr>
          <w:rFonts w:hint="eastAsia" w:ascii="仿宋" w:hAnsi="仿宋"/>
          <w:szCs w:val="32"/>
          <w:highlight w:val="none"/>
          <w:shd w:val="clear" w:color="auto" w:fill="auto"/>
          <w:lang w:val="en-US" w:eastAsia="zh-CN"/>
        </w:rPr>
      </w:pPr>
      <w:r>
        <w:rPr>
          <w:rFonts w:hint="eastAsia" w:ascii="仿宋" w:hAnsi="仿宋"/>
          <w:szCs w:val="32"/>
          <w:highlight w:val="none"/>
          <w:shd w:val="clear" w:color="auto" w:fill="auto"/>
          <w:lang w:val="en-US" w:eastAsia="zh-CN"/>
        </w:rPr>
        <w:t>（三）</w:t>
      </w:r>
      <w:r>
        <w:rPr>
          <w:rFonts w:hint="eastAsia" w:ascii="仿宋" w:hAnsi="仿宋" w:eastAsia="仿宋" w:cs="Times New Roman"/>
          <w:b/>
          <w:bCs/>
          <w:color w:val="auto"/>
          <w:kern w:val="2"/>
          <w:sz w:val="32"/>
          <w:szCs w:val="32"/>
          <w:highlight w:val="none"/>
          <w:shd w:val="clear" w:color="auto" w:fill="auto"/>
          <w:lang w:val="en-US" w:eastAsia="zh-CN" w:bidi="ar-SA"/>
        </w:rPr>
        <w:t>畜禽养殖禁养区</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szCs w:val="32"/>
          <w:highlight w:val="none"/>
          <w:shd w:val="clear" w:color="auto" w:fill="auto"/>
          <w:lang w:val="en-US" w:eastAsia="zh-CN"/>
        </w:rPr>
        <w:t>1、</w:t>
      </w:r>
      <w:r>
        <w:rPr>
          <w:rFonts w:hint="eastAsia" w:ascii="仿宋" w:hAnsi="仿宋"/>
          <w:szCs w:val="32"/>
          <w:highlight w:val="none"/>
          <w:shd w:val="clear" w:color="auto" w:fill="auto"/>
        </w:rPr>
        <w:t>饮用水水源一级保护区</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szCs w:val="32"/>
          <w:highlight w:val="none"/>
          <w:shd w:val="clear" w:color="auto" w:fill="auto"/>
        </w:rPr>
        <w:t>包括已划定的城市集中式饮用水水源地和乡镇集中式饮用水水源地的一级保护区，以及以后调整为饮用水水源地一级保护区的范围。</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szCs w:val="32"/>
          <w:highlight w:val="none"/>
          <w:shd w:val="clear" w:color="auto" w:fill="auto"/>
          <w:lang w:val="en-US" w:eastAsia="zh-CN"/>
        </w:rPr>
        <w:t>2、</w:t>
      </w:r>
      <w:r>
        <w:rPr>
          <w:rFonts w:hint="eastAsia" w:ascii="仿宋" w:hAnsi="仿宋"/>
          <w:szCs w:val="32"/>
          <w:highlight w:val="none"/>
          <w:shd w:val="clear" w:color="auto" w:fill="auto"/>
        </w:rPr>
        <w:t>文物保护单位</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szCs w:val="32"/>
          <w:highlight w:val="none"/>
          <w:shd w:val="clear" w:color="auto" w:fill="auto"/>
        </w:rPr>
        <w:t>县境内62处文物保护单位的保护范围和建设控制地带内，如木门寺、红军城等的核心景区。</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szCs w:val="32"/>
          <w:highlight w:val="none"/>
          <w:shd w:val="clear" w:color="auto" w:fill="auto"/>
          <w:lang w:val="en-US" w:eastAsia="zh-CN"/>
        </w:rPr>
        <w:t>3、</w:t>
      </w:r>
      <w:r>
        <w:rPr>
          <w:rFonts w:hint="eastAsia" w:ascii="仿宋" w:hAnsi="仿宋"/>
          <w:szCs w:val="32"/>
          <w:highlight w:val="none"/>
          <w:shd w:val="clear" w:color="auto" w:fill="auto"/>
        </w:rPr>
        <w:t>城镇居民区和科学教育文化研究区</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szCs w:val="32"/>
          <w:highlight w:val="none"/>
          <w:shd w:val="clear" w:color="auto" w:fill="auto"/>
        </w:rPr>
        <w:t>根据全县土地利用现状，中心城区和各建制乡镇集镇、街道办、老矿区的建成区范围内。</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szCs w:val="32"/>
          <w:highlight w:val="none"/>
          <w:shd w:val="clear" w:color="auto" w:fill="auto"/>
          <w:lang w:val="en-US" w:eastAsia="zh-CN"/>
        </w:rPr>
        <w:t>4、</w:t>
      </w:r>
      <w:r>
        <w:rPr>
          <w:rFonts w:hint="eastAsia" w:ascii="仿宋" w:hAnsi="仿宋"/>
          <w:szCs w:val="32"/>
          <w:highlight w:val="none"/>
          <w:shd w:val="clear" w:color="auto" w:fill="auto"/>
        </w:rPr>
        <w:t>旅游景区</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szCs w:val="32"/>
          <w:highlight w:val="none"/>
          <w:shd w:val="clear" w:color="auto" w:fill="auto"/>
        </w:rPr>
        <w:t>苍王峡、七里峡、鼓城山等国家A级以上旅游景区的核心景区。</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szCs w:val="32"/>
          <w:highlight w:val="none"/>
          <w:shd w:val="clear" w:color="auto" w:fill="auto"/>
          <w:lang w:val="en-US" w:eastAsia="zh-CN"/>
        </w:rPr>
        <w:t>5、</w:t>
      </w:r>
      <w:r>
        <w:rPr>
          <w:rFonts w:hint="eastAsia" w:ascii="仿宋" w:hAnsi="仿宋"/>
          <w:szCs w:val="32"/>
          <w:highlight w:val="none"/>
          <w:shd w:val="clear" w:color="auto" w:fill="auto"/>
        </w:rPr>
        <w:t>自然保护区的核心区和缓冲区</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szCs w:val="32"/>
          <w:highlight w:val="none"/>
          <w:shd w:val="clear" w:color="auto" w:fill="auto"/>
        </w:rPr>
        <w:t>米仓山国家级自然保护区、汉王山东河湿地省级自然保护区的核心区和缓冲区。</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szCs w:val="32"/>
          <w:highlight w:val="none"/>
          <w:shd w:val="clear" w:color="auto" w:fill="auto"/>
          <w:lang w:val="en-US" w:eastAsia="zh-CN"/>
        </w:rPr>
        <w:t>6、</w:t>
      </w:r>
      <w:r>
        <w:rPr>
          <w:rFonts w:hint="eastAsia" w:ascii="仿宋" w:hAnsi="仿宋"/>
          <w:szCs w:val="32"/>
          <w:highlight w:val="none"/>
          <w:shd w:val="clear" w:color="auto" w:fill="auto"/>
        </w:rPr>
        <w:t>重要河流岸带</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szCs w:val="32"/>
          <w:highlight w:val="none"/>
          <w:shd w:val="clear" w:color="auto" w:fill="auto"/>
        </w:rPr>
        <w:t>县境内省内十大河流的一级支流</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rPr>
        <w:t>东河</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rPr>
        <w:t>干流河道及沿岸纵深200米以内，其它支流</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rPr>
        <w:t>小河里、盐井河、黄洋河、干河、插江、恩阳河、宽滩河、西河、罗平河、清江河、柳溪河等等</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rPr>
        <w:t>河道及沿岸纵深50米以内全面禁养。</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szCs w:val="32"/>
          <w:highlight w:val="none"/>
          <w:shd w:val="clear" w:color="auto" w:fill="auto"/>
          <w:lang w:val="en-US" w:eastAsia="zh-CN"/>
        </w:rPr>
        <w:t>7、</w:t>
      </w:r>
      <w:r>
        <w:rPr>
          <w:rFonts w:hint="eastAsia" w:ascii="仿宋" w:hAnsi="仿宋"/>
          <w:szCs w:val="32"/>
          <w:highlight w:val="none"/>
          <w:shd w:val="clear" w:color="auto" w:fill="auto"/>
        </w:rPr>
        <w:t>重要水库</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szCs w:val="32"/>
          <w:highlight w:val="none"/>
          <w:shd w:val="clear" w:color="auto" w:fill="auto"/>
        </w:rPr>
        <w:t>县境内所有水库校核洪水位线以下的库区全面禁养，此外，茨竹垭水库、红卫水库、跃龙水库、苟家垭水库、关门石水库、林家沟水库6座小</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rPr>
        <w:t>一</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rPr>
        <w:t>型水库校核洪水位线以上100米范围内，金家湾水库、锦旗水库等53座小</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rPr>
        <w:t>二</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rPr>
        <w:t>型水库校核洪水位线以上50米范围内禁止建设畜禽养殖场</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lang w:val="en-US" w:eastAsia="zh-CN"/>
        </w:rPr>
        <w:t>小区</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rPr>
        <w:t>。</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szCs w:val="32"/>
          <w:highlight w:val="none"/>
          <w:shd w:val="clear" w:color="auto" w:fill="auto"/>
        </w:rPr>
        <w:t>8</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rPr>
        <w:t>道路</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szCs w:val="32"/>
          <w:highlight w:val="none"/>
          <w:shd w:val="clear" w:color="auto" w:fill="auto"/>
        </w:rPr>
        <w:t>县境内公路建筑控制区和铁路线路安全保护区范围内，禁止建设畜禽养殖场</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lang w:val="en-US" w:eastAsia="zh-CN"/>
        </w:rPr>
        <w:t>小区</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rPr>
        <w:t>。</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szCs w:val="32"/>
          <w:highlight w:val="none"/>
          <w:shd w:val="clear" w:color="auto" w:fill="auto"/>
        </w:rPr>
        <w:t>9</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rPr>
        <w:t>I级保护林地</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szCs w:val="32"/>
          <w:highlight w:val="none"/>
          <w:shd w:val="clear" w:color="auto" w:fill="auto"/>
        </w:rPr>
        <w:t>县境内I级保护林地规划区范围内，禁止建设畜禽养殖场</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lang w:val="en-US" w:eastAsia="zh-CN"/>
        </w:rPr>
        <w:t>小区</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rPr>
        <w:t>。</w:t>
      </w:r>
    </w:p>
    <w:p>
      <w:pPr>
        <w:pStyle w:val="14"/>
        <w:numPr>
          <w:ilvl w:val="0"/>
          <w:numId w:val="6"/>
        </w:numPr>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szCs w:val="32"/>
          <w:highlight w:val="none"/>
          <w:shd w:val="clear" w:color="auto" w:fill="auto"/>
        </w:rPr>
        <w:t>生态红线涉及区域</w:t>
      </w:r>
    </w:p>
    <w:p>
      <w:pPr>
        <w:pStyle w:val="14"/>
        <w:spacing w:after="0" w:line="240" w:lineRule="auto"/>
        <w:ind w:left="0" w:leftChars="0" w:right="0" w:rightChars="0" w:firstLine="640" w:firstLineChars="200"/>
        <w:jc w:val="both"/>
        <w:rPr>
          <w:rFonts w:hint="eastAsia" w:ascii="仿宋" w:hAnsi="仿宋" w:cs="Times New Roman"/>
          <w:szCs w:val="32"/>
          <w:highlight w:val="none"/>
          <w:shd w:val="clear" w:color="auto" w:fill="auto"/>
        </w:rPr>
      </w:pPr>
      <w:r>
        <w:rPr>
          <w:rFonts w:hint="eastAsia" w:ascii="仿宋" w:hAnsi="仿宋" w:cs="Times New Roman"/>
          <w:szCs w:val="32"/>
          <w:highlight w:val="none"/>
          <w:shd w:val="clear" w:color="auto" w:fill="auto"/>
        </w:rPr>
        <w:t>县境内生态红线涉及区域区范围内</w:t>
      </w:r>
      <w:r>
        <w:rPr>
          <w:rFonts w:hint="eastAsia" w:ascii="仿宋" w:hAnsi="仿宋" w:cs="Times New Roman"/>
          <w:szCs w:val="32"/>
          <w:highlight w:val="none"/>
          <w:shd w:val="clear" w:color="auto" w:fill="auto"/>
          <w:lang w:eastAsia="zh-CN"/>
        </w:rPr>
        <w:t>（</w:t>
      </w:r>
      <w:r>
        <w:rPr>
          <w:rFonts w:hint="eastAsia" w:ascii="仿宋" w:hAnsi="仿宋" w:cs="Times New Roman"/>
          <w:szCs w:val="32"/>
          <w:highlight w:val="none"/>
          <w:shd w:val="clear" w:color="auto" w:fill="auto"/>
        </w:rPr>
        <w:t>生态红线涉及区域正在划定中，划定结束后，将按照相关文件执行</w:t>
      </w:r>
      <w:r>
        <w:rPr>
          <w:rFonts w:hint="eastAsia" w:ascii="仿宋" w:hAnsi="仿宋" w:cs="Times New Roman"/>
          <w:szCs w:val="32"/>
          <w:highlight w:val="none"/>
          <w:shd w:val="clear" w:color="auto" w:fill="auto"/>
          <w:lang w:eastAsia="zh-CN"/>
        </w:rPr>
        <w:t>）</w:t>
      </w:r>
      <w:r>
        <w:rPr>
          <w:rFonts w:hint="eastAsia" w:ascii="仿宋" w:hAnsi="仿宋" w:cs="Times New Roman"/>
          <w:szCs w:val="32"/>
          <w:highlight w:val="none"/>
          <w:shd w:val="clear" w:color="auto" w:fill="auto"/>
        </w:rPr>
        <w:t>，禁止建设畜禽养殖场</w:t>
      </w:r>
      <w:r>
        <w:rPr>
          <w:rFonts w:hint="eastAsia" w:ascii="仿宋" w:hAnsi="仿宋" w:cs="Times New Roman"/>
          <w:szCs w:val="32"/>
          <w:highlight w:val="none"/>
          <w:shd w:val="clear" w:color="auto" w:fill="auto"/>
          <w:lang w:eastAsia="zh-CN"/>
        </w:rPr>
        <w:t>（</w:t>
      </w:r>
      <w:r>
        <w:rPr>
          <w:rFonts w:hint="eastAsia" w:ascii="仿宋" w:hAnsi="仿宋" w:cs="Times New Roman"/>
          <w:szCs w:val="32"/>
          <w:highlight w:val="none"/>
          <w:shd w:val="clear" w:color="auto" w:fill="auto"/>
        </w:rPr>
        <w:t>小区</w:t>
      </w:r>
      <w:r>
        <w:rPr>
          <w:rFonts w:hint="eastAsia" w:ascii="仿宋" w:hAnsi="仿宋" w:cs="Times New Roman"/>
          <w:szCs w:val="32"/>
          <w:highlight w:val="none"/>
          <w:shd w:val="clear" w:color="auto" w:fill="auto"/>
          <w:lang w:eastAsia="zh-CN"/>
        </w:rPr>
        <w:t>）</w:t>
      </w:r>
      <w:r>
        <w:rPr>
          <w:rFonts w:hint="eastAsia" w:ascii="仿宋" w:hAnsi="仿宋" w:cs="Times New Roman"/>
          <w:szCs w:val="32"/>
          <w:highlight w:val="none"/>
          <w:shd w:val="clear" w:color="auto" w:fill="auto"/>
        </w:rPr>
        <w:t>。</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szCs w:val="32"/>
          <w:highlight w:val="none"/>
          <w:shd w:val="clear" w:color="auto" w:fill="auto"/>
        </w:rPr>
        <w:t>11</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rPr>
        <w:t>西部家具产业城</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szCs w:val="32"/>
          <w:highlight w:val="none"/>
          <w:shd w:val="clear" w:color="auto" w:fill="auto"/>
        </w:rPr>
        <w:t>西部家具产业城旺苍境内建成后的区域</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rPr>
        <w:t>家具产业城目前正在规划中，建成后将按照相关文件执行</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rPr>
        <w:t>，禁止建设畜禽养殖场</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rPr>
        <w:t>小区</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rPr>
        <w:t>。</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szCs w:val="32"/>
          <w:highlight w:val="none"/>
          <w:shd w:val="clear" w:color="auto" w:fill="auto"/>
          <w:lang w:val="en-US" w:eastAsia="zh-CN"/>
        </w:rPr>
        <w:t>12、</w:t>
      </w:r>
      <w:r>
        <w:rPr>
          <w:rFonts w:hint="eastAsia" w:ascii="仿宋" w:hAnsi="仿宋"/>
          <w:szCs w:val="32"/>
          <w:highlight w:val="none"/>
          <w:shd w:val="clear" w:color="auto" w:fill="auto"/>
        </w:rPr>
        <w:t>禁养区管理要求</w:t>
      </w:r>
    </w:p>
    <w:p>
      <w:pPr>
        <w:pStyle w:val="14"/>
        <w:spacing w:after="0" w:line="240" w:lineRule="auto"/>
        <w:ind w:left="0" w:leftChars="0" w:right="0" w:rightChars="0" w:firstLine="640" w:firstLineChars="200"/>
        <w:rPr>
          <w:rFonts w:hint="eastAsia" w:ascii="仿宋" w:hAnsi="仿宋" w:cs="Times New Roman"/>
          <w:szCs w:val="32"/>
          <w:highlight w:val="none"/>
          <w:shd w:val="clear" w:color="auto" w:fill="auto"/>
        </w:rPr>
      </w:pPr>
      <w:r>
        <w:rPr>
          <w:rFonts w:hint="eastAsia" w:ascii="仿宋" w:hAnsi="仿宋"/>
          <w:szCs w:val="32"/>
          <w:highlight w:val="none"/>
          <w:shd w:val="clear" w:color="auto" w:fill="auto"/>
        </w:rPr>
        <w:t>禁止建设养殖场的禁养区范围内严禁新建、扩建各类畜禽养殖场，现有养殖场禁止排放污染物并限期实现关停、转产或搬迁；禁止建设有污染物排放养殖场的区域内的养殖场要加快环保设施的改造和完善，搞好粪污消纳处理，禁止排放污染</w:t>
      </w:r>
      <w:r>
        <w:rPr>
          <w:rFonts w:hint="eastAsia" w:ascii="仿宋" w:hAnsi="仿宋" w:cs="Times New Roman"/>
          <w:szCs w:val="32"/>
          <w:highlight w:val="none"/>
          <w:shd w:val="clear" w:color="auto" w:fill="auto"/>
        </w:rPr>
        <w:t>物。</w:t>
      </w:r>
    </w:p>
    <w:p>
      <w:pPr>
        <w:pStyle w:val="14"/>
        <w:spacing w:after="0" w:line="240" w:lineRule="auto"/>
        <w:ind w:left="0" w:leftChars="0" w:right="0" w:rightChars="0" w:firstLine="643" w:firstLineChars="200"/>
        <w:outlineLvl w:val="3"/>
        <w:rPr>
          <w:rFonts w:hint="eastAsia" w:ascii="仿宋" w:hAnsi="仿宋" w:cs="Times New Roman"/>
          <w:b/>
          <w:bCs/>
          <w:szCs w:val="32"/>
          <w:highlight w:val="none"/>
          <w:shd w:val="clear" w:color="auto" w:fill="auto"/>
          <w:lang w:val="en-US" w:eastAsia="zh-CN"/>
        </w:rPr>
      </w:pPr>
      <w:r>
        <w:rPr>
          <w:rFonts w:hint="eastAsia" w:ascii="仿宋" w:hAnsi="仿宋" w:cs="Times New Roman"/>
          <w:b/>
          <w:bCs/>
          <w:szCs w:val="32"/>
          <w:highlight w:val="none"/>
          <w:shd w:val="clear" w:color="auto" w:fill="auto"/>
          <w:lang w:val="en-US" w:eastAsia="zh-CN"/>
        </w:rPr>
        <w:t>（四）畜禽养殖限养区</w:t>
      </w:r>
    </w:p>
    <w:p>
      <w:pPr>
        <w:pStyle w:val="14"/>
        <w:spacing w:after="0" w:line="240" w:lineRule="auto"/>
        <w:ind w:left="0" w:leftChars="0" w:right="0" w:rightChars="0" w:firstLine="640" w:firstLineChars="200"/>
        <w:rPr>
          <w:rFonts w:hint="eastAsia" w:ascii="仿宋" w:hAnsi="仿宋" w:cs="Times New Roman"/>
          <w:szCs w:val="32"/>
          <w:highlight w:val="none"/>
          <w:shd w:val="clear" w:color="auto" w:fill="auto"/>
        </w:rPr>
      </w:pPr>
      <w:r>
        <w:rPr>
          <w:rFonts w:hint="eastAsia" w:ascii="仿宋" w:hAnsi="仿宋" w:cs="Times New Roman"/>
          <w:szCs w:val="32"/>
          <w:highlight w:val="none"/>
          <w:shd w:val="clear" w:color="auto" w:fill="auto"/>
          <w:lang w:val="en-US" w:eastAsia="zh-CN"/>
        </w:rPr>
        <w:t>1、</w:t>
      </w:r>
      <w:r>
        <w:rPr>
          <w:rFonts w:hint="eastAsia" w:ascii="仿宋" w:hAnsi="仿宋" w:cs="Times New Roman"/>
          <w:szCs w:val="32"/>
          <w:highlight w:val="none"/>
          <w:shd w:val="clear" w:color="auto" w:fill="auto"/>
        </w:rPr>
        <w:t>饮用水水源二级保护区</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cs="Times New Roman"/>
          <w:szCs w:val="32"/>
          <w:highlight w:val="none"/>
          <w:shd w:val="clear" w:color="auto" w:fill="auto"/>
        </w:rPr>
        <w:t>城镇集中</w:t>
      </w:r>
      <w:r>
        <w:rPr>
          <w:rFonts w:hint="eastAsia" w:ascii="仿宋" w:hAnsi="仿宋"/>
          <w:szCs w:val="32"/>
          <w:highlight w:val="none"/>
          <w:shd w:val="clear" w:color="auto" w:fill="auto"/>
        </w:rPr>
        <w:t>式饮用水水源地和乡镇集中式饮用水水源地的二级保护区。</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szCs w:val="32"/>
          <w:highlight w:val="none"/>
          <w:shd w:val="clear" w:color="auto" w:fill="auto"/>
        </w:rPr>
        <w:t>2</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rPr>
        <w:t>旅游景区</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szCs w:val="32"/>
          <w:highlight w:val="none"/>
          <w:shd w:val="clear" w:color="auto" w:fill="auto"/>
        </w:rPr>
        <w:t>木门寺、红军城、七里峡、鼓城山等国家A级以上旅游景区的非核心景区。</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szCs w:val="32"/>
          <w:highlight w:val="none"/>
          <w:shd w:val="clear" w:color="auto" w:fill="auto"/>
        </w:rPr>
        <w:t>3</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rPr>
        <w:t>城镇居民区和科学教育文化研究区</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szCs w:val="32"/>
          <w:highlight w:val="none"/>
          <w:shd w:val="clear" w:color="auto" w:fill="auto"/>
        </w:rPr>
        <w:t>根据旺苍现行规划，中心城区和各建制乡镇集镇、街道办、老矿区等规划建设用地范围内除禁养区外的其他区域。</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szCs w:val="32"/>
          <w:highlight w:val="none"/>
          <w:shd w:val="clear" w:color="auto" w:fill="auto"/>
        </w:rPr>
        <w:t>4</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rPr>
        <w:t>重要道路沿线</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szCs w:val="32"/>
          <w:highlight w:val="none"/>
          <w:shd w:val="clear" w:color="auto" w:fill="auto"/>
        </w:rPr>
        <w:t>县境内公路建筑控制区外</w:t>
      </w:r>
      <w:r>
        <w:rPr>
          <w:rFonts w:hint="eastAsia" w:ascii="仿宋" w:hAnsi="仿宋"/>
          <w:szCs w:val="32"/>
          <w:highlight w:val="none"/>
          <w:shd w:val="clear" w:color="auto" w:fill="auto"/>
          <w:lang w:val="en-US" w:eastAsia="zh-CN"/>
        </w:rPr>
        <w:t>：</w:t>
      </w:r>
      <w:r>
        <w:rPr>
          <w:rFonts w:hint="eastAsia" w:ascii="仿宋" w:hAnsi="仿宋"/>
          <w:szCs w:val="32"/>
          <w:highlight w:val="none"/>
          <w:shd w:val="clear" w:color="auto" w:fill="auto"/>
        </w:rPr>
        <w:t>国道公路、高速公路干道两侧各200米以内区域，省道公路干道两侧各50米以内区域，县道公路干道两侧各20米以内区域，乡道公路干道两侧各10米以内区域。</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szCs w:val="32"/>
          <w:highlight w:val="none"/>
          <w:shd w:val="clear" w:color="auto" w:fill="auto"/>
        </w:rPr>
        <w:t>县境内铁路线路安全保护区外</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rPr>
        <w:t>干道两侧各200米以内区域。</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szCs w:val="32"/>
          <w:highlight w:val="none"/>
          <w:shd w:val="clear" w:color="auto" w:fill="auto"/>
          <w:lang w:val="en-US" w:eastAsia="zh-CN"/>
        </w:rPr>
        <w:t>5、</w:t>
      </w:r>
      <w:r>
        <w:rPr>
          <w:rFonts w:hint="eastAsia" w:ascii="仿宋" w:hAnsi="仿宋"/>
          <w:szCs w:val="32"/>
          <w:highlight w:val="none"/>
          <w:shd w:val="clear" w:color="auto" w:fill="auto"/>
        </w:rPr>
        <w:t>限养区管理要求</w:t>
      </w:r>
    </w:p>
    <w:p>
      <w:pPr>
        <w:pStyle w:val="14"/>
        <w:spacing w:after="0" w:line="240" w:lineRule="auto"/>
        <w:ind w:left="0" w:leftChars="0" w:right="0" w:rightChars="0" w:firstLine="640" w:firstLineChars="200"/>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szCs w:val="32"/>
          <w:highlight w:val="none"/>
          <w:shd w:val="clear" w:color="auto" w:fill="auto"/>
        </w:rPr>
        <w:t>各类限养区应严格按照划定的区域和要求，限定畜禽养殖场建设的数量和养殖规模，搞好环保设施改造和建设，搞好粪污消</w:t>
      </w:r>
      <w:r>
        <w:rPr>
          <w:rFonts w:hint="eastAsia" w:ascii="仿宋" w:hAnsi="仿宋" w:eastAsia="仿宋_GB2312" w:cs="Times New Roman"/>
          <w:kern w:val="2"/>
          <w:sz w:val="32"/>
          <w:szCs w:val="32"/>
          <w:highlight w:val="none"/>
          <w:shd w:val="clear" w:color="auto" w:fill="auto"/>
          <w:lang w:val="en-US" w:eastAsia="zh-CN" w:bidi="ar-SA"/>
        </w:rPr>
        <w:t>纳处理。</w:t>
      </w:r>
    </w:p>
    <w:p>
      <w:pPr>
        <w:keepNext/>
        <w:keepLines/>
        <w:pageBreakBefore w:val="0"/>
        <w:widowControl w:val="0"/>
        <w:kinsoku/>
        <w:wordWrap/>
        <w:overflowPunct/>
        <w:topLinePunct w:val="0"/>
        <w:autoSpaceDE/>
        <w:autoSpaceDN/>
        <w:bidi w:val="0"/>
        <w:adjustRightInd/>
        <w:snapToGrid/>
        <w:spacing w:line="240" w:lineRule="auto"/>
        <w:ind w:firstLine="643" w:firstLineChars="200"/>
        <w:jc w:val="left"/>
        <w:textAlignment w:val="auto"/>
        <w:outlineLvl w:val="2"/>
        <w:rPr>
          <w:rFonts w:hint="eastAsia" w:ascii="仿宋" w:hAnsi="仿宋" w:eastAsia="仿宋" w:cs="Times New Roman"/>
          <w:b/>
          <w:bCs/>
          <w:color w:val="auto"/>
          <w:kern w:val="2"/>
          <w:sz w:val="32"/>
          <w:szCs w:val="32"/>
          <w:highlight w:val="none"/>
          <w:shd w:val="clear" w:color="auto" w:fill="auto"/>
          <w:lang w:val="en-US" w:eastAsia="zh-CN" w:bidi="ar-SA"/>
        </w:rPr>
      </w:pPr>
      <w:r>
        <w:rPr>
          <w:rFonts w:hint="eastAsia" w:ascii="仿宋" w:hAnsi="仿宋" w:eastAsia="仿宋" w:cs="Times New Roman"/>
          <w:b/>
          <w:bCs/>
          <w:color w:val="auto"/>
          <w:kern w:val="2"/>
          <w:sz w:val="32"/>
          <w:szCs w:val="32"/>
          <w:highlight w:val="none"/>
          <w:shd w:val="clear" w:color="auto" w:fill="auto"/>
          <w:lang w:val="en-US" w:eastAsia="zh-CN" w:bidi="ar-SA"/>
        </w:rPr>
        <w:t>三、各乡镇畜禽养殖环境承载力</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szCs w:val="32"/>
          <w:highlight w:val="none"/>
          <w:shd w:val="clear" w:color="auto" w:fill="auto"/>
        </w:rPr>
        <w:t>根据</w:t>
      </w:r>
      <w:r>
        <w:rPr>
          <w:rFonts w:hint="eastAsia" w:ascii="仿宋" w:hAnsi="仿宋" w:cs="Times New Roman"/>
          <w:color w:val="auto"/>
          <w:szCs w:val="32"/>
          <w:highlight w:val="none"/>
          <w:shd w:val="clear" w:color="auto" w:fill="auto"/>
          <w:lang w:val="en-US" w:eastAsia="zh-CN"/>
        </w:rPr>
        <w:t>《畜禽粪便土地承载力测算方法》（NY/T 3877-2021）测算</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lang w:val="en-US" w:eastAsia="zh-CN"/>
        </w:rPr>
        <w:t>得到各乡镇</w:t>
      </w:r>
      <w:r>
        <w:rPr>
          <w:rFonts w:hint="eastAsia" w:ascii="仿宋" w:hAnsi="仿宋"/>
          <w:szCs w:val="32"/>
          <w:highlight w:val="none"/>
          <w:shd w:val="clear" w:color="auto" w:fill="auto"/>
        </w:rPr>
        <w:t>耕地、园地、林地和草地等所能消纳的最大畜禽粪污量</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rPr>
        <w:t>折算为猪当量</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rPr>
        <w:t>确定畜禽养殖场户配套土地面积是否符合需要。</w:t>
      </w:r>
      <w:r>
        <w:rPr>
          <w:rFonts w:hint="eastAsia" w:ascii="仿宋" w:hAnsi="仿宋"/>
          <w:szCs w:val="32"/>
          <w:highlight w:val="none"/>
          <w:shd w:val="clear" w:color="auto" w:fill="auto"/>
          <w:lang w:val="en-US" w:eastAsia="zh-CN"/>
        </w:rPr>
        <w:t>不可本地消纳的乡镇</w:t>
      </w:r>
      <w:r>
        <w:rPr>
          <w:rFonts w:hint="eastAsia" w:ascii="仿宋" w:hAnsi="仿宋"/>
          <w:szCs w:val="32"/>
          <w:highlight w:val="none"/>
          <w:shd w:val="clear" w:color="auto" w:fill="auto"/>
        </w:rPr>
        <w:t>可外运；</w:t>
      </w:r>
      <w:r>
        <w:rPr>
          <w:rFonts w:hint="eastAsia" w:ascii="仿宋" w:hAnsi="仿宋"/>
          <w:szCs w:val="32"/>
          <w:highlight w:val="none"/>
          <w:shd w:val="clear" w:color="auto" w:fill="auto"/>
          <w:lang w:val="en-US" w:eastAsia="zh-CN"/>
        </w:rPr>
        <w:t>亦可</w:t>
      </w:r>
      <w:r>
        <w:rPr>
          <w:rFonts w:hint="eastAsia" w:ascii="仿宋" w:hAnsi="仿宋"/>
          <w:szCs w:val="32"/>
          <w:highlight w:val="none"/>
          <w:shd w:val="clear" w:color="auto" w:fill="auto"/>
        </w:rPr>
        <w:t>通过提高粪肥替代化肥比例、养殖污水深度处理后达标排放、增加有机肥料外售量等措施，确保农田消纳粪污量与环境承载力相匹配。</w:t>
      </w:r>
    </w:p>
    <w:p>
      <w:pPr>
        <w:pStyle w:val="115"/>
        <w:pageBreakBefore w:val="0"/>
        <w:widowControl w:val="0"/>
        <w:kinsoku/>
        <w:wordWrap/>
        <w:overflowPunct/>
        <w:topLinePunct w:val="0"/>
        <w:bidi w:val="0"/>
        <w:snapToGrid/>
        <w:spacing w:line="560" w:lineRule="exact"/>
        <w:jc w:val="center"/>
        <w:textAlignment w:val="auto"/>
        <w:outlineLvl w:val="7"/>
        <w:rPr>
          <w:rFonts w:hint="eastAsia" w:ascii="仿宋" w:hAnsi="仿宋"/>
          <w:szCs w:val="32"/>
          <w:highlight w:val="none"/>
          <w:shd w:val="clear" w:color="auto" w:fill="auto"/>
        </w:rPr>
      </w:pPr>
      <w:r>
        <w:rPr>
          <w:rFonts w:hint="eastAsia" w:ascii="仿宋" w:hAnsi="仿宋" w:eastAsia="仿宋" w:cs="Times New Roman"/>
          <w:b/>
          <w:color w:val="auto"/>
          <w:sz w:val="28"/>
          <w:szCs w:val="28"/>
          <w:highlight w:val="none"/>
          <w:shd w:val="clear" w:color="auto" w:fill="auto"/>
          <w:lang w:val="en-US" w:eastAsia="zh-CN"/>
        </w:rPr>
        <w:t>表3-4  旺苍县各乡镇养殖户畜禽养殖土地承载情况表</w:t>
      </w:r>
    </w:p>
    <w:tbl>
      <w:tblPr>
        <w:tblStyle w:val="34"/>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42"/>
        <w:gridCol w:w="1759"/>
        <w:gridCol w:w="2858"/>
        <w:gridCol w:w="2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blHeader/>
          <w:jc w:val="center"/>
        </w:trPr>
        <w:tc>
          <w:tcPr>
            <w:tcW w:w="61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序号</w:t>
            </w:r>
          </w:p>
        </w:tc>
        <w:tc>
          <w:tcPr>
            <w:tcW w:w="103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乡镇</w:t>
            </w:r>
          </w:p>
        </w:tc>
        <w:tc>
          <w:tcPr>
            <w:tcW w:w="1677"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差值</w:t>
            </w:r>
          </w:p>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 ：剩余</w:t>
            </w:r>
          </w:p>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 ：缺少</w:t>
            </w:r>
          </w:p>
        </w:tc>
        <w:tc>
          <w:tcPr>
            <w:tcW w:w="1678"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粪污资源利用总体规划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1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c>
          <w:tcPr>
            <w:tcW w:w="103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白水镇</w:t>
            </w:r>
          </w:p>
        </w:tc>
        <w:tc>
          <w:tcPr>
            <w:tcW w:w="1677"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-5974 </w:t>
            </w:r>
          </w:p>
        </w:tc>
        <w:tc>
          <w:tcPr>
            <w:tcW w:w="1678"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粪肥外运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jc w:val="center"/>
        </w:trPr>
        <w:tc>
          <w:tcPr>
            <w:tcW w:w="61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2</w:t>
            </w:r>
          </w:p>
        </w:tc>
        <w:tc>
          <w:tcPr>
            <w:tcW w:w="103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双汇镇</w:t>
            </w:r>
          </w:p>
        </w:tc>
        <w:tc>
          <w:tcPr>
            <w:tcW w:w="1677"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-387 </w:t>
            </w:r>
          </w:p>
        </w:tc>
        <w:tc>
          <w:tcPr>
            <w:tcW w:w="1678"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粪肥外运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jc w:val="center"/>
        </w:trPr>
        <w:tc>
          <w:tcPr>
            <w:tcW w:w="61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3</w:t>
            </w:r>
          </w:p>
        </w:tc>
        <w:tc>
          <w:tcPr>
            <w:tcW w:w="103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龙凤镇</w:t>
            </w:r>
          </w:p>
        </w:tc>
        <w:tc>
          <w:tcPr>
            <w:tcW w:w="1677"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5623 </w:t>
            </w:r>
          </w:p>
        </w:tc>
        <w:tc>
          <w:tcPr>
            <w:tcW w:w="1678"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当地消纳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jc w:val="center"/>
        </w:trPr>
        <w:tc>
          <w:tcPr>
            <w:tcW w:w="61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4</w:t>
            </w:r>
          </w:p>
        </w:tc>
        <w:tc>
          <w:tcPr>
            <w:tcW w:w="103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大德镇</w:t>
            </w:r>
          </w:p>
        </w:tc>
        <w:tc>
          <w:tcPr>
            <w:tcW w:w="1677"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-1680 </w:t>
            </w:r>
          </w:p>
        </w:tc>
        <w:tc>
          <w:tcPr>
            <w:tcW w:w="1678"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粪肥外运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jc w:val="center"/>
        </w:trPr>
        <w:tc>
          <w:tcPr>
            <w:tcW w:w="61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5</w:t>
            </w:r>
          </w:p>
        </w:tc>
        <w:tc>
          <w:tcPr>
            <w:tcW w:w="103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大两镇</w:t>
            </w:r>
          </w:p>
        </w:tc>
        <w:tc>
          <w:tcPr>
            <w:tcW w:w="1677"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-2339 </w:t>
            </w:r>
          </w:p>
        </w:tc>
        <w:tc>
          <w:tcPr>
            <w:tcW w:w="1678"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粪肥外运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jc w:val="center"/>
        </w:trPr>
        <w:tc>
          <w:tcPr>
            <w:tcW w:w="61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6</w:t>
            </w:r>
          </w:p>
        </w:tc>
        <w:tc>
          <w:tcPr>
            <w:tcW w:w="103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高阳镇</w:t>
            </w:r>
          </w:p>
        </w:tc>
        <w:tc>
          <w:tcPr>
            <w:tcW w:w="1677"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-502 </w:t>
            </w:r>
          </w:p>
        </w:tc>
        <w:tc>
          <w:tcPr>
            <w:tcW w:w="1678"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粪肥外运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jc w:val="center"/>
        </w:trPr>
        <w:tc>
          <w:tcPr>
            <w:tcW w:w="61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7</w:t>
            </w:r>
          </w:p>
        </w:tc>
        <w:tc>
          <w:tcPr>
            <w:tcW w:w="103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国华镇</w:t>
            </w:r>
          </w:p>
        </w:tc>
        <w:tc>
          <w:tcPr>
            <w:tcW w:w="1677"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960 </w:t>
            </w:r>
          </w:p>
        </w:tc>
        <w:tc>
          <w:tcPr>
            <w:tcW w:w="1678"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当地消纳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1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8</w:t>
            </w:r>
          </w:p>
        </w:tc>
        <w:tc>
          <w:tcPr>
            <w:tcW w:w="103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黄洋镇</w:t>
            </w:r>
          </w:p>
        </w:tc>
        <w:tc>
          <w:tcPr>
            <w:tcW w:w="1677"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-583 </w:t>
            </w:r>
          </w:p>
        </w:tc>
        <w:tc>
          <w:tcPr>
            <w:tcW w:w="1678"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粪肥外运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jc w:val="center"/>
        </w:trPr>
        <w:tc>
          <w:tcPr>
            <w:tcW w:w="61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9</w:t>
            </w:r>
          </w:p>
        </w:tc>
        <w:tc>
          <w:tcPr>
            <w:tcW w:w="103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九龙镇</w:t>
            </w:r>
          </w:p>
        </w:tc>
        <w:tc>
          <w:tcPr>
            <w:tcW w:w="1677"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-2496 </w:t>
            </w:r>
          </w:p>
        </w:tc>
        <w:tc>
          <w:tcPr>
            <w:tcW w:w="1678"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粪肥外运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jc w:val="center"/>
        </w:trPr>
        <w:tc>
          <w:tcPr>
            <w:tcW w:w="61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10</w:t>
            </w:r>
          </w:p>
        </w:tc>
        <w:tc>
          <w:tcPr>
            <w:tcW w:w="103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张华镇</w:t>
            </w:r>
          </w:p>
        </w:tc>
        <w:tc>
          <w:tcPr>
            <w:tcW w:w="1677"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7170 </w:t>
            </w:r>
          </w:p>
        </w:tc>
        <w:tc>
          <w:tcPr>
            <w:tcW w:w="1678"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当地消纳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jc w:val="center"/>
        </w:trPr>
        <w:tc>
          <w:tcPr>
            <w:tcW w:w="61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11</w:t>
            </w:r>
          </w:p>
        </w:tc>
        <w:tc>
          <w:tcPr>
            <w:tcW w:w="103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盐河镇</w:t>
            </w:r>
          </w:p>
        </w:tc>
        <w:tc>
          <w:tcPr>
            <w:tcW w:w="1677"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-299 </w:t>
            </w:r>
          </w:p>
        </w:tc>
        <w:tc>
          <w:tcPr>
            <w:tcW w:w="1678"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粪肥外运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jc w:val="center"/>
        </w:trPr>
        <w:tc>
          <w:tcPr>
            <w:tcW w:w="61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12</w:t>
            </w:r>
          </w:p>
        </w:tc>
        <w:tc>
          <w:tcPr>
            <w:tcW w:w="103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普济镇</w:t>
            </w:r>
          </w:p>
        </w:tc>
        <w:tc>
          <w:tcPr>
            <w:tcW w:w="1677"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-3740 </w:t>
            </w:r>
          </w:p>
        </w:tc>
        <w:tc>
          <w:tcPr>
            <w:tcW w:w="1678"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粪肥外运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1" w:hRule="atLeast"/>
          <w:jc w:val="center"/>
        </w:trPr>
        <w:tc>
          <w:tcPr>
            <w:tcW w:w="61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13</w:t>
            </w:r>
          </w:p>
        </w:tc>
        <w:tc>
          <w:tcPr>
            <w:tcW w:w="103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水磨镇</w:t>
            </w:r>
          </w:p>
        </w:tc>
        <w:tc>
          <w:tcPr>
            <w:tcW w:w="1677"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-1749 </w:t>
            </w:r>
          </w:p>
        </w:tc>
        <w:tc>
          <w:tcPr>
            <w:tcW w:w="1678"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粪肥外运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jc w:val="center"/>
        </w:trPr>
        <w:tc>
          <w:tcPr>
            <w:tcW w:w="61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14</w:t>
            </w:r>
          </w:p>
        </w:tc>
        <w:tc>
          <w:tcPr>
            <w:tcW w:w="103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五权镇</w:t>
            </w:r>
          </w:p>
        </w:tc>
        <w:tc>
          <w:tcPr>
            <w:tcW w:w="1677"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1395 </w:t>
            </w:r>
          </w:p>
        </w:tc>
        <w:tc>
          <w:tcPr>
            <w:tcW w:w="1678"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当地消纳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jc w:val="center"/>
        </w:trPr>
        <w:tc>
          <w:tcPr>
            <w:tcW w:w="61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15</w:t>
            </w:r>
          </w:p>
        </w:tc>
        <w:tc>
          <w:tcPr>
            <w:tcW w:w="103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嘉川镇</w:t>
            </w:r>
          </w:p>
        </w:tc>
        <w:tc>
          <w:tcPr>
            <w:tcW w:w="1677"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-2222 </w:t>
            </w:r>
          </w:p>
        </w:tc>
        <w:tc>
          <w:tcPr>
            <w:tcW w:w="1678"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粪肥外运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jc w:val="center"/>
        </w:trPr>
        <w:tc>
          <w:tcPr>
            <w:tcW w:w="61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16</w:t>
            </w:r>
          </w:p>
        </w:tc>
        <w:tc>
          <w:tcPr>
            <w:tcW w:w="103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米仓山镇</w:t>
            </w:r>
          </w:p>
        </w:tc>
        <w:tc>
          <w:tcPr>
            <w:tcW w:w="1677"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-110 </w:t>
            </w:r>
          </w:p>
        </w:tc>
        <w:tc>
          <w:tcPr>
            <w:tcW w:w="1678"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粪肥外运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jc w:val="center"/>
        </w:trPr>
        <w:tc>
          <w:tcPr>
            <w:tcW w:w="61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17</w:t>
            </w:r>
          </w:p>
        </w:tc>
        <w:tc>
          <w:tcPr>
            <w:tcW w:w="103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东河镇</w:t>
            </w:r>
          </w:p>
        </w:tc>
        <w:tc>
          <w:tcPr>
            <w:tcW w:w="1677"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11826 </w:t>
            </w:r>
          </w:p>
        </w:tc>
        <w:tc>
          <w:tcPr>
            <w:tcW w:w="1678"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当地消纳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jc w:val="center"/>
        </w:trPr>
        <w:tc>
          <w:tcPr>
            <w:tcW w:w="61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18</w:t>
            </w:r>
          </w:p>
        </w:tc>
        <w:tc>
          <w:tcPr>
            <w:tcW w:w="103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木门镇</w:t>
            </w:r>
          </w:p>
        </w:tc>
        <w:tc>
          <w:tcPr>
            <w:tcW w:w="1677"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3358 </w:t>
            </w:r>
          </w:p>
        </w:tc>
        <w:tc>
          <w:tcPr>
            <w:tcW w:w="1678"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当地消纳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jc w:val="center"/>
        </w:trPr>
        <w:tc>
          <w:tcPr>
            <w:tcW w:w="61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19</w:t>
            </w:r>
          </w:p>
        </w:tc>
        <w:tc>
          <w:tcPr>
            <w:tcW w:w="103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燕子乡</w:t>
            </w:r>
          </w:p>
        </w:tc>
        <w:tc>
          <w:tcPr>
            <w:tcW w:w="1677"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-3817 </w:t>
            </w:r>
          </w:p>
        </w:tc>
        <w:tc>
          <w:tcPr>
            <w:tcW w:w="1678"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粪肥外运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jc w:val="center"/>
        </w:trPr>
        <w:tc>
          <w:tcPr>
            <w:tcW w:w="61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20</w:t>
            </w:r>
          </w:p>
        </w:tc>
        <w:tc>
          <w:tcPr>
            <w:tcW w:w="103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天星镇</w:t>
            </w:r>
          </w:p>
        </w:tc>
        <w:tc>
          <w:tcPr>
            <w:tcW w:w="1677"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1957 </w:t>
            </w:r>
          </w:p>
        </w:tc>
        <w:tc>
          <w:tcPr>
            <w:tcW w:w="1678"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当地消纳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jc w:val="center"/>
        </w:trPr>
        <w:tc>
          <w:tcPr>
            <w:tcW w:w="61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21</w:t>
            </w:r>
          </w:p>
        </w:tc>
        <w:tc>
          <w:tcPr>
            <w:tcW w:w="103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英萃镇</w:t>
            </w:r>
          </w:p>
        </w:tc>
        <w:tc>
          <w:tcPr>
            <w:tcW w:w="1677"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-2306 </w:t>
            </w:r>
          </w:p>
        </w:tc>
        <w:tc>
          <w:tcPr>
            <w:tcW w:w="1678"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粪肥外运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jc w:val="center"/>
        </w:trPr>
        <w:tc>
          <w:tcPr>
            <w:tcW w:w="61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22</w:t>
            </w:r>
          </w:p>
        </w:tc>
        <w:tc>
          <w:tcPr>
            <w:tcW w:w="103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三江镇</w:t>
            </w:r>
          </w:p>
        </w:tc>
        <w:tc>
          <w:tcPr>
            <w:tcW w:w="1677"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5871 </w:t>
            </w:r>
          </w:p>
        </w:tc>
        <w:tc>
          <w:tcPr>
            <w:tcW w:w="1678"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当地消纳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jc w:val="center"/>
        </w:trPr>
        <w:tc>
          <w:tcPr>
            <w:tcW w:w="1644" w:type="pct"/>
            <w:gridSpan w:val="2"/>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合计</w:t>
            </w:r>
          </w:p>
        </w:tc>
        <w:tc>
          <w:tcPr>
            <w:tcW w:w="1677"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fldChar w:fldCharType="begin"/>
            </w:r>
            <w:r>
              <w:rPr>
                <w:rFonts w:hint="eastAsia" w:ascii="仿宋" w:hAnsi="仿宋" w:cs="Times New Roman"/>
                <w:b w:val="0"/>
                <w:bCs w:val="0"/>
                <w:color w:val="auto"/>
                <w:sz w:val="24"/>
                <w:szCs w:val="24"/>
                <w:highlight w:val="none"/>
                <w:shd w:val="clear" w:color="auto" w:fill="auto"/>
                <w:lang w:val="en-US" w:eastAsia="zh-CN"/>
              </w:rPr>
              <w:instrText xml:space="preserve"> = sum(E2:E23) \* MERGEFORMAT </w:instrText>
            </w:r>
            <w:r>
              <w:rPr>
                <w:rFonts w:hint="eastAsia" w:ascii="仿宋" w:hAnsi="仿宋" w:cs="Times New Roman"/>
                <w:b w:val="0"/>
                <w:bCs w:val="0"/>
                <w:color w:val="auto"/>
                <w:sz w:val="24"/>
                <w:szCs w:val="24"/>
                <w:highlight w:val="none"/>
                <w:shd w:val="clear" w:color="auto" w:fill="auto"/>
                <w:lang w:val="en-US" w:eastAsia="zh-CN"/>
              </w:rPr>
              <w:fldChar w:fldCharType="separate"/>
            </w:r>
            <w:r>
              <w:rPr>
                <w:rFonts w:hint="eastAsia" w:ascii="仿宋" w:hAnsi="仿宋" w:cs="Times New Roman"/>
                <w:b w:val="0"/>
                <w:bCs w:val="0"/>
                <w:color w:val="auto"/>
                <w:sz w:val="24"/>
                <w:szCs w:val="24"/>
                <w:highlight w:val="none"/>
                <w:shd w:val="clear" w:color="auto" w:fill="auto"/>
                <w:lang w:val="en-US" w:eastAsia="zh-CN"/>
              </w:rPr>
              <w:t>9956</w:t>
            </w:r>
            <w:r>
              <w:rPr>
                <w:rFonts w:hint="eastAsia" w:ascii="仿宋" w:hAnsi="仿宋" w:cs="Times New Roman"/>
                <w:b w:val="0"/>
                <w:bCs w:val="0"/>
                <w:color w:val="auto"/>
                <w:sz w:val="24"/>
                <w:szCs w:val="24"/>
                <w:highlight w:val="none"/>
                <w:shd w:val="clear" w:color="auto" w:fill="auto"/>
                <w:lang w:val="en-US" w:eastAsia="zh-CN"/>
              </w:rPr>
              <w:fldChar w:fldCharType="end"/>
            </w:r>
          </w:p>
        </w:tc>
        <w:tc>
          <w:tcPr>
            <w:tcW w:w="1678"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w:t>
            </w:r>
          </w:p>
        </w:tc>
      </w:tr>
    </w:tbl>
    <w:p>
      <w:pPr>
        <w:bidi w:val="0"/>
        <w:rPr>
          <w:rFonts w:hint="eastAsia" w:ascii="仿宋" w:hAnsi="仿宋"/>
        </w:rPr>
      </w:pP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cs="Times New Roman"/>
          <w:color w:val="auto"/>
          <w:szCs w:val="32"/>
          <w:highlight w:val="none"/>
          <w:shd w:val="clear" w:color="auto" w:fill="auto"/>
          <w:lang w:val="en-US" w:eastAsia="zh-CN"/>
        </w:rPr>
        <w:t>结合旺苍县水源保护区、自然保护地、</w:t>
      </w:r>
      <w:r>
        <w:rPr>
          <w:rFonts w:hint="eastAsia" w:ascii="仿宋" w:hAnsi="仿宋"/>
          <w:szCs w:val="32"/>
          <w:highlight w:val="none"/>
          <w:shd w:val="clear" w:color="auto" w:fill="auto"/>
          <w:lang w:eastAsia="zh-CN"/>
        </w:rPr>
        <w:t>禁养区</w:t>
      </w:r>
      <w:r>
        <w:rPr>
          <w:rFonts w:hint="eastAsia" w:ascii="仿宋" w:hAnsi="仿宋"/>
          <w:szCs w:val="32"/>
          <w:highlight w:val="none"/>
          <w:shd w:val="clear" w:color="auto" w:fill="auto"/>
          <w:lang w:val="en-US" w:eastAsia="zh-CN"/>
        </w:rPr>
        <w:t>和</w:t>
      </w:r>
      <w:r>
        <w:rPr>
          <w:rFonts w:hint="eastAsia" w:ascii="仿宋" w:hAnsi="仿宋"/>
          <w:szCs w:val="32"/>
          <w:highlight w:val="none"/>
          <w:shd w:val="clear" w:color="auto" w:fill="auto"/>
          <w:lang w:eastAsia="zh-CN"/>
        </w:rPr>
        <w:t>限养区</w:t>
      </w:r>
      <w:r>
        <w:rPr>
          <w:rFonts w:hint="eastAsia" w:ascii="仿宋" w:hAnsi="仿宋"/>
          <w:szCs w:val="32"/>
          <w:highlight w:val="none"/>
          <w:shd w:val="clear" w:color="auto" w:fill="auto"/>
          <w:lang w:val="en-US" w:eastAsia="zh-CN"/>
        </w:rPr>
        <w:t>等环境敏感区情况</w:t>
      </w:r>
      <w:r>
        <w:rPr>
          <w:rFonts w:hint="eastAsia" w:ascii="仿宋" w:hAnsi="仿宋"/>
          <w:szCs w:val="32"/>
          <w:highlight w:val="none"/>
          <w:shd w:val="clear" w:color="auto" w:fill="auto"/>
          <w:lang w:eastAsia="zh-CN"/>
        </w:rPr>
        <w:t>筛选出重点</w:t>
      </w:r>
      <w:r>
        <w:rPr>
          <w:rFonts w:hint="eastAsia" w:ascii="仿宋" w:hAnsi="仿宋"/>
          <w:szCs w:val="32"/>
          <w:highlight w:val="none"/>
          <w:shd w:val="clear" w:color="auto" w:fill="auto"/>
          <w:lang w:val="en-US" w:eastAsia="zh-CN"/>
        </w:rPr>
        <w:t>整治范围为东河镇、黄洋镇、高阳镇、双汇镇、英萃镇、米仓山镇、檬子乡、国华镇、盐河镇、天星镇等10个乡镇</w:t>
      </w:r>
      <w:r>
        <w:rPr>
          <w:rFonts w:hint="eastAsia" w:ascii="仿宋" w:hAnsi="仿宋"/>
          <w:szCs w:val="32"/>
          <w:highlight w:val="none"/>
          <w:shd w:val="clear" w:color="auto" w:fill="auto"/>
        </w:rPr>
        <w:t>。</w:t>
      </w:r>
    </w:p>
    <w:p>
      <w:pPr>
        <w:bidi w:val="0"/>
        <w:rPr>
          <w:rFonts w:hint="eastAsia" w:ascii="仿宋" w:hAnsi="仿宋"/>
          <w:lang w:val="en-US" w:eastAsia="zh-CN"/>
        </w:rPr>
      </w:pPr>
    </w:p>
    <w:p>
      <w:pPr>
        <w:keepNext/>
        <w:keepLines/>
        <w:pageBreakBefore w:val="0"/>
        <w:widowControl w:val="0"/>
        <w:kinsoku/>
        <w:wordWrap/>
        <w:overflowPunct/>
        <w:topLinePunct w:val="0"/>
        <w:bidi w:val="0"/>
        <w:snapToGrid/>
        <w:spacing w:line="240" w:lineRule="auto"/>
        <w:ind w:firstLine="0" w:firstLineChars="0"/>
        <w:jc w:val="center"/>
        <w:textAlignment w:val="auto"/>
        <w:outlineLvl w:val="1"/>
        <w:rPr>
          <w:rFonts w:hint="default" w:ascii="仿宋" w:hAnsi="仿宋" w:eastAsia="仿宋" w:cs="Times New Roman"/>
          <w:b/>
          <w:color w:val="auto"/>
          <w:kern w:val="2"/>
          <w:sz w:val="36"/>
          <w:szCs w:val="36"/>
          <w:highlight w:val="none"/>
          <w:shd w:val="clear" w:color="auto" w:fill="auto"/>
          <w:lang w:val="en-US" w:eastAsia="zh-CN" w:bidi="ar-SA"/>
        </w:rPr>
      </w:pPr>
      <w:bookmarkStart w:id="58" w:name="_Toc5966"/>
      <w:r>
        <w:rPr>
          <w:rFonts w:hint="eastAsia" w:ascii="仿宋" w:hAnsi="仿宋" w:eastAsia="仿宋" w:cs="Times New Roman"/>
          <w:b/>
          <w:color w:val="auto"/>
          <w:kern w:val="2"/>
          <w:sz w:val="36"/>
          <w:szCs w:val="36"/>
          <w:highlight w:val="none"/>
          <w:shd w:val="clear" w:color="auto" w:fill="auto"/>
          <w:lang w:val="en-US" w:eastAsia="zh-CN" w:bidi="ar-SA"/>
        </w:rPr>
        <w:t>第三节 目标可实现性分析</w:t>
      </w:r>
      <w:bookmarkEnd w:id="58"/>
    </w:p>
    <w:bookmarkEnd w:id="45"/>
    <w:p>
      <w:pPr>
        <w:keepNext/>
        <w:keepLines/>
        <w:pageBreakBefore w:val="0"/>
        <w:widowControl w:val="0"/>
        <w:kinsoku/>
        <w:wordWrap/>
        <w:overflowPunct/>
        <w:topLinePunct w:val="0"/>
        <w:autoSpaceDE/>
        <w:autoSpaceDN/>
        <w:bidi w:val="0"/>
        <w:adjustRightInd/>
        <w:snapToGrid/>
        <w:spacing w:line="240" w:lineRule="auto"/>
        <w:ind w:firstLine="643" w:firstLineChars="200"/>
        <w:jc w:val="left"/>
        <w:textAlignment w:val="auto"/>
        <w:outlineLvl w:val="2"/>
        <w:rPr>
          <w:rFonts w:hint="eastAsia" w:ascii="仿宋" w:hAnsi="仿宋" w:eastAsia="仿宋" w:cs="Times New Roman"/>
          <w:b/>
          <w:bCs/>
          <w:color w:val="auto"/>
          <w:kern w:val="2"/>
          <w:sz w:val="32"/>
          <w:szCs w:val="32"/>
          <w:highlight w:val="none"/>
          <w:shd w:val="clear" w:color="auto" w:fill="auto"/>
          <w:lang w:val="en-US" w:eastAsia="zh-CN" w:bidi="ar-SA"/>
        </w:rPr>
      </w:pPr>
      <w:bookmarkStart w:id="59" w:name="（一）坚持源头管控，推进畜牧业融合发展"/>
      <w:bookmarkEnd w:id="59"/>
      <w:bookmarkStart w:id="60" w:name="_bookmark10"/>
      <w:bookmarkEnd w:id="60"/>
      <w:bookmarkStart w:id="61" w:name="_Toc1671"/>
      <w:bookmarkStart w:id="62" w:name="_Toc10634"/>
      <w:bookmarkStart w:id="63" w:name="_Toc29482176"/>
      <w:r>
        <w:rPr>
          <w:rFonts w:hint="eastAsia" w:ascii="仿宋" w:hAnsi="仿宋" w:eastAsia="仿宋" w:cs="Times New Roman"/>
          <w:b/>
          <w:bCs/>
          <w:color w:val="auto"/>
          <w:kern w:val="2"/>
          <w:sz w:val="32"/>
          <w:szCs w:val="32"/>
          <w:highlight w:val="none"/>
          <w:shd w:val="clear" w:color="auto" w:fill="auto"/>
          <w:lang w:val="en-US" w:eastAsia="zh-CN" w:bidi="ar-SA"/>
        </w:rPr>
        <w:t>一、基础条件分析</w:t>
      </w:r>
      <w:bookmarkEnd w:id="61"/>
      <w:bookmarkEnd w:id="62"/>
      <w:bookmarkEnd w:id="63"/>
    </w:p>
    <w:p>
      <w:pPr>
        <w:pStyle w:val="14"/>
        <w:spacing w:after="0" w:line="240" w:lineRule="auto"/>
        <w:ind w:left="0" w:leftChars="0" w:right="0" w:rightChars="0" w:firstLine="640" w:firstLineChars="200"/>
        <w:rPr>
          <w:rFonts w:hint="eastAsia" w:ascii="仿宋" w:hAnsi="仿宋" w:cs="Times New Roman"/>
          <w:szCs w:val="32"/>
          <w:highlight w:val="none"/>
          <w:shd w:val="clear" w:color="auto" w:fill="auto"/>
          <w:lang w:val="en-US" w:eastAsia="zh-CN"/>
        </w:rPr>
      </w:pPr>
      <w:r>
        <w:rPr>
          <w:rFonts w:hint="eastAsia" w:ascii="仿宋" w:hAnsi="仿宋" w:cs="Times New Roman"/>
          <w:szCs w:val="32"/>
          <w:highlight w:val="none"/>
          <w:shd w:val="clear" w:color="auto" w:fill="auto"/>
          <w:lang w:val="en-US" w:eastAsia="zh-CN"/>
        </w:rPr>
        <w:t>至2021年，旺苍县实施畜禽粪污资源化利用整县推进项目，中央财政补助资金3500万元顺利到县财政，用于全县209个规模养殖场和专业机构开展畜禽粪污资源化利用设施设备建设；同时开展农村人居环境整治工作，有效推进农村散养户和养殖专业户畜禽粪污进行资源化利用。将畜禽粪污资源化利用整县推进项目和农村人居环境整治工作有机结合，能实现规模养殖场、养殖专业户和散养户畜禽粪污资源化利用全覆盖。结合东凡园区建设项目、生猪调出大县奖励资金项目等项目进行全面、多方位的畜禽养殖污染防治工作，按照“种养结合、循环利用”的原则，有效实现畜禽粪污污染源变资源化利用。</w:t>
      </w:r>
    </w:p>
    <w:p>
      <w:pPr>
        <w:pStyle w:val="14"/>
        <w:spacing w:after="0" w:line="240" w:lineRule="auto"/>
        <w:ind w:left="0" w:leftChars="0" w:right="0" w:rightChars="0" w:firstLine="640" w:firstLineChars="200"/>
        <w:rPr>
          <w:rFonts w:hint="eastAsia" w:ascii="仿宋" w:hAnsi="仿宋" w:cs="Times New Roman"/>
          <w:szCs w:val="32"/>
          <w:highlight w:val="none"/>
          <w:shd w:val="clear" w:color="auto" w:fill="auto"/>
          <w:lang w:val="en-US" w:eastAsia="zh-CN"/>
        </w:rPr>
      </w:pPr>
      <w:r>
        <w:rPr>
          <w:rFonts w:hint="eastAsia" w:ascii="仿宋" w:hAnsi="仿宋" w:cs="Times New Roman"/>
          <w:szCs w:val="32"/>
          <w:highlight w:val="none"/>
          <w:shd w:val="clear" w:color="auto" w:fill="auto"/>
          <w:lang w:val="en-US" w:eastAsia="zh-CN"/>
        </w:rPr>
        <w:t>全县固体粪便堆肥利用、粪污收集还田利用、污水肥料化利用、粪污沼气发酵能源化利用，人工种草养畜面积达7.93万亩，消纳粪肥35万吨，消纳畜禽养殖废水52.3万吨，全县人工种草养畜实现畜禽粪污87.3万吨肥料化利用；截至目前，全县共建户用沼气池3.3万口、沼气工程11处，全县沼气池共26.78万立方米，年处理粪污约85.7万吨。</w:t>
      </w:r>
    </w:p>
    <w:p>
      <w:pPr>
        <w:pStyle w:val="14"/>
        <w:spacing w:after="0" w:line="240" w:lineRule="auto"/>
        <w:ind w:left="0" w:leftChars="0" w:right="0" w:rightChars="0" w:firstLine="640" w:firstLineChars="200"/>
        <w:rPr>
          <w:rFonts w:hint="eastAsia" w:ascii="仿宋" w:hAnsi="仿宋" w:cs="Times New Roman"/>
          <w:szCs w:val="32"/>
          <w:highlight w:val="none"/>
          <w:shd w:val="clear" w:color="auto" w:fill="auto"/>
          <w:lang w:val="en-US" w:eastAsia="zh-CN"/>
        </w:rPr>
      </w:pPr>
      <w:r>
        <w:rPr>
          <w:rFonts w:hint="eastAsia" w:ascii="仿宋" w:hAnsi="仿宋" w:cs="Times New Roman"/>
          <w:szCs w:val="32"/>
          <w:highlight w:val="none"/>
          <w:shd w:val="clear" w:color="auto" w:fill="auto"/>
          <w:lang w:val="en-US" w:eastAsia="zh-CN"/>
        </w:rPr>
        <w:t>目前，全县畜禽粪污综合利用率达到96%，规模养殖场粪污处理设施装备配套率100%，大型规模养殖场粪污处理设施装备配套率100%。</w:t>
      </w:r>
    </w:p>
    <w:p>
      <w:pPr>
        <w:keepNext/>
        <w:keepLines/>
        <w:pageBreakBefore w:val="0"/>
        <w:widowControl w:val="0"/>
        <w:kinsoku/>
        <w:wordWrap/>
        <w:overflowPunct/>
        <w:topLinePunct w:val="0"/>
        <w:autoSpaceDE/>
        <w:autoSpaceDN/>
        <w:bidi w:val="0"/>
        <w:adjustRightInd/>
        <w:snapToGrid/>
        <w:spacing w:line="240" w:lineRule="auto"/>
        <w:ind w:firstLine="643" w:firstLineChars="200"/>
        <w:jc w:val="left"/>
        <w:textAlignment w:val="auto"/>
        <w:outlineLvl w:val="2"/>
        <w:rPr>
          <w:rFonts w:hint="eastAsia" w:ascii="仿宋" w:hAnsi="仿宋" w:eastAsia="仿宋" w:cs="Times New Roman"/>
          <w:b/>
          <w:bCs/>
          <w:color w:val="auto"/>
          <w:kern w:val="2"/>
          <w:sz w:val="32"/>
          <w:szCs w:val="32"/>
          <w:highlight w:val="none"/>
          <w:shd w:val="clear" w:color="auto" w:fill="auto"/>
          <w:lang w:val="en-US" w:eastAsia="zh-CN" w:bidi="ar-SA"/>
        </w:rPr>
      </w:pPr>
      <w:bookmarkStart w:id="64" w:name="_Toc29482177"/>
      <w:bookmarkStart w:id="65" w:name="_Toc6924"/>
      <w:bookmarkStart w:id="66" w:name="_Toc9369"/>
      <w:r>
        <w:rPr>
          <w:rFonts w:hint="eastAsia" w:ascii="仿宋" w:hAnsi="仿宋" w:eastAsia="仿宋" w:cs="Times New Roman"/>
          <w:b/>
          <w:bCs/>
          <w:color w:val="auto"/>
          <w:kern w:val="2"/>
          <w:sz w:val="32"/>
          <w:szCs w:val="32"/>
          <w:highlight w:val="none"/>
          <w:shd w:val="clear" w:color="auto" w:fill="auto"/>
          <w:lang w:val="en-US" w:eastAsia="zh-CN" w:bidi="ar-SA"/>
        </w:rPr>
        <w:t>二、规划目标的合理性分析</w:t>
      </w:r>
      <w:bookmarkEnd w:id="64"/>
      <w:bookmarkEnd w:id="65"/>
      <w:bookmarkEnd w:id="66"/>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_GB2312" w:cs="Times New Roman"/>
          <w:strike w:val="0"/>
          <w:dstrike w:val="0"/>
          <w:color w:val="auto"/>
          <w:kern w:val="2"/>
          <w:sz w:val="32"/>
          <w:szCs w:val="32"/>
          <w:highlight w:val="none"/>
          <w:shd w:val="clear" w:color="auto" w:fill="auto"/>
          <w:lang w:val="en-US" w:eastAsia="zh-CN" w:bidi="ar-SA"/>
        </w:rPr>
      </w:pPr>
      <w:r>
        <w:rPr>
          <w:rFonts w:hint="eastAsia" w:ascii="仿宋" w:hAnsi="仿宋" w:eastAsia="仿宋_GB2312" w:cs="Times New Roman"/>
          <w:strike w:val="0"/>
          <w:dstrike w:val="0"/>
          <w:color w:val="auto"/>
          <w:kern w:val="2"/>
          <w:sz w:val="32"/>
          <w:szCs w:val="32"/>
          <w:highlight w:val="none"/>
          <w:shd w:val="clear" w:color="auto" w:fill="auto"/>
          <w:lang w:val="en-US" w:eastAsia="zh-CN" w:bidi="ar-SA"/>
        </w:rPr>
        <w:t>随着政府治污宣传引导、投入和查处力度的加强，以及企业和人民群众自身环保意识的提升，近五年来逐步发展了一些生态型规模养殖场，这类养殖场采取干清粪方式，建设废弃物储存设施，无污水排放口，且粪便、污水/尿液等全部进行农业综合利用，大大减少了养殖行业污染物的排放。</w:t>
      </w:r>
    </w:p>
    <w:p>
      <w:pPr>
        <w:pStyle w:val="14"/>
        <w:spacing w:after="0" w:line="240" w:lineRule="auto"/>
        <w:ind w:left="0" w:leftChars="0" w:right="0" w:rightChars="0" w:firstLine="640" w:firstLineChars="200"/>
        <w:rPr>
          <w:rFonts w:hint="eastAsia" w:ascii="仿宋" w:hAnsi="仿宋" w:cs="Times New Roman"/>
          <w:szCs w:val="32"/>
          <w:highlight w:val="none"/>
          <w:shd w:val="clear" w:color="auto" w:fill="auto"/>
          <w:lang w:val="en-US" w:eastAsia="zh-CN"/>
        </w:rPr>
      </w:pPr>
      <w:r>
        <w:rPr>
          <w:rFonts w:hint="eastAsia" w:ascii="仿宋" w:hAnsi="仿宋" w:cs="Times New Roman"/>
          <w:szCs w:val="32"/>
          <w:highlight w:val="none"/>
          <w:shd w:val="clear" w:color="auto" w:fill="auto"/>
          <w:lang w:val="en-US" w:eastAsia="zh-CN"/>
        </w:rPr>
        <w:t>通过本次规划工程项目的实施，结合旺苍县环境敏感区情况首要优先在2023年对黄洋镇、高阳镇、米仓山镇、檬子乡、盐河镇等5个乡镇进行整治，而后在2024年对东河镇、双汇镇、英萃镇、国华镇、天星镇等5个乡镇进行整治。可进一步完善全县畜禽养殖粪污建设，扩大粪污处理设施服务范围，增加受益村养殖场户和村民，提畜禽粪污综合利用率</w:t>
      </w:r>
      <w:bookmarkStart w:id="67" w:name="_Toc10786"/>
      <w:bookmarkStart w:id="68" w:name="_Toc23604"/>
      <w:bookmarkStart w:id="69" w:name="_Toc29482178"/>
      <w:r>
        <w:rPr>
          <w:rFonts w:hint="eastAsia" w:ascii="仿宋" w:hAnsi="仿宋" w:cs="Times New Roman"/>
          <w:szCs w:val="32"/>
          <w:highlight w:val="none"/>
          <w:shd w:val="clear" w:color="auto" w:fill="auto"/>
          <w:lang w:val="en-US" w:eastAsia="zh-CN"/>
        </w:rPr>
        <w:t>。</w:t>
      </w:r>
    </w:p>
    <w:p>
      <w:pPr>
        <w:pStyle w:val="115"/>
        <w:pageBreakBefore w:val="0"/>
        <w:widowControl w:val="0"/>
        <w:kinsoku/>
        <w:wordWrap/>
        <w:overflowPunct/>
        <w:topLinePunct w:val="0"/>
        <w:bidi w:val="0"/>
        <w:snapToGrid/>
        <w:spacing w:line="560" w:lineRule="exact"/>
        <w:jc w:val="center"/>
        <w:textAlignment w:val="auto"/>
        <w:outlineLvl w:val="7"/>
        <w:rPr>
          <w:rFonts w:hint="eastAsia" w:ascii="仿宋" w:hAnsi="仿宋" w:eastAsia="仿宋" w:cs="Times New Roman"/>
          <w:b/>
          <w:color w:val="auto"/>
          <w:sz w:val="28"/>
          <w:szCs w:val="28"/>
          <w:highlight w:val="none"/>
          <w:shd w:val="clear" w:color="auto" w:fill="auto"/>
          <w:lang w:val="en-US" w:eastAsia="zh-CN"/>
        </w:rPr>
      </w:pPr>
      <w:r>
        <w:rPr>
          <w:rFonts w:hint="eastAsia" w:ascii="仿宋" w:hAnsi="仿宋" w:eastAsia="仿宋" w:cs="Times New Roman"/>
          <w:b/>
          <w:color w:val="auto"/>
          <w:sz w:val="28"/>
          <w:szCs w:val="28"/>
          <w:highlight w:val="none"/>
          <w:shd w:val="clear" w:color="auto" w:fill="auto"/>
          <w:lang w:val="en-US" w:eastAsia="zh-CN"/>
        </w:rPr>
        <w:t>表3-5  旺苍县土地承载和畜禽养殖分析表（万头）</w:t>
      </w:r>
    </w:p>
    <w:tbl>
      <w:tblPr>
        <w:tblStyle w:val="3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37"/>
        <w:gridCol w:w="1638"/>
        <w:gridCol w:w="1638"/>
        <w:gridCol w:w="2028"/>
        <w:gridCol w:w="19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726"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年份</w:t>
            </w:r>
          </w:p>
        </w:tc>
        <w:tc>
          <w:tcPr>
            <w:tcW w:w="96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猪当量</w:t>
            </w:r>
          </w:p>
        </w:tc>
        <w:tc>
          <w:tcPr>
            <w:tcW w:w="96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剩余可承载猪当量</w:t>
            </w:r>
          </w:p>
        </w:tc>
        <w:tc>
          <w:tcPr>
            <w:tcW w:w="119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治理后增加可承载猪当量</w:t>
            </w:r>
          </w:p>
        </w:tc>
        <w:tc>
          <w:tcPr>
            <w:tcW w:w="116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治理后剩余可承载猪当量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26"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2020年</w:t>
            </w:r>
          </w:p>
        </w:tc>
        <w:tc>
          <w:tcPr>
            <w:tcW w:w="96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57.59</w:t>
            </w:r>
          </w:p>
        </w:tc>
        <w:tc>
          <w:tcPr>
            <w:tcW w:w="96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36.23</w:t>
            </w:r>
          </w:p>
        </w:tc>
        <w:tc>
          <w:tcPr>
            <w:tcW w:w="119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w:t>
            </w:r>
          </w:p>
        </w:tc>
        <w:tc>
          <w:tcPr>
            <w:tcW w:w="116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26"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2025年</w:t>
            </w:r>
          </w:p>
        </w:tc>
        <w:tc>
          <w:tcPr>
            <w:tcW w:w="96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132.07</w:t>
            </w:r>
          </w:p>
        </w:tc>
        <w:tc>
          <w:tcPr>
            <w:tcW w:w="96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36.23</w:t>
            </w:r>
          </w:p>
        </w:tc>
        <w:tc>
          <w:tcPr>
            <w:tcW w:w="119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115.18</w:t>
            </w:r>
          </w:p>
        </w:tc>
        <w:tc>
          <w:tcPr>
            <w:tcW w:w="116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19.34</w:t>
            </w:r>
          </w:p>
        </w:tc>
      </w:tr>
    </w:tbl>
    <w:p>
      <w:pPr>
        <w:pStyle w:val="14"/>
        <w:spacing w:after="0" w:line="240" w:lineRule="auto"/>
        <w:ind w:left="0" w:leftChars="0" w:right="0" w:rightChars="0" w:firstLine="640" w:firstLineChars="200"/>
        <w:rPr>
          <w:rFonts w:ascii="仿宋" w:hAnsi="仿宋"/>
          <w:szCs w:val="32"/>
          <w:highlight w:val="none"/>
          <w:shd w:val="clear" w:color="auto" w:fill="auto"/>
        </w:rPr>
      </w:pPr>
      <w:r>
        <w:rPr>
          <w:rFonts w:hint="eastAsia" w:ascii="仿宋" w:hAnsi="仿宋" w:cs="Times New Roman"/>
          <w:szCs w:val="32"/>
          <w:highlight w:val="none"/>
          <w:shd w:val="clear" w:color="auto" w:fill="auto"/>
          <w:lang w:val="en-US" w:eastAsia="zh-CN"/>
        </w:rPr>
        <w:t>到2025年，</w:t>
      </w:r>
      <w:r>
        <w:rPr>
          <w:rFonts w:ascii="仿宋" w:hAnsi="仿宋"/>
          <w:szCs w:val="32"/>
          <w:highlight w:val="none"/>
          <w:shd w:val="clear" w:color="auto" w:fill="auto"/>
        </w:rPr>
        <w:t>全</w:t>
      </w:r>
      <w:r>
        <w:rPr>
          <w:rFonts w:hint="eastAsia" w:ascii="仿宋" w:hAnsi="仿宋"/>
          <w:szCs w:val="32"/>
          <w:highlight w:val="none"/>
          <w:shd w:val="clear" w:color="auto" w:fill="auto"/>
        </w:rPr>
        <w:t>县畜禽粪污综合利用率</w:t>
      </w:r>
      <w:r>
        <w:rPr>
          <w:rFonts w:hint="eastAsia" w:ascii="仿宋" w:hAnsi="仿宋"/>
          <w:szCs w:val="32"/>
          <w:highlight w:val="none"/>
          <w:shd w:val="clear" w:color="auto" w:fill="auto"/>
          <w:lang w:val="en-US" w:eastAsia="zh-CN"/>
        </w:rPr>
        <w:t>动态增长保持</w:t>
      </w:r>
      <w:r>
        <w:rPr>
          <w:rFonts w:hint="eastAsia" w:ascii="仿宋" w:hAnsi="仿宋"/>
          <w:szCs w:val="32"/>
          <w:highlight w:val="none"/>
          <w:shd w:val="clear" w:color="auto" w:fill="auto"/>
        </w:rPr>
        <w:t>9</w:t>
      </w:r>
      <w:r>
        <w:rPr>
          <w:rFonts w:hint="eastAsia" w:ascii="仿宋" w:hAnsi="仿宋"/>
          <w:szCs w:val="32"/>
          <w:highlight w:val="none"/>
          <w:shd w:val="clear" w:color="auto" w:fill="auto"/>
          <w:lang w:val="en-US" w:eastAsia="zh-CN"/>
        </w:rPr>
        <w:t>6</w:t>
      </w:r>
      <w:r>
        <w:rPr>
          <w:rFonts w:hint="eastAsia" w:ascii="仿宋" w:hAnsi="仿宋"/>
          <w:szCs w:val="32"/>
          <w:highlight w:val="none"/>
          <w:shd w:val="clear" w:color="auto" w:fill="auto"/>
        </w:rPr>
        <w:t>%</w:t>
      </w:r>
      <w:r>
        <w:rPr>
          <w:rFonts w:hint="eastAsia" w:ascii="仿宋" w:hAnsi="仿宋"/>
          <w:szCs w:val="32"/>
          <w:highlight w:val="none"/>
          <w:shd w:val="clear" w:color="auto" w:fill="auto"/>
          <w:lang w:val="en-US" w:eastAsia="zh-CN"/>
        </w:rPr>
        <w:t>以上</w:t>
      </w:r>
      <w:r>
        <w:rPr>
          <w:rFonts w:hint="eastAsia" w:ascii="仿宋" w:hAnsi="仿宋"/>
          <w:szCs w:val="32"/>
          <w:highlight w:val="none"/>
          <w:shd w:val="clear" w:color="auto" w:fill="auto"/>
        </w:rPr>
        <w:t>，</w:t>
      </w:r>
      <w:r>
        <w:rPr>
          <w:rFonts w:hint="eastAsia" w:ascii="仿宋" w:hAnsi="仿宋"/>
          <w:szCs w:val="32"/>
          <w:highlight w:val="none"/>
          <w:shd w:val="clear" w:color="auto" w:fill="auto"/>
          <w:lang w:val="en-US" w:eastAsia="zh-CN"/>
        </w:rPr>
        <w:t>畜禽</w:t>
      </w:r>
      <w:r>
        <w:rPr>
          <w:rFonts w:hint="eastAsia" w:ascii="仿宋" w:hAnsi="仿宋"/>
          <w:szCs w:val="32"/>
          <w:highlight w:val="none"/>
          <w:shd w:val="clear" w:color="auto" w:fill="auto"/>
        </w:rPr>
        <w:t>规模养殖场粪污处理设施装备配套</w:t>
      </w:r>
      <w:r>
        <w:rPr>
          <w:rFonts w:hint="eastAsia" w:ascii="仿宋" w:hAnsi="仿宋"/>
          <w:szCs w:val="32"/>
          <w:highlight w:val="none"/>
          <w:shd w:val="clear" w:color="auto" w:fill="auto"/>
          <w:lang w:val="en-US" w:eastAsia="zh-CN"/>
        </w:rPr>
        <w:t>率动态增长保持</w:t>
      </w:r>
      <w:r>
        <w:rPr>
          <w:rFonts w:hint="eastAsia" w:ascii="仿宋" w:hAnsi="仿宋"/>
          <w:szCs w:val="32"/>
          <w:highlight w:val="none"/>
          <w:shd w:val="clear" w:color="auto" w:fill="auto"/>
        </w:rPr>
        <w:t>100%</w:t>
      </w:r>
      <w:r>
        <w:rPr>
          <w:rFonts w:hint="eastAsia" w:ascii="仿宋" w:hAnsi="仿宋"/>
          <w:szCs w:val="32"/>
          <w:highlight w:val="none"/>
          <w:shd w:val="clear" w:color="auto" w:fill="auto"/>
          <w:lang w:eastAsia="zh-CN"/>
        </w:rPr>
        <w:t>，畜禽规模养殖场粪污资源化利用台账建设率</w:t>
      </w:r>
      <w:r>
        <w:rPr>
          <w:rFonts w:hint="eastAsia" w:ascii="仿宋" w:hAnsi="仿宋"/>
          <w:szCs w:val="32"/>
          <w:highlight w:val="none"/>
          <w:shd w:val="clear" w:color="auto" w:fill="auto"/>
          <w:lang w:val="en-US" w:eastAsia="zh-CN"/>
        </w:rPr>
        <w:t>达到97</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lang w:val="en-US" w:eastAsia="zh-CN"/>
        </w:rPr>
        <w:t>取得排污许可证的畜禽规模</w:t>
      </w:r>
      <w:r>
        <w:rPr>
          <w:rFonts w:hint="eastAsia" w:ascii="仿宋" w:hAnsi="仿宋"/>
          <w:szCs w:val="32"/>
          <w:highlight w:val="none"/>
          <w:shd w:val="clear" w:color="auto" w:fill="auto"/>
        </w:rPr>
        <w:t>养殖场自行监测</w:t>
      </w:r>
      <w:r>
        <w:rPr>
          <w:rFonts w:hint="eastAsia" w:ascii="仿宋" w:hAnsi="仿宋"/>
          <w:szCs w:val="32"/>
          <w:highlight w:val="none"/>
          <w:shd w:val="clear" w:color="auto" w:fill="auto"/>
          <w:lang w:val="en-US" w:eastAsia="zh-CN"/>
        </w:rPr>
        <w:t>覆盖率达到100%</w:t>
      </w:r>
      <w:r>
        <w:rPr>
          <w:rFonts w:hint="eastAsia" w:ascii="仿宋" w:hAnsi="仿宋"/>
          <w:szCs w:val="32"/>
          <w:highlight w:val="none"/>
          <w:shd w:val="clear" w:color="auto" w:fill="auto"/>
        </w:rPr>
        <w:t>。</w:t>
      </w:r>
    </w:p>
    <w:p>
      <w:pPr>
        <w:keepNext/>
        <w:keepLines/>
        <w:pageBreakBefore w:val="0"/>
        <w:widowControl w:val="0"/>
        <w:kinsoku/>
        <w:wordWrap/>
        <w:overflowPunct/>
        <w:topLinePunct w:val="0"/>
        <w:autoSpaceDE/>
        <w:autoSpaceDN/>
        <w:bidi w:val="0"/>
        <w:adjustRightInd/>
        <w:snapToGrid/>
        <w:spacing w:line="240" w:lineRule="auto"/>
        <w:ind w:firstLine="643" w:firstLineChars="200"/>
        <w:jc w:val="left"/>
        <w:textAlignment w:val="auto"/>
        <w:outlineLvl w:val="2"/>
        <w:rPr>
          <w:rFonts w:hint="default" w:ascii="仿宋" w:hAnsi="仿宋" w:eastAsia="仿宋" w:cs="Times New Roman"/>
          <w:b/>
          <w:bCs/>
          <w:color w:val="auto"/>
          <w:kern w:val="2"/>
          <w:sz w:val="32"/>
          <w:szCs w:val="32"/>
          <w:highlight w:val="none"/>
          <w:shd w:val="clear" w:color="auto" w:fill="auto"/>
          <w:lang w:val="en-US" w:eastAsia="zh-CN" w:bidi="ar-SA"/>
        </w:rPr>
      </w:pPr>
      <w:r>
        <w:rPr>
          <w:rFonts w:hint="eastAsia" w:ascii="仿宋" w:hAnsi="仿宋" w:eastAsia="仿宋" w:cs="Times New Roman"/>
          <w:b/>
          <w:bCs/>
          <w:color w:val="auto"/>
          <w:kern w:val="2"/>
          <w:sz w:val="32"/>
          <w:szCs w:val="32"/>
          <w:highlight w:val="none"/>
          <w:shd w:val="clear" w:color="auto" w:fill="auto"/>
          <w:lang w:val="en-US" w:eastAsia="zh-CN" w:bidi="ar-SA"/>
        </w:rPr>
        <w:t>三、政策保障</w:t>
      </w:r>
      <w:bookmarkEnd w:id="67"/>
      <w:bookmarkEnd w:id="68"/>
      <w:r>
        <w:rPr>
          <w:rFonts w:hint="eastAsia" w:ascii="仿宋" w:hAnsi="仿宋" w:eastAsia="仿宋" w:cs="Times New Roman"/>
          <w:b/>
          <w:bCs/>
          <w:color w:val="auto"/>
          <w:kern w:val="2"/>
          <w:sz w:val="32"/>
          <w:szCs w:val="32"/>
          <w:highlight w:val="none"/>
          <w:shd w:val="clear" w:color="auto" w:fill="auto"/>
          <w:lang w:val="en-US" w:eastAsia="zh-CN" w:bidi="ar-SA"/>
        </w:rPr>
        <w:t>和资金支持</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旺苍县根据畜禽养殖业转型升级和发展要求，相继编制出台了《旺苍县畜禽养殖禁养区划定方案》、《旺苍县畜禽养殖禁养区养殖场拆除专项行动方案》、《旺苍县“十四五”畜牧业发展规划》等有关文件，科学划分三个空间分区：禁养区、限养区、适养区，引导畜禽养殖业远离各主要生态保护区、饮用水水源保护区、城镇建成区，进一步优化养殖场分布。通过结合“三改一拆”、“五水共治”等工作，加大违建猪（禽）舍拆除力度，开展低小散养殖密集村整治，倒逼养殖业转型升级。对保留和新建的规模化生态养殖场，实施统一规划布局、严格落实防治措施，强化疫病防控，强化执法监管。</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旺苍县坚持“畜牧进山、养殖上山”发展战略深入推进以“农林牧渔结合、资源循环利用”为主要内容的畜牧业生态化建设，因地制宜，坚持把发展种养结合、农牧一体的生态</w:t>
      </w:r>
      <w:r>
        <w:rPr>
          <w:rFonts w:hint="eastAsia" w:ascii="仿宋" w:hAnsi="仿宋" w:eastAsia="仿宋_GB2312" w:cs="Times New Roman"/>
          <w:kern w:val="2"/>
          <w:sz w:val="32"/>
          <w:szCs w:val="32"/>
          <w:highlight w:val="none"/>
          <w:shd w:val="clear" w:color="auto" w:fill="auto"/>
          <w:lang w:val="en-US" w:eastAsia="zh-CN" w:bidi="ar-SA"/>
        </w:rPr>
        <w:fldChar w:fldCharType="begin"/>
      </w:r>
      <w:r>
        <w:rPr>
          <w:rFonts w:hint="eastAsia" w:ascii="仿宋" w:hAnsi="仿宋" w:eastAsia="仿宋_GB2312" w:cs="Times New Roman"/>
          <w:kern w:val="2"/>
          <w:sz w:val="32"/>
          <w:szCs w:val="32"/>
          <w:highlight w:val="none"/>
          <w:shd w:val="clear" w:color="auto" w:fill="auto"/>
          <w:lang w:val="en-US" w:eastAsia="zh-CN" w:bidi="ar-SA"/>
        </w:rPr>
        <w:instrText xml:space="preserve"> HYPERLINK "http://www.chinafarming.com" \t "_blank" </w:instrText>
      </w:r>
      <w:r>
        <w:rPr>
          <w:rFonts w:hint="eastAsia" w:ascii="仿宋" w:hAnsi="仿宋" w:eastAsia="仿宋_GB2312" w:cs="Times New Roman"/>
          <w:kern w:val="2"/>
          <w:sz w:val="32"/>
          <w:szCs w:val="32"/>
          <w:highlight w:val="none"/>
          <w:shd w:val="clear" w:color="auto" w:fill="auto"/>
          <w:lang w:val="en-US" w:eastAsia="zh-CN" w:bidi="ar-SA"/>
        </w:rPr>
        <w:fldChar w:fldCharType="separate"/>
      </w:r>
      <w:r>
        <w:rPr>
          <w:rFonts w:hint="eastAsia" w:ascii="仿宋" w:hAnsi="仿宋" w:eastAsia="仿宋_GB2312" w:cs="Times New Roman"/>
          <w:kern w:val="2"/>
          <w:sz w:val="32"/>
          <w:szCs w:val="32"/>
          <w:highlight w:val="none"/>
          <w:shd w:val="clear" w:color="auto" w:fill="auto"/>
          <w:lang w:val="en-US" w:eastAsia="zh-CN" w:bidi="ar-SA"/>
        </w:rPr>
        <w:t>畜牧</w:t>
      </w:r>
      <w:r>
        <w:rPr>
          <w:rFonts w:hint="eastAsia" w:ascii="仿宋" w:hAnsi="仿宋" w:eastAsia="仿宋_GB2312" w:cs="Times New Roman"/>
          <w:kern w:val="2"/>
          <w:sz w:val="32"/>
          <w:szCs w:val="32"/>
          <w:highlight w:val="none"/>
          <w:shd w:val="clear" w:color="auto" w:fill="auto"/>
          <w:lang w:val="en-US" w:eastAsia="zh-CN" w:bidi="ar-SA"/>
        </w:rPr>
        <w:fldChar w:fldCharType="end"/>
      </w:r>
      <w:r>
        <w:rPr>
          <w:rFonts w:hint="eastAsia" w:ascii="仿宋" w:hAnsi="仿宋" w:eastAsia="仿宋_GB2312" w:cs="Times New Roman"/>
          <w:kern w:val="2"/>
          <w:sz w:val="32"/>
          <w:szCs w:val="32"/>
          <w:highlight w:val="none"/>
          <w:shd w:val="clear" w:color="auto" w:fill="auto"/>
          <w:lang w:val="en-US" w:eastAsia="zh-CN" w:bidi="ar-SA"/>
        </w:rPr>
        <w:t>业作为现代畜牧业转型升级的重要抓手，示范推广 “畜—沼—作物”等生态循环种养模式，通过政策引导、示范带动、项目拉动等措施，培育出了一批“猪（牛）—沼—作物”生态循环农业示范基地等精品生态示范养殖示范点。</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旺苍县根据生态畜牧业发展和布局规划，按照“畜牧进山、养殖上山”的基本原则和“农牧结合、循环利用、达标排放”的总体要求，旺苍县开展区域定点畜禽养殖工作，对新建畜禽养殖场一律统一建设标准、实行定点集中养殖，并按规范配套畜禽排泄物和病死动物无害化处理设施。</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旺苍县科学制定《畜禽养殖废弃物综合利用试点方案》，按照“政府支持、企业运作”的思路，组建沼液异地消纳利用的社会服务中介组织，建设沼液贮液池，购置沼液运送车，建立就地消纳与区域性沼液配送相结合的畜禽排泄物资源化利用机制，逐步构建生态循环大农业产业体系。同时按照减量化、生态化、资源化的治污原则，建立就地消纳、就近利用、异地利用三种循环模式的试点样板，树立生态循环利用典范。</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旺苍县对禁养区外的畜禽规模养殖场，结合其场地、设施等实际情况，逐场逐户制定“一场一策”畜禽养殖污染治理方案，督促禁养区外各养殖业主尽快建立和完善“二分离三配套”治污设施，落实排污设施改造、种养对接、生态消纳地等措施。</w:t>
      </w:r>
    </w:p>
    <w:p>
      <w:pPr>
        <w:pStyle w:val="14"/>
        <w:spacing w:after="0" w:line="240" w:lineRule="auto"/>
        <w:ind w:left="0" w:leftChars="0" w:right="0" w:rightChars="0" w:firstLine="640" w:firstLineChars="200"/>
        <w:rPr>
          <w:rFonts w:hint="eastAsia" w:ascii="仿宋" w:hAnsi="仿宋" w:cs="Times New Roman"/>
          <w:szCs w:val="32"/>
          <w:highlight w:val="none"/>
          <w:shd w:val="clear" w:color="auto" w:fill="auto"/>
          <w:lang w:val="en-US" w:eastAsia="zh-CN"/>
        </w:rPr>
      </w:pPr>
      <w:r>
        <w:rPr>
          <w:rFonts w:hint="eastAsia" w:ascii="仿宋" w:hAnsi="仿宋" w:cs="Times New Roman"/>
          <w:szCs w:val="32"/>
          <w:highlight w:val="none"/>
          <w:shd w:val="clear" w:color="auto" w:fill="auto"/>
          <w:lang w:val="en-US" w:eastAsia="zh-CN"/>
        </w:rPr>
        <w:t>故本次规划具有从国家到地方的政策支持保障</w:t>
      </w:r>
      <w:bookmarkStart w:id="70" w:name="_Toc27325"/>
      <w:r>
        <w:rPr>
          <w:rFonts w:hint="eastAsia" w:ascii="仿宋" w:hAnsi="仿宋" w:cs="Times New Roman"/>
          <w:szCs w:val="32"/>
          <w:highlight w:val="none"/>
          <w:shd w:val="clear" w:color="auto" w:fill="auto"/>
          <w:lang w:val="en-US" w:eastAsia="zh-CN"/>
        </w:rPr>
        <w:t>，可积极争取“十四五”、长江经济带、中央资金等国家重点支持的项目资金。</w:t>
      </w:r>
    </w:p>
    <w:bookmarkEnd w:id="69"/>
    <w:bookmarkEnd w:id="70"/>
    <w:p>
      <w:pPr>
        <w:keepNext/>
        <w:keepLines/>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center"/>
        <w:textAlignment w:val="auto"/>
        <w:outlineLvl w:val="0"/>
        <w:rPr>
          <w:rFonts w:hint="eastAsia" w:ascii="仿宋" w:hAnsi="仿宋" w:eastAsia="黑体" w:cs="黑体"/>
          <w:b w:val="0"/>
          <w:bCs w:val="0"/>
          <w:color w:val="auto"/>
          <w:kern w:val="44"/>
          <w:sz w:val="44"/>
          <w:szCs w:val="44"/>
          <w:highlight w:val="none"/>
          <w:shd w:val="clear" w:color="auto" w:fill="auto"/>
          <w:lang w:val="en-US" w:eastAsia="zh-CN" w:bidi="ar-SA"/>
        </w:rPr>
      </w:pPr>
      <w:r>
        <w:rPr>
          <w:rFonts w:hint="eastAsia" w:ascii="仿宋" w:hAnsi="仿宋" w:eastAsia="黑体" w:cs="黑体"/>
          <w:b w:val="0"/>
          <w:bCs w:val="0"/>
          <w:color w:val="auto"/>
          <w:kern w:val="44"/>
          <w:sz w:val="44"/>
          <w:szCs w:val="44"/>
          <w:highlight w:val="none"/>
          <w:shd w:val="clear" w:color="auto" w:fill="auto"/>
          <w:lang w:val="en-US" w:eastAsia="zh-CN" w:bidi="ar-SA"/>
        </w:rPr>
        <w:br w:type="page"/>
      </w:r>
      <w:bookmarkStart w:id="71" w:name="_Toc17775"/>
      <w:r>
        <w:rPr>
          <w:rFonts w:hint="eastAsia" w:ascii="仿宋" w:hAnsi="仿宋" w:eastAsia="黑体" w:cs="黑体"/>
          <w:b w:val="0"/>
          <w:bCs w:val="0"/>
          <w:color w:val="auto"/>
          <w:kern w:val="44"/>
          <w:sz w:val="44"/>
          <w:szCs w:val="44"/>
          <w:highlight w:val="none"/>
          <w:shd w:val="clear" w:color="auto" w:fill="auto"/>
          <w:lang w:val="en-US" w:eastAsia="zh-CN" w:bidi="ar-SA"/>
        </w:rPr>
        <w:t>第四章 主要任务</w:t>
      </w:r>
      <w:bookmarkEnd w:id="71"/>
      <w:r>
        <w:rPr>
          <w:rFonts w:hint="eastAsia" w:ascii="仿宋" w:hAnsi="仿宋" w:eastAsia="黑体" w:cs="黑体"/>
          <w:b w:val="0"/>
          <w:bCs w:val="0"/>
          <w:color w:val="auto"/>
          <w:kern w:val="44"/>
          <w:sz w:val="44"/>
          <w:szCs w:val="44"/>
          <w:highlight w:val="none"/>
          <w:shd w:val="clear" w:color="auto" w:fill="auto"/>
          <w:lang w:val="en-US" w:eastAsia="zh-CN" w:bidi="ar-SA"/>
        </w:rPr>
        <w:tab/>
      </w:r>
    </w:p>
    <w:p>
      <w:pPr>
        <w:keepNext/>
        <w:keepLines/>
        <w:pageBreakBefore w:val="0"/>
        <w:widowControl w:val="0"/>
        <w:kinsoku/>
        <w:wordWrap/>
        <w:overflowPunct/>
        <w:topLinePunct w:val="0"/>
        <w:bidi w:val="0"/>
        <w:snapToGrid/>
        <w:spacing w:line="240" w:lineRule="auto"/>
        <w:ind w:firstLine="0" w:firstLineChars="0"/>
        <w:jc w:val="center"/>
        <w:textAlignment w:val="auto"/>
        <w:outlineLvl w:val="1"/>
        <w:rPr>
          <w:rFonts w:hint="default" w:ascii="仿宋" w:hAnsi="仿宋" w:eastAsia="仿宋" w:cs="Times New Roman"/>
          <w:b/>
          <w:color w:val="auto"/>
          <w:kern w:val="2"/>
          <w:sz w:val="36"/>
          <w:szCs w:val="36"/>
          <w:highlight w:val="none"/>
          <w:shd w:val="clear" w:color="auto" w:fill="auto"/>
          <w:lang w:val="en-US" w:eastAsia="zh-CN" w:bidi="ar-SA"/>
        </w:rPr>
      </w:pPr>
      <w:bookmarkStart w:id="72" w:name="_Toc3016"/>
      <w:bookmarkStart w:id="73" w:name="_Toc16543"/>
      <w:r>
        <w:rPr>
          <w:rFonts w:hint="eastAsia" w:ascii="仿宋" w:hAnsi="仿宋" w:eastAsia="仿宋" w:cs="Times New Roman"/>
          <w:b/>
          <w:color w:val="auto"/>
          <w:kern w:val="2"/>
          <w:sz w:val="36"/>
          <w:szCs w:val="36"/>
          <w:highlight w:val="none"/>
          <w:shd w:val="clear" w:color="auto" w:fill="auto"/>
          <w:lang w:val="en-US" w:eastAsia="zh-CN" w:bidi="ar-SA"/>
        </w:rPr>
        <w:t xml:space="preserve">第一节 </w:t>
      </w:r>
      <w:bookmarkEnd w:id="72"/>
      <w:r>
        <w:rPr>
          <w:rFonts w:hint="eastAsia" w:ascii="仿宋" w:hAnsi="仿宋" w:eastAsia="仿宋" w:cs="Times New Roman"/>
          <w:b/>
          <w:color w:val="auto"/>
          <w:kern w:val="2"/>
          <w:sz w:val="36"/>
          <w:szCs w:val="36"/>
          <w:highlight w:val="none"/>
          <w:shd w:val="clear" w:color="auto" w:fill="auto"/>
          <w:lang w:val="en-US" w:eastAsia="zh-CN" w:bidi="ar-SA"/>
        </w:rPr>
        <w:t>明确畜禽养殖污染总体要求</w:t>
      </w:r>
      <w:bookmarkEnd w:id="73"/>
    </w:p>
    <w:p>
      <w:pPr>
        <w:pStyle w:val="14"/>
        <w:spacing w:after="0" w:line="240" w:lineRule="auto"/>
        <w:ind w:left="0" w:leftChars="0" w:right="0" w:rightChars="0" w:firstLine="643" w:firstLineChars="200"/>
        <w:rPr>
          <w:rFonts w:hint="eastAsia" w:ascii="仿宋" w:hAnsi="仿宋"/>
          <w:szCs w:val="32"/>
          <w:highlight w:val="none"/>
          <w:shd w:val="clear" w:color="auto" w:fill="auto"/>
        </w:rPr>
      </w:pPr>
      <w:r>
        <w:rPr>
          <w:rFonts w:hint="eastAsia" w:ascii="仿宋" w:hAnsi="仿宋"/>
          <w:b/>
          <w:szCs w:val="32"/>
          <w:highlight w:val="none"/>
          <w:shd w:val="clear" w:color="auto" w:fill="auto"/>
        </w:rPr>
        <w:t>严格落实畜禽养殖禁限养区管理要求。</w:t>
      </w:r>
      <w:r>
        <w:rPr>
          <w:rFonts w:hint="eastAsia" w:ascii="仿宋" w:hAnsi="仿宋"/>
          <w:szCs w:val="32"/>
          <w:highlight w:val="none"/>
          <w:shd w:val="clear" w:color="auto" w:fill="auto"/>
        </w:rPr>
        <w:t>强化落实《</w:t>
      </w:r>
      <w:r>
        <w:rPr>
          <w:rFonts w:hint="eastAsia" w:ascii="仿宋" w:hAnsi="仿宋"/>
          <w:szCs w:val="32"/>
          <w:highlight w:val="none"/>
          <w:shd w:val="clear" w:color="auto" w:fill="auto"/>
          <w:lang w:eastAsia="zh-CN"/>
        </w:rPr>
        <w:t>旺苍</w:t>
      </w:r>
      <w:r>
        <w:rPr>
          <w:rFonts w:hint="eastAsia" w:ascii="仿宋" w:hAnsi="仿宋"/>
          <w:szCs w:val="32"/>
          <w:highlight w:val="none"/>
          <w:shd w:val="clear" w:color="auto" w:fill="auto"/>
        </w:rPr>
        <w:t>县畜禽养殖禁养区划定方案》</w:t>
      </w:r>
      <w:r>
        <w:rPr>
          <w:rFonts w:ascii="仿宋" w:hAnsi="仿宋"/>
          <w:szCs w:val="32"/>
          <w:highlight w:val="none"/>
          <w:shd w:val="clear" w:color="auto" w:fill="auto"/>
        </w:rPr>
        <w:t>管理规定，对禁养区内关停需搬迁的规模化养殖场户，优先支持异地重建；对确需关闭的养殖场户，给予合理过渡期，避免以清理代替治理；对不在禁养区范围内、符合环保要求的畜禽养殖建设项目，依法依规实施环评审批。</w:t>
      </w:r>
    </w:p>
    <w:p>
      <w:pPr>
        <w:pStyle w:val="14"/>
        <w:spacing w:after="0" w:line="240" w:lineRule="auto"/>
        <w:ind w:left="0" w:leftChars="0" w:right="0" w:rightChars="0" w:firstLine="643" w:firstLineChars="200"/>
        <w:rPr>
          <w:rFonts w:hint="eastAsia" w:ascii="仿宋" w:hAnsi="仿宋"/>
          <w:szCs w:val="32"/>
          <w:highlight w:val="none"/>
          <w:shd w:val="clear" w:color="auto" w:fill="auto"/>
        </w:rPr>
      </w:pPr>
      <w:r>
        <w:rPr>
          <w:rFonts w:ascii="仿宋" w:hAnsi="仿宋"/>
          <w:b/>
          <w:szCs w:val="32"/>
          <w:highlight w:val="none"/>
          <w:shd w:val="clear" w:color="auto" w:fill="auto"/>
        </w:rPr>
        <w:t>实行畜禽养殖污染生态化治理和工业化治理分类管控</w:t>
      </w:r>
      <w:r>
        <w:rPr>
          <w:rFonts w:hint="eastAsia" w:ascii="仿宋" w:hAnsi="仿宋"/>
          <w:b/>
          <w:szCs w:val="32"/>
          <w:highlight w:val="none"/>
          <w:shd w:val="clear" w:color="auto" w:fill="auto"/>
        </w:rPr>
        <w:t>。</w:t>
      </w:r>
      <w:r>
        <w:rPr>
          <w:rFonts w:ascii="仿宋" w:hAnsi="仿宋"/>
          <w:szCs w:val="32"/>
          <w:highlight w:val="none"/>
          <w:shd w:val="clear" w:color="auto" w:fill="auto"/>
        </w:rPr>
        <w:t>探索符合</w:t>
      </w:r>
      <w:r>
        <w:rPr>
          <w:rFonts w:hint="eastAsia" w:ascii="仿宋" w:hAnsi="仿宋"/>
          <w:szCs w:val="32"/>
          <w:highlight w:val="none"/>
          <w:shd w:val="clear" w:color="auto" w:fill="auto"/>
          <w:lang w:eastAsia="zh-CN"/>
        </w:rPr>
        <w:t>旺苍</w:t>
      </w:r>
      <w:r>
        <w:rPr>
          <w:rFonts w:ascii="仿宋" w:hAnsi="仿宋"/>
          <w:szCs w:val="32"/>
          <w:highlight w:val="none"/>
          <w:shd w:val="clear" w:color="auto" w:fill="auto"/>
        </w:rPr>
        <w:t>特色的</w:t>
      </w:r>
      <w:r>
        <w:rPr>
          <w:rFonts w:hint="eastAsia" w:ascii="仿宋" w:hAnsi="仿宋"/>
          <w:szCs w:val="32"/>
          <w:highlight w:val="none"/>
          <w:shd w:val="clear" w:color="auto" w:fill="auto"/>
          <w:lang w:eastAsia="zh-CN"/>
        </w:rPr>
        <w:t>“</w:t>
      </w:r>
      <w:r>
        <w:rPr>
          <w:rFonts w:ascii="仿宋" w:hAnsi="仿宋"/>
          <w:szCs w:val="32"/>
          <w:highlight w:val="none"/>
          <w:shd w:val="clear" w:color="auto" w:fill="auto"/>
        </w:rPr>
        <w:t>生态化治理+工业化处置</w:t>
      </w:r>
      <w:r>
        <w:rPr>
          <w:rFonts w:hint="eastAsia" w:ascii="仿宋" w:hAnsi="仿宋"/>
          <w:szCs w:val="32"/>
          <w:highlight w:val="none"/>
          <w:shd w:val="clear" w:color="auto" w:fill="auto"/>
          <w:lang w:eastAsia="zh-CN"/>
        </w:rPr>
        <w:t>”</w:t>
      </w:r>
      <w:r>
        <w:rPr>
          <w:rFonts w:ascii="仿宋" w:hAnsi="仿宋"/>
          <w:szCs w:val="32"/>
          <w:highlight w:val="none"/>
          <w:shd w:val="clear" w:color="auto" w:fill="auto"/>
        </w:rPr>
        <w:t>的畜禽养殖污染治理路径。</w:t>
      </w:r>
      <w:r>
        <w:rPr>
          <w:rFonts w:hint="eastAsia" w:ascii="仿宋" w:hAnsi="仿宋"/>
          <w:szCs w:val="32"/>
          <w:highlight w:val="none"/>
          <w:shd w:val="clear" w:color="auto" w:fill="auto"/>
        </w:rPr>
        <w:t>推进</w:t>
      </w:r>
      <w:r>
        <w:rPr>
          <w:rFonts w:ascii="仿宋" w:hAnsi="仿宋"/>
          <w:szCs w:val="32"/>
          <w:highlight w:val="none"/>
          <w:shd w:val="clear" w:color="auto" w:fill="auto"/>
        </w:rPr>
        <w:t>畜禽养殖排泄物生态消纳、综合利用，按照《</w:t>
      </w:r>
      <w:r>
        <w:rPr>
          <w:rFonts w:hint="eastAsia" w:ascii="仿宋" w:hAnsi="仿宋"/>
          <w:szCs w:val="32"/>
          <w:highlight w:val="none"/>
          <w:shd w:val="clear" w:color="auto" w:fill="auto"/>
          <w:lang w:eastAsia="zh-CN"/>
        </w:rPr>
        <w:t>四川</w:t>
      </w:r>
      <w:r>
        <w:rPr>
          <w:rFonts w:ascii="仿宋" w:hAnsi="仿宋"/>
          <w:szCs w:val="32"/>
          <w:highlight w:val="none"/>
          <w:shd w:val="clear" w:color="auto" w:fill="auto"/>
        </w:rPr>
        <w:t>省畜禽养殖场养殖小区备案与养殖档案管理办法》</w:t>
      </w:r>
      <w:r>
        <w:rPr>
          <w:rFonts w:hint="eastAsia" w:ascii="仿宋" w:hAnsi="仿宋"/>
          <w:szCs w:val="32"/>
          <w:highlight w:val="none"/>
          <w:shd w:val="clear" w:color="auto" w:fill="auto"/>
        </w:rPr>
        <w:t>规定</w:t>
      </w:r>
      <w:r>
        <w:rPr>
          <w:rFonts w:ascii="仿宋" w:hAnsi="仿宋"/>
          <w:szCs w:val="32"/>
          <w:highlight w:val="none"/>
          <w:shd w:val="clear" w:color="auto" w:fill="auto"/>
        </w:rPr>
        <w:t>进行发证与备案登记。对符合国家减排要求的规模化养殖场（含生态消纳）按要求核定减排绩效。</w:t>
      </w:r>
      <w:r>
        <w:rPr>
          <w:rFonts w:hint="eastAsia" w:ascii="仿宋" w:hAnsi="仿宋"/>
          <w:szCs w:val="32"/>
          <w:highlight w:val="none"/>
          <w:shd w:val="clear" w:color="auto" w:fill="auto"/>
        </w:rPr>
        <w:t>对</w:t>
      </w:r>
      <w:r>
        <w:rPr>
          <w:rFonts w:ascii="仿宋" w:hAnsi="仿宋"/>
          <w:szCs w:val="32"/>
          <w:highlight w:val="none"/>
          <w:shd w:val="clear" w:color="auto" w:fill="auto"/>
        </w:rPr>
        <w:t>采用生态化治理的畜禽养殖场（户）明确综合利用</w:t>
      </w:r>
      <w:r>
        <w:rPr>
          <w:rFonts w:hint="eastAsia" w:ascii="仿宋" w:hAnsi="仿宋"/>
          <w:szCs w:val="32"/>
          <w:highlight w:val="none"/>
          <w:shd w:val="clear" w:color="auto" w:fill="auto"/>
        </w:rPr>
        <w:t>去向</w:t>
      </w:r>
      <w:r>
        <w:rPr>
          <w:rFonts w:ascii="仿宋" w:hAnsi="仿宋"/>
          <w:szCs w:val="32"/>
          <w:highlight w:val="none"/>
          <w:shd w:val="clear" w:color="auto" w:fill="auto"/>
        </w:rPr>
        <w:t>，</w:t>
      </w:r>
      <w:r>
        <w:rPr>
          <w:rFonts w:hint="eastAsia" w:ascii="仿宋" w:hAnsi="仿宋"/>
          <w:szCs w:val="32"/>
          <w:highlight w:val="none"/>
          <w:shd w:val="clear" w:color="auto" w:fill="auto"/>
        </w:rPr>
        <w:t>确保其</w:t>
      </w:r>
      <w:r>
        <w:rPr>
          <w:rFonts w:ascii="仿宋" w:hAnsi="仿宋"/>
          <w:szCs w:val="32"/>
          <w:highlight w:val="none"/>
          <w:shd w:val="clear" w:color="auto" w:fill="auto"/>
        </w:rPr>
        <w:t>具有稳定且匹配的农田、园地、林地等消纳地，配套有两个月以上沼液贮存能力的储液池等消纳设施并正常运行，或通过消纳对接协议、处理利用合同等方式委托综合利用处置。</w:t>
      </w:r>
    </w:p>
    <w:p>
      <w:pPr>
        <w:pStyle w:val="14"/>
        <w:spacing w:after="0" w:line="240" w:lineRule="auto"/>
        <w:ind w:left="0" w:leftChars="0" w:right="0" w:rightChars="0" w:firstLine="643" w:firstLineChars="200"/>
        <w:rPr>
          <w:rFonts w:ascii="仿宋" w:hAnsi="仿宋"/>
          <w:szCs w:val="32"/>
          <w:highlight w:val="none"/>
          <w:shd w:val="clear" w:color="auto" w:fill="auto"/>
        </w:rPr>
      </w:pPr>
      <w:r>
        <w:rPr>
          <w:rFonts w:ascii="仿宋" w:hAnsi="仿宋"/>
          <w:b/>
          <w:szCs w:val="32"/>
          <w:highlight w:val="none"/>
          <w:shd w:val="clear" w:color="auto" w:fill="auto"/>
        </w:rPr>
        <w:t>严格规模化畜禽养殖场环境准入</w:t>
      </w:r>
      <w:r>
        <w:rPr>
          <w:rFonts w:hint="eastAsia" w:ascii="仿宋" w:hAnsi="仿宋"/>
          <w:b/>
          <w:szCs w:val="32"/>
          <w:highlight w:val="none"/>
          <w:shd w:val="clear" w:color="auto" w:fill="auto"/>
          <w:lang w:val="en-US" w:eastAsia="zh-CN"/>
        </w:rPr>
        <w:t>要求</w:t>
      </w:r>
      <w:r>
        <w:rPr>
          <w:rFonts w:hint="eastAsia" w:ascii="仿宋" w:hAnsi="仿宋"/>
          <w:b/>
          <w:szCs w:val="32"/>
          <w:highlight w:val="none"/>
          <w:shd w:val="clear" w:color="auto" w:fill="auto"/>
        </w:rPr>
        <w:t>。</w:t>
      </w:r>
      <w:r>
        <w:rPr>
          <w:rFonts w:ascii="仿宋" w:hAnsi="仿宋"/>
          <w:szCs w:val="32"/>
          <w:highlight w:val="none"/>
          <w:shd w:val="clear" w:color="auto" w:fill="auto"/>
        </w:rPr>
        <w:t>依据区域生态环境功能定位、环境承载能力，开展畜牧业发展规划环境影响评价，</w:t>
      </w:r>
      <w:r>
        <w:rPr>
          <w:rFonts w:hint="eastAsia" w:ascii="仿宋" w:hAnsi="仿宋"/>
          <w:szCs w:val="32"/>
          <w:highlight w:val="none"/>
          <w:shd w:val="clear" w:color="auto" w:fill="auto"/>
        </w:rPr>
        <w:t>加快</w:t>
      </w:r>
      <w:r>
        <w:rPr>
          <w:rFonts w:hint="eastAsia" w:ascii="仿宋" w:hAnsi="仿宋"/>
          <w:szCs w:val="32"/>
          <w:highlight w:val="none"/>
          <w:shd w:val="clear" w:color="auto" w:fill="auto"/>
          <w:lang w:eastAsia="zh-CN"/>
        </w:rPr>
        <w:t>旺苍</w:t>
      </w:r>
      <w:r>
        <w:rPr>
          <w:rFonts w:hint="eastAsia" w:ascii="仿宋" w:hAnsi="仿宋"/>
          <w:szCs w:val="32"/>
          <w:highlight w:val="none"/>
          <w:shd w:val="clear" w:color="auto" w:fill="auto"/>
        </w:rPr>
        <w:t>县畜禽养殖业</w:t>
      </w:r>
      <w:r>
        <w:rPr>
          <w:rFonts w:ascii="仿宋" w:hAnsi="仿宋"/>
          <w:szCs w:val="32"/>
          <w:highlight w:val="none"/>
          <w:shd w:val="clear" w:color="auto" w:fill="auto"/>
        </w:rPr>
        <w:t>养殖总量、品种和规模化水平</w:t>
      </w:r>
      <w:r>
        <w:rPr>
          <w:rFonts w:hint="eastAsia" w:ascii="仿宋" w:hAnsi="仿宋"/>
          <w:szCs w:val="32"/>
          <w:highlight w:val="none"/>
          <w:shd w:val="clear" w:color="auto" w:fill="auto"/>
        </w:rPr>
        <w:t>评估，</w:t>
      </w:r>
      <w:r>
        <w:rPr>
          <w:rFonts w:ascii="仿宋" w:hAnsi="仿宋"/>
          <w:szCs w:val="32"/>
          <w:highlight w:val="none"/>
          <w:shd w:val="clear" w:color="auto" w:fill="auto"/>
        </w:rPr>
        <w:t>确保畜禽养殖产业发展符合区域环境功能定位和环境保护要求。加强生态环境、农业、综合执法等部门联动，对检查中发现的养殖污染问题依法依规处置</w:t>
      </w:r>
      <w:r>
        <w:rPr>
          <w:rFonts w:hint="eastAsia" w:ascii="仿宋" w:hAnsi="仿宋"/>
          <w:szCs w:val="32"/>
          <w:highlight w:val="none"/>
          <w:shd w:val="clear" w:color="auto" w:fill="auto"/>
        </w:rPr>
        <w:t>，要求</w:t>
      </w:r>
      <w:r>
        <w:rPr>
          <w:rFonts w:ascii="仿宋" w:hAnsi="仿宋"/>
          <w:szCs w:val="32"/>
          <w:highlight w:val="none"/>
          <w:shd w:val="clear" w:color="auto" w:fill="auto"/>
        </w:rPr>
        <w:t>限期整改，</w:t>
      </w:r>
      <w:r>
        <w:rPr>
          <w:rFonts w:hint="eastAsia" w:ascii="仿宋" w:hAnsi="仿宋"/>
          <w:szCs w:val="32"/>
          <w:highlight w:val="none"/>
          <w:shd w:val="clear" w:color="auto" w:fill="auto"/>
        </w:rPr>
        <w:t>杜绝</w:t>
      </w:r>
      <w:r>
        <w:rPr>
          <w:rFonts w:ascii="仿宋" w:hAnsi="仿宋"/>
          <w:szCs w:val="32"/>
          <w:highlight w:val="none"/>
          <w:shd w:val="clear" w:color="auto" w:fill="auto"/>
        </w:rPr>
        <w:t>关停拆除</w:t>
      </w:r>
      <w:r>
        <w:rPr>
          <w:rFonts w:hint="eastAsia" w:ascii="仿宋" w:hAnsi="仿宋"/>
          <w:szCs w:val="32"/>
          <w:highlight w:val="none"/>
          <w:shd w:val="clear" w:color="auto" w:fill="auto"/>
        </w:rPr>
        <w:t>的</w:t>
      </w:r>
      <w:r>
        <w:rPr>
          <w:rFonts w:hint="eastAsia" w:ascii="仿宋" w:hAnsi="仿宋"/>
          <w:szCs w:val="32"/>
          <w:highlight w:val="none"/>
          <w:shd w:val="clear" w:color="auto" w:fill="auto"/>
          <w:lang w:eastAsia="zh-CN"/>
        </w:rPr>
        <w:t>“</w:t>
      </w:r>
      <w:r>
        <w:rPr>
          <w:rFonts w:ascii="仿宋" w:hAnsi="仿宋"/>
          <w:szCs w:val="32"/>
          <w:highlight w:val="none"/>
          <w:shd w:val="clear" w:color="auto" w:fill="auto"/>
        </w:rPr>
        <w:t>一刀切</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rPr>
        <w:t>形式</w:t>
      </w:r>
      <w:r>
        <w:rPr>
          <w:rFonts w:ascii="仿宋" w:hAnsi="仿宋"/>
          <w:szCs w:val="32"/>
          <w:highlight w:val="none"/>
          <w:shd w:val="clear" w:color="auto" w:fill="auto"/>
        </w:rPr>
        <w:t>。</w:t>
      </w:r>
    </w:p>
    <w:p>
      <w:pPr>
        <w:pStyle w:val="14"/>
        <w:spacing w:after="0" w:line="240" w:lineRule="auto"/>
        <w:ind w:left="0" w:leftChars="0" w:right="0" w:rightChars="0" w:firstLine="643" w:firstLineChars="200"/>
        <w:rPr>
          <w:rFonts w:ascii="仿宋" w:hAnsi="仿宋"/>
          <w:szCs w:val="32"/>
          <w:highlight w:val="none"/>
          <w:shd w:val="clear" w:color="auto" w:fill="auto"/>
        </w:rPr>
      </w:pPr>
      <w:r>
        <w:rPr>
          <w:rFonts w:hint="eastAsia" w:ascii="仿宋" w:hAnsi="仿宋"/>
          <w:b/>
          <w:bCs/>
          <w:szCs w:val="32"/>
          <w:highlight w:val="none"/>
          <w:shd w:val="clear" w:color="auto" w:fill="auto"/>
        </w:rPr>
        <w:t>严格审批监管</w:t>
      </w:r>
      <w:r>
        <w:rPr>
          <w:rFonts w:hint="eastAsia" w:ascii="仿宋" w:hAnsi="仿宋"/>
          <w:b/>
          <w:bCs/>
          <w:szCs w:val="32"/>
          <w:highlight w:val="none"/>
          <w:shd w:val="clear" w:color="auto" w:fill="auto"/>
          <w:lang w:eastAsia="zh-CN"/>
        </w:rPr>
        <w:t>，</w:t>
      </w:r>
      <w:r>
        <w:rPr>
          <w:rFonts w:hint="eastAsia" w:ascii="仿宋" w:hAnsi="仿宋"/>
          <w:b/>
          <w:bCs/>
          <w:szCs w:val="32"/>
          <w:highlight w:val="none"/>
          <w:shd w:val="clear" w:color="auto" w:fill="auto"/>
        </w:rPr>
        <w:t>规范规模养殖项目审批程序和排污许可管理要求。</w:t>
      </w:r>
      <w:r>
        <w:rPr>
          <w:rFonts w:hint="eastAsia" w:ascii="仿宋" w:hAnsi="仿宋"/>
          <w:szCs w:val="32"/>
          <w:highlight w:val="none"/>
          <w:shd w:val="clear" w:color="auto" w:fill="auto"/>
        </w:rPr>
        <w:t>强化日常监管，明确畜禽养殖场户日常监管内容和各部门监管职责，细化任务分工。防范污染风险，结合当地种养情况和环境压力制定污染风险防范措施。组织对完成整改要求的畜禽养殖场户进行现场核查，检查畜禽粪污处理设施装备配套情况，并定期向社会公布核查结果。对超过整改时限，畜禽粪污处理设施装备仍不合格的畜禽养殖场户，依法责令停止生产或使用。</w:t>
      </w:r>
    </w:p>
    <w:p>
      <w:pPr>
        <w:keepNext/>
        <w:keepLines/>
        <w:pageBreakBefore w:val="0"/>
        <w:widowControl w:val="0"/>
        <w:kinsoku/>
        <w:wordWrap/>
        <w:overflowPunct/>
        <w:topLinePunct w:val="0"/>
        <w:bidi w:val="0"/>
        <w:snapToGrid/>
        <w:spacing w:line="240" w:lineRule="auto"/>
        <w:ind w:firstLine="0" w:firstLineChars="0"/>
        <w:jc w:val="center"/>
        <w:textAlignment w:val="auto"/>
        <w:outlineLvl w:val="1"/>
        <w:rPr>
          <w:rFonts w:ascii="仿宋" w:hAnsi="仿宋"/>
          <w:highlight w:val="none"/>
        </w:rPr>
      </w:pPr>
      <w:bookmarkStart w:id="74" w:name="_Toc6339"/>
      <w:r>
        <w:rPr>
          <w:rFonts w:hint="eastAsia" w:ascii="仿宋" w:hAnsi="仿宋" w:eastAsia="仿宋" w:cs="Times New Roman"/>
          <w:b/>
          <w:color w:val="auto"/>
          <w:kern w:val="2"/>
          <w:sz w:val="36"/>
          <w:szCs w:val="36"/>
          <w:highlight w:val="none"/>
          <w:shd w:val="clear" w:color="auto" w:fill="auto"/>
          <w:lang w:val="en-US" w:eastAsia="zh-CN" w:bidi="ar-SA"/>
        </w:rPr>
        <w:t>第二节 提升畜禽粪污资源化利用水平</w:t>
      </w:r>
      <w:bookmarkEnd w:id="74"/>
    </w:p>
    <w:p>
      <w:pPr>
        <w:pStyle w:val="14"/>
        <w:spacing w:after="0" w:line="240" w:lineRule="auto"/>
        <w:ind w:left="0" w:leftChars="0" w:right="0" w:rightChars="0" w:firstLine="643" w:firstLineChars="200"/>
        <w:rPr>
          <w:rFonts w:hint="eastAsia" w:ascii="仿宋" w:hAnsi="仿宋"/>
          <w:color w:val="FF0000"/>
          <w:szCs w:val="32"/>
          <w:highlight w:val="none"/>
          <w:shd w:val="clear" w:color="auto" w:fill="auto"/>
        </w:rPr>
      </w:pPr>
      <w:r>
        <w:rPr>
          <w:rFonts w:ascii="仿宋" w:hAnsi="仿宋"/>
          <w:b/>
          <w:szCs w:val="32"/>
          <w:highlight w:val="none"/>
          <w:shd w:val="clear" w:color="auto" w:fill="auto"/>
        </w:rPr>
        <w:t>加快构建种养结合、农牧循环的可持续发展新格局</w:t>
      </w:r>
      <w:r>
        <w:rPr>
          <w:rFonts w:hint="eastAsia" w:ascii="仿宋" w:hAnsi="仿宋"/>
          <w:b/>
          <w:szCs w:val="32"/>
          <w:highlight w:val="none"/>
          <w:shd w:val="clear" w:color="auto" w:fill="auto"/>
        </w:rPr>
        <w:t>。</w:t>
      </w:r>
      <w:r>
        <w:rPr>
          <w:rFonts w:hint="eastAsia" w:ascii="仿宋" w:hAnsi="仿宋" w:eastAsia="仿宋_GB2312" w:cs="Times New Roman"/>
          <w:bCs/>
          <w:color w:val="000000"/>
          <w:kern w:val="2"/>
          <w:sz w:val="32"/>
          <w:szCs w:val="32"/>
          <w:highlight w:val="none"/>
          <w:u w:val="none"/>
          <w:shd w:val="clear" w:color="auto" w:fill="auto"/>
          <w:lang w:val="en-US" w:eastAsia="zh-CN" w:bidi="ar-SA"/>
        </w:rPr>
        <w:t>支持生态生猪、肉牛羊、土鸡、规模化、产业化养殖，持续抓好畜禽良种工程建设，继续开展畜禽粪污资源化利用整县推进工作。严格落实非洲猪瘟等重大动物疫病防控措施，强化在养殖、宰杀、运输、销售全链条监管措施，加强对中小散养户的防疫服务。坚持“种养循环、绿色生态”模式，依托新希望六和集团等生猪养殖龙头企业的带动，通过“企业带动、村集体参与、农户入股、集中代养”等方式，带动更多农户特别是脱贫户、低收入户进入生猪发展产业链，加快构建生猪全产业链百亿产业集群，打造成渝地区优质生猪供应基地，到2025年，年出栏肉牛</w:t>
      </w:r>
      <w:r>
        <w:rPr>
          <w:rFonts w:hint="eastAsia" w:ascii="仿宋" w:hAnsi="仿宋" w:cs="Times New Roman"/>
          <w:bCs/>
          <w:color w:val="000000"/>
          <w:kern w:val="2"/>
          <w:sz w:val="32"/>
          <w:szCs w:val="32"/>
          <w:highlight w:val="none"/>
          <w:u w:val="none"/>
          <w:shd w:val="clear" w:color="auto" w:fill="auto"/>
          <w:lang w:val="en-US" w:eastAsia="zh-CN" w:bidi="ar-SA"/>
        </w:rPr>
        <w:t>3.2</w:t>
      </w:r>
      <w:r>
        <w:rPr>
          <w:rFonts w:hint="eastAsia" w:ascii="仿宋" w:hAnsi="仿宋" w:eastAsia="仿宋_GB2312" w:cs="Times New Roman"/>
          <w:bCs/>
          <w:color w:val="000000"/>
          <w:kern w:val="2"/>
          <w:sz w:val="32"/>
          <w:szCs w:val="32"/>
          <w:highlight w:val="none"/>
          <w:u w:val="none"/>
          <w:shd w:val="clear" w:color="auto" w:fill="auto"/>
          <w:lang w:val="en-US" w:eastAsia="zh-CN" w:bidi="ar-SA"/>
        </w:rPr>
        <w:t>万头、生猪</w:t>
      </w:r>
      <w:r>
        <w:rPr>
          <w:rFonts w:hint="eastAsia" w:ascii="仿宋" w:hAnsi="仿宋" w:cs="Times New Roman"/>
          <w:bCs/>
          <w:color w:val="000000"/>
          <w:kern w:val="2"/>
          <w:sz w:val="32"/>
          <w:szCs w:val="32"/>
          <w:highlight w:val="none"/>
          <w:u w:val="none"/>
          <w:shd w:val="clear" w:color="auto" w:fill="auto"/>
          <w:lang w:val="en-US" w:eastAsia="zh-CN" w:bidi="ar-SA"/>
        </w:rPr>
        <w:t>65</w:t>
      </w:r>
      <w:r>
        <w:rPr>
          <w:rFonts w:hint="eastAsia" w:ascii="仿宋" w:hAnsi="仿宋" w:eastAsia="仿宋_GB2312" w:cs="Times New Roman"/>
          <w:bCs/>
          <w:color w:val="000000"/>
          <w:kern w:val="2"/>
          <w:sz w:val="32"/>
          <w:szCs w:val="32"/>
          <w:highlight w:val="none"/>
          <w:u w:val="none"/>
          <w:shd w:val="clear" w:color="auto" w:fill="auto"/>
          <w:lang w:val="en-US" w:eastAsia="zh-CN" w:bidi="ar-SA"/>
        </w:rPr>
        <w:t>万头、肉羊</w:t>
      </w:r>
      <w:r>
        <w:rPr>
          <w:rFonts w:hint="eastAsia" w:ascii="仿宋" w:hAnsi="仿宋" w:cs="Times New Roman"/>
          <w:bCs/>
          <w:color w:val="000000"/>
          <w:kern w:val="2"/>
          <w:sz w:val="32"/>
          <w:szCs w:val="32"/>
          <w:highlight w:val="none"/>
          <w:u w:val="none"/>
          <w:shd w:val="clear" w:color="auto" w:fill="auto"/>
          <w:lang w:val="en-US" w:eastAsia="zh-CN" w:bidi="ar-SA"/>
        </w:rPr>
        <w:t>21</w:t>
      </w:r>
      <w:r>
        <w:rPr>
          <w:rFonts w:hint="eastAsia" w:ascii="仿宋" w:hAnsi="仿宋" w:eastAsia="仿宋_GB2312" w:cs="Times New Roman"/>
          <w:bCs/>
          <w:color w:val="000000"/>
          <w:kern w:val="2"/>
          <w:sz w:val="32"/>
          <w:szCs w:val="32"/>
          <w:highlight w:val="none"/>
          <w:u w:val="none"/>
          <w:shd w:val="clear" w:color="auto" w:fill="auto"/>
          <w:lang w:val="en-US" w:eastAsia="zh-CN" w:bidi="ar-SA"/>
        </w:rPr>
        <w:t>万头、家禽1</w:t>
      </w:r>
      <w:r>
        <w:rPr>
          <w:rFonts w:hint="eastAsia" w:ascii="仿宋" w:hAnsi="仿宋" w:cs="Times New Roman"/>
          <w:bCs/>
          <w:color w:val="000000"/>
          <w:kern w:val="2"/>
          <w:sz w:val="32"/>
          <w:szCs w:val="32"/>
          <w:highlight w:val="none"/>
          <w:u w:val="none"/>
          <w:shd w:val="clear" w:color="auto" w:fill="auto"/>
          <w:lang w:val="en-US" w:eastAsia="zh-CN" w:bidi="ar-SA"/>
        </w:rPr>
        <w:t>2</w:t>
      </w:r>
      <w:r>
        <w:rPr>
          <w:rFonts w:hint="eastAsia" w:ascii="仿宋" w:hAnsi="仿宋" w:eastAsia="仿宋_GB2312" w:cs="Times New Roman"/>
          <w:bCs/>
          <w:color w:val="000000"/>
          <w:kern w:val="2"/>
          <w:sz w:val="32"/>
          <w:szCs w:val="32"/>
          <w:highlight w:val="none"/>
          <w:u w:val="none"/>
          <w:shd w:val="clear" w:color="auto" w:fill="auto"/>
          <w:lang w:val="en-US" w:eastAsia="zh-CN" w:bidi="ar-SA"/>
        </w:rPr>
        <w:t>00万</w:t>
      </w:r>
      <w:r>
        <w:rPr>
          <w:rFonts w:hint="eastAsia" w:ascii="仿宋" w:hAnsi="仿宋" w:cs="Times New Roman"/>
          <w:bCs/>
          <w:color w:val="000000"/>
          <w:kern w:val="2"/>
          <w:sz w:val="32"/>
          <w:szCs w:val="32"/>
          <w:highlight w:val="none"/>
          <w:u w:val="none"/>
          <w:shd w:val="clear" w:color="auto" w:fill="auto"/>
          <w:lang w:val="en-US" w:eastAsia="zh-CN" w:bidi="ar-SA"/>
        </w:rPr>
        <w:t>只，</w:t>
      </w:r>
      <w:r>
        <w:rPr>
          <w:rFonts w:hint="eastAsia" w:ascii="仿宋" w:hAnsi="仿宋" w:eastAsia="仿宋_GB2312" w:cs="Times New Roman"/>
          <w:bCs/>
          <w:color w:val="000000"/>
          <w:kern w:val="2"/>
          <w:sz w:val="32"/>
          <w:szCs w:val="32"/>
          <w:highlight w:val="none"/>
          <w:u w:val="none"/>
          <w:shd w:val="clear" w:color="auto" w:fill="auto"/>
          <w:lang w:val="en-US" w:eastAsia="zh-CN" w:bidi="ar-SA"/>
        </w:rPr>
        <w:t>年屠宰加工肉牛5万头、生猪 80万头、肉羊5万只和肉鸡500万羽的生产水平</w:t>
      </w:r>
      <w:r>
        <w:rPr>
          <w:rFonts w:hint="eastAsia" w:ascii="仿宋" w:hAnsi="仿宋" w:cs="Times New Roman"/>
          <w:bCs/>
          <w:color w:val="000000"/>
          <w:kern w:val="2"/>
          <w:sz w:val="32"/>
          <w:szCs w:val="32"/>
          <w:highlight w:val="none"/>
          <w:u w:val="none"/>
          <w:shd w:val="clear" w:color="auto" w:fill="auto"/>
          <w:lang w:val="en-US" w:eastAsia="zh-CN" w:bidi="ar-SA"/>
        </w:rPr>
        <w:t>。</w:t>
      </w:r>
      <w:r>
        <w:rPr>
          <w:rFonts w:ascii="仿宋" w:hAnsi="仿宋"/>
          <w:color w:val="auto"/>
          <w:szCs w:val="32"/>
          <w:highlight w:val="none"/>
          <w:shd w:val="clear" w:color="auto" w:fill="auto"/>
        </w:rPr>
        <w:t>制定</w:t>
      </w:r>
      <w:r>
        <w:rPr>
          <w:rFonts w:hint="eastAsia" w:ascii="仿宋" w:hAnsi="仿宋"/>
          <w:color w:val="auto"/>
          <w:szCs w:val="32"/>
          <w:highlight w:val="none"/>
          <w:shd w:val="clear" w:color="auto" w:fill="auto"/>
          <w:lang w:eastAsia="zh-CN"/>
        </w:rPr>
        <w:t>旺苍</w:t>
      </w:r>
      <w:r>
        <w:rPr>
          <w:rFonts w:ascii="仿宋" w:hAnsi="仿宋"/>
          <w:color w:val="auto"/>
          <w:szCs w:val="32"/>
          <w:highlight w:val="none"/>
          <w:shd w:val="clear" w:color="auto" w:fill="auto"/>
        </w:rPr>
        <w:t>农牧对接</w:t>
      </w:r>
      <w:r>
        <w:rPr>
          <w:rFonts w:hint="eastAsia" w:ascii="仿宋" w:hAnsi="仿宋"/>
          <w:color w:val="auto"/>
          <w:szCs w:val="32"/>
          <w:highlight w:val="none"/>
          <w:shd w:val="clear" w:color="auto" w:fill="auto"/>
        </w:rPr>
        <w:t>方案</w:t>
      </w:r>
      <w:r>
        <w:rPr>
          <w:rFonts w:ascii="仿宋" w:hAnsi="仿宋"/>
          <w:color w:val="auto"/>
          <w:szCs w:val="32"/>
          <w:highlight w:val="none"/>
          <w:shd w:val="clear" w:color="auto" w:fill="auto"/>
        </w:rPr>
        <w:t>，建立健全农牧对接长效机制</w:t>
      </w:r>
      <w:r>
        <w:rPr>
          <w:rFonts w:hint="eastAsia" w:ascii="仿宋" w:hAnsi="仿宋"/>
          <w:color w:val="auto"/>
          <w:szCs w:val="32"/>
          <w:highlight w:val="none"/>
          <w:shd w:val="clear" w:color="auto" w:fill="auto"/>
        </w:rPr>
        <w:t>。</w:t>
      </w:r>
      <w:r>
        <w:rPr>
          <w:rFonts w:ascii="仿宋" w:hAnsi="仿宋"/>
          <w:color w:val="auto"/>
          <w:szCs w:val="32"/>
          <w:highlight w:val="none"/>
          <w:shd w:val="clear" w:color="auto" w:fill="auto"/>
        </w:rPr>
        <w:t>以循环化为支撑，构建县域大循环，全面推进畜禽养殖废弃物资源化利用，</w:t>
      </w:r>
      <w:r>
        <w:rPr>
          <w:rFonts w:hint="eastAsia" w:ascii="仿宋" w:hAnsi="仿宋"/>
          <w:color w:val="auto"/>
          <w:szCs w:val="32"/>
          <w:highlight w:val="none"/>
          <w:shd w:val="clear" w:color="auto" w:fill="auto"/>
        </w:rPr>
        <w:t>到2025年，全县规模化养殖达到60%，畜禽规模养殖场粪污处理设施装备配套率</w:t>
      </w:r>
      <w:r>
        <w:rPr>
          <w:rFonts w:hint="eastAsia" w:ascii="仿宋" w:hAnsi="仿宋"/>
          <w:color w:val="auto"/>
          <w:szCs w:val="32"/>
          <w:highlight w:val="none"/>
          <w:shd w:val="clear" w:color="auto" w:fill="auto"/>
          <w:lang w:val="en-US" w:eastAsia="zh-CN"/>
        </w:rPr>
        <w:t>动态增长</w:t>
      </w:r>
      <w:r>
        <w:rPr>
          <w:rFonts w:hint="eastAsia" w:ascii="仿宋" w:hAnsi="仿宋"/>
          <w:color w:val="auto"/>
          <w:szCs w:val="32"/>
          <w:highlight w:val="none"/>
          <w:shd w:val="clear" w:color="auto" w:fill="auto"/>
        </w:rPr>
        <w:t>保持100%。</w:t>
      </w:r>
      <w:r>
        <w:rPr>
          <w:rFonts w:ascii="仿宋" w:hAnsi="仿宋"/>
          <w:color w:val="auto"/>
          <w:szCs w:val="32"/>
          <w:highlight w:val="none"/>
          <w:shd w:val="clear" w:color="auto" w:fill="auto"/>
        </w:rPr>
        <w:t>按照种养循环、草畜配套的原则，推进饲草料种植和养殖配套衔接，实现农牧循环发展。积极培育种养循环生态农业示范区，形成养殖、粪污处理、有机农业肥料、改良土壤提高地力、有机农产品种植等为一体的生态循环农业。</w:t>
      </w:r>
    </w:p>
    <w:p>
      <w:pPr>
        <w:pStyle w:val="14"/>
        <w:spacing w:after="0" w:line="240" w:lineRule="auto"/>
        <w:ind w:left="0" w:leftChars="0" w:right="0" w:rightChars="0" w:firstLine="643" w:firstLineChars="200"/>
        <w:rPr>
          <w:rFonts w:hint="eastAsia" w:ascii="仿宋" w:hAnsi="仿宋"/>
          <w:szCs w:val="32"/>
          <w:highlight w:val="none"/>
          <w:shd w:val="clear" w:color="auto" w:fill="auto"/>
        </w:rPr>
      </w:pPr>
      <w:r>
        <w:rPr>
          <w:rFonts w:hint="eastAsia" w:ascii="仿宋" w:hAnsi="仿宋"/>
          <w:b/>
          <w:szCs w:val="32"/>
          <w:highlight w:val="none"/>
          <w:shd w:val="clear" w:color="auto" w:fill="auto"/>
        </w:rPr>
        <w:t>推广养殖肥料绿色升级。</w:t>
      </w:r>
      <w:r>
        <w:rPr>
          <w:rFonts w:hint="eastAsia" w:ascii="仿宋" w:hAnsi="仿宋"/>
          <w:szCs w:val="32"/>
          <w:highlight w:val="none"/>
          <w:shd w:val="clear" w:color="auto" w:fill="auto"/>
        </w:rPr>
        <w:t>推广测土配方施肥、病虫害绿色防治技术，实施保护性耕作，鼓励农民增施有机肥、种植绿肥，科学施用化肥，提高肥料利用率。开展化肥减量增效示范县创建，建立1个化肥减量技术服务示范片，新规划建设有机肥厂1个，年产有机肥10</w:t>
      </w:r>
      <w:r>
        <w:rPr>
          <w:rFonts w:hint="eastAsia" w:ascii="仿宋" w:hAnsi="仿宋"/>
          <w:szCs w:val="32"/>
          <w:highlight w:val="none"/>
          <w:shd w:val="clear" w:color="auto" w:fill="auto"/>
          <w:lang w:val="en-US" w:eastAsia="zh-CN"/>
        </w:rPr>
        <w:t>万</w:t>
      </w:r>
      <w:r>
        <w:rPr>
          <w:rFonts w:hint="eastAsia" w:ascii="仿宋" w:hAnsi="仿宋"/>
          <w:szCs w:val="32"/>
          <w:highlight w:val="none"/>
          <w:shd w:val="clear" w:color="auto" w:fill="auto"/>
        </w:rPr>
        <w:t>吨</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rPr>
        <w:t>到2025年，累计示范面积不少于</w:t>
      </w:r>
      <w:r>
        <w:rPr>
          <w:rFonts w:ascii="仿宋" w:hAnsi="仿宋"/>
          <w:szCs w:val="32"/>
          <w:highlight w:val="none"/>
          <w:shd w:val="clear" w:color="auto" w:fill="auto"/>
        </w:rPr>
        <w:t>1</w:t>
      </w:r>
      <w:r>
        <w:rPr>
          <w:rFonts w:hint="eastAsia" w:ascii="仿宋" w:hAnsi="仿宋"/>
          <w:szCs w:val="32"/>
          <w:highlight w:val="none"/>
          <w:shd w:val="clear" w:color="auto" w:fill="auto"/>
        </w:rPr>
        <w:t>万亩，示范片化肥量减少</w:t>
      </w:r>
      <w:r>
        <w:rPr>
          <w:rFonts w:ascii="仿宋" w:hAnsi="仿宋"/>
          <w:szCs w:val="32"/>
          <w:highlight w:val="none"/>
          <w:shd w:val="clear" w:color="auto" w:fill="auto"/>
        </w:rPr>
        <w:t>3%</w:t>
      </w:r>
      <w:r>
        <w:rPr>
          <w:rFonts w:hint="eastAsia" w:ascii="仿宋" w:hAnsi="仿宋"/>
          <w:szCs w:val="32"/>
          <w:highlight w:val="none"/>
          <w:shd w:val="clear" w:color="auto" w:fill="auto"/>
        </w:rPr>
        <w:t>以上，化肥利用率提高到</w:t>
      </w:r>
      <w:r>
        <w:rPr>
          <w:rFonts w:ascii="仿宋" w:hAnsi="仿宋"/>
          <w:szCs w:val="32"/>
          <w:highlight w:val="none"/>
          <w:shd w:val="clear" w:color="auto" w:fill="auto"/>
        </w:rPr>
        <w:t>40%</w:t>
      </w:r>
      <w:r>
        <w:rPr>
          <w:rFonts w:hint="eastAsia" w:ascii="仿宋" w:hAnsi="仿宋"/>
          <w:szCs w:val="32"/>
          <w:highlight w:val="none"/>
          <w:shd w:val="clear" w:color="auto" w:fill="auto"/>
        </w:rPr>
        <w:t>以上；县域主要农作物测土配方施肥技术覆盖率达到</w:t>
      </w:r>
      <w:r>
        <w:rPr>
          <w:rFonts w:ascii="仿宋" w:hAnsi="仿宋"/>
          <w:szCs w:val="32"/>
          <w:highlight w:val="none"/>
          <w:shd w:val="clear" w:color="auto" w:fill="auto"/>
        </w:rPr>
        <w:t>95%</w:t>
      </w:r>
      <w:r>
        <w:rPr>
          <w:rFonts w:hint="eastAsia" w:ascii="仿宋" w:hAnsi="仿宋"/>
          <w:szCs w:val="32"/>
          <w:highlight w:val="none"/>
          <w:shd w:val="clear" w:color="auto" w:fill="auto"/>
        </w:rPr>
        <w:t>以上。支持开展取土化验，其中</w:t>
      </w:r>
      <w:r>
        <w:rPr>
          <w:rFonts w:ascii="仿宋" w:hAnsi="仿宋"/>
          <w:szCs w:val="32"/>
          <w:highlight w:val="none"/>
          <w:shd w:val="clear" w:color="auto" w:fill="auto"/>
        </w:rPr>
        <w:t>10%</w:t>
      </w:r>
      <w:r>
        <w:rPr>
          <w:rFonts w:hint="eastAsia" w:ascii="仿宋" w:hAnsi="仿宋"/>
          <w:szCs w:val="32"/>
          <w:highlight w:val="none"/>
          <w:shd w:val="clear" w:color="auto" w:fill="auto"/>
        </w:rPr>
        <w:t>以上测试微量元素和重金属元素；开展新配料、新技术及肥料种对比。开展测土配方施肥优化、有机无机配施、主要粮食作物化肥利率、经济作物“</w:t>
      </w:r>
      <w:r>
        <w:rPr>
          <w:rFonts w:ascii="仿宋" w:hAnsi="仿宋"/>
          <w:szCs w:val="32"/>
          <w:highlight w:val="none"/>
          <w:shd w:val="clear" w:color="auto" w:fill="auto"/>
        </w:rPr>
        <w:t>2+</w:t>
      </w:r>
      <w:r>
        <w:rPr>
          <w:rFonts w:hint="eastAsia" w:ascii="仿宋" w:hAnsi="仿宋"/>
          <w:szCs w:val="32"/>
          <w:highlight w:val="none"/>
          <w:shd w:val="clear" w:color="auto" w:fill="auto"/>
          <w:lang w:eastAsia="zh-CN"/>
        </w:rPr>
        <w:t>X</w:t>
      </w:r>
      <w:r>
        <w:rPr>
          <w:rFonts w:hint="eastAsia" w:ascii="仿宋" w:hAnsi="仿宋"/>
          <w:szCs w:val="32"/>
          <w:highlight w:val="none"/>
          <w:shd w:val="clear" w:color="auto" w:fill="auto"/>
        </w:rPr>
        <w:t>”田间肥效试验。推进“肥药两制”改革，实施种植业化肥农药定额施用行动、兽用抗菌药使用减量化和饲料环保化行动，开展畜禽健康养殖示范场培育。开展智慧施肥平台建设，形成1个县级中心、12个乡镇街道覆盖的施肥建议系统，推动绿色农业全产业链标准化进程。</w:t>
      </w:r>
    </w:p>
    <w:p>
      <w:pPr>
        <w:pStyle w:val="14"/>
        <w:spacing w:after="0" w:line="240" w:lineRule="auto"/>
        <w:ind w:left="0" w:leftChars="0" w:right="0" w:rightChars="0" w:firstLine="643" w:firstLineChars="200"/>
        <w:rPr>
          <w:rFonts w:hint="eastAsia" w:ascii="仿宋" w:hAnsi="仿宋"/>
          <w:szCs w:val="32"/>
          <w:highlight w:val="none"/>
          <w:shd w:val="clear" w:color="auto" w:fill="auto"/>
        </w:rPr>
      </w:pPr>
      <w:r>
        <w:rPr>
          <w:rFonts w:hint="eastAsia" w:ascii="仿宋" w:hAnsi="仿宋"/>
          <w:b/>
          <w:szCs w:val="32"/>
          <w:highlight w:val="none"/>
          <w:shd w:val="clear" w:color="auto" w:fill="auto"/>
        </w:rPr>
        <w:t>推动现代化畜禽养殖场建设</w:t>
      </w:r>
      <w:r>
        <w:rPr>
          <w:rFonts w:hint="eastAsia" w:ascii="仿宋" w:hAnsi="仿宋"/>
          <w:szCs w:val="32"/>
          <w:highlight w:val="none"/>
          <w:shd w:val="clear" w:color="auto" w:fill="auto"/>
        </w:rPr>
        <w:t>。</w:t>
      </w:r>
      <w:r>
        <w:rPr>
          <w:rFonts w:hint="eastAsia" w:ascii="仿宋" w:hAnsi="仿宋"/>
          <w:color w:val="auto"/>
          <w:szCs w:val="32"/>
          <w:highlight w:val="none"/>
          <w:shd w:val="clear" w:color="auto" w:fill="auto"/>
        </w:rPr>
        <w:t>对传统畜禽养殖进行设施改造和提升，扩大工厂化、智能化养殖规模，建设一批标杆性规模生猪养殖场。完善畜禽养殖场</w:t>
      </w:r>
      <w:r>
        <w:rPr>
          <w:rFonts w:ascii="仿宋" w:hAnsi="仿宋"/>
          <w:color w:val="auto"/>
          <w:szCs w:val="32"/>
          <w:highlight w:val="none"/>
          <w:shd w:val="clear" w:color="auto" w:fill="auto"/>
        </w:rPr>
        <w:t>污染防治设施建设，继续推进养殖场生态化改造、粪污资源化利用、区域化科学布局和制度、模式、科技创新，构建生态高效的现代畜牧业发展新格局</w:t>
      </w:r>
      <w:r>
        <w:rPr>
          <w:rFonts w:hint="eastAsia" w:ascii="仿宋" w:hAnsi="仿宋"/>
          <w:color w:val="auto"/>
          <w:szCs w:val="32"/>
          <w:highlight w:val="none"/>
          <w:shd w:val="clear" w:color="auto" w:fill="auto"/>
        </w:rPr>
        <w:t>，</w:t>
      </w:r>
      <w:r>
        <w:rPr>
          <w:rFonts w:ascii="仿宋" w:hAnsi="仿宋"/>
          <w:color w:val="auto"/>
          <w:szCs w:val="32"/>
          <w:highlight w:val="none"/>
          <w:shd w:val="clear" w:color="auto" w:fill="auto"/>
        </w:rPr>
        <w:t>深化美丽牧场建设和国家级畜禽养殖标准化示范创建场建设</w:t>
      </w:r>
      <w:r>
        <w:rPr>
          <w:rFonts w:hint="eastAsia" w:ascii="仿宋" w:hAnsi="仿宋"/>
          <w:color w:val="auto"/>
          <w:szCs w:val="32"/>
          <w:highlight w:val="none"/>
          <w:shd w:val="clear" w:color="auto" w:fill="auto"/>
        </w:rPr>
        <w:t>。</w:t>
      </w:r>
      <w:r>
        <w:rPr>
          <w:rFonts w:hint="eastAsia" w:ascii="仿宋" w:hAnsi="仿宋" w:eastAsia="仿宋_GB2312" w:cs="Times New Roman"/>
          <w:bCs/>
          <w:color w:val="auto"/>
          <w:kern w:val="2"/>
          <w:sz w:val="32"/>
          <w:szCs w:val="32"/>
          <w:highlight w:val="none"/>
          <w:u w:val="none"/>
          <w:shd w:val="clear" w:color="auto" w:fill="auto"/>
          <w:lang w:val="en-US" w:eastAsia="zh-CN" w:bidi="ar-SA"/>
        </w:rPr>
        <w:t>推广以地定养、种养结合等循环利用模式，配套足够的林地、果地、旱作物地和农田消纳养殖粪污，实现畜禽养殖粪污的资源化利用。</w:t>
      </w:r>
    </w:p>
    <w:p>
      <w:pPr>
        <w:pStyle w:val="14"/>
        <w:spacing w:after="0" w:line="240" w:lineRule="auto"/>
        <w:ind w:left="0" w:leftChars="0" w:right="0" w:rightChars="0" w:firstLine="643" w:firstLineChars="200"/>
        <w:rPr>
          <w:rFonts w:hint="eastAsia" w:ascii="仿宋" w:hAnsi="仿宋"/>
          <w:highlight w:val="none"/>
        </w:rPr>
      </w:pPr>
      <w:r>
        <w:rPr>
          <w:rFonts w:ascii="仿宋" w:hAnsi="仿宋"/>
          <w:b/>
          <w:szCs w:val="32"/>
          <w:highlight w:val="none"/>
          <w:shd w:val="clear" w:color="auto" w:fill="auto"/>
        </w:rPr>
        <w:t>推进废弃物循环利用体系建设</w:t>
      </w:r>
      <w:r>
        <w:rPr>
          <w:rFonts w:hint="eastAsia" w:ascii="仿宋" w:hAnsi="仿宋"/>
          <w:b/>
          <w:szCs w:val="32"/>
          <w:highlight w:val="none"/>
          <w:shd w:val="clear" w:color="auto" w:fill="auto"/>
        </w:rPr>
        <w:t>。</w:t>
      </w:r>
      <w:r>
        <w:rPr>
          <w:rFonts w:hint="eastAsia" w:ascii="仿宋" w:hAnsi="仿宋"/>
          <w:szCs w:val="32"/>
          <w:highlight w:val="none"/>
          <w:shd w:val="clear" w:color="auto" w:fill="auto"/>
        </w:rPr>
        <w:t>提升畜禽养殖粪污资源化利用水平。支持规模养殖场配置节水养殖、粪便清理收集、粪污处理贮存和沼液田间输送管网等设施设备，引导社会化服务组织提升粪肥处理服务能力，打通粪肥还田通道</w:t>
      </w:r>
      <w:r>
        <w:rPr>
          <w:rFonts w:ascii="仿宋" w:hAnsi="仿宋"/>
          <w:szCs w:val="32"/>
          <w:highlight w:val="none"/>
          <w:shd w:val="clear" w:color="auto" w:fill="auto"/>
        </w:rPr>
        <w:t>，支持畜禽养殖户建设畜禽粪污无害化处理和资源化利用设施</w:t>
      </w:r>
      <w:r>
        <w:rPr>
          <w:rFonts w:hint="eastAsia" w:ascii="仿宋" w:hAnsi="仿宋"/>
          <w:szCs w:val="32"/>
          <w:highlight w:val="none"/>
          <w:shd w:val="clear" w:color="auto" w:fill="auto"/>
        </w:rPr>
        <w:t>。</w:t>
      </w:r>
      <w:r>
        <w:rPr>
          <w:rFonts w:ascii="仿宋" w:hAnsi="仿宋"/>
          <w:szCs w:val="32"/>
          <w:highlight w:val="none"/>
          <w:shd w:val="clear" w:color="auto" w:fill="auto"/>
        </w:rPr>
        <w:t>鼓励采取粪肥还田、制取沼气、生产有机肥等方式进行资源化利用，加大有机肥生产和使用扶持政策。加快建设粪污集中处理中心，统筹建立农村有机废弃物收集转化利用网络体系和市场化运营机制</w:t>
      </w:r>
      <w:r>
        <w:rPr>
          <w:rFonts w:hint="eastAsia" w:ascii="仿宋" w:hAnsi="仿宋"/>
          <w:szCs w:val="32"/>
          <w:highlight w:val="none"/>
          <w:shd w:val="clear" w:color="auto" w:fill="auto"/>
        </w:rPr>
        <w:t>。</w:t>
      </w:r>
    </w:p>
    <w:p>
      <w:pPr>
        <w:pStyle w:val="14"/>
        <w:spacing w:after="0" w:line="240" w:lineRule="auto"/>
        <w:ind w:left="0" w:leftChars="0" w:right="0" w:rightChars="0" w:firstLine="643" w:firstLineChars="200"/>
        <w:rPr>
          <w:rFonts w:hint="eastAsia" w:ascii="仿宋" w:hAnsi="仿宋"/>
          <w:szCs w:val="32"/>
          <w:highlight w:val="none"/>
          <w:shd w:val="clear" w:color="auto" w:fill="auto"/>
          <w:lang w:eastAsia="zh-CN"/>
        </w:rPr>
      </w:pPr>
      <w:r>
        <w:rPr>
          <w:rFonts w:ascii="仿宋" w:hAnsi="仿宋"/>
          <w:b/>
          <w:szCs w:val="32"/>
          <w:highlight w:val="none"/>
          <w:shd w:val="clear" w:color="auto" w:fill="auto"/>
        </w:rPr>
        <w:t>多元发展，优化畜牧业产业结构</w:t>
      </w:r>
      <w:r>
        <w:rPr>
          <w:rFonts w:hint="eastAsia" w:ascii="仿宋" w:hAnsi="仿宋"/>
          <w:b/>
          <w:szCs w:val="32"/>
          <w:highlight w:val="none"/>
          <w:shd w:val="clear" w:color="auto" w:fill="auto"/>
        </w:rPr>
        <w:t>。</w:t>
      </w:r>
      <w:r>
        <w:rPr>
          <w:rFonts w:ascii="仿宋" w:hAnsi="仿宋"/>
          <w:szCs w:val="32"/>
          <w:highlight w:val="none"/>
          <w:shd w:val="clear" w:color="auto" w:fill="auto"/>
        </w:rPr>
        <w:t>以聚焦增产保供为核心，以生态型高质量发展为前提</w:t>
      </w:r>
      <w:r>
        <w:rPr>
          <w:rFonts w:hint="eastAsia" w:ascii="仿宋" w:hAnsi="仿宋"/>
          <w:b/>
          <w:szCs w:val="32"/>
          <w:highlight w:val="none"/>
          <w:shd w:val="clear" w:color="auto" w:fill="auto"/>
        </w:rPr>
        <w:t>，</w:t>
      </w:r>
      <w:r>
        <w:rPr>
          <w:rFonts w:hint="eastAsia" w:ascii="仿宋" w:hAnsi="仿宋"/>
          <w:szCs w:val="32"/>
          <w:highlight w:val="none"/>
          <w:shd w:val="clear" w:color="auto" w:fill="auto"/>
        </w:rPr>
        <w:t>加快</w:t>
      </w:r>
      <w:r>
        <w:rPr>
          <w:rFonts w:ascii="仿宋" w:hAnsi="仿宋"/>
          <w:szCs w:val="32"/>
          <w:highlight w:val="none"/>
          <w:shd w:val="clear" w:color="auto" w:fill="auto"/>
        </w:rPr>
        <w:t>生猪产业</w:t>
      </w:r>
      <w:r>
        <w:rPr>
          <w:rFonts w:hint="eastAsia" w:ascii="仿宋" w:hAnsi="仿宋"/>
          <w:szCs w:val="32"/>
          <w:highlight w:val="none"/>
          <w:shd w:val="clear" w:color="auto" w:fill="auto"/>
        </w:rPr>
        <w:t>绿色转型</w:t>
      </w:r>
      <w:r>
        <w:rPr>
          <w:rFonts w:ascii="仿宋" w:hAnsi="仿宋"/>
          <w:szCs w:val="32"/>
          <w:highlight w:val="none"/>
          <w:shd w:val="clear" w:color="auto" w:fill="auto"/>
        </w:rPr>
        <w:t>，带动家禽、</w:t>
      </w:r>
      <w:r>
        <w:rPr>
          <w:rFonts w:hint="eastAsia" w:ascii="仿宋" w:hAnsi="仿宋"/>
          <w:szCs w:val="32"/>
          <w:highlight w:val="none"/>
          <w:shd w:val="clear" w:color="auto" w:fill="auto"/>
        </w:rPr>
        <w:t>牛、</w:t>
      </w:r>
      <w:r>
        <w:rPr>
          <w:rFonts w:ascii="仿宋" w:hAnsi="仿宋"/>
          <w:szCs w:val="32"/>
          <w:highlight w:val="none"/>
          <w:shd w:val="clear" w:color="auto" w:fill="auto"/>
        </w:rPr>
        <w:t>羊等替代品产业加速发展，促进全产业融合。通过提升生产性能、肉品品质、养殖规模化、设施化和集约化水平，提升</w:t>
      </w:r>
      <w:r>
        <w:rPr>
          <w:rFonts w:hint="eastAsia" w:ascii="仿宋" w:hAnsi="仿宋"/>
          <w:szCs w:val="32"/>
          <w:highlight w:val="none"/>
          <w:shd w:val="clear" w:color="auto" w:fill="auto"/>
        </w:rPr>
        <w:t>生猪</w:t>
      </w:r>
      <w:r>
        <w:rPr>
          <w:rFonts w:ascii="仿宋" w:hAnsi="仿宋"/>
          <w:szCs w:val="32"/>
          <w:highlight w:val="none"/>
          <w:shd w:val="clear" w:color="auto" w:fill="auto"/>
        </w:rPr>
        <w:t>产业</w:t>
      </w:r>
      <w:r>
        <w:rPr>
          <w:rFonts w:hint="eastAsia" w:ascii="仿宋" w:hAnsi="仿宋"/>
          <w:szCs w:val="32"/>
          <w:highlight w:val="none"/>
          <w:shd w:val="clear" w:color="auto" w:fill="auto"/>
        </w:rPr>
        <w:t>发展</w:t>
      </w:r>
      <w:r>
        <w:rPr>
          <w:rFonts w:ascii="仿宋" w:hAnsi="仿宋"/>
          <w:szCs w:val="32"/>
          <w:highlight w:val="none"/>
          <w:shd w:val="clear" w:color="auto" w:fill="auto"/>
        </w:rPr>
        <w:t>。大力</w:t>
      </w:r>
      <w:r>
        <w:rPr>
          <w:rFonts w:hint="eastAsia" w:ascii="仿宋" w:hAnsi="仿宋"/>
          <w:szCs w:val="32"/>
          <w:highlight w:val="none"/>
          <w:shd w:val="clear" w:color="auto" w:fill="auto"/>
        </w:rPr>
        <w:t>发展宫廷黄鸡、</w:t>
      </w:r>
      <w:r>
        <w:rPr>
          <w:rFonts w:hint="eastAsia" w:ascii="仿宋" w:hAnsi="仿宋"/>
          <w:szCs w:val="32"/>
          <w:highlight w:val="none"/>
          <w:shd w:val="clear" w:color="auto" w:fill="auto"/>
          <w:lang w:eastAsia="zh-CN"/>
        </w:rPr>
        <w:t>旺苍</w:t>
      </w:r>
      <w:r>
        <w:rPr>
          <w:rFonts w:hint="eastAsia" w:ascii="仿宋" w:hAnsi="仿宋"/>
          <w:szCs w:val="32"/>
          <w:highlight w:val="none"/>
          <w:shd w:val="clear" w:color="auto" w:fill="auto"/>
        </w:rPr>
        <w:t>长毛兔、獭兔、</w:t>
      </w:r>
      <w:r>
        <w:rPr>
          <w:rFonts w:ascii="仿宋" w:hAnsi="仿宋"/>
          <w:szCs w:val="32"/>
          <w:highlight w:val="none"/>
          <w:shd w:val="clear" w:color="auto" w:fill="auto"/>
        </w:rPr>
        <w:t>蜜蜂</w:t>
      </w:r>
      <w:r>
        <w:rPr>
          <w:rFonts w:hint="eastAsia" w:ascii="仿宋" w:hAnsi="仿宋"/>
          <w:szCs w:val="32"/>
          <w:highlight w:val="none"/>
          <w:shd w:val="clear" w:color="auto" w:fill="auto"/>
        </w:rPr>
        <w:t>等</w:t>
      </w:r>
      <w:r>
        <w:rPr>
          <w:rFonts w:ascii="仿宋" w:hAnsi="仿宋"/>
          <w:szCs w:val="32"/>
          <w:highlight w:val="none"/>
          <w:shd w:val="clear" w:color="auto" w:fill="auto"/>
        </w:rPr>
        <w:t>特色精品畜牧业及饲料兽药产业</w:t>
      </w:r>
      <w:r>
        <w:rPr>
          <w:rFonts w:hint="eastAsia" w:ascii="仿宋" w:hAnsi="仿宋"/>
          <w:szCs w:val="32"/>
          <w:highlight w:val="none"/>
          <w:shd w:val="clear" w:color="auto" w:fill="auto"/>
        </w:rPr>
        <w:t>，</w:t>
      </w:r>
      <w:r>
        <w:rPr>
          <w:rFonts w:ascii="仿宋" w:hAnsi="仿宋"/>
          <w:szCs w:val="32"/>
          <w:highlight w:val="none"/>
          <w:shd w:val="clear" w:color="auto" w:fill="auto"/>
        </w:rPr>
        <w:t>重点发展优质肉禽和禽蛋</w:t>
      </w:r>
      <w:r>
        <w:rPr>
          <w:rFonts w:hint="eastAsia" w:ascii="仿宋" w:hAnsi="仿宋"/>
          <w:szCs w:val="32"/>
          <w:highlight w:val="none"/>
          <w:shd w:val="clear" w:color="auto" w:fill="auto"/>
        </w:rPr>
        <w:t>。</w:t>
      </w:r>
      <w:r>
        <w:rPr>
          <w:rFonts w:ascii="仿宋" w:hAnsi="仿宋"/>
          <w:szCs w:val="32"/>
          <w:highlight w:val="none"/>
          <w:shd w:val="clear" w:color="auto" w:fill="auto"/>
        </w:rPr>
        <w:t>配置数</w:t>
      </w:r>
      <w:r>
        <w:rPr>
          <w:rFonts w:hint="eastAsia" w:ascii="仿宋" w:hAnsi="仿宋"/>
          <w:szCs w:val="32"/>
          <w:highlight w:val="none"/>
          <w:shd w:val="clear" w:color="auto" w:fill="auto"/>
        </w:rPr>
        <w:t>字</w:t>
      </w:r>
      <w:r>
        <w:rPr>
          <w:rFonts w:ascii="仿宋" w:hAnsi="仿宋"/>
          <w:szCs w:val="32"/>
          <w:highlight w:val="none"/>
          <w:shd w:val="clear" w:color="auto" w:fill="auto"/>
        </w:rPr>
        <w:t>化设施设备，推进质量追溯体系和品牌建设，促进畜禽品种和产品优质化发展。推进现代化畜禽品种改良计划，建设</w:t>
      </w:r>
      <w:r>
        <w:rPr>
          <w:rFonts w:hint="eastAsia" w:ascii="仿宋" w:hAnsi="仿宋"/>
          <w:szCs w:val="32"/>
          <w:highlight w:val="none"/>
          <w:shd w:val="clear" w:color="auto" w:fill="auto"/>
          <w:lang w:eastAsia="zh-CN"/>
        </w:rPr>
        <w:t>旺苍</w:t>
      </w:r>
      <w:r>
        <w:rPr>
          <w:rFonts w:ascii="仿宋" w:hAnsi="仿宋"/>
          <w:szCs w:val="32"/>
          <w:highlight w:val="none"/>
          <w:shd w:val="clear" w:color="auto" w:fill="auto"/>
        </w:rPr>
        <w:t>畜禽遗传资源物质库，建立畜禽育种公共支撑平台</w:t>
      </w:r>
      <w:r>
        <w:rPr>
          <w:rFonts w:hint="eastAsia" w:ascii="仿宋" w:hAnsi="仿宋"/>
          <w:szCs w:val="32"/>
          <w:highlight w:val="none"/>
          <w:shd w:val="clear" w:color="auto" w:fill="auto"/>
        </w:rPr>
        <w:t>。</w:t>
      </w:r>
      <w:r>
        <w:rPr>
          <w:rFonts w:ascii="仿宋" w:hAnsi="仿宋"/>
          <w:szCs w:val="32"/>
          <w:highlight w:val="none"/>
          <w:shd w:val="clear" w:color="auto" w:fill="auto"/>
        </w:rPr>
        <w:t>拓展畜牧业新功能，积极开发新业态、新模式，</w:t>
      </w:r>
      <w:r>
        <w:rPr>
          <w:rFonts w:hint="eastAsia" w:ascii="仿宋" w:hAnsi="仿宋"/>
          <w:szCs w:val="32"/>
          <w:highlight w:val="none"/>
          <w:shd w:val="clear" w:color="auto" w:fill="auto"/>
        </w:rPr>
        <w:t>加快推进大型规模猪场向循环农业综合体发展，推进特色畜牧业生产、加工、消费、旅游、休闲和文化体验融合，</w:t>
      </w:r>
      <w:r>
        <w:rPr>
          <w:rFonts w:ascii="仿宋" w:hAnsi="仿宋"/>
          <w:szCs w:val="32"/>
          <w:highlight w:val="none"/>
          <w:shd w:val="clear" w:color="auto" w:fill="auto"/>
        </w:rPr>
        <w:t>促进一二三产业融合发展。鼓励抱团组建大型合作社或联合社，充分发挥大型龙头企业的引领作用，做大做强一批畜牧业全产业链。</w:t>
      </w:r>
      <w:r>
        <w:rPr>
          <w:rFonts w:hint="eastAsia" w:ascii="仿宋" w:hAnsi="仿宋"/>
          <w:szCs w:val="32"/>
          <w:highlight w:val="none"/>
          <w:shd w:val="clear" w:color="auto" w:fill="auto"/>
        </w:rPr>
        <w:t>借助</w:t>
      </w:r>
      <w:r>
        <w:rPr>
          <w:rFonts w:hint="eastAsia" w:ascii="仿宋" w:hAnsi="仿宋"/>
          <w:szCs w:val="32"/>
          <w:highlight w:val="none"/>
          <w:shd w:val="clear" w:color="auto" w:fill="auto"/>
          <w:lang w:eastAsia="zh-CN"/>
        </w:rPr>
        <w:t>“</w:t>
      </w:r>
      <w:r>
        <w:rPr>
          <w:rFonts w:ascii="仿宋" w:hAnsi="仿宋"/>
          <w:szCs w:val="32"/>
          <w:highlight w:val="none"/>
          <w:shd w:val="clear" w:color="auto" w:fill="auto"/>
        </w:rPr>
        <w:t>互联网+</w:t>
      </w:r>
      <w:r>
        <w:rPr>
          <w:rFonts w:hint="eastAsia" w:ascii="仿宋" w:hAnsi="仿宋"/>
          <w:szCs w:val="32"/>
          <w:highlight w:val="none"/>
          <w:shd w:val="clear" w:color="auto" w:fill="auto"/>
          <w:lang w:eastAsia="zh-CN"/>
        </w:rPr>
        <w:t>”</w:t>
      </w:r>
      <w:r>
        <w:rPr>
          <w:rFonts w:ascii="仿宋" w:hAnsi="仿宋"/>
          <w:szCs w:val="32"/>
          <w:highlight w:val="none"/>
          <w:shd w:val="clear" w:color="auto" w:fill="auto"/>
        </w:rPr>
        <w:t>构建畜牧业新型业态，推动畜牧业产业融合发展。</w:t>
      </w:r>
      <w:r>
        <w:rPr>
          <w:rFonts w:hint="eastAsia" w:ascii="仿宋" w:hAnsi="仿宋"/>
          <w:szCs w:val="32"/>
          <w:highlight w:val="none"/>
          <w:shd w:val="clear" w:color="auto" w:fill="auto"/>
        </w:rPr>
        <w:t>到2025年力争生猪出栏量达到</w:t>
      </w:r>
      <w:r>
        <w:rPr>
          <w:rFonts w:hint="eastAsia" w:ascii="仿宋" w:hAnsi="仿宋"/>
          <w:szCs w:val="32"/>
          <w:highlight w:val="none"/>
          <w:shd w:val="clear" w:color="auto" w:fill="auto"/>
          <w:lang w:val="en-US" w:eastAsia="zh-CN"/>
        </w:rPr>
        <w:t>65</w:t>
      </w:r>
      <w:r>
        <w:rPr>
          <w:rFonts w:hint="eastAsia" w:ascii="仿宋" w:hAnsi="仿宋"/>
          <w:szCs w:val="32"/>
          <w:highlight w:val="none"/>
          <w:shd w:val="clear" w:color="auto" w:fill="auto"/>
        </w:rPr>
        <w:t>万头以上，其它畜禽总体规模与“十三五”持平</w:t>
      </w:r>
      <w:r>
        <w:rPr>
          <w:rFonts w:hint="eastAsia" w:ascii="仿宋" w:hAnsi="仿宋"/>
          <w:szCs w:val="32"/>
          <w:highlight w:val="none"/>
          <w:shd w:val="clear" w:color="auto" w:fill="auto"/>
          <w:lang w:eastAsia="zh-CN"/>
        </w:rPr>
        <w:t>。</w:t>
      </w:r>
      <w:bookmarkStart w:id="75" w:name="_bookmark13"/>
      <w:bookmarkEnd w:id="75"/>
      <w:bookmarkStart w:id="76" w:name="（二）坚持分区分类管理，实现畜牧业合理布局"/>
      <w:bookmarkEnd w:id="76"/>
      <w:bookmarkStart w:id="77" w:name="_Toc28356"/>
    </w:p>
    <w:p>
      <w:pPr>
        <w:pStyle w:val="14"/>
        <w:spacing w:after="0" w:line="240" w:lineRule="auto"/>
        <w:ind w:left="0" w:leftChars="0" w:right="0" w:rightChars="0" w:firstLine="643" w:firstLineChars="200"/>
        <w:rPr>
          <w:rFonts w:ascii="仿宋" w:hAnsi="仿宋"/>
          <w:bCs/>
          <w:szCs w:val="32"/>
          <w:highlight w:val="none"/>
          <w:shd w:val="clear" w:color="auto" w:fill="auto"/>
        </w:rPr>
      </w:pPr>
      <w:r>
        <w:rPr>
          <w:rFonts w:ascii="仿宋" w:hAnsi="仿宋"/>
          <w:b/>
          <w:bCs/>
          <w:szCs w:val="32"/>
          <w:highlight w:val="none"/>
          <w:shd w:val="clear" w:color="auto" w:fill="auto"/>
        </w:rPr>
        <w:t>加强新型实用技术研发、筛选与示范</w:t>
      </w:r>
      <w:r>
        <w:rPr>
          <w:rFonts w:hint="eastAsia" w:ascii="仿宋" w:hAnsi="仿宋"/>
          <w:b/>
          <w:bCs/>
          <w:szCs w:val="32"/>
          <w:highlight w:val="none"/>
          <w:shd w:val="clear" w:color="auto" w:fill="auto"/>
        </w:rPr>
        <w:t>。</w:t>
      </w:r>
      <w:r>
        <w:rPr>
          <w:rFonts w:ascii="仿宋" w:hAnsi="仿宋"/>
          <w:bCs/>
          <w:szCs w:val="32"/>
          <w:highlight w:val="none"/>
          <w:shd w:val="clear" w:color="auto" w:fill="auto"/>
        </w:rPr>
        <w:t>以项目为抓手加快畜禽粪污资源化利用先进工艺、技术和装备研发</w:t>
      </w:r>
      <w:r>
        <w:rPr>
          <w:rFonts w:hint="eastAsia" w:ascii="仿宋" w:hAnsi="仿宋"/>
          <w:bCs/>
          <w:szCs w:val="32"/>
          <w:highlight w:val="none"/>
          <w:shd w:val="clear" w:color="auto" w:fill="auto"/>
        </w:rPr>
        <w:t>，</w:t>
      </w:r>
      <w:r>
        <w:rPr>
          <w:rFonts w:ascii="仿宋" w:hAnsi="仿宋"/>
          <w:bCs/>
          <w:szCs w:val="32"/>
          <w:highlight w:val="none"/>
          <w:shd w:val="clear" w:color="auto" w:fill="auto"/>
        </w:rPr>
        <w:t>着力破除粪污资源化利用过程中的技术和成本障碍。积极开展畜禽养殖污染防治技术筛选和评估，制定实用技术目录。</w:t>
      </w:r>
    </w:p>
    <w:p>
      <w:pPr>
        <w:pStyle w:val="14"/>
        <w:spacing w:after="0" w:line="240" w:lineRule="auto"/>
        <w:ind w:left="0" w:leftChars="0" w:right="0" w:rightChars="0" w:firstLine="640" w:firstLineChars="200"/>
        <w:rPr>
          <w:rFonts w:hint="eastAsia" w:ascii="仿宋" w:hAnsi="仿宋"/>
          <w:bCs/>
          <w:szCs w:val="32"/>
          <w:highlight w:val="none"/>
          <w:shd w:val="clear" w:color="auto" w:fill="auto"/>
        </w:rPr>
      </w:pPr>
      <w:r>
        <w:rPr>
          <w:rFonts w:hint="eastAsia" w:ascii="仿宋" w:hAnsi="仿宋"/>
          <w:bCs/>
          <w:szCs w:val="32"/>
          <w:highlight w:val="none"/>
          <w:shd w:val="clear" w:color="auto" w:fill="auto"/>
        </w:rPr>
        <w:t>结合旺苍县畜禽粪污资源化利用整县推进项目和农村人居环境整治行动，坚持因地制宜、宜肥则肥、宜气则气，推行村级专业管护队伍+政府配置公用服务设施和养殖业主实施畜禽粪污干湿分离、沼气发酵、管网联结或专业公司运输等模式，根据各畜禽养殖场不同的生产规模和基础设施条件，分别采取资源化、无害化和减量化的办法进行有针对性的综合治理。配套建设粪污处理设施装备，因地制宜采取就近就地还田、生产有机肥、发展沼气等方式，加大畜禽粪污资源化利用力度。按照“源头减量”“过程控制”“末端利用”的资源化利用途径，规模养殖场要采用干清粪工艺，进行雨污分离，配套建明暗沟，减少臭气，排开雨水，减少粪污量；进行料水分离，减少粪尿产生量；进行粪尿分离或干湿分离，便于发酵处理，发酵主要为好氧发酵（干粪堆积棚、化粪池）或厌氧发酵（沼气池），严格履行环境保护主体责任，根据土地消纳能力，自行或委托第三方进行粪污处理和资源化利用;周边土地消纳量不足的，可对粪污进行异位发酵床处理后销售或利用。支持散养密集区实行畜禽粪污分户收集、集中处理。积极摸索建立粪污收运机制，培育壮大畜禽粪污治理专业化、社会化组织，形成粪污收集、存储、运输、处理和综合利用全产业链。</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ascii="仿宋" w:hAnsi="仿宋"/>
          <w:bCs/>
          <w:szCs w:val="32"/>
          <w:highlight w:val="none"/>
          <w:shd w:val="clear" w:color="auto" w:fill="auto"/>
        </w:rPr>
        <w:t>加强</w:t>
      </w:r>
      <w:r>
        <w:rPr>
          <w:rFonts w:hint="eastAsia" w:ascii="仿宋" w:hAnsi="仿宋"/>
          <w:bCs/>
          <w:highlight w:val="none"/>
          <w:shd w:val="clear" w:color="auto" w:fill="auto"/>
        </w:rPr>
        <w:t>绿色</w:t>
      </w:r>
      <w:r>
        <w:rPr>
          <w:rFonts w:ascii="仿宋" w:hAnsi="仿宋"/>
          <w:bCs/>
          <w:szCs w:val="32"/>
          <w:highlight w:val="none"/>
          <w:shd w:val="clear" w:color="auto" w:fill="auto"/>
        </w:rPr>
        <w:t>饲料、饲料添加剂以及高效安全兽药产品研发推广</w:t>
      </w:r>
      <w:r>
        <w:rPr>
          <w:rFonts w:hint="eastAsia" w:ascii="仿宋" w:hAnsi="仿宋"/>
          <w:bCs/>
          <w:szCs w:val="32"/>
          <w:highlight w:val="none"/>
          <w:shd w:val="clear" w:color="auto" w:fill="auto"/>
        </w:rPr>
        <w:t>，</w:t>
      </w:r>
      <w:r>
        <w:rPr>
          <w:rFonts w:hint="eastAsia" w:ascii="仿宋" w:hAnsi="仿宋"/>
          <w:bCs/>
          <w:highlight w:val="none"/>
          <w:shd w:val="clear" w:color="auto" w:fill="auto"/>
        </w:rPr>
        <w:t>探索</w:t>
      </w:r>
      <w:r>
        <w:rPr>
          <w:rFonts w:hint="eastAsia" w:ascii="仿宋" w:hAnsi="仿宋"/>
          <w:bCs/>
          <w:szCs w:val="32"/>
          <w:highlight w:val="none"/>
          <w:shd w:val="clear" w:color="auto" w:fill="auto"/>
        </w:rPr>
        <w:t>根据畜禽营养需要合理配制饲料</w:t>
      </w:r>
      <w:r>
        <w:rPr>
          <w:rFonts w:hint="eastAsia" w:ascii="仿宋" w:hAnsi="仿宋"/>
          <w:bCs/>
          <w:highlight w:val="none"/>
          <w:shd w:val="clear" w:color="auto" w:fill="auto"/>
        </w:rPr>
        <w:t>的养殖技术</w:t>
      </w:r>
      <w:r>
        <w:rPr>
          <w:rFonts w:ascii="仿宋" w:hAnsi="仿宋"/>
          <w:bCs/>
          <w:szCs w:val="32"/>
          <w:highlight w:val="none"/>
          <w:shd w:val="clear" w:color="auto" w:fill="auto"/>
        </w:rPr>
        <w:t>。建设畜禽养殖污染防治实用技术示范工程，通过试点示范，</w:t>
      </w:r>
      <w:r>
        <w:rPr>
          <w:rFonts w:hint="eastAsia" w:ascii="仿宋" w:hAnsi="仿宋"/>
          <w:szCs w:val="32"/>
          <w:highlight w:val="none"/>
          <w:shd w:val="clear" w:color="auto" w:fill="auto"/>
        </w:rPr>
        <w:t>推广升级版科学养猪八大模式，</w:t>
      </w:r>
      <w:r>
        <w:rPr>
          <w:rFonts w:ascii="仿宋" w:hAnsi="仿宋"/>
          <w:bCs/>
          <w:szCs w:val="32"/>
          <w:highlight w:val="none"/>
          <w:shd w:val="clear" w:color="auto" w:fill="auto"/>
        </w:rPr>
        <w:t>探索推进畜禽养殖绿色发展模式</w:t>
      </w:r>
      <w:r>
        <w:rPr>
          <w:rFonts w:hint="eastAsia" w:ascii="仿宋" w:hAnsi="仿宋"/>
          <w:bCs/>
          <w:szCs w:val="32"/>
          <w:highlight w:val="none"/>
          <w:shd w:val="clear" w:color="auto" w:fill="auto"/>
          <w:lang w:eastAsia="zh-CN"/>
        </w:rPr>
        <w:t>，</w:t>
      </w:r>
      <w:r>
        <w:rPr>
          <w:rFonts w:hint="eastAsia" w:ascii="仿宋" w:hAnsi="仿宋"/>
          <w:bCs/>
          <w:szCs w:val="32"/>
          <w:highlight w:val="none"/>
          <w:shd w:val="clear" w:color="auto" w:fill="auto"/>
          <w:lang w:val="en-US" w:eastAsia="zh-CN"/>
        </w:rPr>
        <w:t>建立一批农牧紧密结合的美丽牧场</w:t>
      </w:r>
      <w:r>
        <w:rPr>
          <w:rFonts w:hint="eastAsia" w:ascii="仿宋" w:hAnsi="仿宋"/>
          <w:bCs/>
          <w:szCs w:val="32"/>
          <w:highlight w:val="none"/>
          <w:shd w:val="clear" w:color="auto" w:fill="auto"/>
        </w:rPr>
        <w:t>，</w:t>
      </w:r>
      <w:r>
        <w:rPr>
          <w:rFonts w:ascii="仿宋" w:hAnsi="仿宋"/>
          <w:szCs w:val="32"/>
          <w:highlight w:val="none"/>
          <w:shd w:val="clear" w:color="auto" w:fill="auto"/>
        </w:rPr>
        <w:t>推广一批绿色防控、生态养殖、智慧监管的新技术新模式。</w:t>
      </w:r>
    </w:p>
    <w:p>
      <w:pPr>
        <w:pStyle w:val="14"/>
        <w:spacing w:after="0" w:line="240" w:lineRule="auto"/>
        <w:ind w:left="0" w:leftChars="0" w:right="0" w:rightChars="0" w:firstLine="643" w:firstLineChars="200"/>
        <w:rPr>
          <w:rFonts w:hint="eastAsia" w:ascii="仿宋" w:hAnsi="仿宋"/>
          <w:highlight w:val="none"/>
          <w:shd w:val="clear" w:color="auto" w:fill="auto"/>
        </w:rPr>
      </w:pPr>
      <w:r>
        <w:rPr>
          <w:rFonts w:ascii="仿宋" w:hAnsi="仿宋"/>
          <w:b/>
          <w:szCs w:val="32"/>
          <w:highlight w:val="none"/>
          <w:shd w:val="clear" w:color="auto" w:fill="auto"/>
        </w:rPr>
        <w:t>加快适用技术推广和应用</w:t>
      </w:r>
      <w:r>
        <w:rPr>
          <w:rFonts w:hint="eastAsia" w:ascii="仿宋" w:hAnsi="仿宋"/>
          <w:b/>
          <w:szCs w:val="32"/>
          <w:highlight w:val="none"/>
          <w:shd w:val="clear" w:color="auto" w:fill="auto"/>
        </w:rPr>
        <w:t>。</w:t>
      </w:r>
      <w:r>
        <w:rPr>
          <w:rFonts w:ascii="仿宋" w:hAnsi="仿宋"/>
          <w:szCs w:val="32"/>
          <w:highlight w:val="none"/>
          <w:shd w:val="clear" w:color="auto" w:fill="auto"/>
        </w:rPr>
        <w:t>建立技术推广与服务体系，构建科研成果转化与推广平台，及时发布畜禽养殖污染防治技术信息。大力推广应用绿色养殖技术、绿色饲料，鼓励采 用环境控制和综合减臭技术。结合</w:t>
      </w:r>
      <w:r>
        <w:rPr>
          <w:rFonts w:hint="eastAsia" w:ascii="仿宋" w:hAnsi="仿宋"/>
          <w:szCs w:val="32"/>
          <w:highlight w:val="none"/>
          <w:shd w:val="clear" w:color="auto" w:fill="auto"/>
          <w:lang w:eastAsia="zh-CN"/>
        </w:rPr>
        <w:t>旺苍</w:t>
      </w:r>
      <w:r>
        <w:rPr>
          <w:rFonts w:ascii="仿宋" w:hAnsi="仿宋"/>
          <w:szCs w:val="32"/>
          <w:highlight w:val="none"/>
          <w:shd w:val="clear" w:color="auto" w:fill="auto"/>
        </w:rPr>
        <w:t>实际，推行经济高效的粪污资源化利用技术模式，积极推广全量机械化施用，逐步改进粪肥施用方式。在散养密集区推广</w:t>
      </w:r>
      <w:r>
        <w:rPr>
          <w:rFonts w:hint="eastAsia" w:ascii="仿宋" w:hAnsi="仿宋"/>
          <w:szCs w:val="32"/>
          <w:highlight w:val="none"/>
          <w:shd w:val="clear" w:color="auto" w:fill="auto"/>
        </w:rPr>
        <w:t>“</w:t>
      </w:r>
      <w:r>
        <w:rPr>
          <w:rFonts w:ascii="仿宋" w:hAnsi="仿宋"/>
          <w:szCs w:val="32"/>
          <w:highlight w:val="none"/>
          <w:shd w:val="clear" w:color="auto" w:fill="auto"/>
        </w:rPr>
        <w:t>截污建池、收运还田</w:t>
      </w:r>
      <w:r>
        <w:rPr>
          <w:rFonts w:hint="eastAsia" w:ascii="仿宋" w:hAnsi="仿宋"/>
          <w:szCs w:val="32"/>
          <w:highlight w:val="none"/>
          <w:shd w:val="clear" w:color="auto" w:fill="auto"/>
        </w:rPr>
        <w:t>”</w:t>
      </w:r>
      <w:r>
        <w:rPr>
          <w:rFonts w:ascii="仿宋" w:hAnsi="仿宋"/>
          <w:szCs w:val="32"/>
          <w:highlight w:val="none"/>
          <w:shd w:val="clear" w:color="auto" w:fill="auto"/>
        </w:rPr>
        <w:t>等畜禽粪污治理模式。开展畜禽养殖污染防治科技下乡活动，推动环保、农业等科研机构与规模畜禽养殖场、养殖户的</w:t>
      </w:r>
      <w:r>
        <w:rPr>
          <w:rFonts w:hint="eastAsia" w:ascii="仿宋" w:hAnsi="仿宋"/>
          <w:szCs w:val="32"/>
          <w:highlight w:val="none"/>
          <w:shd w:val="clear" w:color="auto" w:fill="auto"/>
          <w:lang w:eastAsia="zh-CN"/>
        </w:rPr>
        <w:t>“</w:t>
      </w:r>
      <w:r>
        <w:rPr>
          <w:rFonts w:ascii="仿宋" w:hAnsi="仿宋"/>
          <w:szCs w:val="32"/>
          <w:highlight w:val="none"/>
          <w:shd w:val="clear" w:color="auto" w:fill="auto"/>
        </w:rPr>
        <w:t>一对一</w:t>
      </w:r>
      <w:r>
        <w:rPr>
          <w:rFonts w:hint="eastAsia" w:ascii="仿宋" w:hAnsi="仿宋"/>
          <w:szCs w:val="32"/>
          <w:highlight w:val="none"/>
          <w:shd w:val="clear" w:color="auto" w:fill="auto"/>
          <w:lang w:eastAsia="zh-CN"/>
        </w:rPr>
        <w:t>”</w:t>
      </w:r>
      <w:r>
        <w:rPr>
          <w:rFonts w:ascii="仿宋" w:hAnsi="仿宋"/>
          <w:szCs w:val="32"/>
          <w:highlight w:val="none"/>
          <w:shd w:val="clear" w:color="auto" w:fill="auto"/>
        </w:rPr>
        <w:t>技术帮扶，推广先进适用的畜禽养殖污染防治模式。</w:t>
      </w:r>
    </w:p>
    <w:p>
      <w:pPr>
        <w:pStyle w:val="115"/>
        <w:pageBreakBefore w:val="0"/>
        <w:widowControl w:val="0"/>
        <w:kinsoku/>
        <w:wordWrap/>
        <w:overflowPunct/>
        <w:topLinePunct w:val="0"/>
        <w:bidi w:val="0"/>
        <w:snapToGrid/>
        <w:spacing w:line="560" w:lineRule="exact"/>
        <w:jc w:val="center"/>
        <w:textAlignment w:val="auto"/>
        <w:outlineLvl w:val="6"/>
        <w:rPr>
          <w:rFonts w:hint="eastAsia" w:ascii="Times New Roman" w:hAnsi="Times New Roman" w:eastAsia="仿宋" w:cs="Times New Roman"/>
          <w:b/>
          <w:color w:val="auto"/>
          <w:sz w:val="28"/>
          <w:szCs w:val="28"/>
          <w:highlight w:val="none"/>
          <w:shd w:val="clear" w:color="auto" w:fill="auto"/>
        </w:rPr>
      </w:pPr>
      <w:r>
        <w:rPr>
          <w:rFonts w:hint="eastAsia" w:ascii="Times New Roman" w:hAnsi="Times New Roman" w:eastAsia="仿宋" w:cs="Times New Roman"/>
          <w:b/>
          <w:color w:val="auto"/>
          <w:sz w:val="28"/>
          <w:szCs w:val="28"/>
          <w:highlight w:val="none"/>
          <w:shd w:val="clear" w:color="auto" w:fill="auto"/>
        </w:rPr>
        <w:t>专栏</w:t>
      </w:r>
      <w:r>
        <w:rPr>
          <w:rFonts w:hint="eastAsia" w:ascii="Times New Roman" w:hAnsi="Times New Roman" w:eastAsia="仿宋" w:cs="Times New Roman"/>
          <w:b/>
          <w:color w:val="auto"/>
          <w:sz w:val="28"/>
          <w:szCs w:val="28"/>
          <w:highlight w:val="none"/>
          <w:shd w:val="clear" w:color="auto" w:fill="auto"/>
          <w:lang w:val="en-US" w:eastAsia="zh-CN"/>
        </w:rPr>
        <w:t>1</w:t>
      </w:r>
      <w:r>
        <w:rPr>
          <w:rFonts w:hint="eastAsia" w:ascii="Times New Roman" w:hAnsi="Times New Roman" w:eastAsia="仿宋" w:cs="Times New Roman"/>
          <w:b/>
          <w:color w:val="auto"/>
          <w:sz w:val="28"/>
          <w:szCs w:val="28"/>
          <w:highlight w:val="none"/>
          <w:shd w:val="clear" w:color="auto" w:fill="auto"/>
        </w:rPr>
        <w:t xml:space="preserve">  </w:t>
      </w:r>
      <w:r>
        <w:rPr>
          <w:rFonts w:hint="eastAsia" w:ascii="Times New Roman" w:hAnsi="Times New Roman" w:eastAsia="仿宋" w:cs="Times New Roman"/>
          <w:b/>
          <w:color w:val="auto"/>
          <w:sz w:val="28"/>
          <w:szCs w:val="28"/>
          <w:highlight w:val="none"/>
          <w:shd w:val="clear" w:color="auto" w:fill="auto"/>
          <w:lang w:val="en-US" w:eastAsia="zh-CN"/>
        </w:rPr>
        <w:t>畜禽养殖粪污资源化利用工</w:t>
      </w:r>
      <w:r>
        <w:rPr>
          <w:rFonts w:hint="eastAsia" w:ascii="Times New Roman" w:hAnsi="Times New Roman" w:eastAsia="仿宋" w:cs="Times New Roman"/>
          <w:b/>
          <w:color w:val="auto"/>
          <w:sz w:val="28"/>
          <w:szCs w:val="28"/>
          <w:highlight w:val="none"/>
          <w:shd w:val="clear" w:color="auto" w:fill="auto"/>
        </w:rPr>
        <w:t>程建设内容</w:t>
      </w:r>
    </w:p>
    <w:tbl>
      <w:tblPr>
        <w:tblStyle w:val="3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5000" w:type="pct"/>
            <w:tcBorders>
              <w:tl2br w:val="nil"/>
              <w:tr2bl w:val="nil"/>
            </w:tcBorders>
            <w:noWrap w:val="0"/>
            <w:vAlign w:val="center"/>
          </w:tcPr>
          <w:p>
            <w:pPr>
              <w:pStyle w:val="14"/>
              <w:numPr>
                <w:ilvl w:val="0"/>
                <w:numId w:val="7"/>
              </w:numPr>
              <w:spacing w:after="0" w:line="240" w:lineRule="auto"/>
              <w:ind w:left="0" w:leftChars="0" w:right="0" w:rightChars="0" w:firstLine="562" w:firstLineChars="200"/>
              <w:rPr>
                <w:rFonts w:hint="eastAsia" w:ascii="Times New Roman" w:hAnsi="Times New Roman" w:cs="Times New Roman"/>
                <w:b/>
                <w:bCs/>
                <w:color w:val="auto"/>
                <w:sz w:val="28"/>
                <w:szCs w:val="28"/>
                <w:highlight w:val="none"/>
                <w:shd w:val="clear" w:color="auto" w:fill="auto"/>
                <w:lang w:val="en-US" w:eastAsia="zh-CN"/>
              </w:rPr>
            </w:pPr>
            <w:r>
              <w:rPr>
                <w:rFonts w:hint="eastAsia" w:ascii="Times New Roman" w:hAnsi="Times New Roman" w:cs="Times New Roman"/>
                <w:b/>
                <w:bCs/>
                <w:color w:val="auto"/>
                <w:sz w:val="28"/>
                <w:szCs w:val="28"/>
                <w:highlight w:val="none"/>
                <w:shd w:val="clear" w:color="auto" w:fill="auto"/>
                <w:lang w:val="en-US" w:eastAsia="zh-CN"/>
              </w:rPr>
              <w:t>规模养殖体系配套</w:t>
            </w:r>
          </w:p>
          <w:p>
            <w:pPr>
              <w:pStyle w:val="14"/>
              <w:numPr>
                <w:ilvl w:val="0"/>
                <w:numId w:val="0"/>
              </w:numPr>
              <w:spacing w:after="0" w:line="240" w:lineRule="auto"/>
              <w:ind w:right="0" w:rightChars="0" w:firstLine="560" w:firstLineChars="200"/>
              <w:rPr>
                <w:rFonts w:hint="default" w:ascii="Times New Roman" w:hAnsi="Times New Roman" w:eastAsia="仿宋" w:cs="仿宋"/>
                <w:b w:val="0"/>
                <w:bCs w:val="0"/>
                <w:i w:val="0"/>
                <w:iCs w:val="0"/>
                <w:color w:val="auto"/>
                <w:kern w:val="0"/>
                <w:sz w:val="28"/>
                <w:szCs w:val="28"/>
                <w:highlight w:val="none"/>
                <w:u w:val="none"/>
                <w:shd w:val="clear" w:color="auto" w:fill="auto"/>
                <w:lang w:val="en-US" w:eastAsia="zh-CN" w:bidi="ar"/>
              </w:rPr>
            </w:pPr>
            <w:r>
              <w:rPr>
                <w:rFonts w:hint="eastAsia" w:ascii="Times New Roman" w:hAnsi="Times New Roman" w:cs="Times New Roman"/>
                <w:b w:val="0"/>
                <w:bCs w:val="0"/>
                <w:color w:val="auto"/>
                <w:sz w:val="28"/>
                <w:szCs w:val="28"/>
                <w:highlight w:val="none"/>
                <w:shd w:val="clear" w:color="auto" w:fill="auto"/>
                <w:lang w:val="en-US" w:eastAsia="zh-CN"/>
              </w:rPr>
              <w:t>通过</w:t>
            </w:r>
            <w:r>
              <w:rPr>
                <w:rFonts w:hint="eastAsia" w:ascii="Times New Roman" w:hAnsi="Times New Roman" w:eastAsia="仿宋_GB2312" w:cs="Times New Roman"/>
                <w:b w:val="0"/>
                <w:bCs w:val="0"/>
                <w:color w:val="auto"/>
                <w:sz w:val="28"/>
                <w:szCs w:val="28"/>
                <w:highlight w:val="none"/>
                <w:shd w:val="clear" w:color="auto" w:fill="auto"/>
                <w:lang w:eastAsia="zh-CN"/>
              </w:rPr>
              <w:t>旺苍县肉牛规模养殖体系配套</w:t>
            </w:r>
            <w:r>
              <w:rPr>
                <w:rFonts w:hint="eastAsia" w:ascii="Times New Roman" w:hAnsi="Times New Roman" w:cs="Times New Roman"/>
                <w:b w:val="0"/>
                <w:bCs w:val="0"/>
                <w:color w:val="auto"/>
                <w:sz w:val="28"/>
                <w:szCs w:val="28"/>
                <w:highlight w:val="none"/>
                <w:shd w:val="clear" w:color="auto" w:fill="auto"/>
                <w:lang w:eastAsia="zh-CN"/>
              </w:rPr>
              <w:t>、</w:t>
            </w:r>
            <w:r>
              <w:rPr>
                <w:rFonts w:hint="eastAsia" w:ascii="Times New Roman" w:hAnsi="Times New Roman" w:eastAsia="仿宋_GB2312" w:cs="Times New Roman"/>
                <w:b w:val="0"/>
                <w:bCs w:val="0"/>
                <w:color w:val="auto"/>
                <w:sz w:val="28"/>
                <w:szCs w:val="28"/>
                <w:highlight w:val="none"/>
                <w:shd w:val="clear" w:color="auto" w:fill="auto"/>
                <w:lang w:eastAsia="zh-CN"/>
              </w:rPr>
              <w:t>肉羊规模养殖体系建设配套</w:t>
            </w:r>
            <w:r>
              <w:rPr>
                <w:rFonts w:hint="eastAsia" w:ascii="Times New Roman" w:hAnsi="Times New Roman" w:cs="Times New Roman"/>
                <w:b w:val="0"/>
                <w:bCs w:val="0"/>
                <w:color w:val="auto"/>
                <w:sz w:val="28"/>
                <w:szCs w:val="28"/>
                <w:highlight w:val="none"/>
                <w:shd w:val="clear" w:color="auto" w:fill="auto"/>
                <w:lang w:eastAsia="zh-CN"/>
              </w:rPr>
              <w:t>、</w:t>
            </w:r>
            <w:r>
              <w:rPr>
                <w:rFonts w:hint="eastAsia" w:ascii="Times New Roman" w:hAnsi="Times New Roman" w:eastAsia="仿宋_GB2312" w:cs="Times New Roman"/>
                <w:b w:val="0"/>
                <w:bCs w:val="0"/>
                <w:color w:val="auto"/>
                <w:sz w:val="28"/>
                <w:szCs w:val="28"/>
                <w:highlight w:val="none"/>
                <w:shd w:val="clear" w:color="auto" w:fill="auto"/>
                <w:lang w:eastAsia="zh-CN"/>
              </w:rPr>
              <w:t>土鸡规模养殖体系建设配套项目</w:t>
            </w:r>
            <w:r>
              <w:rPr>
                <w:rFonts w:hint="eastAsia" w:ascii="Times New Roman" w:hAnsi="Times New Roman" w:cs="Times New Roman"/>
                <w:b w:val="0"/>
                <w:bCs w:val="0"/>
                <w:color w:val="auto"/>
                <w:sz w:val="28"/>
                <w:szCs w:val="28"/>
                <w:highlight w:val="none"/>
                <w:shd w:val="clear" w:color="auto" w:fill="auto"/>
                <w:lang w:eastAsia="zh-CN"/>
              </w:rPr>
              <w:t>，</w:t>
            </w:r>
            <w:r>
              <w:rPr>
                <w:rFonts w:hint="default" w:ascii="Times New Roman" w:hAnsi="Times New Roman" w:eastAsia="仿宋" w:cs="仿宋"/>
                <w:b w:val="0"/>
                <w:bCs w:val="0"/>
                <w:i w:val="0"/>
                <w:iCs w:val="0"/>
                <w:color w:val="auto"/>
                <w:kern w:val="0"/>
                <w:sz w:val="28"/>
                <w:szCs w:val="28"/>
                <w:highlight w:val="none"/>
                <w:u w:val="none"/>
                <w:shd w:val="clear" w:color="auto" w:fill="auto"/>
                <w:lang w:val="en-US" w:eastAsia="zh-CN" w:bidi="ar"/>
              </w:rPr>
              <w:t>新建标准化规模</w:t>
            </w:r>
            <w:r>
              <w:rPr>
                <w:rFonts w:hint="eastAsia" w:ascii="Times New Roman" w:hAnsi="Times New Roman" w:eastAsia="仿宋" w:cs="仿宋"/>
                <w:b w:val="0"/>
                <w:bCs w:val="0"/>
                <w:i w:val="0"/>
                <w:iCs w:val="0"/>
                <w:color w:val="auto"/>
                <w:kern w:val="0"/>
                <w:sz w:val="28"/>
                <w:szCs w:val="28"/>
                <w:highlight w:val="none"/>
                <w:u w:val="none"/>
                <w:shd w:val="clear" w:color="auto" w:fill="auto"/>
                <w:lang w:val="en-US" w:eastAsia="zh-CN" w:bidi="ar"/>
              </w:rPr>
              <w:t>示范</w:t>
            </w:r>
            <w:r>
              <w:rPr>
                <w:rFonts w:hint="default" w:ascii="Times New Roman" w:hAnsi="Times New Roman" w:eastAsia="仿宋" w:cs="仿宋"/>
                <w:b w:val="0"/>
                <w:bCs w:val="0"/>
                <w:i w:val="0"/>
                <w:iCs w:val="0"/>
                <w:color w:val="auto"/>
                <w:kern w:val="0"/>
                <w:sz w:val="28"/>
                <w:szCs w:val="28"/>
                <w:highlight w:val="none"/>
                <w:u w:val="none"/>
                <w:shd w:val="clear" w:color="auto" w:fill="auto"/>
                <w:lang w:val="en-US" w:eastAsia="zh-CN" w:bidi="ar"/>
              </w:rPr>
              <w:t>养殖场</w:t>
            </w:r>
            <w:r>
              <w:rPr>
                <w:rFonts w:hint="eastAsia" w:ascii="Times New Roman" w:hAnsi="Times New Roman" w:eastAsia="仿宋" w:cs="仿宋"/>
                <w:b w:val="0"/>
                <w:bCs w:val="0"/>
                <w:i w:val="0"/>
                <w:iCs w:val="0"/>
                <w:color w:val="auto"/>
                <w:kern w:val="0"/>
                <w:sz w:val="28"/>
                <w:szCs w:val="28"/>
                <w:highlight w:val="none"/>
                <w:u w:val="none"/>
                <w:shd w:val="clear" w:color="auto" w:fill="auto"/>
                <w:lang w:val="en-US" w:eastAsia="zh-CN" w:bidi="ar"/>
              </w:rPr>
              <w:t>，并</w:t>
            </w:r>
            <w:r>
              <w:rPr>
                <w:rFonts w:hint="default" w:ascii="Times New Roman" w:hAnsi="Times New Roman" w:eastAsia="仿宋" w:cs="仿宋"/>
                <w:b w:val="0"/>
                <w:bCs w:val="0"/>
                <w:i w:val="0"/>
                <w:iCs w:val="0"/>
                <w:color w:val="auto"/>
                <w:kern w:val="0"/>
                <w:sz w:val="28"/>
                <w:szCs w:val="28"/>
                <w:highlight w:val="none"/>
                <w:u w:val="none"/>
                <w:shd w:val="clear" w:color="auto" w:fill="auto"/>
                <w:lang w:val="en-US" w:eastAsia="zh-CN" w:bidi="ar"/>
              </w:rPr>
              <w:t>配套养殖废弃物资源化利用设施设备。</w:t>
            </w:r>
          </w:p>
          <w:p>
            <w:pPr>
              <w:pStyle w:val="14"/>
              <w:numPr>
                <w:ilvl w:val="0"/>
                <w:numId w:val="0"/>
              </w:numPr>
              <w:spacing w:after="0" w:line="240" w:lineRule="auto"/>
              <w:ind w:right="0" w:rightChars="0" w:firstLine="562" w:firstLineChars="200"/>
              <w:rPr>
                <w:rFonts w:hint="default" w:ascii="Times New Roman" w:hAnsi="Times New Roman" w:eastAsia="仿宋" w:cs="仿宋"/>
                <w:b/>
                <w:bCs/>
                <w:i w:val="0"/>
                <w:iCs w:val="0"/>
                <w:color w:val="auto"/>
                <w:kern w:val="0"/>
                <w:sz w:val="28"/>
                <w:szCs w:val="28"/>
                <w:highlight w:val="none"/>
                <w:u w:val="none"/>
                <w:shd w:val="clear" w:color="auto" w:fill="auto"/>
                <w:lang w:val="en-US" w:eastAsia="zh-CN" w:bidi="ar"/>
              </w:rPr>
            </w:pPr>
            <w:r>
              <w:rPr>
                <w:rFonts w:hint="eastAsia" w:ascii="Times New Roman" w:hAnsi="Times New Roman" w:eastAsia="仿宋" w:cs="仿宋"/>
                <w:b/>
                <w:bCs/>
                <w:i w:val="0"/>
                <w:iCs w:val="0"/>
                <w:color w:val="auto"/>
                <w:kern w:val="0"/>
                <w:sz w:val="28"/>
                <w:szCs w:val="28"/>
                <w:highlight w:val="none"/>
                <w:u w:val="none"/>
                <w:shd w:val="clear" w:color="auto" w:fill="auto"/>
                <w:lang w:val="en-US" w:eastAsia="zh-CN" w:bidi="ar"/>
              </w:rPr>
              <w:t>（2）粪污资源化利用</w:t>
            </w:r>
          </w:p>
          <w:p>
            <w:pPr>
              <w:pStyle w:val="14"/>
              <w:numPr>
                <w:ilvl w:val="0"/>
                <w:numId w:val="0"/>
              </w:numPr>
              <w:spacing w:after="0" w:line="240" w:lineRule="auto"/>
              <w:ind w:right="0" w:rightChars="0" w:firstLine="560" w:firstLineChars="200"/>
              <w:rPr>
                <w:rFonts w:hint="default" w:ascii="Times New Roman" w:hAnsi="Times New Roman" w:eastAsia="仿宋" w:cs="仿宋"/>
                <w:b w:val="0"/>
                <w:bCs w:val="0"/>
                <w:i w:val="0"/>
                <w:iCs w:val="0"/>
                <w:color w:val="auto"/>
                <w:kern w:val="0"/>
                <w:sz w:val="28"/>
                <w:szCs w:val="28"/>
                <w:highlight w:val="none"/>
                <w:u w:val="none"/>
                <w:shd w:val="clear" w:color="auto" w:fill="auto"/>
                <w:lang w:val="en-US" w:eastAsia="zh-CN" w:bidi="ar"/>
              </w:rPr>
            </w:pPr>
            <w:r>
              <w:rPr>
                <w:rFonts w:hint="eastAsia" w:ascii="Times New Roman" w:hAnsi="Times New Roman" w:eastAsia="仿宋" w:cs="仿宋"/>
                <w:b w:val="0"/>
                <w:bCs w:val="0"/>
                <w:i w:val="0"/>
                <w:iCs w:val="0"/>
                <w:color w:val="auto"/>
                <w:kern w:val="0"/>
                <w:sz w:val="28"/>
                <w:szCs w:val="28"/>
                <w:highlight w:val="none"/>
                <w:u w:val="none"/>
                <w:shd w:val="clear" w:color="auto" w:fill="auto"/>
                <w:lang w:val="en-US" w:eastAsia="zh-CN" w:bidi="ar"/>
              </w:rPr>
              <w:t>通过旺苍县绿色种养循环农业试点、乡镇病死畜禽无害化收集储存点、养殖环节无害化处理、规模化养殖场整治、公共污染治理基础设施项目，在全县开展绿色种养循环农业试点工作；在畜禽养殖高密集地区跨乡镇筹建病死畜禽无害化收集储存点；在经开区新建无害化处理设施用于全县畜禽养殖无害化处理；在散养密集区建设公共污染治理设施等。</w:t>
            </w:r>
          </w:p>
        </w:tc>
      </w:tr>
    </w:tbl>
    <w:p>
      <w:pPr>
        <w:bidi w:val="0"/>
        <w:rPr>
          <w:rFonts w:ascii="仿宋" w:hAnsi="仿宋"/>
        </w:rPr>
      </w:pPr>
    </w:p>
    <w:p>
      <w:pPr>
        <w:keepNext/>
        <w:keepLines/>
        <w:pageBreakBefore w:val="0"/>
        <w:widowControl w:val="0"/>
        <w:kinsoku/>
        <w:wordWrap/>
        <w:overflowPunct/>
        <w:topLinePunct w:val="0"/>
        <w:bidi w:val="0"/>
        <w:snapToGrid/>
        <w:spacing w:line="240" w:lineRule="auto"/>
        <w:ind w:firstLine="0" w:firstLineChars="0"/>
        <w:jc w:val="center"/>
        <w:textAlignment w:val="auto"/>
        <w:outlineLvl w:val="1"/>
        <w:rPr>
          <w:rFonts w:hint="default" w:ascii="仿宋" w:hAnsi="仿宋"/>
          <w:highlight w:val="none"/>
          <w:lang w:val="en-US"/>
        </w:rPr>
      </w:pPr>
      <w:bookmarkStart w:id="78" w:name="_Toc25578"/>
      <w:r>
        <w:rPr>
          <w:rFonts w:hint="eastAsia" w:ascii="仿宋" w:hAnsi="仿宋" w:eastAsia="仿宋" w:cs="Times New Roman"/>
          <w:b/>
          <w:color w:val="auto"/>
          <w:kern w:val="2"/>
          <w:sz w:val="36"/>
          <w:szCs w:val="36"/>
          <w:highlight w:val="none"/>
          <w:shd w:val="clear" w:color="auto" w:fill="auto"/>
          <w:lang w:val="en-US" w:eastAsia="zh-CN" w:bidi="ar-SA"/>
        </w:rPr>
        <w:t xml:space="preserve">第三节 </w:t>
      </w:r>
      <w:bookmarkEnd w:id="77"/>
      <w:r>
        <w:rPr>
          <w:rFonts w:hint="eastAsia" w:ascii="仿宋" w:hAnsi="仿宋" w:eastAsia="仿宋" w:cs="Times New Roman"/>
          <w:b/>
          <w:color w:val="auto"/>
          <w:kern w:val="2"/>
          <w:sz w:val="36"/>
          <w:szCs w:val="36"/>
          <w:highlight w:val="none"/>
          <w:shd w:val="clear" w:color="auto" w:fill="auto"/>
          <w:lang w:val="en-US" w:eastAsia="zh-CN" w:bidi="ar-SA"/>
        </w:rPr>
        <w:t>完善粪污处理和利用设施</w:t>
      </w:r>
      <w:bookmarkEnd w:id="78"/>
    </w:p>
    <w:p>
      <w:pPr>
        <w:pStyle w:val="14"/>
        <w:spacing w:after="0" w:line="240" w:lineRule="auto"/>
        <w:ind w:left="0" w:leftChars="0" w:right="0" w:rightChars="0" w:firstLine="643" w:firstLineChars="200"/>
        <w:rPr>
          <w:rFonts w:hint="eastAsia" w:ascii="仿宋" w:hAnsi="仿宋"/>
          <w:b w:val="0"/>
          <w:bCs/>
          <w:szCs w:val="32"/>
          <w:highlight w:val="none"/>
          <w:shd w:val="clear" w:color="auto" w:fill="auto"/>
        </w:rPr>
      </w:pPr>
      <w:bookmarkStart w:id="79" w:name="（三）坚持精准治污，抓好畜禽养殖污染治理"/>
      <w:bookmarkEnd w:id="79"/>
      <w:bookmarkStart w:id="80" w:name="_bookmark14"/>
      <w:bookmarkEnd w:id="80"/>
      <w:r>
        <w:rPr>
          <w:rFonts w:hint="eastAsia" w:ascii="仿宋" w:hAnsi="仿宋"/>
          <w:b/>
          <w:bCs w:val="0"/>
          <w:szCs w:val="32"/>
          <w:highlight w:val="none"/>
          <w:shd w:val="clear" w:color="auto" w:fill="auto"/>
        </w:rPr>
        <w:t>源头减量、过程控制、末端利用原则</w:t>
      </w:r>
      <w:r>
        <w:rPr>
          <w:rFonts w:hint="eastAsia" w:ascii="仿宋" w:hAnsi="仿宋"/>
          <w:b/>
          <w:bCs w:val="0"/>
          <w:szCs w:val="32"/>
          <w:highlight w:val="none"/>
          <w:shd w:val="clear" w:color="auto" w:fill="auto"/>
          <w:lang w:eastAsia="zh-CN"/>
        </w:rPr>
        <w:t>。</w:t>
      </w:r>
      <w:r>
        <w:rPr>
          <w:rFonts w:hint="eastAsia" w:ascii="仿宋" w:hAnsi="仿宋"/>
          <w:b w:val="0"/>
          <w:bCs/>
          <w:szCs w:val="32"/>
          <w:highlight w:val="none"/>
          <w:shd w:val="clear" w:color="auto" w:fill="auto"/>
        </w:rPr>
        <w:t>加强畜禽养殖场户粪污收集、贮存、处理设施装备建设，明确需要改建和新建的设施内容和规模</w:t>
      </w:r>
      <w:r>
        <w:rPr>
          <w:rFonts w:hint="eastAsia" w:ascii="仿宋" w:hAnsi="仿宋"/>
          <w:b w:val="0"/>
          <w:bCs/>
          <w:szCs w:val="32"/>
          <w:highlight w:val="none"/>
          <w:shd w:val="clear" w:color="auto" w:fill="auto"/>
          <w:lang w:eastAsia="zh-CN"/>
        </w:rPr>
        <w:t>。</w:t>
      </w:r>
      <w:r>
        <w:rPr>
          <w:rFonts w:hint="eastAsia" w:ascii="仿宋" w:hAnsi="仿宋"/>
          <w:b w:val="0"/>
          <w:bCs/>
          <w:szCs w:val="32"/>
          <w:highlight w:val="none"/>
          <w:shd w:val="clear" w:color="auto" w:fill="auto"/>
        </w:rPr>
        <w:t>源头减量。明确畜禽饮水器具改造、栏舍清洗等源头节水设施建设要求，鼓励规模养殖场采用干清粪、水泡粪等节水型清粪方式，逐步淘汰全程水冲粪清粪方式，减少污染物产生量。鼓励有条件的地区建设生猪、家禽规模养殖场氨等臭气减排设施。对粪污贮存设施进行升级改造，做好雨污分流。粪污处理。采用畜禽粪污资源化利用模式的畜禽养殖场户应建设堆沤肥、粪污密闭贮存和沼气收集处理等设施，做到防渗、防雨、防溢流。采用达标排放的规模养殖场，应建设酸化调节池、高效生物处理池、好氧膜生物反应池等设施。田间配套。合理布局田间粪肥暂存设施，配备运输罐车、肥水还田输送管道、肥水拖管式施用、撒肥机等设施。</w:t>
      </w:r>
    </w:p>
    <w:p>
      <w:pPr>
        <w:pStyle w:val="14"/>
        <w:spacing w:after="0" w:line="240" w:lineRule="auto"/>
        <w:ind w:left="0" w:leftChars="0" w:right="0" w:rightChars="0" w:firstLine="643" w:firstLineChars="200"/>
        <w:rPr>
          <w:rFonts w:hint="eastAsia" w:ascii="仿宋" w:hAnsi="仿宋"/>
          <w:bCs/>
          <w:color w:val="auto"/>
          <w:highlight w:val="none"/>
          <w:shd w:val="clear" w:color="auto" w:fill="auto"/>
        </w:rPr>
      </w:pPr>
      <w:r>
        <w:rPr>
          <w:rFonts w:ascii="仿宋" w:hAnsi="仿宋"/>
          <w:b/>
          <w:szCs w:val="32"/>
          <w:highlight w:val="none"/>
          <w:shd w:val="clear" w:color="auto" w:fill="auto"/>
        </w:rPr>
        <w:t>深化规模化畜禽养殖场污染治理</w:t>
      </w:r>
      <w:r>
        <w:rPr>
          <w:rFonts w:hint="eastAsia" w:ascii="仿宋" w:hAnsi="仿宋"/>
          <w:b/>
          <w:szCs w:val="32"/>
          <w:highlight w:val="none"/>
          <w:shd w:val="clear" w:color="auto" w:fill="auto"/>
        </w:rPr>
        <w:t>。</w:t>
      </w:r>
      <w:r>
        <w:rPr>
          <w:rFonts w:hint="eastAsia" w:ascii="仿宋" w:hAnsi="仿宋"/>
          <w:bCs/>
          <w:color w:val="auto"/>
          <w:highlight w:val="none"/>
          <w:shd w:val="clear" w:color="auto" w:fill="auto"/>
        </w:rPr>
        <w:t>改扩建养殖环节无害化处理厂1个；继续在全县23个乡镇开展畜禽养殖粪污资源化利用项目；研发集成粪污综合处理利用技术，加大粪污处理设施设备配套建设</w:t>
      </w:r>
      <w:r>
        <w:rPr>
          <w:rFonts w:hint="eastAsia" w:ascii="仿宋" w:hAnsi="仿宋"/>
          <w:bCs/>
          <w:color w:val="auto"/>
          <w:highlight w:val="none"/>
          <w:shd w:val="clear" w:color="auto" w:fill="auto"/>
          <w:lang w:eastAsia="zh-CN"/>
        </w:rPr>
        <w:t>。</w:t>
      </w:r>
      <w:r>
        <w:rPr>
          <w:rFonts w:hint="eastAsia" w:ascii="仿宋" w:hAnsi="仿宋"/>
          <w:bCs/>
          <w:color w:val="auto"/>
          <w:highlight w:val="none"/>
          <w:shd w:val="clear" w:color="auto" w:fill="auto"/>
        </w:rPr>
        <w:t>完成对全县</w:t>
      </w:r>
      <w:r>
        <w:rPr>
          <w:rFonts w:hint="eastAsia" w:ascii="仿宋" w:hAnsi="仿宋"/>
          <w:bCs/>
          <w:color w:val="auto"/>
          <w:szCs w:val="32"/>
          <w:highlight w:val="none"/>
          <w:shd w:val="clear" w:color="auto" w:fill="auto"/>
        </w:rPr>
        <w:t>养殖场数量、规模，污染处置方式</w:t>
      </w:r>
      <w:r>
        <w:rPr>
          <w:rFonts w:hint="eastAsia" w:ascii="仿宋" w:hAnsi="仿宋"/>
          <w:bCs/>
          <w:color w:val="auto"/>
          <w:highlight w:val="none"/>
          <w:shd w:val="clear" w:color="auto" w:fill="auto"/>
        </w:rPr>
        <w:t>的摸排，及时更新、完善</w:t>
      </w:r>
      <w:r>
        <w:rPr>
          <w:rFonts w:hint="eastAsia" w:ascii="仿宋" w:hAnsi="仿宋"/>
          <w:bCs/>
          <w:color w:val="auto"/>
          <w:szCs w:val="32"/>
          <w:highlight w:val="none"/>
          <w:shd w:val="clear" w:color="auto" w:fill="auto"/>
        </w:rPr>
        <w:t>养殖场</w:t>
      </w:r>
      <w:r>
        <w:rPr>
          <w:rFonts w:hint="eastAsia" w:ascii="仿宋" w:hAnsi="仿宋"/>
          <w:bCs/>
          <w:color w:val="auto"/>
          <w:highlight w:val="none"/>
          <w:shd w:val="clear" w:color="auto" w:fill="auto"/>
        </w:rPr>
        <w:t>信息数据库。</w:t>
      </w:r>
      <w:r>
        <w:rPr>
          <w:rFonts w:hint="eastAsia" w:ascii="仿宋" w:hAnsi="仿宋"/>
          <w:bCs/>
          <w:color w:val="auto"/>
          <w:szCs w:val="32"/>
          <w:highlight w:val="none"/>
          <w:shd w:val="clear" w:color="auto" w:fill="auto"/>
        </w:rPr>
        <w:t>对照</w:t>
      </w:r>
      <w:r>
        <w:rPr>
          <w:rFonts w:ascii="仿宋" w:hAnsi="仿宋"/>
          <w:bCs/>
          <w:color w:val="auto"/>
          <w:szCs w:val="32"/>
          <w:highlight w:val="none"/>
          <w:shd w:val="clear" w:color="auto" w:fill="auto"/>
        </w:rPr>
        <w:t>《畜禽规模养殖污染防治条例》和《</w:t>
      </w:r>
      <w:r>
        <w:rPr>
          <w:rFonts w:hint="eastAsia" w:ascii="仿宋" w:hAnsi="仿宋"/>
          <w:bCs/>
          <w:color w:val="auto"/>
          <w:szCs w:val="32"/>
          <w:highlight w:val="none"/>
          <w:shd w:val="clear" w:color="auto" w:fill="auto"/>
          <w:lang w:eastAsia="zh-CN"/>
        </w:rPr>
        <w:t>四川</w:t>
      </w:r>
      <w:r>
        <w:rPr>
          <w:rFonts w:ascii="仿宋" w:hAnsi="仿宋"/>
          <w:bCs/>
          <w:color w:val="auto"/>
          <w:szCs w:val="32"/>
          <w:highlight w:val="none"/>
          <w:shd w:val="clear" w:color="auto" w:fill="auto"/>
        </w:rPr>
        <w:t>省畜禽养殖污染防治办法》要求，对畜禽养殖场的污染防治设施的建设、验收和运行实行</w:t>
      </w:r>
      <w:r>
        <w:rPr>
          <w:rFonts w:hint="eastAsia" w:ascii="仿宋" w:hAnsi="仿宋"/>
          <w:bCs/>
          <w:color w:val="auto"/>
          <w:szCs w:val="32"/>
          <w:highlight w:val="none"/>
          <w:shd w:val="clear" w:color="auto" w:fill="auto"/>
          <w:lang w:eastAsia="zh-CN"/>
        </w:rPr>
        <w:t>“</w:t>
      </w:r>
      <w:r>
        <w:rPr>
          <w:rFonts w:ascii="仿宋" w:hAnsi="仿宋"/>
          <w:bCs/>
          <w:color w:val="auto"/>
          <w:szCs w:val="32"/>
          <w:highlight w:val="none"/>
          <w:shd w:val="clear" w:color="auto" w:fill="auto"/>
        </w:rPr>
        <w:t>三同时</w:t>
      </w:r>
      <w:r>
        <w:rPr>
          <w:rFonts w:hint="eastAsia" w:ascii="仿宋" w:hAnsi="仿宋"/>
          <w:bCs/>
          <w:color w:val="auto"/>
          <w:szCs w:val="32"/>
          <w:highlight w:val="none"/>
          <w:shd w:val="clear" w:color="auto" w:fill="auto"/>
          <w:lang w:eastAsia="zh-CN"/>
        </w:rPr>
        <w:t>”</w:t>
      </w:r>
      <w:r>
        <w:rPr>
          <w:rFonts w:ascii="仿宋" w:hAnsi="仿宋"/>
          <w:bCs/>
          <w:color w:val="auto"/>
          <w:szCs w:val="32"/>
          <w:highlight w:val="none"/>
          <w:shd w:val="clear" w:color="auto" w:fill="auto"/>
        </w:rPr>
        <w:t>制度。</w:t>
      </w:r>
      <w:r>
        <w:rPr>
          <w:rFonts w:hint="eastAsia" w:ascii="仿宋" w:hAnsi="仿宋"/>
          <w:bCs/>
          <w:color w:val="auto"/>
          <w:szCs w:val="32"/>
          <w:highlight w:val="none"/>
          <w:shd w:val="clear" w:color="auto" w:fill="auto"/>
        </w:rPr>
        <w:t>对</w:t>
      </w:r>
      <w:r>
        <w:rPr>
          <w:rFonts w:ascii="仿宋" w:hAnsi="仿宋"/>
          <w:bCs/>
          <w:color w:val="auto"/>
          <w:szCs w:val="32"/>
          <w:highlight w:val="none"/>
          <w:shd w:val="clear" w:color="auto" w:fill="auto"/>
        </w:rPr>
        <w:t>新建万头以上</w:t>
      </w:r>
      <w:r>
        <w:rPr>
          <w:rFonts w:ascii="仿宋" w:hAnsi="仿宋"/>
          <w:bCs/>
          <w:color w:val="auto"/>
          <w:highlight w:val="none"/>
          <w:shd w:val="clear" w:color="auto" w:fill="auto"/>
        </w:rPr>
        <w:t>规模化养殖场接入集中式污水处理厂或配套相应的污水处置设施</w:t>
      </w:r>
      <w:r>
        <w:rPr>
          <w:rFonts w:hint="eastAsia" w:ascii="仿宋" w:hAnsi="仿宋"/>
          <w:bCs/>
          <w:color w:val="auto"/>
          <w:highlight w:val="none"/>
          <w:shd w:val="clear" w:color="auto" w:fill="auto"/>
        </w:rPr>
        <w:t>。鼓励</w:t>
      </w:r>
      <w:r>
        <w:rPr>
          <w:rFonts w:ascii="仿宋" w:hAnsi="仿宋"/>
          <w:bCs/>
          <w:color w:val="auto"/>
          <w:highlight w:val="none"/>
          <w:shd w:val="clear" w:color="auto" w:fill="auto"/>
        </w:rPr>
        <w:t>存栏500头以上规模猪场更新设施设备和标准化改造栏舍，配备自动喂料、自动饮水、自动清粪等设施装备。</w:t>
      </w:r>
      <w:r>
        <w:rPr>
          <w:rFonts w:ascii="仿宋" w:hAnsi="仿宋"/>
          <w:color w:val="auto"/>
          <w:szCs w:val="32"/>
          <w:highlight w:val="none"/>
          <w:shd w:val="clear" w:color="auto" w:fill="auto"/>
        </w:rPr>
        <w:t>深化推进畜禽养殖废弃物资源化利用和无害化处理</w:t>
      </w:r>
      <w:r>
        <w:rPr>
          <w:rFonts w:hint="eastAsia" w:ascii="仿宋" w:hAnsi="仿宋"/>
          <w:color w:val="auto"/>
          <w:szCs w:val="32"/>
          <w:highlight w:val="none"/>
          <w:shd w:val="clear" w:color="auto" w:fill="auto"/>
        </w:rPr>
        <w:t>，</w:t>
      </w:r>
      <w:r>
        <w:rPr>
          <w:rFonts w:hint="eastAsia" w:ascii="仿宋" w:hAnsi="仿宋"/>
          <w:bCs/>
          <w:color w:val="auto"/>
          <w:highlight w:val="none"/>
          <w:shd w:val="clear" w:color="auto" w:fill="auto"/>
        </w:rPr>
        <w:t>实施</w:t>
      </w:r>
      <w:r>
        <w:rPr>
          <w:rFonts w:ascii="仿宋" w:hAnsi="仿宋"/>
          <w:bCs/>
          <w:color w:val="auto"/>
          <w:highlight w:val="none"/>
          <w:shd w:val="clear" w:color="auto" w:fill="auto"/>
        </w:rPr>
        <w:t>规模养殖场粪污治理改造工程</w:t>
      </w:r>
      <w:r>
        <w:rPr>
          <w:rFonts w:hint="eastAsia" w:ascii="仿宋" w:hAnsi="仿宋"/>
          <w:bCs/>
          <w:color w:val="auto"/>
          <w:highlight w:val="none"/>
          <w:shd w:val="clear" w:color="auto" w:fill="auto"/>
        </w:rPr>
        <w:t>，</w:t>
      </w:r>
      <w:r>
        <w:rPr>
          <w:rFonts w:ascii="仿宋" w:hAnsi="仿宋"/>
          <w:bCs/>
          <w:color w:val="auto"/>
          <w:highlight w:val="none"/>
          <w:shd w:val="clear" w:color="auto" w:fill="auto"/>
        </w:rPr>
        <w:t>重点支持畜禽规模养殖场饮水、清粪、环境控制、臭气处理、厌氧发酵或密闭式贮存发酵以及堆肥设施建设，购置粪肥运输和施用机械设备，配备建设粪污输送管网、田间储存池等</w:t>
      </w:r>
      <w:r>
        <w:rPr>
          <w:rFonts w:hint="eastAsia" w:ascii="仿宋" w:hAnsi="仿宋"/>
          <w:bCs/>
          <w:color w:val="auto"/>
          <w:highlight w:val="none"/>
          <w:shd w:val="clear" w:color="auto" w:fill="auto"/>
        </w:rPr>
        <w:t>。</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szCs w:val="32"/>
          <w:highlight w:val="none"/>
          <w:shd w:val="clear" w:color="auto" w:fill="auto"/>
        </w:rPr>
        <w:t>到2025年，全县畜禽粪污综合利用率动态增长保持96%以上，畜禽规模养殖场粪污处理设施装备配套率动态增长保持100%。</w:t>
      </w:r>
    </w:p>
    <w:p>
      <w:pPr>
        <w:pStyle w:val="115"/>
        <w:pageBreakBefore w:val="0"/>
        <w:widowControl w:val="0"/>
        <w:kinsoku/>
        <w:wordWrap/>
        <w:overflowPunct/>
        <w:topLinePunct w:val="0"/>
        <w:bidi w:val="0"/>
        <w:snapToGrid/>
        <w:spacing w:line="560" w:lineRule="exact"/>
        <w:jc w:val="center"/>
        <w:textAlignment w:val="auto"/>
        <w:outlineLvl w:val="7"/>
        <w:rPr>
          <w:rFonts w:hint="eastAsia" w:ascii="仿宋" w:hAnsi="仿宋" w:eastAsia="仿宋" w:cs="Times New Roman"/>
          <w:b/>
          <w:color w:val="auto"/>
          <w:sz w:val="28"/>
          <w:szCs w:val="28"/>
          <w:highlight w:val="none"/>
          <w:shd w:val="clear" w:color="auto" w:fill="auto"/>
          <w:lang w:val="en-US" w:eastAsia="zh-CN"/>
        </w:rPr>
      </w:pPr>
      <w:r>
        <w:rPr>
          <w:rFonts w:hint="eastAsia" w:ascii="仿宋" w:hAnsi="仿宋" w:eastAsia="仿宋" w:cs="Times New Roman"/>
          <w:b/>
          <w:color w:val="auto"/>
          <w:sz w:val="28"/>
          <w:szCs w:val="28"/>
          <w:highlight w:val="none"/>
          <w:shd w:val="clear" w:color="auto" w:fill="auto"/>
          <w:lang w:val="en-US" w:eastAsia="zh-CN"/>
        </w:rPr>
        <w:t>表4-1  目标任务分解表</w:t>
      </w:r>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01"/>
        <w:gridCol w:w="912"/>
        <w:gridCol w:w="1021"/>
        <w:gridCol w:w="1021"/>
        <w:gridCol w:w="1021"/>
        <w:gridCol w:w="1022"/>
        <w:gridCol w:w="1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467" w:type="pct"/>
            <w:vMerge w:val="restart"/>
            <w:noWrap w:val="0"/>
            <w:vAlign w:val="center"/>
          </w:tcPr>
          <w:p>
            <w:pPr>
              <w:pStyle w:val="14"/>
              <w:spacing w:after="0" w:line="240" w:lineRule="auto"/>
              <w:ind w:left="0" w:leftChars="0" w:right="0" w:rightChars="0"/>
              <w:jc w:val="center"/>
              <w:rPr>
                <w:rFonts w:hint="default"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指标</w:t>
            </w:r>
          </w:p>
        </w:tc>
        <w:tc>
          <w:tcPr>
            <w:tcW w:w="535" w:type="pct"/>
            <w:vMerge w:val="restart"/>
            <w:noWrap w:val="0"/>
            <w:vAlign w:val="center"/>
          </w:tcPr>
          <w:p>
            <w:pPr>
              <w:pStyle w:val="14"/>
              <w:spacing w:after="0" w:line="240" w:lineRule="auto"/>
              <w:ind w:left="0" w:leftChars="0" w:right="0" w:rightChars="0"/>
              <w:jc w:val="center"/>
              <w:rPr>
                <w:rFonts w:hint="default"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总体目标</w:t>
            </w:r>
          </w:p>
        </w:tc>
        <w:tc>
          <w:tcPr>
            <w:tcW w:w="2996" w:type="pct"/>
            <w:gridSpan w:val="5"/>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分年度任务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67" w:type="pct"/>
            <w:vMerge w:val="continue"/>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p>
        </w:tc>
        <w:tc>
          <w:tcPr>
            <w:tcW w:w="535" w:type="pct"/>
            <w:vMerge w:val="continue"/>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p>
        </w:tc>
        <w:tc>
          <w:tcPr>
            <w:tcW w:w="599" w:type="pct"/>
            <w:noWrap w:val="0"/>
            <w:vAlign w:val="center"/>
          </w:tcPr>
          <w:p>
            <w:pPr>
              <w:pStyle w:val="14"/>
              <w:spacing w:after="0" w:line="240" w:lineRule="auto"/>
              <w:ind w:left="0" w:leftChars="0" w:right="0" w:rightChars="0"/>
              <w:jc w:val="center"/>
              <w:rPr>
                <w:rFonts w:hint="default"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2021</w:t>
            </w:r>
          </w:p>
        </w:tc>
        <w:tc>
          <w:tcPr>
            <w:tcW w:w="599" w:type="pct"/>
            <w:noWrap w:val="0"/>
            <w:vAlign w:val="center"/>
          </w:tcPr>
          <w:p>
            <w:pPr>
              <w:pStyle w:val="14"/>
              <w:spacing w:after="0" w:line="240" w:lineRule="auto"/>
              <w:ind w:left="0" w:leftChars="0" w:right="0" w:rightChars="0"/>
              <w:jc w:val="center"/>
              <w:rPr>
                <w:rFonts w:hint="default"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2022</w:t>
            </w:r>
          </w:p>
        </w:tc>
        <w:tc>
          <w:tcPr>
            <w:tcW w:w="599" w:type="pct"/>
            <w:noWrap w:val="0"/>
            <w:vAlign w:val="center"/>
          </w:tcPr>
          <w:p>
            <w:pPr>
              <w:pStyle w:val="14"/>
              <w:spacing w:after="0" w:line="240" w:lineRule="auto"/>
              <w:ind w:left="0" w:leftChars="0" w:right="0" w:rightChars="0"/>
              <w:jc w:val="center"/>
              <w:rPr>
                <w:rFonts w:hint="default"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2023</w:t>
            </w:r>
          </w:p>
        </w:tc>
        <w:tc>
          <w:tcPr>
            <w:tcW w:w="599" w:type="pct"/>
            <w:noWrap w:val="0"/>
            <w:vAlign w:val="center"/>
          </w:tcPr>
          <w:p>
            <w:pPr>
              <w:pStyle w:val="14"/>
              <w:spacing w:after="0" w:line="240" w:lineRule="auto"/>
              <w:ind w:left="0" w:leftChars="0" w:right="0" w:rightChars="0"/>
              <w:jc w:val="center"/>
              <w:rPr>
                <w:rFonts w:hint="default"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2024</w:t>
            </w:r>
          </w:p>
        </w:tc>
        <w:tc>
          <w:tcPr>
            <w:tcW w:w="600" w:type="pct"/>
            <w:noWrap w:val="0"/>
            <w:vAlign w:val="center"/>
          </w:tcPr>
          <w:p>
            <w:pPr>
              <w:pStyle w:val="14"/>
              <w:spacing w:after="0" w:line="240" w:lineRule="auto"/>
              <w:ind w:left="0" w:leftChars="0" w:right="0" w:rightChars="0"/>
              <w:jc w:val="center"/>
              <w:rPr>
                <w:rFonts w:hint="default"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67" w:type="pct"/>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default" w:ascii="仿宋" w:hAnsi="仿宋" w:cs="Times New Roman"/>
                <w:b w:val="0"/>
                <w:bCs w:val="0"/>
                <w:color w:val="auto"/>
                <w:sz w:val="24"/>
                <w:szCs w:val="24"/>
                <w:highlight w:val="none"/>
                <w:shd w:val="clear" w:color="auto" w:fill="auto"/>
                <w:lang w:val="en-US" w:eastAsia="zh-CN"/>
              </w:rPr>
              <w:t>畜禽粪污综合利用率</w:t>
            </w:r>
          </w:p>
        </w:tc>
        <w:tc>
          <w:tcPr>
            <w:tcW w:w="535" w:type="pct"/>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96%</w:t>
            </w:r>
          </w:p>
        </w:tc>
        <w:tc>
          <w:tcPr>
            <w:tcW w:w="599" w:type="pct"/>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96%</w:t>
            </w:r>
          </w:p>
        </w:tc>
        <w:tc>
          <w:tcPr>
            <w:tcW w:w="599" w:type="pct"/>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96%</w:t>
            </w:r>
          </w:p>
        </w:tc>
        <w:tc>
          <w:tcPr>
            <w:tcW w:w="599" w:type="pct"/>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96%</w:t>
            </w:r>
          </w:p>
        </w:tc>
        <w:tc>
          <w:tcPr>
            <w:tcW w:w="599" w:type="pct"/>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96%</w:t>
            </w:r>
          </w:p>
        </w:tc>
        <w:tc>
          <w:tcPr>
            <w:tcW w:w="600" w:type="pct"/>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67" w:type="pct"/>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畜禽规模养殖场粪污处理设施装备配套率</w:t>
            </w:r>
          </w:p>
        </w:tc>
        <w:tc>
          <w:tcPr>
            <w:tcW w:w="535" w:type="pct"/>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100%</w:t>
            </w:r>
          </w:p>
        </w:tc>
        <w:tc>
          <w:tcPr>
            <w:tcW w:w="599" w:type="pct"/>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100%</w:t>
            </w:r>
          </w:p>
        </w:tc>
        <w:tc>
          <w:tcPr>
            <w:tcW w:w="599" w:type="pct"/>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100%</w:t>
            </w:r>
          </w:p>
        </w:tc>
        <w:tc>
          <w:tcPr>
            <w:tcW w:w="599" w:type="pct"/>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100%</w:t>
            </w:r>
          </w:p>
        </w:tc>
        <w:tc>
          <w:tcPr>
            <w:tcW w:w="599" w:type="pct"/>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100%</w:t>
            </w:r>
          </w:p>
        </w:tc>
        <w:tc>
          <w:tcPr>
            <w:tcW w:w="600" w:type="pct"/>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100%</w:t>
            </w:r>
          </w:p>
        </w:tc>
      </w:tr>
    </w:tbl>
    <w:p>
      <w:pPr>
        <w:bidi w:val="0"/>
        <w:rPr>
          <w:rFonts w:hint="eastAsia" w:ascii="仿宋" w:hAnsi="仿宋"/>
          <w:highlight w:val="none"/>
        </w:rPr>
      </w:pPr>
    </w:p>
    <w:p>
      <w:pPr>
        <w:pStyle w:val="14"/>
        <w:spacing w:after="0" w:line="240" w:lineRule="auto"/>
        <w:ind w:left="0" w:leftChars="0" w:right="0" w:rightChars="0" w:firstLine="643" w:firstLineChars="200"/>
        <w:rPr>
          <w:rFonts w:hint="eastAsia" w:ascii="仿宋" w:hAnsi="仿宋"/>
          <w:bCs/>
          <w:highlight w:val="none"/>
          <w:shd w:val="clear" w:color="auto" w:fill="auto"/>
        </w:rPr>
      </w:pPr>
      <w:r>
        <w:rPr>
          <w:rFonts w:ascii="仿宋" w:hAnsi="仿宋"/>
          <w:b/>
          <w:bCs/>
          <w:highlight w:val="none"/>
          <w:shd w:val="clear" w:color="auto" w:fill="auto"/>
        </w:rPr>
        <w:t>加强畜禽散养户污染治理管控</w:t>
      </w:r>
      <w:r>
        <w:rPr>
          <w:rFonts w:hint="eastAsia" w:ascii="仿宋" w:hAnsi="仿宋"/>
          <w:bCs/>
          <w:highlight w:val="none"/>
          <w:shd w:val="clear" w:color="auto" w:fill="auto"/>
        </w:rPr>
        <w:t>。</w:t>
      </w:r>
      <w:r>
        <w:rPr>
          <w:rFonts w:ascii="仿宋" w:hAnsi="仿宋"/>
          <w:bCs/>
          <w:highlight w:val="none"/>
          <w:shd w:val="clear" w:color="auto" w:fill="auto"/>
        </w:rPr>
        <w:t>按照</w:t>
      </w:r>
      <w:r>
        <w:rPr>
          <w:rFonts w:hint="eastAsia" w:ascii="仿宋" w:hAnsi="仿宋"/>
          <w:bCs/>
          <w:highlight w:val="none"/>
          <w:shd w:val="clear" w:color="auto" w:fill="auto"/>
        </w:rPr>
        <w:t>“</w:t>
      </w:r>
      <w:r>
        <w:rPr>
          <w:rFonts w:hint="eastAsia" w:ascii="仿宋" w:hAnsi="仿宋"/>
          <w:bCs/>
          <w:highlight w:val="none"/>
          <w:shd w:val="clear" w:color="auto" w:fill="auto"/>
          <w:lang w:eastAsia="zh-CN"/>
        </w:rPr>
        <w:t>疏</w:t>
      </w:r>
      <w:r>
        <w:rPr>
          <w:rFonts w:ascii="仿宋" w:hAnsi="仿宋"/>
          <w:bCs/>
          <w:highlight w:val="none"/>
          <w:shd w:val="clear" w:color="auto" w:fill="auto"/>
        </w:rPr>
        <w:t>堵结合、种养平衡、资源利用</w:t>
      </w:r>
      <w:r>
        <w:rPr>
          <w:rFonts w:hint="eastAsia" w:ascii="仿宋" w:hAnsi="仿宋"/>
          <w:bCs/>
          <w:highlight w:val="none"/>
          <w:shd w:val="clear" w:color="auto" w:fill="auto"/>
        </w:rPr>
        <w:t>”</w:t>
      </w:r>
      <w:r>
        <w:rPr>
          <w:rFonts w:ascii="仿宋" w:hAnsi="仿宋"/>
          <w:bCs/>
          <w:highlight w:val="none"/>
          <w:shd w:val="clear" w:color="auto" w:fill="auto"/>
        </w:rPr>
        <w:t>的原则，通过下降排污量、废弃物资源化利用等方式，大力推进散养养殖户污染治理。在养殖户较为集中的区域探索建立由第三方服务机构开展畜禽养殖废弃物的统一收集、运输、集中处置或技术运维模式</w:t>
      </w:r>
      <w:r>
        <w:rPr>
          <w:rFonts w:hint="eastAsia" w:ascii="仿宋" w:hAnsi="仿宋"/>
          <w:bCs/>
          <w:highlight w:val="none"/>
          <w:shd w:val="clear" w:color="auto" w:fill="auto"/>
        </w:rPr>
        <w:t>，重点推进第三方服务机构对养殖企业和养殖户的粪污处置进行指导和服务，包括收运和代为处置等</w:t>
      </w:r>
      <w:r>
        <w:rPr>
          <w:rFonts w:ascii="仿宋" w:hAnsi="仿宋"/>
          <w:bCs/>
          <w:highlight w:val="none"/>
          <w:shd w:val="clear" w:color="auto" w:fill="auto"/>
        </w:rPr>
        <w:t>。充分发挥乡镇、村级基层政府的监督力量，将养殖散户逐步纳入基层网格化管理，基本实现畜禽养殖污染防治全覆盖。</w:t>
      </w:r>
    </w:p>
    <w:p>
      <w:pPr>
        <w:pStyle w:val="14"/>
        <w:spacing w:after="0" w:line="240" w:lineRule="auto"/>
        <w:ind w:left="0" w:leftChars="0" w:right="0" w:rightChars="0" w:firstLine="643" w:firstLineChars="200"/>
        <w:rPr>
          <w:rFonts w:hint="eastAsia" w:ascii="仿宋" w:hAnsi="仿宋"/>
          <w:bCs/>
          <w:highlight w:val="none"/>
          <w:shd w:val="clear" w:color="auto" w:fill="auto"/>
        </w:rPr>
      </w:pPr>
      <w:r>
        <w:rPr>
          <w:rFonts w:ascii="仿宋" w:hAnsi="仿宋"/>
          <w:b/>
          <w:bCs/>
          <w:highlight w:val="none"/>
          <w:shd w:val="clear" w:color="auto" w:fill="auto"/>
        </w:rPr>
        <w:t>加强畜禽养殖行业配套场所污染治理</w:t>
      </w:r>
      <w:r>
        <w:rPr>
          <w:rFonts w:hint="eastAsia" w:ascii="仿宋" w:hAnsi="仿宋"/>
          <w:b/>
          <w:bCs/>
          <w:highlight w:val="none"/>
          <w:shd w:val="clear" w:color="auto" w:fill="auto"/>
        </w:rPr>
        <w:t>。</w:t>
      </w:r>
      <w:r>
        <w:rPr>
          <w:rFonts w:ascii="仿宋" w:hAnsi="仿宋"/>
          <w:bCs/>
          <w:highlight w:val="none"/>
          <w:shd w:val="clear" w:color="auto" w:fill="auto"/>
        </w:rPr>
        <w:t>加强畜禽屠宰加工场、粪便集中处置场</w:t>
      </w:r>
      <w:r>
        <w:rPr>
          <w:rFonts w:hint="eastAsia" w:ascii="仿宋" w:hAnsi="仿宋"/>
          <w:bCs/>
          <w:highlight w:val="none"/>
          <w:shd w:val="clear" w:color="auto" w:fill="auto"/>
        </w:rPr>
        <w:t>等</w:t>
      </w:r>
      <w:r>
        <w:rPr>
          <w:rFonts w:ascii="仿宋" w:hAnsi="仿宋"/>
          <w:bCs/>
          <w:highlight w:val="none"/>
          <w:shd w:val="clear" w:color="auto" w:fill="auto"/>
        </w:rPr>
        <w:t>场所的污染治理，规范染疫畜禽以及染疫畜禽排泄物、染疫畜禽产品、病死或者死因不明的畜禽尸体等病害畜禽废弃物无害化处理，避免二次污染。</w:t>
      </w:r>
      <w:r>
        <w:rPr>
          <w:rFonts w:hint="eastAsia" w:ascii="仿宋" w:hAnsi="仿宋"/>
          <w:bCs/>
          <w:highlight w:val="none"/>
          <w:shd w:val="clear" w:color="auto" w:fill="auto"/>
        </w:rPr>
        <w:t>重点实施畜禽养殖配套场所专项治理工程。</w:t>
      </w:r>
      <w:r>
        <w:rPr>
          <w:rFonts w:ascii="仿宋" w:hAnsi="仿宋"/>
          <w:bCs/>
          <w:highlight w:val="none"/>
          <w:shd w:val="clear" w:color="auto" w:fill="auto"/>
        </w:rPr>
        <w:t>加快推进提供沼液储运、管网管护、贮存设施管护等专业化服务能力建设</w:t>
      </w:r>
      <w:r>
        <w:rPr>
          <w:rFonts w:hint="eastAsia" w:ascii="仿宋" w:hAnsi="仿宋"/>
          <w:bCs/>
          <w:highlight w:val="none"/>
          <w:shd w:val="clear" w:color="auto" w:fill="auto"/>
        </w:rPr>
        <w:t>。</w:t>
      </w:r>
    </w:p>
    <w:p>
      <w:pPr>
        <w:pStyle w:val="115"/>
        <w:pageBreakBefore w:val="0"/>
        <w:widowControl w:val="0"/>
        <w:kinsoku/>
        <w:wordWrap/>
        <w:overflowPunct/>
        <w:topLinePunct w:val="0"/>
        <w:bidi w:val="0"/>
        <w:snapToGrid/>
        <w:spacing w:line="560" w:lineRule="exact"/>
        <w:jc w:val="center"/>
        <w:textAlignment w:val="auto"/>
        <w:outlineLvl w:val="6"/>
        <w:rPr>
          <w:rFonts w:hint="eastAsia" w:ascii="Times New Roman" w:hAnsi="Times New Roman" w:eastAsia="仿宋" w:cs="Times New Roman"/>
          <w:b/>
          <w:color w:val="auto"/>
          <w:sz w:val="28"/>
          <w:szCs w:val="28"/>
          <w:highlight w:val="none"/>
          <w:shd w:val="clear" w:color="auto" w:fill="auto"/>
        </w:rPr>
      </w:pPr>
      <w:bookmarkStart w:id="81" w:name="_Toc24820"/>
      <w:bookmarkStart w:id="82" w:name="_Toc23634"/>
      <w:r>
        <w:rPr>
          <w:rFonts w:hint="eastAsia" w:ascii="Times New Roman" w:hAnsi="Times New Roman" w:eastAsia="仿宋" w:cs="Times New Roman"/>
          <w:b/>
          <w:color w:val="auto"/>
          <w:sz w:val="28"/>
          <w:szCs w:val="28"/>
          <w:highlight w:val="none"/>
          <w:shd w:val="clear" w:color="auto" w:fill="auto"/>
        </w:rPr>
        <w:t>专栏</w:t>
      </w:r>
      <w:r>
        <w:rPr>
          <w:rFonts w:hint="eastAsia" w:ascii="Times New Roman" w:hAnsi="Times New Roman" w:eastAsia="仿宋" w:cs="Times New Roman"/>
          <w:b/>
          <w:color w:val="auto"/>
          <w:sz w:val="28"/>
          <w:szCs w:val="28"/>
          <w:highlight w:val="none"/>
          <w:shd w:val="clear" w:color="auto" w:fill="auto"/>
          <w:lang w:val="en-US" w:eastAsia="zh-CN"/>
        </w:rPr>
        <w:t>2</w:t>
      </w:r>
      <w:r>
        <w:rPr>
          <w:rFonts w:hint="eastAsia" w:ascii="Times New Roman" w:hAnsi="Times New Roman" w:eastAsia="仿宋" w:cs="Times New Roman"/>
          <w:b/>
          <w:color w:val="auto"/>
          <w:sz w:val="28"/>
          <w:szCs w:val="28"/>
          <w:highlight w:val="none"/>
          <w:shd w:val="clear" w:color="auto" w:fill="auto"/>
        </w:rPr>
        <w:t xml:space="preserve">  畜禽养殖</w:t>
      </w:r>
      <w:r>
        <w:rPr>
          <w:rFonts w:hint="eastAsia" w:ascii="Times New Roman" w:hAnsi="Times New Roman" w:eastAsia="仿宋" w:cs="Times New Roman"/>
          <w:b/>
          <w:color w:val="auto"/>
          <w:sz w:val="28"/>
          <w:szCs w:val="28"/>
          <w:highlight w:val="none"/>
          <w:shd w:val="clear" w:color="auto" w:fill="auto"/>
          <w:lang w:val="en-US" w:eastAsia="zh-CN"/>
        </w:rPr>
        <w:t>粪污整治</w:t>
      </w:r>
      <w:r>
        <w:rPr>
          <w:rFonts w:hint="eastAsia" w:ascii="Times New Roman" w:hAnsi="Times New Roman" w:eastAsia="仿宋" w:cs="Times New Roman"/>
          <w:b/>
          <w:color w:val="auto"/>
          <w:sz w:val="28"/>
          <w:szCs w:val="28"/>
          <w:highlight w:val="none"/>
          <w:shd w:val="clear" w:color="auto" w:fill="auto"/>
        </w:rPr>
        <w:t>工程建设内容</w:t>
      </w:r>
    </w:p>
    <w:tbl>
      <w:tblPr>
        <w:tblStyle w:val="3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5000" w:type="pct"/>
            <w:tcBorders>
              <w:tl2br w:val="nil"/>
              <w:tr2bl w:val="nil"/>
            </w:tcBorders>
            <w:noWrap w:val="0"/>
            <w:vAlign w:val="center"/>
          </w:tcPr>
          <w:p>
            <w:pPr>
              <w:pStyle w:val="14"/>
              <w:spacing w:after="0" w:line="240" w:lineRule="auto"/>
              <w:ind w:left="0" w:leftChars="0" w:right="0" w:rightChars="0" w:firstLine="560" w:firstLineChars="200"/>
              <w:rPr>
                <w:rFonts w:hint="default" w:ascii="Times New Roman" w:hAnsi="Times New Roman"/>
                <w:color w:val="000000"/>
                <w:szCs w:val="21"/>
                <w:highlight w:val="none"/>
                <w:shd w:val="clear" w:color="auto" w:fill="auto"/>
                <w:lang w:val="en-US"/>
              </w:rPr>
            </w:pPr>
            <w:r>
              <w:rPr>
                <w:rFonts w:hint="eastAsia" w:ascii="Times New Roman" w:hAnsi="Times New Roman" w:cs="Times New Roman"/>
                <w:b w:val="0"/>
                <w:bCs w:val="0"/>
                <w:color w:val="auto"/>
                <w:sz w:val="28"/>
                <w:szCs w:val="28"/>
                <w:highlight w:val="none"/>
                <w:shd w:val="clear" w:color="auto" w:fill="auto"/>
                <w:lang w:val="en-US" w:eastAsia="zh-CN"/>
              </w:rPr>
              <w:t>通过旺苍县规模养殖场粪污资源化利用、规模以下畜禽养殖粪污资源化利用、散养粪污资源化利用项目，</w:t>
            </w:r>
            <w:r>
              <w:rPr>
                <w:rFonts w:hint="eastAsia" w:ascii="Times New Roman" w:hAnsi="Times New Roman" w:eastAsia="仿宋" w:cs="仿宋"/>
                <w:b w:val="0"/>
                <w:bCs w:val="0"/>
                <w:i w:val="0"/>
                <w:iCs w:val="0"/>
                <w:color w:val="auto"/>
                <w:kern w:val="0"/>
                <w:sz w:val="28"/>
                <w:szCs w:val="28"/>
                <w:highlight w:val="none"/>
                <w:u w:val="none"/>
                <w:shd w:val="clear" w:color="auto" w:fill="auto"/>
                <w:lang w:val="en-US" w:eastAsia="zh-CN" w:bidi="ar"/>
              </w:rPr>
              <w:t>建设堆粪场、污水贮水池、粪肥运输支管、干管。</w:t>
            </w:r>
          </w:p>
        </w:tc>
      </w:tr>
    </w:tbl>
    <w:p>
      <w:pPr>
        <w:bidi w:val="0"/>
        <w:rPr>
          <w:rFonts w:ascii="仿宋" w:hAnsi="仿宋"/>
        </w:rPr>
      </w:pPr>
    </w:p>
    <w:p>
      <w:pPr>
        <w:keepNext/>
        <w:keepLines/>
        <w:pageBreakBefore w:val="0"/>
        <w:widowControl w:val="0"/>
        <w:kinsoku/>
        <w:wordWrap/>
        <w:overflowPunct/>
        <w:topLinePunct w:val="0"/>
        <w:bidi w:val="0"/>
        <w:snapToGrid/>
        <w:spacing w:line="240" w:lineRule="auto"/>
        <w:ind w:firstLine="0" w:firstLineChars="0"/>
        <w:jc w:val="center"/>
        <w:textAlignment w:val="auto"/>
        <w:outlineLvl w:val="1"/>
        <w:rPr>
          <w:rFonts w:hint="eastAsia" w:ascii="仿宋" w:hAnsi="仿宋" w:eastAsia="仿宋" w:cs="Times New Roman"/>
          <w:b/>
          <w:color w:val="auto"/>
          <w:kern w:val="2"/>
          <w:sz w:val="36"/>
          <w:szCs w:val="36"/>
          <w:highlight w:val="none"/>
          <w:shd w:val="clear" w:color="auto" w:fill="auto"/>
          <w:lang w:val="en-US" w:eastAsia="zh-CN" w:bidi="ar-SA"/>
        </w:rPr>
      </w:pPr>
      <w:bookmarkStart w:id="83" w:name="_Toc13741"/>
      <w:r>
        <w:rPr>
          <w:rFonts w:hint="eastAsia" w:ascii="仿宋" w:hAnsi="仿宋" w:eastAsia="仿宋" w:cs="Times New Roman"/>
          <w:b/>
          <w:color w:val="auto"/>
          <w:kern w:val="2"/>
          <w:sz w:val="36"/>
          <w:szCs w:val="36"/>
          <w:highlight w:val="none"/>
          <w:shd w:val="clear" w:color="auto" w:fill="auto"/>
          <w:lang w:val="en-US" w:eastAsia="zh-CN" w:bidi="ar-SA"/>
        </w:rPr>
        <w:t xml:space="preserve">第四节 </w:t>
      </w:r>
      <w:bookmarkEnd w:id="81"/>
      <w:r>
        <w:rPr>
          <w:rFonts w:hint="eastAsia" w:ascii="仿宋" w:hAnsi="仿宋" w:eastAsia="仿宋" w:cs="Times New Roman"/>
          <w:b/>
          <w:color w:val="auto"/>
          <w:kern w:val="2"/>
          <w:sz w:val="36"/>
          <w:szCs w:val="36"/>
          <w:highlight w:val="none"/>
          <w:shd w:val="clear" w:color="auto" w:fill="auto"/>
          <w:lang w:val="en-US" w:eastAsia="zh-CN" w:bidi="ar-SA"/>
        </w:rPr>
        <w:t>建立健全台账管理制度</w:t>
      </w:r>
      <w:bookmarkEnd w:id="83"/>
    </w:p>
    <w:p>
      <w:pPr>
        <w:pStyle w:val="14"/>
        <w:spacing w:after="0" w:line="240" w:lineRule="auto"/>
        <w:ind w:left="0" w:leftChars="0" w:right="0" w:rightChars="0" w:firstLine="640" w:firstLineChars="200"/>
        <w:rPr>
          <w:rFonts w:ascii="仿宋" w:hAnsi="仿宋"/>
          <w:szCs w:val="32"/>
          <w:highlight w:val="none"/>
          <w:shd w:val="clear" w:color="auto" w:fill="auto"/>
        </w:rPr>
      </w:pPr>
      <w:r>
        <w:rPr>
          <w:rFonts w:hint="eastAsia" w:ascii="仿宋" w:hAnsi="仿宋"/>
          <w:szCs w:val="32"/>
          <w:highlight w:val="none"/>
          <w:shd w:val="clear" w:color="auto" w:fill="auto"/>
        </w:rPr>
        <w:t>按照《畜禽规模养殖污染防治条例》第二十二条的规定，明确畜禽养殖场粪污资源化利用计划、台账管理内容和要求，提出培训指导计划及监督检查方案等措施。规模养殖场年度畜禽粪污资源化利用计划内容应包括养殖品种、规模以及畜禽养殖废弃物的产生、排放和综合利用等情况，确保畜禽粪污去向可追溯。配套土地面积不足无法就地就近还田的规模养殖场，应委托第三方代为实现资源化利用，及时准确记录有关信息。鼓励有条件的地区结合地方实际，逐步推行畜禽养殖户粪污资源化利用台账管理。</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szCs w:val="32"/>
          <w:highlight w:val="none"/>
          <w:shd w:val="clear" w:color="auto" w:fill="auto"/>
        </w:rPr>
        <w:t>到2025年，</w:t>
      </w:r>
      <w:r>
        <w:rPr>
          <w:rFonts w:ascii="仿宋" w:hAnsi="仿宋"/>
          <w:szCs w:val="32"/>
          <w:highlight w:val="none"/>
          <w:shd w:val="clear" w:color="auto" w:fill="auto"/>
        </w:rPr>
        <w:t>全</w:t>
      </w:r>
      <w:r>
        <w:rPr>
          <w:rFonts w:hint="eastAsia" w:ascii="仿宋" w:hAnsi="仿宋"/>
          <w:szCs w:val="32"/>
          <w:highlight w:val="none"/>
          <w:shd w:val="clear" w:color="auto" w:fill="auto"/>
        </w:rPr>
        <w:t>县</w:t>
      </w:r>
      <w:r>
        <w:rPr>
          <w:rFonts w:hint="eastAsia" w:ascii="仿宋" w:hAnsi="仿宋"/>
          <w:szCs w:val="32"/>
          <w:highlight w:val="none"/>
          <w:shd w:val="clear" w:color="auto" w:fill="auto"/>
          <w:lang w:eastAsia="zh-CN"/>
        </w:rPr>
        <w:t>畜禽规模养殖场粪污资源化利用台账建设率</w:t>
      </w:r>
      <w:r>
        <w:rPr>
          <w:rFonts w:hint="eastAsia" w:ascii="仿宋" w:hAnsi="仿宋"/>
          <w:szCs w:val="32"/>
          <w:highlight w:val="none"/>
          <w:shd w:val="clear" w:color="auto" w:fill="auto"/>
          <w:lang w:val="en-US" w:eastAsia="zh-CN"/>
        </w:rPr>
        <w:t>达到97</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lang w:val="en-US" w:eastAsia="zh-CN"/>
        </w:rPr>
        <w:t>取得排污许可证的畜禽规模</w:t>
      </w:r>
      <w:r>
        <w:rPr>
          <w:rFonts w:hint="eastAsia" w:ascii="仿宋" w:hAnsi="仿宋"/>
          <w:szCs w:val="32"/>
          <w:highlight w:val="none"/>
          <w:shd w:val="clear" w:color="auto" w:fill="auto"/>
        </w:rPr>
        <w:t>养殖场自行监测</w:t>
      </w:r>
      <w:r>
        <w:rPr>
          <w:rFonts w:hint="eastAsia" w:ascii="仿宋" w:hAnsi="仿宋"/>
          <w:szCs w:val="32"/>
          <w:highlight w:val="none"/>
          <w:shd w:val="clear" w:color="auto" w:fill="auto"/>
          <w:lang w:val="en-US" w:eastAsia="zh-CN"/>
        </w:rPr>
        <w:t>覆盖率达到100%</w:t>
      </w:r>
      <w:r>
        <w:rPr>
          <w:rFonts w:hint="eastAsia" w:ascii="仿宋" w:hAnsi="仿宋"/>
          <w:szCs w:val="32"/>
          <w:highlight w:val="none"/>
          <w:shd w:val="clear" w:color="auto" w:fill="auto"/>
        </w:rPr>
        <w:t>。</w:t>
      </w:r>
    </w:p>
    <w:p>
      <w:pPr>
        <w:pStyle w:val="115"/>
        <w:pageBreakBefore w:val="0"/>
        <w:widowControl w:val="0"/>
        <w:kinsoku/>
        <w:wordWrap/>
        <w:overflowPunct/>
        <w:topLinePunct w:val="0"/>
        <w:bidi w:val="0"/>
        <w:snapToGrid/>
        <w:spacing w:line="560" w:lineRule="exact"/>
        <w:jc w:val="center"/>
        <w:textAlignment w:val="auto"/>
        <w:outlineLvl w:val="7"/>
        <w:rPr>
          <w:rFonts w:hint="eastAsia" w:ascii="仿宋" w:hAnsi="仿宋" w:eastAsia="仿宋" w:cs="Times New Roman"/>
          <w:b/>
          <w:color w:val="auto"/>
          <w:sz w:val="28"/>
          <w:szCs w:val="28"/>
          <w:highlight w:val="none"/>
          <w:shd w:val="clear" w:color="auto" w:fill="auto"/>
          <w:lang w:val="en-US" w:eastAsia="zh-CN"/>
        </w:rPr>
      </w:pPr>
      <w:r>
        <w:rPr>
          <w:rFonts w:hint="eastAsia" w:ascii="仿宋" w:hAnsi="仿宋" w:eastAsia="仿宋" w:cs="Times New Roman"/>
          <w:b/>
          <w:color w:val="auto"/>
          <w:sz w:val="28"/>
          <w:szCs w:val="28"/>
          <w:highlight w:val="none"/>
          <w:shd w:val="clear" w:color="auto" w:fill="auto"/>
          <w:lang w:val="en-US" w:eastAsia="zh-CN"/>
        </w:rPr>
        <w:t>表4-2  目标任务分解表</w:t>
      </w:r>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5"/>
        <w:gridCol w:w="776"/>
        <w:gridCol w:w="1021"/>
        <w:gridCol w:w="1021"/>
        <w:gridCol w:w="1021"/>
        <w:gridCol w:w="1021"/>
        <w:gridCol w:w="1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545" w:type="pct"/>
            <w:vMerge w:val="restart"/>
            <w:noWrap w:val="0"/>
            <w:vAlign w:val="center"/>
          </w:tcPr>
          <w:p>
            <w:pPr>
              <w:pStyle w:val="14"/>
              <w:spacing w:after="0" w:line="240" w:lineRule="auto"/>
              <w:ind w:left="0" w:leftChars="0" w:right="0" w:rightChars="0"/>
              <w:jc w:val="center"/>
              <w:rPr>
                <w:rFonts w:hint="default"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指标</w:t>
            </w:r>
          </w:p>
        </w:tc>
        <w:tc>
          <w:tcPr>
            <w:tcW w:w="455" w:type="pct"/>
            <w:vMerge w:val="restart"/>
            <w:noWrap w:val="0"/>
            <w:vAlign w:val="center"/>
          </w:tcPr>
          <w:p>
            <w:pPr>
              <w:pStyle w:val="14"/>
              <w:spacing w:after="0" w:line="240" w:lineRule="auto"/>
              <w:ind w:left="0" w:leftChars="0" w:right="0" w:rightChars="0"/>
              <w:jc w:val="center"/>
              <w:rPr>
                <w:rFonts w:hint="default"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指标现状</w:t>
            </w:r>
          </w:p>
        </w:tc>
        <w:tc>
          <w:tcPr>
            <w:tcW w:w="2998" w:type="pct"/>
            <w:gridSpan w:val="5"/>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分年度任务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45" w:type="pct"/>
            <w:vMerge w:val="continue"/>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p>
        </w:tc>
        <w:tc>
          <w:tcPr>
            <w:tcW w:w="455" w:type="pct"/>
            <w:vMerge w:val="continue"/>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p>
        </w:tc>
        <w:tc>
          <w:tcPr>
            <w:tcW w:w="599" w:type="pct"/>
            <w:noWrap w:val="0"/>
            <w:vAlign w:val="center"/>
          </w:tcPr>
          <w:p>
            <w:pPr>
              <w:pStyle w:val="14"/>
              <w:spacing w:after="0" w:line="240" w:lineRule="auto"/>
              <w:ind w:left="0" w:leftChars="0" w:right="0" w:rightChars="0"/>
              <w:jc w:val="center"/>
              <w:rPr>
                <w:rFonts w:hint="default"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2021</w:t>
            </w:r>
          </w:p>
        </w:tc>
        <w:tc>
          <w:tcPr>
            <w:tcW w:w="599" w:type="pct"/>
            <w:noWrap w:val="0"/>
            <w:vAlign w:val="center"/>
          </w:tcPr>
          <w:p>
            <w:pPr>
              <w:pStyle w:val="14"/>
              <w:spacing w:after="0" w:line="240" w:lineRule="auto"/>
              <w:ind w:left="0" w:leftChars="0" w:right="0" w:rightChars="0"/>
              <w:jc w:val="center"/>
              <w:rPr>
                <w:rFonts w:hint="default"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2022</w:t>
            </w:r>
          </w:p>
        </w:tc>
        <w:tc>
          <w:tcPr>
            <w:tcW w:w="599" w:type="pct"/>
            <w:noWrap w:val="0"/>
            <w:vAlign w:val="center"/>
          </w:tcPr>
          <w:p>
            <w:pPr>
              <w:pStyle w:val="14"/>
              <w:spacing w:after="0" w:line="240" w:lineRule="auto"/>
              <w:ind w:left="0" w:leftChars="0" w:right="0" w:rightChars="0"/>
              <w:jc w:val="center"/>
              <w:rPr>
                <w:rFonts w:hint="default"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2023</w:t>
            </w:r>
          </w:p>
        </w:tc>
        <w:tc>
          <w:tcPr>
            <w:tcW w:w="599" w:type="pct"/>
            <w:noWrap w:val="0"/>
            <w:vAlign w:val="center"/>
          </w:tcPr>
          <w:p>
            <w:pPr>
              <w:pStyle w:val="14"/>
              <w:spacing w:after="0" w:line="240" w:lineRule="auto"/>
              <w:ind w:left="0" w:leftChars="0" w:right="0" w:rightChars="0"/>
              <w:jc w:val="center"/>
              <w:rPr>
                <w:rFonts w:hint="default"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2024</w:t>
            </w:r>
          </w:p>
        </w:tc>
        <w:tc>
          <w:tcPr>
            <w:tcW w:w="602" w:type="pct"/>
            <w:noWrap w:val="0"/>
            <w:vAlign w:val="center"/>
          </w:tcPr>
          <w:p>
            <w:pPr>
              <w:pStyle w:val="14"/>
              <w:spacing w:after="0" w:line="240" w:lineRule="auto"/>
              <w:ind w:left="0" w:leftChars="0" w:right="0" w:rightChars="0"/>
              <w:jc w:val="center"/>
              <w:rPr>
                <w:rFonts w:hint="default"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45" w:type="pct"/>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default" w:ascii="仿宋" w:hAnsi="仿宋" w:cs="Times New Roman"/>
                <w:b w:val="0"/>
                <w:bCs w:val="0"/>
                <w:color w:val="auto"/>
                <w:sz w:val="24"/>
                <w:szCs w:val="24"/>
                <w:highlight w:val="none"/>
                <w:shd w:val="clear" w:color="auto" w:fill="auto"/>
                <w:lang w:val="en-US" w:eastAsia="zh-CN"/>
              </w:rPr>
              <w:t>畜禽规模养殖场粪污资源化利用台账建设率</w:t>
            </w:r>
          </w:p>
        </w:tc>
        <w:tc>
          <w:tcPr>
            <w:tcW w:w="455" w:type="pct"/>
            <w:noWrap w:val="0"/>
            <w:vAlign w:val="center"/>
          </w:tcPr>
          <w:p>
            <w:pPr>
              <w:pStyle w:val="14"/>
              <w:spacing w:after="0" w:line="240" w:lineRule="auto"/>
              <w:ind w:left="0" w:leftChars="0" w:right="0" w:rightChars="0"/>
              <w:jc w:val="center"/>
              <w:rPr>
                <w:rFonts w:hint="default"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w:t>
            </w:r>
          </w:p>
        </w:tc>
        <w:tc>
          <w:tcPr>
            <w:tcW w:w="599" w:type="pct"/>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70%</w:t>
            </w:r>
          </w:p>
        </w:tc>
        <w:tc>
          <w:tcPr>
            <w:tcW w:w="599" w:type="pct"/>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80%</w:t>
            </w:r>
          </w:p>
        </w:tc>
        <w:tc>
          <w:tcPr>
            <w:tcW w:w="599" w:type="pct"/>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85%</w:t>
            </w:r>
          </w:p>
        </w:tc>
        <w:tc>
          <w:tcPr>
            <w:tcW w:w="599" w:type="pct"/>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90%</w:t>
            </w:r>
          </w:p>
        </w:tc>
        <w:tc>
          <w:tcPr>
            <w:tcW w:w="602" w:type="pct"/>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97%</w:t>
            </w:r>
          </w:p>
        </w:tc>
      </w:tr>
    </w:tbl>
    <w:p>
      <w:pPr>
        <w:bidi w:val="0"/>
        <w:rPr>
          <w:rFonts w:hint="eastAsia" w:ascii="仿宋" w:hAnsi="仿宋"/>
          <w:highlight w:val="none"/>
          <w:shd w:val="clear" w:color="auto" w:fill="auto"/>
        </w:rPr>
      </w:pPr>
      <w:bookmarkStart w:id="84" w:name="_bookmark17"/>
      <w:bookmarkEnd w:id="84"/>
      <w:bookmarkStart w:id="85" w:name="（六）坚持技术创新，开展污染防治技术示范和推广"/>
      <w:bookmarkEnd w:id="85"/>
    </w:p>
    <w:p>
      <w:pPr>
        <w:keepNext/>
        <w:keepLines/>
        <w:pageBreakBefore w:val="0"/>
        <w:widowControl w:val="0"/>
        <w:kinsoku/>
        <w:wordWrap/>
        <w:overflowPunct/>
        <w:topLinePunct w:val="0"/>
        <w:bidi w:val="0"/>
        <w:snapToGrid/>
        <w:spacing w:line="240" w:lineRule="auto"/>
        <w:ind w:firstLine="0" w:firstLineChars="0"/>
        <w:jc w:val="center"/>
        <w:textAlignment w:val="auto"/>
        <w:outlineLvl w:val="1"/>
        <w:rPr>
          <w:rFonts w:hint="default" w:ascii="仿宋" w:hAnsi="仿宋" w:eastAsia="仿宋" w:cs="Times New Roman"/>
          <w:b/>
          <w:color w:val="auto"/>
          <w:kern w:val="2"/>
          <w:sz w:val="36"/>
          <w:szCs w:val="36"/>
          <w:highlight w:val="none"/>
          <w:shd w:val="clear" w:color="auto" w:fill="auto"/>
          <w:lang w:val="en-US" w:eastAsia="zh-CN" w:bidi="ar-SA"/>
        </w:rPr>
      </w:pPr>
      <w:bookmarkStart w:id="86" w:name="_Toc23789"/>
      <w:r>
        <w:rPr>
          <w:rFonts w:hint="eastAsia" w:ascii="仿宋" w:hAnsi="仿宋" w:eastAsia="仿宋" w:cs="Times New Roman"/>
          <w:b/>
          <w:color w:val="auto"/>
          <w:kern w:val="2"/>
          <w:sz w:val="36"/>
          <w:szCs w:val="36"/>
          <w:highlight w:val="none"/>
          <w:shd w:val="clear" w:color="auto" w:fill="auto"/>
          <w:lang w:val="en-US" w:eastAsia="zh-CN" w:bidi="ar-SA"/>
        </w:rPr>
        <w:t xml:space="preserve">第五节 </w:t>
      </w:r>
      <w:bookmarkEnd w:id="82"/>
      <w:r>
        <w:rPr>
          <w:rFonts w:hint="eastAsia" w:ascii="仿宋" w:hAnsi="仿宋" w:eastAsia="仿宋" w:cs="Times New Roman"/>
          <w:b/>
          <w:color w:val="auto"/>
          <w:kern w:val="2"/>
          <w:sz w:val="36"/>
          <w:szCs w:val="36"/>
          <w:highlight w:val="none"/>
          <w:shd w:val="clear" w:color="auto" w:fill="auto"/>
          <w:lang w:val="en-US" w:eastAsia="zh-CN" w:bidi="ar-SA"/>
        </w:rPr>
        <w:t>强化环境监管</w:t>
      </w:r>
      <w:bookmarkEnd w:id="86"/>
    </w:p>
    <w:p>
      <w:pPr>
        <w:pStyle w:val="14"/>
        <w:spacing w:after="0" w:line="240" w:lineRule="auto"/>
        <w:ind w:left="0" w:leftChars="0" w:right="0" w:rightChars="0" w:firstLine="643" w:firstLineChars="200"/>
        <w:rPr>
          <w:rFonts w:hint="eastAsia" w:ascii="仿宋" w:hAnsi="仿宋"/>
          <w:b w:val="0"/>
          <w:bCs/>
          <w:szCs w:val="32"/>
          <w:highlight w:val="none"/>
          <w:shd w:val="clear" w:color="auto" w:fill="auto"/>
        </w:rPr>
      </w:pPr>
      <w:r>
        <w:rPr>
          <w:rFonts w:hint="eastAsia" w:ascii="仿宋" w:hAnsi="仿宋"/>
          <w:b/>
          <w:bCs w:val="0"/>
          <w:szCs w:val="32"/>
          <w:highlight w:val="none"/>
          <w:shd w:val="clear" w:color="auto" w:fill="auto"/>
        </w:rPr>
        <w:t>畜禽养殖污染防治环境监管机制。</w:t>
      </w:r>
      <w:r>
        <w:rPr>
          <w:rFonts w:hint="eastAsia" w:ascii="仿宋" w:hAnsi="仿宋"/>
          <w:b w:val="0"/>
          <w:bCs/>
          <w:szCs w:val="32"/>
          <w:highlight w:val="none"/>
          <w:shd w:val="clear" w:color="auto" w:fill="auto"/>
        </w:rPr>
        <w:t>严格审批监管，规范规模养殖项目审批程序和排污许可管理要求。强化日常监管，明确畜禽养殖场户日常监管内容和各部门监管职责，细化任务分工。防范污染风险，结合当地种养情况和环境压力制定污染风险防范措施。组织对完成整改要求的畜禽养殖场户进行现场核查，检查畜禽粪污处理设施装备配套情况，并定期向社会公布核查结果。对超过整改时限，畜禽粪污处理设施装备仍不合格的畜禽养殖场户，依法责令停止生产或使用。</w:t>
      </w:r>
    </w:p>
    <w:p>
      <w:pPr>
        <w:pStyle w:val="14"/>
        <w:spacing w:after="0" w:line="240" w:lineRule="auto"/>
        <w:ind w:left="0" w:leftChars="0" w:right="0" w:rightChars="0" w:firstLine="643" w:firstLineChars="200"/>
        <w:rPr>
          <w:rFonts w:hint="eastAsia" w:ascii="仿宋" w:hAnsi="仿宋"/>
          <w:szCs w:val="32"/>
          <w:highlight w:val="none"/>
          <w:shd w:val="clear" w:color="auto" w:fill="auto"/>
        </w:rPr>
      </w:pPr>
      <w:r>
        <w:rPr>
          <w:rFonts w:ascii="仿宋" w:hAnsi="仿宋"/>
          <w:b/>
          <w:szCs w:val="32"/>
          <w:highlight w:val="none"/>
          <w:shd w:val="clear" w:color="auto" w:fill="auto"/>
        </w:rPr>
        <w:t>坚持畜禽养殖污染防治政策导向</w:t>
      </w:r>
      <w:r>
        <w:rPr>
          <w:rFonts w:hint="eastAsia" w:ascii="仿宋" w:hAnsi="仿宋"/>
          <w:b/>
          <w:szCs w:val="32"/>
          <w:highlight w:val="none"/>
          <w:shd w:val="clear" w:color="auto" w:fill="auto"/>
        </w:rPr>
        <w:t>。</w:t>
      </w:r>
      <w:r>
        <w:rPr>
          <w:rFonts w:ascii="仿宋" w:hAnsi="仿宋"/>
          <w:szCs w:val="32"/>
          <w:highlight w:val="none"/>
          <w:shd w:val="clear" w:color="auto" w:fill="auto"/>
        </w:rPr>
        <w:t>依据环境承载能力科学布局，加快发展适度规模标准化养殖，促进养殖规模与资源环境相匹配。推动种养结合、农牧循环和粪污综合利用，明确对畜禽粪污全部还田利用的养殖场（户）实行</w:t>
      </w:r>
      <w:r>
        <w:rPr>
          <w:rFonts w:hint="eastAsia" w:ascii="仿宋" w:hAnsi="仿宋"/>
          <w:szCs w:val="32"/>
          <w:highlight w:val="none"/>
          <w:shd w:val="clear" w:color="auto" w:fill="auto"/>
        </w:rPr>
        <w:t>排污许可</w:t>
      </w:r>
      <w:r>
        <w:rPr>
          <w:rFonts w:ascii="仿宋" w:hAnsi="仿宋"/>
          <w:szCs w:val="32"/>
          <w:highlight w:val="none"/>
          <w:shd w:val="clear" w:color="auto" w:fill="auto"/>
        </w:rPr>
        <w:t>登记管理。进一步完善粪肥还田管理制度，督促指导规模养殖场制定畜禽粪肥还田利用计划，根据养殖规模明确配套农田面积、农田类型、种植制度、粪肥使用时间及使用量等。</w:t>
      </w:r>
      <w:r>
        <w:rPr>
          <w:rFonts w:hint="eastAsia" w:ascii="仿宋" w:hAnsi="仿宋"/>
          <w:szCs w:val="32"/>
          <w:highlight w:val="none"/>
          <w:shd w:val="clear" w:color="auto" w:fill="auto"/>
        </w:rPr>
        <w:t>加强畜禽养殖污染防治监管，依法关闭或搬迁禁养区内的畜禽养殖场（小区）和养殖专业户。严格落实规模畜禽养殖场（小区）环保主体责任</w:t>
      </w:r>
      <w:r>
        <w:rPr>
          <w:rFonts w:hint="eastAsia" w:ascii="仿宋" w:hAnsi="仿宋"/>
          <w:szCs w:val="32"/>
          <w:highlight w:val="none"/>
          <w:shd w:val="clear" w:color="auto" w:fill="auto"/>
          <w:lang w:val="en-US" w:eastAsia="zh-CN"/>
        </w:rPr>
        <w:t>，</w:t>
      </w:r>
      <w:r>
        <w:rPr>
          <w:rFonts w:hint="eastAsia" w:ascii="仿宋" w:hAnsi="仿宋"/>
          <w:szCs w:val="32"/>
          <w:highlight w:val="none"/>
          <w:shd w:val="clear" w:color="auto" w:fill="auto"/>
        </w:rPr>
        <w:t>督促规模畜禽养殖场</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rPr>
        <w:t>小区）切实履行污染防治义务，配套完善畜禽粪污贮存、处理、利用设施。严格控制畜禽养殖污染排放。深入推进畜禽粪污处理和资源化利用，建立健全畜禽粪污收集、存储、运输、处理和综合利用全产业链，提高畜禽粪便还田利用率。科学划定江河湖库渔业禁养殖区、限养殖区和养殖区。</w:t>
      </w:r>
    </w:p>
    <w:p>
      <w:pPr>
        <w:pStyle w:val="14"/>
        <w:spacing w:after="0" w:line="240" w:lineRule="auto"/>
        <w:ind w:left="0" w:leftChars="0" w:right="0" w:rightChars="0" w:firstLine="643" w:firstLineChars="200"/>
        <w:rPr>
          <w:rFonts w:hint="eastAsia" w:ascii="仿宋" w:hAnsi="仿宋"/>
          <w:szCs w:val="32"/>
          <w:highlight w:val="none"/>
          <w:shd w:val="clear" w:color="auto" w:fill="auto"/>
        </w:rPr>
      </w:pPr>
      <w:r>
        <w:rPr>
          <w:rFonts w:ascii="仿宋" w:hAnsi="仿宋"/>
          <w:b/>
          <w:szCs w:val="32"/>
          <w:highlight w:val="none"/>
          <w:shd w:val="clear" w:color="auto" w:fill="auto"/>
        </w:rPr>
        <w:t>完善畜禽养殖污染防治配套</w:t>
      </w:r>
      <w:r>
        <w:rPr>
          <w:rFonts w:hint="eastAsia" w:ascii="仿宋" w:hAnsi="仿宋"/>
          <w:b/>
          <w:szCs w:val="32"/>
          <w:highlight w:val="none"/>
          <w:shd w:val="clear" w:color="auto" w:fill="auto"/>
        </w:rPr>
        <w:t>制度。</w:t>
      </w:r>
      <w:r>
        <w:rPr>
          <w:rFonts w:hint="eastAsia" w:ascii="仿宋" w:hAnsi="仿宋"/>
          <w:b w:val="0"/>
          <w:bCs/>
          <w:szCs w:val="32"/>
          <w:highlight w:val="none"/>
          <w:shd w:val="clear" w:color="auto" w:fill="auto"/>
          <w:lang w:val="en-US" w:eastAsia="zh-CN"/>
        </w:rPr>
        <w:t>在全县建立环保体系，重点布局在东河镇、嘉川镇、白水镇等8个公路沿线乡镇。</w:t>
      </w:r>
      <w:r>
        <w:rPr>
          <w:rFonts w:ascii="仿宋" w:hAnsi="仿宋"/>
          <w:szCs w:val="32"/>
          <w:highlight w:val="none"/>
          <w:shd w:val="clear" w:color="auto" w:fill="auto"/>
        </w:rPr>
        <w:t>进一步健全和完善畜禽养殖污染防治政策落地相关的配套制度，</w:t>
      </w:r>
      <w:r>
        <w:rPr>
          <w:rFonts w:hint="eastAsia" w:ascii="仿宋" w:hAnsi="仿宋"/>
          <w:szCs w:val="32"/>
          <w:highlight w:val="none"/>
          <w:shd w:val="clear" w:color="auto" w:fill="auto"/>
        </w:rPr>
        <w:t>推进</w:t>
      </w:r>
      <w:r>
        <w:rPr>
          <w:rFonts w:ascii="仿宋" w:hAnsi="仿宋"/>
          <w:szCs w:val="32"/>
          <w:highlight w:val="none"/>
          <w:shd w:val="clear" w:color="auto" w:fill="auto"/>
        </w:rPr>
        <w:t>畜禽养殖业绿色发展。完善鼓励使用有机肥政策，制定针对有机肥生产、沼液沼渣综合利用等畜禽养殖废弃物综合利用工程的信贷、税收、补贴等优惠政策；制定落实畜禽养殖废弃物综合利用扶持政策，鼓励液体粪肥机械化施用，</w:t>
      </w:r>
      <w:r>
        <w:rPr>
          <w:rFonts w:hint="eastAsia" w:ascii="仿宋" w:hAnsi="仿宋"/>
          <w:szCs w:val="32"/>
          <w:highlight w:val="none"/>
          <w:shd w:val="clear" w:color="auto" w:fill="auto"/>
        </w:rPr>
        <w:t>探索</w:t>
      </w:r>
      <w:r>
        <w:rPr>
          <w:rFonts w:ascii="仿宋" w:hAnsi="仿宋"/>
          <w:szCs w:val="32"/>
          <w:highlight w:val="none"/>
          <w:shd w:val="clear" w:color="auto" w:fill="auto"/>
        </w:rPr>
        <w:t>粪肥还田</w:t>
      </w:r>
      <w:r>
        <w:rPr>
          <w:rFonts w:hint="eastAsia" w:ascii="仿宋" w:hAnsi="仿宋"/>
          <w:szCs w:val="32"/>
          <w:highlight w:val="none"/>
          <w:shd w:val="clear" w:color="auto" w:fill="auto"/>
        </w:rPr>
        <w:t>激励政策</w:t>
      </w:r>
      <w:r>
        <w:rPr>
          <w:rFonts w:ascii="仿宋" w:hAnsi="仿宋"/>
          <w:szCs w:val="32"/>
          <w:highlight w:val="none"/>
          <w:shd w:val="clear" w:color="auto" w:fill="auto"/>
        </w:rPr>
        <w:t>，鼓励农副产品饲料化利用；推动养殖废弃物处理设施纳入农机购置补贴政策等制度落实。结合生猪保险，统筹推进病死猪牛羊禽等无害化处理</w:t>
      </w:r>
      <w:r>
        <w:rPr>
          <w:rFonts w:hint="eastAsia" w:ascii="仿宋" w:hAnsi="仿宋"/>
          <w:szCs w:val="32"/>
          <w:highlight w:val="none"/>
          <w:shd w:val="clear" w:color="auto" w:fill="auto"/>
        </w:rPr>
        <w:t>联动机制</w:t>
      </w:r>
      <w:r>
        <w:rPr>
          <w:rFonts w:ascii="仿宋" w:hAnsi="仿宋"/>
          <w:szCs w:val="32"/>
          <w:highlight w:val="none"/>
          <w:shd w:val="clear" w:color="auto" w:fill="auto"/>
        </w:rPr>
        <w:t>，完善市场化运作模式，合理调节补助标准。</w:t>
      </w:r>
      <w:r>
        <w:rPr>
          <w:rFonts w:hint="eastAsia" w:ascii="仿宋" w:hAnsi="仿宋"/>
          <w:szCs w:val="32"/>
          <w:highlight w:val="none"/>
          <w:shd w:val="clear" w:color="auto" w:fill="auto"/>
        </w:rPr>
        <w:t>探索更</w:t>
      </w:r>
      <w:r>
        <w:rPr>
          <w:rFonts w:hint="eastAsia" w:ascii="仿宋" w:hAnsi="仿宋"/>
          <w:szCs w:val="32"/>
          <w:highlight w:val="none"/>
          <w:shd w:val="clear" w:color="auto" w:fill="auto"/>
          <w:lang w:val="en-US" w:eastAsia="zh-CN"/>
        </w:rPr>
        <w:t xml:space="preserve"> </w:t>
      </w:r>
      <w:r>
        <w:rPr>
          <w:rFonts w:hint="eastAsia" w:ascii="仿宋" w:hAnsi="仿宋"/>
          <w:szCs w:val="32"/>
          <w:highlight w:val="none"/>
          <w:shd w:val="clear" w:color="auto" w:fill="auto"/>
        </w:rPr>
        <w:t>多市场力量参与畜禽养殖污染治理管理的措施。</w:t>
      </w:r>
      <w:bookmarkStart w:id="87" w:name="_bookmark16"/>
      <w:bookmarkEnd w:id="87"/>
      <w:bookmarkStart w:id="88" w:name="（五）坚持智慧治污，加强环境监管基础能力建设"/>
      <w:bookmarkEnd w:id="88"/>
    </w:p>
    <w:p>
      <w:pPr>
        <w:pStyle w:val="14"/>
        <w:spacing w:after="0" w:line="240" w:lineRule="auto"/>
        <w:ind w:left="0" w:leftChars="0" w:right="0" w:rightChars="0" w:firstLine="643" w:firstLineChars="200"/>
        <w:rPr>
          <w:rFonts w:hint="eastAsia" w:ascii="仿宋" w:hAnsi="仿宋"/>
          <w:szCs w:val="32"/>
          <w:highlight w:val="none"/>
          <w:shd w:val="clear" w:color="auto" w:fill="auto"/>
        </w:rPr>
      </w:pPr>
      <w:r>
        <w:rPr>
          <w:rFonts w:ascii="仿宋" w:hAnsi="仿宋"/>
          <w:b/>
          <w:szCs w:val="32"/>
          <w:highlight w:val="none"/>
          <w:shd w:val="clear" w:color="auto" w:fill="auto"/>
        </w:rPr>
        <w:t>加强畜禽养殖业环境监督执法</w:t>
      </w:r>
      <w:r>
        <w:rPr>
          <w:rFonts w:hint="eastAsia" w:ascii="仿宋" w:hAnsi="仿宋"/>
          <w:b/>
          <w:szCs w:val="32"/>
          <w:highlight w:val="none"/>
          <w:shd w:val="clear" w:color="auto" w:fill="auto"/>
        </w:rPr>
        <w:t>。</w:t>
      </w:r>
      <w:r>
        <w:rPr>
          <w:rFonts w:ascii="仿宋" w:hAnsi="仿宋"/>
          <w:szCs w:val="32"/>
          <w:highlight w:val="none"/>
          <w:shd w:val="clear" w:color="auto" w:fill="auto"/>
        </w:rPr>
        <w:t>严格畜禽养殖环境监管执法，实施畜禽规模养殖场排污许可制度，落实养殖场户履行污染防治主体责任。加大对粪污处理日常监督，强化粪污还田利用、病死畜禽尸体等废弃物处置的监管，推动建立畜禽粪污处理、粪肥利用、病死畜禽尸体处置</w:t>
      </w:r>
      <w:r>
        <w:rPr>
          <w:rFonts w:hint="eastAsia" w:ascii="仿宋" w:hAnsi="仿宋"/>
          <w:szCs w:val="32"/>
          <w:highlight w:val="none"/>
          <w:shd w:val="clear" w:color="auto" w:fill="auto"/>
        </w:rPr>
        <w:t>、有机肥原料收集、饲料添加剂、抗生素使用</w:t>
      </w:r>
      <w:r>
        <w:rPr>
          <w:rFonts w:ascii="仿宋" w:hAnsi="仿宋"/>
          <w:szCs w:val="32"/>
          <w:highlight w:val="none"/>
          <w:shd w:val="clear" w:color="auto" w:fill="auto"/>
        </w:rPr>
        <w:t>的台账制度</w:t>
      </w:r>
      <w:r>
        <w:rPr>
          <w:rFonts w:hint="eastAsia" w:ascii="仿宋" w:hAnsi="仿宋"/>
          <w:szCs w:val="32"/>
          <w:highlight w:val="none"/>
          <w:shd w:val="clear" w:color="auto" w:fill="auto"/>
        </w:rPr>
        <w:t>，</w:t>
      </w:r>
      <w:r>
        <w:rPr>
          <w:rFonts w:ascii="仿宋" w:hAnsi="仿宋"/>
          <w:szCs w:val="32"/>
          <w:highlight w:val="none"/>
          <w:shd w:val="clear" w:color="auto" w:fill="auto"/>
        </w:rPr>
        <w:t>并作为监督执法的重要依据。加强对粪污还田利用土地的土壤环境状况监测。加强饲料添加剂、兽用抗菌药使用监管。加强粪污处理监管，推进万头以上养猪场及重要配套设施安装在线监测系统。</w:t>
      </w:r>
      <w:r>
        <w:rPr>
          <w:rFonts w:hint="eastAsia" w:ascii="仿宋" w:hAnsi="仿宋"/>
          <w:szCs w:val="32"/>
          <w:highlight w:val="none"/>
          <w:shd w:val="clear" w:color="auto" w:fill="auto"/>
        </w:rPr>
        <w:t>将规模以上畜禽养殖场纳入重点污染源管理，依法执行环评和排污许可制度。巩固禁养区内的畜禽养殖场</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rPr>
        <w:t>小区</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rPr>
        <w:t>关闭、搬迁成果。完善畜禽规模养殖场直联直报信息系统，构建统一管理、分级使用、共享直联的监管平台。执行《畜禽粪污土地承载力测算技术指南》，养殖规模超过土地承载能力的养殖场要合理建设异位发酵床处理粪污或与第三方签订粪污消纳协议。将畜禽废弃物治理与资源化利用量纳入污染物减排总量核算。</w:t>
      </w:r>
    </w:p>
    <w:p>
      <w:pPr>
        <w:pStyle w:val="14"/>
        <w:spacing w:after="0" w:line="240" w:lineRule="auto"/>
        <w:ind w:left="0" w:leftChars="0" w:right="0" w:rightChars="0" w:firstLine="643" w:firstLineChars="200"/>
        <w:rPr>
          <w:rFonts w:hint="eastAsia" w:ascii="仿宋" w:hAnsi="仿宋"/>
          <w:szCs w:val="32"/>
          <w:highlight w:val="none"/>
          <w:shd w:val="clear" w:color="auto" w:fill="auto"/>
        </w:rPr>
      </w:pPr>
      <w:r>
        <w:rPr>
          <w:rFonts w:hint="eastAsia" w:ascii="仿宋" w:hAnsi="仿宋"/>
          <w:b/>
          <w:bCs/>
          <w:szCs w:val="32"/>
          <w:highlight w:val="none"/>
          <w:shd w:val="clear" w:color="auto" w:fill="auto"/>
        </w:rPr>
        <w:t>完善畜禽养殖防控机制</w:t>
      </w:r>
      <w:r>
        <w:rPr>
          <w:rFonts w:hint="eastAsia" w:ascii="仿宋" w:hAnsi="仿宋"/>
          <w:b/>
          <w:bCs/>
          <w:szCs w:val="32"/>
          <w:highlight w:val="none"/>
          <w:shd w:val="clear" w:color="auto" w:fill="auto"/>
          <w:lang w:eastAsia="zh-CN"/>
        </w:rPr>
        <w:t>。</w:t>
      </w:r>
      <w:r>
        <w:rPr>
          <w:rFonts w:hint="eastAsia" w:ascii="仿宋" w:hAnsi="仿宋"/>
          <w:szCs w:val="32"/>
          <w:highlight w:val="none"/>
          <w:shd w:val="clear" w:color="auto" w:fill="auto"/>
        </w:rPr>
        <w:t>大力发展畜禽标准化规模养殖，推广“集团+养殖户”的代养模式，支持符合条件的规模养殖场改造圈舍和更新设备，建设粪污贮存处理利用设施，提高集约化、自动化、生态化养殖水平。推广节水、节料等清洁养殖工艺和干清粪、微生物发酵等实用技术，实现源头减量。推广精准配方饲料和智能化饲喂，规范兽药、饲料添加剂使用。落实畜禽疫病综合防控措施，强化病死畜禽无害化处理体系建设。</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cs="Times New Roman"/>
          <w:szCs w:val="32"/>
          <w:highlight w:val="none"/>
          <w:shd w:val="clear" w:color="auto" w:fill="auto"/>
        </w:rPr>
        <w:t>结合旺苍县畜禽粪污资源化利用整县推进项目和农村人居环境整治行动，坚持因地制宜、宜肥则肥、宜气则气，推行村级专业管护队伍+政府</w:t>
      </w:r>
      <w:r>
        <w:rPr>
          <w:rFonts w:hint="eastAsia" w:ascii="仿宋" w:hAnsi="仿宋"/>
          <w:szCs w:val="32"/>
          <w:highlight w:val="none"/>
          <w:shd w:val="clear" w:color="auto" w:fill="auto"/>
        </w:rPr>
        <w:t>配置公用服务设施和养殖业主实施畜禽粪污干湿分离、沼气发酵、管网联结或专业公司运输等模式，根据各畜禽养殖场不同的生产规模和基础设施条件，分别采取资源化、无害化和减量化的办法进行有针对性的综合治理。配套建设粪污处理设施装备，因地制宜采取就近就地还田、生产有机肥、发展沼气等方式，加大畜禽粪污资源化利用力度。按照“源头减量”“过程控制”“末端利用”的资源化利用途径，规模养殖场要采用干清粪工艺，进行雨污分离，配套建明暗沟，减少臭气，排开雨水，减少粪污量；进行料水分离，减少粪尿产生量；进行粪尿分离或干湿分离，便于发酵处理，发酵主要为好氧发酵（干粪堆积棚、化粪池）或厌氧发酵（沼气池），严格履行环境保护主体责任，根据土地消纳能力，自行或委托第三方进行粪污处理和资源化利用;周边土地消纳量不足的，可对粪污进行异位发酵床处理后销售或利用。支持散养密集区实行畜禽粪污分户收集、集中处理。积极摸索建立粪污收运机制，培育壮大畜禽粪污治理专业化、社会化组织，形成粪污收集、存储、运输、处理和综合利用全产业链。</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szCs w:val="32"/>
          <w:highlight w:val="none"/>
          <w:shd w:val="clear" w:color="auto" w:fill="auto"/>
        </w:rPr>
        <w:t>将规模以上畜禽养殖场纳入重点污染源管理，依法执行环评和排污许可制度。巩固禁养区内的畜禽养殖场</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rPr>
        <w:t>小区</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rPr>
        <w:t>关闭、搬迁成果。完善畜禽规模养殖场直联直报信息系统，构建统一管理、分级使用、共享直联的监管平台。执行《畜禽粪污土地承载力测算技术指南》，养殖规模超过土地承载能力的养殖场要合理建设异位发酵床处理粪污或与第三方签订粪污消纳协议。将畜禽废弃物治理与资源化利用量纳入污染物减排总量核算。</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p>
    <w:p>
      <w:pPr>
        <w:pStyle w:val="115"/>
        <w:pageBreakBefore w:val="0"/>
        <w:widowControl w:val="0"/>
        <w:kinsoku/>
        <w:wordWrap/>
        <w:overflowPunct/>
        <w:topLinePunct w:val="0"/>
        <w:bidi w:val="0"/>
        <w:snapToGrid/>
        <w:spacing w:line="560" w:lineRule="exact"/>
        <w:jc w:val="center"/>
        <w:textAlignment w:val="auto"/>
        <w:outlineLvl w:val="6"/>
        <w:rPr>
          <w:rFonts w:hint="eastAsia" w:ascii="Times New Roman" w:hAnsi="Times New Roman" w:eastAsia="仿宋" w:cs="Times New Roman"/>
          <w:b/>
          <w:color w:val="auto"/>
          <w:sz w:val="28"/>
          <w:szCs w:val="28"/>
          <w:highlight w:val="none"/>
          <w:shd w:val="clear" w:color="auto" w:fill="auto"/>
        </w:rPr>
      </w:pPr>
      <w:bookmarkStart w:id="89" w:name="_Toc31937"/>
      <w:r>
        <w:rPr>
          <w:rFonts w:hint="eastAsia" w:ascii="Times New Roman" w:hAnsi="Times New Roman" w:eastAsia="仿宋" w:cs="Times New Roman"/>
          <w:b/>
          <w:color w:val="auto"/>
          <w:sz w:val="28"/>
          <w:szCs w:val="28"/>
          <w:highlight w:val="none"/>
          <w:shd w:val="clear" w:color="auto" w:fill="auto"/>
        </w:rPr>
        <w:t>专栏</w:t>
      </w:r>
      <w:r>
        <w:rPr>
          <w:rFonts w:hint="eastAsia" w:ascii="Times New Roman" w:hAnsi="Times New Roman" w:eastAsia="仿宋" w:cs="Times New Roman"/>
          <w:b/>
          <w:color w:val="auto"/>
          <w:sz w:val="28"/>
          <w:szCs w:val="28"/>
          <w:highlight w:val="none"/>
          <w:shd w:val="clear" w:color="auto" w:fill="auto"/>
          <w:lang w:val="en-US" w:eastAsia="zh-CN"/>
        </w:rPr>
        <w:t>3</w:t>
      </w:r>
      <w:r>
        <w:rPr>
          <w:rFonts w:hint="eastAsia" w:ascii="Times New Roman" w:hAnsi="Times New Roman" w:eastAsia="仿宋" w:cs="Times New Roman"/>
          <w:b/>
          <w:color w:val="auto"/>
          <w:sz w:val="28"/>
          <w:szCs w:val="28"/>
          <w:highlight w:val="none"/>
          <w:shd w:val="clear" w:color="auto" w:fill="auto"/>
        </w:rPr>
        <w:t xml:space="preserve">  畜禽养殖行业配套场所污染治理工程建设内容</w:t>
      </w:r>
    </w:p>
    <w:tbl>
      <w:tblPr>
        <w:tblStyle w:val="3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5000" w:type="pct"/>
            <w:tcBorders>
              <w:tl2br w:val="nil"/>
              <w:tr2bl w:val="nil"/>
            </w:tcBorders>
            <w:noWrap w:val="0"/>
            <w:vAlign w:val="center"/>
          </w:tcPr>
          <w:p>
            <w:pPr>
              <w:pStyle w:val="14"/>
              <w:spacing w:after="0" w:line="240" w:lineRule="auto"/>
              <w:ind w:left="0" w:leftChars="0" w:right="0" w:rightChars="0" w:firstLine="560" w:firstLineChars="200"/>
              <w:rPr>
                <w:rFonts w:hint="default" w:ascii="Times New Roman" w:hAnsi="Times New Roman"/>
                <w:color w:val="000000"/>
                <w:szCs w:val="21"/>
                <w:highlight w:val="none"/>
                <w:shd w:val="clear" w:color="auto" w:fill="auto"/>
                <w:lang w:val="en-US"/>
              </w:rPr>
            </w:pPr>
            <w:r>
              <w:rPr>
                <w:rFonts w:hint="eastAsia" w:ascii="Times New Roman" w:hAnsi="Times New Roman" w:cs="Times New Roman"/>
                <w:b w:val="0"/>
                <w:bCs w:val="0"/>
                <w:color w:val="auto"/>
                <w:sz w:val="28"/>
                <w:szCs w:val="28"/>
                <w:highlight w:val="none"/>
                <w:shd w:val="clear" w:color="auto" w:fill="auto"/>
                <w:lang w:val="en-US" w:eastAsia="zh-CN"/>
              </w:rPr>
              <w:t>通过旺苍县畜禽养殖监管能力建设工程项目，增加专业技术人员和专用仪器设备，加强监测技术人员及执法人员培训，全面提高畜禽养殖业环境监测工作水平和环境执法能力。</w:t>
            </w:r>
          </w:p>
        </w:tc>
      </w:tr>
    </w:tbl>
    <w:p>
      <w:pPr>
        <w:bidi w:val="0"/>
        <w:rPr>
          <w:rFonts w:ascii="仿宋" w:hAnsi="仿宋"/>
        </w:rPr>
      </w:pPr>
    </w:p>
    <w:p>
      <w:pPr>
        <w:keepNext/>
        <w:keepLines/>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center"/>
        <w:textAlignment w:val="auto"/>
        <w:outlineLvl w:val="0"/>
        <w:rPr>
          <w:rFonts w:hint="default" w:ascii="仿宋" w:hAnsi="仿宋" w:eastAsia="黑体" w:cs="黑体"/>
          <w:b w:val="0"/>
          <w:bCs w:val="0"/>
          <w:color w:val="auto"/>
          <w:kern w:val="44"/>
          <w:sz w:val="44"/>
          <w:szCs w:val="44"/>
          <w:highlight w:val="none"/>
          <w:shd w:val="clear" w:color="auto" w:fill="auto"/>
          <w:lang w:val="en-US" w:eastAsia="zh-CN" w:bidi="ar-SA"/>
        </w:rPr>
      </w:pPr>
      <w:r>
        <w:rPr>
          <w:rFonts w:hint="eastAsia" w:ascii="仿宋" w:hAnsi="仿宋" w:eastAsia="黑体" w:cs="黑体"/>
          <w:b w:val="0"/>
          <w:bCs w:val="0"/>
          <w:color w:val="auto"/>
          <w:kern w:val="44"/>
          <w:sz w:val="44"/>
          <w:szCs w:val="44"/>
          <w:highlight w:val="none"/>
          <w:shd w:val="clear" w:color="auto" w:fill="auto"/>
          <w:lang w:val="en-US" w:eastAsia="zh-CN" w:bidi="ar-SA"/>
        </w:rPr>
        <w:br w:type="page"/>
      </w:r>
      <w:bookmarkStart w:id="90" w:name="_Toc12036"/>
      <w:r>
        <w:rPr>
          <w:rFonts w:hint="eastAsia" w:ascii="仿宋" w:hAnsi="仿宋" w:eastAsia="黑体" w:cs="黑体"/>
          <w:b w:val="0"/>
          <w:bCs w:val="0"/>
          <w:color w:val="auto"/>
          <w:kern w:val="44"/>
          <w:sz w:val="44"/>
          <w:szCs w:val="44"/>
          <w:highlight w:val="none"/>
          <w:shd w:val="clear" w:color="auto" w:fill="auto"/>
          <w:lang w:val="en-US" w:eastAsia="zh-CN" w:bidi="ar-SA"/>
        </w:rPr>
        <w:t>第五章  重点工程</w:t>
      </w:r>
      <w:bookmarkEnd w:id="90"/>
    </w:p>
    <w:p>
      <w:pPr>
        <w:keepNext/>
        <w:keepLines/>
        <w:pageBreakBefore w:val="0"/>
        <w:widowControl w:val="0"/>
        <w:kinsoku/>
        <w:wordWrap/>
        <w:overflowPunct/>
        <w:topLinePunct w:val="0"/>
        <w:bidi w:val="0"/>
        <w:snapToGrid/>
        <w:spacing w:line="240" w:lineRule="auto"/>
        <w:ind w:firstLine="0" w:firstLineChars="0"/>
        <w:jc w:val="center"/>
        <w:textAlignment w:val="auto"/>
        <w:outlineLvl w:val="1"/>
        <w:rPr>
          <w:rFonts w:hint="default" w:ascii="仿宋" w:hAnsi="仿宋" w:eastAsia="仿宋" w:cs="Times New Roman"/>
          <w:b/>
          <w:color w:val="auto"/>
          <w:kern w:val="2"/>
          <w:sz w:val="36"/>
          <w:szCs w:val="36"/>
          <w:highlight w:val="none"/>
          <w:shd w:val="clear" w:color="auto" w:fill="auto"/>
          <w:lang w:val="en-US" w:eastAsia="zh-CN" w:bidi="ar-SA"/>
        </w:rPr>
      </w:pPr>
      <w:bookmarkStart w:id="91" w:name="_Toc18669"/>
      <w:r>
        <w:rPr>
          <w:rFonts w:hint="eastAsia" w:ascii="仿宋" w:hAnsi="仿宋" w:eastAsia="仿宋" w:cs="Times New Roman"/>
          <w:b/>
          <w:color w:val="auto"/>
          <w:kern w:val="2"/>
          <w:sz w:val="36"/>
          <w:szCs w:val="36"/>
          <w:highlight w:val="none"/>
          <w:shd w:val="clear" w:color="auto" w:fill="auto"/>
          <w:lang w:val="en-US" w:eastAsia="zh-CN" w:bidi="ar-SA"/>
        </w:rPr>
        <w:t>第一节 畜禽粪污处理设施选取</w:t>
      </w:r>
      <w:bookmarkEnd w:id="91"/>
    </w:p>
    <w:p>
      <w:pPr>
        <w:pStyle w:val="14"/>
        <w:spacing w:after="0" w:line="240" w:lineRule="auto"/>
        <w:ind w:left="0" w:leftChars="0" w:right="0" w:rightChars="0" w:firstLine="640" w:firstLineChars="200"/>
        <w:rPr>
          <w:rFonts w:hint="eastAsia" w:ascii="仿宋" w:hAnsi="仿宋" w:cs="Times New Roman"/>
          <w:szCs w:val="32"/>
          <w:highlight w:val="none"/>
          <w:shd w:val="clear" w:color="auto" w:fill="auto"/>
        </w:rPr>
      </w:pPr>
      <w:r>
        <w:rPr>
          <w:rFonts w:hint="eastAsia" w:ascii="仿宋" w:hAnsi="仿宋" w:cs="Times New Roman"/>
          <w:szCs w:val="32"/>
          <w:highlight w:val="none"/>
          <w:shd w:val="clear" w:color="auto" w:fill="auto"/>
          <w:lang w:val="en-US" w:eastAsia="zh-CN"/>
        </w:rPr>
        <w:t>根据全县摸底调查和畜禽养殖土地承载力测算，</w:t>
      </w:r>
      <w:r>
        <w:rPr>
          <w:rFonts w:hint="eastAsia" w:ascii="仿宋" w:hAnsi="仿宋" w:cs="Times New Roman"/>
          <w:szCs w:val="32"/>
          <w:highlight w:val="none"/>
          <w:shd w:val="clear" w:color="auto" w:fill="auto"/>
        </w:rPr>
        <w:t>本规划对</w:t>
      </w:r>
      <w:r>
        <w:rPr>
          <w:rFonts w:hint="eastAsia" w:ascii="仿宋" w:hAnsi="仿宋" w:cs="Times New Roman"/>
          <w:szCs w:val="32"/>
          <w:highlight w:val="none"/>
          <w:shd w:val="clear" w:color="auto" w:fill="auto"/>
          <w:lang w:val="en-US" w:eastAsia="zh-CN"/>
        </w:rPr>
        <w:t>超出环境承载能力的14个乡镇，其配套土地面积不足的养殖场户，提出相应的工程措施</w:t>
      </w:r>
      <w:r>
        <w:rPr>
          <w:rFonts w:hint="eastAsia" w:ascii="仿宋" w:hAnsi="仿宋" w:cs="Times New Roman"/>
          <w:szCs w:val="32"/>
          <w:highlight w:val="none"/>
          <w:shd w:val="clear" w:color="auto" w:fill="auto"/>
        </w:rPr>
        <w:t>。</w:t>
      </w:r>
    </w:p>
    <w:p>
      <w:pPr>
        <w:keepNext/>
        <w:keepLines/>
        <w:pageBreakBefore w:val="0"/>
        <w:widowControl w:val="0"/>
        <w:kinsoku/>
        <w:wordWrap/>
        <w:overflowPunct/>
        <w:topLinePunct w:val="0"/>
        <w:autoSpaceDE/>
        <w:autoSpaceDN/>
        <w:bidi w:val="0"/>
        <w:adjustRightInd/>
        <w:snapToGrid/>
        <w:spacing w:line="240" w:lineRule="auto"/>
        <w:ind w:firstLine="643" w:firstLineChars="200"/>
        <w:jc w:val="left"/>
        <w:textAlignment w:val="auto"/>
        <w:outlineLvl w:val="2"/>
        <w:rPr>
          <w:rFonts w:hint="eastAsia" w:ascii="仿宋" w:hAnsi="仿宋" w:eastAsia="仿宋" w:cs="Times New Roman"/>
          <w:b/>
          <w:bCs/>
          <w:color w:val="auto"/>
          <w:kern w:val="2"/>
          <w:sz w:val="32"/>
          <w:szCs w:val="32"/>
          <w:highlight w:val="none"/>
          <w:shd w:val="clear" w:color="auto" w:fill="auto"/>
          <w:lang w:val="en-US" w:eastAsia="zh-CN" w:bidi="ar-SA"/>
        </w:rPr>
      </w:pPr>
      <w:r>
        <w:rPr>
          <w:rFonts w:hint="eastAsia" w:ascii="仿宋" w:hAnsi="仿宋" w:eastAsia="仿宋" w:cs="Times New Roman"/>
          <w:b/>
          <w:bCs/>
          <w:color w:val="auto"/>
          <w:kern w:val="2"/>
          <w:sz w:val="32"/>
          <w:szCs w:val="32"/>
          <w:highlight w:val="none"/>
          <w:shd w:val="clear" w:color="auto" w:fill="auto"/>
          <w:lang w:val="en-US" w:eastAsia="zh-CN" w:bidi="ar-SA"/>
        </w:rPr>
        <w:t>一、消纳土地充足区域粪污处理利用模式</w:t>
      </w:r>
    </w:p>
    <w:p>
      <w:pPr>
        <w:pStyle w:val="14"/>
        <w:spacing w:after="0" w:line="240" w:lineRule="auto"/>
        <w:ind w:left="0" w:leftChars="0" w:right="0" w:rightChars="0" w:firstLine="640" w:firstLineChars="200"/>
        <w:rPr>
          <w:rFonts w:hint="eastAsia" w:ascii="仿宋" w:hAnsi="仿宋" w:cs="Times New Roman"/>
          <w:szCs w:val="32"/>
          <w:highlight w:val="none"/>
          <w:shd w:val="clear" w:color="auto" w:fill="auto"/>
        </w:rPr>
      </w:pPr>
      <w:r>
        <w:rPr>
          <w:rFonts w:hint="eastAsia" w:ascii="仿宋" w:hAnsi="仿宋" w:cs="Times New Roman"/>
          <w:szCs w:val="32"/>
          <w:highlight w:val="none"/>
          <w:shd w:val="clear" w:color="auto" w:fill="auto"/>
          <w:lang w:val="en-US" w:eastAsia="zh-CN"/>
        </w:rPr>
        <w:t>基本</w:t>
      </w:r>
      <w:r>
        <w:rPr>
          <w:rFonts w:hint="eastAsia" w:ascii="仿宋" w:hAnsi="仿宋" w:cs="Times New Roman"/>
          <w:szCs w:val="32"/>
          <w:highlight w:val="none"/>
          <w:shd w:val="clear" w:color="auto" w:fill="auto"/>
          <w:lang w:eastAsia="zh-CN"/>
        </w:rPr>
        <w:t>原则：低成本、低排放、易操作</w:t>
      </w:r>
    </w:p>
    <w:p>
      <w:pPr>
        <w:pStyle w:val="14"/>
        <w:spacing w:after="0" w:line="240" w:lineRule="auto"/>
        <w:ind w:left="0" w:leftChars="0" w:right="0" w:rightChars="0" w:firstLine="640" w:firstLineChars="200"/>
        <w:rPr>
          <w:rFonts w:hint="eastAsia" w:ascii="仿宋" w:hAnsi="仿宋" w:cs="Times New Roman"/>
          <w:szCs w:val="32"/>
          <w:highlight w:val="none"/>
          <w:shd w:val="clear" w:color="auto" w:fill="auto"/>
        </w:rPr>
      </w:pPr>
      <w:r>
        <w:rPr>
          <w:rFonts w:hint="eastAsia" w:ascii="仿宋" w:hAnsi="仿宋" w:cs="Times New Roman"/>
          <w:szCs w:val="32"/>
          <w:highlight w:val="none"/>
          <w:shd w:val="clear" w:color="auto" w:fill="auto"/>
          <w:lang w:val="en-US" w:eastAsia="zh-CN"/>
        </w:rPr>
        <w:t>1、养殖场</w:t>
      </w:r>
      <w:r>
        <w:rPr>
          <w:rFonts w:hint="eastAsia" w:ascii="仿宋" w:hAnsi="仿宋" w:cs="Times New Roman"/>
          <w:szCs w:val="32"/>
          <w:highlight w:val="none"/>
          <w:shd w:val="clear" w:color="auto" w:fill="auto"/>
        </w:rPr>
        <w:t>户粪肥就地就近还田</w:t>
      </w:r>
      <w:r>
        <w:rPr>
          <w:rFonts w:hint="eastAsia" w:ascii="仿宋" w:hAnsi="仿宋" w:cs="Times New Roman"/>
          <w:szCs w:val="32"/>
          <w:highlight w:val="none"/>
          <w:shd w:val="clear" w:color="auto" w:fill="auto"/>
          <w:lang w:eastAsia="zh-CN"/>
        </w:rPr>
        <w:t>（</w:t>
      </w:r>
      <w:r>
        <w:rPr>
          <w:rFonts w:hint="eastAsia" w:ascii="仿宋" w:hAnsi="仿宋" w:cs="Times New Roman"/>
          <w:szCs w:val="32"/>
          <w:highlight w:val="none"/>
          <w:shd w:val="clear" w:color="auto" w:fill="auto"/>
        </w:rPr>
        <w:t>自有土地充足</w:t>
      </w:r>
      <w:r>
        <w:rPr>
          <w:rFonts w:hint="eastAsia" w:ascii="仿宋" w:hAnsi="仿宋" w:cs="Times New Roman"/>
          <w:szCs w:val="32"/>
          <w:highlight w:val="none"/>
          <w:shd w:val="clear" w:color="auto" w:fill="auto"/>
          <w:lang w:eastAsia="zh-CN"/>
        </w:rPr>
        <w:t>）</w:t>
      </w:r>
    </w:p>
    <w:p>
      <w:pPr>
        <w:pStyle w:val="14"/>
        <w:widowControl w:val="0"/>
        <w:numPr>
          <w:ilvl w:val="0"/>
          <w:numId w:val="0"/>
        </w:numPr>
        <w:spacing w:after="0" w:line="240" w:lineRule="auto"/>
        <w:ind w:right="0" w:rightChars="0"/>
        <w:jc w:val="center"/>
        <w:rPr>
          <w:rFonts w:ascii="仿宋" w:hAnsi="仿宋"/>
          <w:highlight w:val="none"/>
        </w:rPr>
      </w:pPr>
      <w:r>
        <w:rPr>
          <w:rFonts w:ascii="仿宋" w:hAnsi="仿宋"/>
          <w:highlight w:val="none"/>
        </w:rPr>
        <w:drawing>
          <wp:inline distT="0" distB="0" distL="114300" distR="114300">
            <wp:extent cx="4099560" cy="838200"/>
            <wp:effectExtent l="0" t="0" r="0" b="0"/>
            <wp:docPr id="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1"/>
                    <pic:cNvPicPr>
                      <a:picLocks noChangeAspect="1"/>
                    </pic:cNvPicPr>
                  </pic:nvPicPr>
                  <pic:blipFill>
                    <a:blip r:embed="rId15"/>
                    <a:srcRect t="10001" b="35001"/>
                    <a:stretch>
                      <a:fillRect/>
                    </a:stretch>
                  </pic:blipFill>
                  <pic:spPr>
                    <a:xfrm>
                      <a:off x="0" y="0"/>
                      <a:ext cx="4099560" cy="838200"/>
                    </a:xfrm>
                    <a:prstGeom prst="rect">
                      <a:avLst/>
                    </a:prstGeom>
                    <a:noFill/>
                    <a:ln>
                      <a:noFill/>
                    </a:ln>
                  </pic:spPr>
                </pic:pic>
              </a:graphicData>
            </a:graphic>
          </wp:inline>
        </w:drawing>
      </w:r>
    </w:p>
    <w:p>
      <w:pPr>
        <w:pStyle w:val="115"/>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outlineLvl w:val="7"/>
        <w:rPr>
          <w:rFonts w:hint="eastAsia" w:ascii="仿宋" w:hAnsi="仿宋" w:eastAsia="仿宋" w:cs="Times New Roman"/>
          <w:b/>
          <w:color w:val="auto"/>
          <w:sz w:val="28"/>
          <w:szCs w:val="28"/>
          <w:highlight w:val="none"/>
          <w:shd w:val="clear" w:color="auto" w:fill="auto"/>
          <w:lang w:val="en-US" w:eastAsia="zh-CN"/>
        </w:rPr>
      </w:pPr>
      <w:r>
        <w:rPr>
          <w:rFonts w:hint="eastAsia" w:ascii="仿宋" w:hAnsi="仿宋" w:eastAsia="仿宋" w:cs="Times New Roman"/>
          <w:b/>
          <w:color w:val="auto"/>
          <w:sz w:val="28"/>
          <w:szCs w:val="28"/>
          <w:highlight w:val="none"/>
          <w:shd w:val="clear" w:color="auto" w:fill="auto"/>
          <w:lang w:val="en-US" w:eastAsia="zh-CN"/>
        </w:rPr>
        <w:t>图5-1  畜禽粪污贮存和就近还田模式</w:t>
      </w:r>
    </w:p>
    <w:p>
      <w:pPr>
        <w:pStyle w:val="14"/>
        <w:widowControl w:val="0"/>
        <w:numPr>
          <w:ilvl w:val="0"/>
          <w:numId w:val="0"/>
        </w:numPr>
        <w:spacing w:after="0" w:line="240" w:lineRule="auto"/>
        <w:ind w:right="0" w:rightChars="0"/>
        <w:jc w:val="center"/>
        <w:rPr>
          <w:rFonts w:hint="eastAsia" w:ascii="仿宋" w:hAnsi="仿宋" w:cs="Times New Roman"/>
          <w:szCs w:val="32"/>
          <w:highlight w:val="none"/>
          <w:shd w:val="clear" w:color="auto" w:fill="auto"/>
        </w:rPr>
      </w:pPr>
      <w:r>
        <w:rPr>
          <w:rFonts w:ascii="仿宋" w:hAnsi="仿宋"/>
          <w:highlight w:val="none"/>
        </w:rPr>
        <w:drawing>
          <wp:inline distT="0" distB="0" distL="114300" distR="114300">
            <wp:extent cx="5271135" cy="895985"/>
            <wp:effectExtent l="0" t="0" r="1905" b="3175"/>
            <wp:docPr id="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2"/>
                    <pic:cNvPicPr>
                      <a:picLocks noChangeAspect="1"/>
                    </pic:cNvPicPr>
                  </pic:nvPicPr>
                  <pic:blipFill>
                    <a:blip r:embed="rId16"/>
                    <a:srcRect t="11562" b="31795"/>
                    <a:stretch>
                      <a:fillRect/>
                    </a:stretch>
                  </pic:blipFill>
                  <pic:spPr>
                    <a:xfrm>
                      <a:off x="0" y="0"/>
                      <a:ext cx="5271135" cy="895985"/>
                    </a:xfrm>
                    <a:prstGeom prst="rect">
                      <a:avLst/>
                    </a:prstGeom>
                    <a:noFill/>
                    <a:ln>
                      <a:noFill/>
                    </a:ln>
                  </pic:spPr>
                </pic:pic>
              </a:graphicData>
            </a:graphic>
          </wp:inline>
        </w:drawing>
      </w:r>
    </w:p>
    <w:p>
      <w:pPr>
        <w:pStyle w:val="115"/>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outlineLvl w:val="7"/>
        <w:rPr>
          <w:rFonts w:hint="eastAsia" w:ascii="仿宋" w:hAnsi="仿宋" w:cs="Times New Roman"/>
          <w:szCs w:val="32"/>
          <w:highlight w:val="none"/>
          <w:shd w:val="clear" w:color="auto" w:fill="auto"/>
          <w:lang w:val="en-US" w:eastAsia="zh-CN"/>
        </w:rPr>
      </w:pPr>
      <w:r>
        <w:rPr>
          <w:rFonts w:hint="eastAsia" w:ascii="仿宋" w:hAnsi="仿宋" w:eastAsia="仿宋" w:cs="Times New Roman"/>
          <w:b/>
          <w:color w:val="auto"/>
          <w:sz w:val="28"/>
          <w:szCs w:val="28"/>
          <w:highlight w:val="none"/>
          <w:shd w:val="clear" w:color="auto" w:fill="auto"/>
          <w:lang w:val="en-US" w:eastAsia="zh-CN"/>
        </w:rPr>
        <w:t>图5-2  畜禽粪污厌氧后就近还田模式</w:t>
      </w:r>
    </w:p>
    <w:p>
      <w:pPr>
        <w:pStyle w:val="14"/>
        <w:spacing w:after="0" w:line="240" w:lineRule="auto"/>
        <w:ind w:left="0" w:leftChars="0" w:right="0" w:rightChars="0" w:firstLine="640" w:firstLineChars="200"/>
        <w:rPr>
          <w:rFonts w:hint="eastAsia" w:ascii="仿宋" w:hAnsi="仿宋" w:cs="Times New Roman"/>
          <w:szCs w:val="32"/>
          <w:highlight w:val="none"/>
          <w:shd w:val="clear" w:color="auto" w:fill="auto"/>
          <w:lang w:val="en-US" w:eastAsia="zh-CN"/>
        </w:rPr>
      </w:pPr>
      <w:r>
        <w:rPr>
          <w:rFonts w:hint="eastAsia" w:ascii="仿宋" w:hAnsi="仿宋" w:cs="Times New Roman"/>
          <w:szCs w:val="32"/>
          <w:highlight w:val="none"/>
          <w:shd w:val="clear" w:color="auto" w:fill="auto"/>
          <w:lang w:val="en-US" w:eastAsia="zh-CN"/>
        </w:rPr>
        <w:t>2、养殖场户粪肥委托第三方处理利用（自有土地不足）</w:t>
      </w:r>
    </w:p>
    <w:p>
      <w:pPr>
        <w:pStyle w:val="14"/>
        <w:spacing w:after="0" w:line="240" w:lineRule="auto"/>
        <w:ind w:left="0" w:leftChars="0" w:right="0" w:rightChars="0" w:firstLine="0" w:firstLineChars="0"/>
        <w:jc w:val="center"/>
        <w:rPr>
          <w:rFonts w:hint="eastAsia" w:ascii="仿宋" w:hAnsi="仿宋" w:cs="Times New Roman"/>
          <w:szCs w:val="32"/>
          <w:highlight w:val="none"/>
          <w:shd w:val="clear" w:color="auto" w:fill="auto"/>
          <w:lang w:val="en-US" w:eastAsia="zh-CN"/>
        </w:rPr>
      </w:pPr>
      <w:r>
        <w:rPr>
          <w:rFonts w:ascii="仿宋" w:hAnsi="仿宋"/>
          <w:highlight w:val="none"/>
        </w:rPr>
        <w:drawing>
          <wp:inline distT="0" distB="0" distL="114300" distR="114300">
            <wp:extent cx="5272405" cy="1716405"/>
            <wp:effectExtent l="0" t="0" r="635" b="5715"/>
            <wp:docPr id="10"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3"/>
                    <pic:cNvPicPr>
                      <a:picLocks noChangeAspect="1"/>
                    </pic:cNvPicPr>
                  </pic:nvPicPr>
                  <pic:blipFill>
                    <a:blip r:embed="rId17"/>
                    <a:srcRect t="6552" b="19656"/>
                    <a:stretch>
                      <a:fillRect/>
                    </a:stretch>
                  </pic:blipFill>
                  <pic:spPr>
                    <a:xfrm>
                      <a:off x="0" y="0"/>
                      <a:ext cx="5272405" cy="1716405"/>
                    </a:xfrm>
                    <a:prstGeom prst="rect">
                      <a:avLst/>
                    </a:prstGeom>
                    <a:noFill/>
                    <a:ln>
                      <a:noFill/>
                    </a:ln>
                  </pic:spPr>
                </pic:pic>
              </a:graphicData>
            </a:graphic>
          </wp:inline>
        </w:drawing>
      </w:r>
    </w:p>
    <w:p>
      <w:pPr>
        <w:pStyle w:val="115"/>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outlineLvl w:val="7"/>
        <w:rPr>
          <w:rFonts w:hint="eastAsia" w:ascii="仿宋" w:hAnsi="仿宋" w:eastAsia="仿宋" w:cs="Times New Roman"/>
          <w:b/>
          <w:color w:val="auto"/>
          <w:sz w:val="28"/>
          <w:szCs w:val="28"/>
          <w:highlight w:val="none"/>
          <w:shd w:val="clear" w:color="auto" w:fill="auto"/>
          <w:lang w:val="en-US" w:eastAsia="zh-CN"/>
        </w:rPr>
      </w:pPr>
      <w:r>
        <w:rPr>
          <w:rFonts w:hint="eastAsia" w:ascii="仿宋" w:hAnsi="仿宋" w:eastAsia="仿宋" w:cs="Times New Roman"/>
          <w:b/>
          <w:color w:val="auto"/>
          <w:sz w:val="28"/>
          <w:szCs w:val="28"/>
          <w:highlight w:val="none"/>
          <w:shd w:val="clear" w:color="auto" w:fill="auto"/>
          <w:lang w:val="en-US" w:eastAsia="zh-CN"/>
        </w:rPr>
        <w:t>图5-3  畜禽固体粪肥委托处理和液体粪肥就近还田模式</w:t>
      </w:r>
    </w:p>
    <w:p>
      <w:pPr>
        <w:keepNext/>
        <w:keepLines/>
        <w:pageBreakBefore w:val="0"/>
        <w:widowControl w:val="0"/>
        <w:kinsoku/>
        <w:wordWrap/>
        <w:overflowPunct/>
        <w:topLinePunct w:val="0"/>
        <w:autoSpaceDE/>
        <w:autoSpaceDN/>
        <w:bidi w:val="0"/>
        <w:adjustRightInd/>
        <w:snapToGrid/>
        <w:spacing w:line="240" w:lineRule="auto"/>
        <w:ind w:firstLine="643" w:firstLineChars="200"/>
        <w:jc w:val="left"/>
        <w:textAlignment w:val="auto"/>
        <w:outlineLvl w:val="2"/>
        <w:rPr>
          <w:rFonts w:hint="eastAsia" w:ascii="仿宋" w:hAnsi="仿宋" w:eastAsia="仿宋" w:cs="Times New Roman"/>
          <w:b/>
          <w:bCs/>
          <w:color w:val="auto"/>
          <w:kern w:val="2"/>
          <w:sz w:val="32"/>
          <w:szCs w:val="32"/>
          <w:highlight w:val="none"/>
          <w:shd w:val="clear" w:color="auto" w:fill="auto"/>
          <w:lang w:val="en-US" w:eastAsia="zh-CN" w:bidi="ar-SA"/>
        </w:rPr>
      </w:pPr>
      <w:r>
        <w:rPr>
          <w:rFonts w:hint="eastAsia" w:ascii="仿宋" w:hAnsi="仿宋" w:eastAsia="仿宋" w:cs="Times New Roman"/>
          <w:b/>
          <w:bCs/>
          <w:color w:val="auto"/>
          <w:kern w:val="2"/>
          <w:sz w:val="32"/>
          <w:szCs w:val="32"/>
          <w:highlight w:val="none"/>
          <w:shd w:val="clear" w:color="auto" w:fill="auto"/>
          <w:lang w:val="en-US" w:eastAsia="zh-CN" w:bidi="ar-SA"/>
        </w:rPr>
        <w:t xml:space="preserve">二、消纳土地不足区域粪污处理利用模式 </w:t>
      </w:r>
    </w:p>
    <w:p>
      <w:pPr>
        <w:pStyle w:val="14"/>
        <w:spacing w:after="0" w:line="240" w:lineRule="auto"/>
        <w:ind w:left="0" w:leftChars="0" w:right="0" w:rightChars="0" w:firstLine="640" w:firstLineChars="200"/>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cs="Times New Roman"/>
          <w:kern w:val="2"/>
          <w:sz w:val="32"/>
          <w:szCs w:val="32"/>
          <w:highlight w:val="none"/>
          <w:shd w:val="clear" w:color="auto" w:fill="auto"/>
          <w:lang w:val="en-US" w:eastAsia="zh-CN" w:bidi="ar-SA"/>
        </w:rPr>
        <w:t>1、</w:t>
      </w:r>
      <w:r>
        <w:rPr>
          <w:rFonts w:hint="eastAsia" w:ascii="仿宋" w:hAnsi="仿宋" w:eastAsia="仿宋_GB2312" w:cs="Times New Roman"/>
          <w:kern w:val="2"/>
          <w:sz w:val="32"/>
          <w:szCs w:val="32"/>
          <w:highlight w:val="none"/>
          <w:shd w:val="clear" w:color="auto" w:fill="auto"/>
          <w:lang w:val="en-US" w:eastAsia="zh-CN" w:bidi="ar-SA"/>
        </w:rPr>
        <w:t>规模养殖场</w:t>
      </w:r>
    </w:p>
    <w:p>
      <w:pPr>
        <w:pStyle w:val="14"/>
        <w:spacing w:after="0" w:line="240" w:lineRule="auto"/>
        <w:ind w:left="0" w:leftChars="0" w:right="0" w:rightChars="0" w:firstLine="640" w:firstLineChars="200"/>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（1）周边消纳土地充足时，就地就近利用。</w:t>
      </w:r>
    </w:p>
    <w:p>
      <w:pPr>
        <w:pStyle w:val="14"/>
        <w:spacing w:after="0" w:line="240" w:lineRule="auto"/>
        <w:ind w:left="0" w:leftChars="0" w:right="0" w:rightChars="0" w:firstLine="640" w:firstLineChars="200"/>
        <w:rPr>
          <w:rFonts w:ascii="仿宋" w:hAnsi="仿宋"/>
          <w:highlight w:val="none"/>
        </w:rPr>
      </w:pPr>
      <w:r>
        <w:rPr>
          <w:rFonts w:hint="eastAsia" w:ascii="仿宋" w:hAnsi="仿宋" w:eastAsia="仿宋_GB2312" w:cs="Times New Roman"/>
          <w:kern w:val="2"/>
          <w:sz w:val="32"/>
          <w:szCs w:val="32"/>
          <w:highlight w:val="none"/>
          <w:shd w:val="clear" w:color="auto" w:fill="auto"/>
          <w:lang w:val="en-US" w:eastAsia="zh-CN" w:bidi="ar-SA"/>
        </w:rPr>
        <w:t>（2）自有土地不足，粪肥就地就近还田，液体达标排放/液体有机肥</w:t>
      </w:r>
      <w:r>
        <w:rPr>
          <w:rFonts w:hint="eastAsia" w:ascii="仿宋" w:hAnsi="仿宋" w:cs="Times New Roman"/>
          <w:kern w:val="2"/>
          <w:sz w:val="32"/>
          <w:szCs w:val="32"/>
          <w:highlight w:val="none"/>
          <w:shd w:val="clear" w:color="auto" w:fill="auto"/>
          <w:lang w:val="en-US" w:eastAsia="zh-CN" w:bidi="ar-SA"/>
        </w:rPr>
        <w:t>。</w:t>
      </w:r>
    </w:p>
    <w:p>
      <w:pPr>
        <w:pStyle w:val="14"/>
        <w:spacing w:after="0" w:line="240" w:lineRule="auto"/>
        <w:ind w:left="0" w:leftChars="0" w:right="0" w:rightChars="0" w:firstLine="0" w:firstLineChars="0"/>
        <w:jc w:val="center"/>
        <w:rPr>
          <w:rFonts w:hint="eastAsia" w:ascii="仿宋" w:hAnsi="仿宋" w:eastAsia="仿宋_GB2312" w:cs="Times New Roman"/>
          <w:kern w:val="2"/>
          <w:sz w:val="32"/>
          <w:szCs w:val="32"/>
          <w:highlight w:val="none"/>
          <w:shd w:val="clear" w:color="auto" w:fill="auto"/>
          <w:lang w:val="en-US" w:eastAsia="zh-CN" w:bidi="ar-SA"/>
        </w:rPr>
      </w:pPr>
      <w:r>
        <w:rPr>
          <w:rFonts w:ascii="仿宋" w:hAnsi="仿宋"/>
          <w:highlight w:val="none"/>
        </w:rPr>
        <w:drawing>
          <wp:inline distT="0" distB="0" distL="114300" distR="114300">
            <wp:extent cx="5272405" cy="1848485"/>
            <wp:effectExtent l="0" t="0" r="635" b="10795"/>
            <wp:docPr id="11"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5"/>
                    <pic:cNvPicPr>
                      <a:picLocks noChangeAspect="1"/>
                    </pic:cNvPicPr>
                  </pic:nvPicPr>
                  <pic:blipFill>
                    <a:blip r:embed="rId18"/>
                    <a:srcRect t="7086" b="18178"/>
                    <a:stretch>
                      <a:fillRect/>
                    </a:stretch>
                  </pic:blipFill>
                  <pic:spPr>
                    <a:xfrm>
                      <a:off x="0" y="0"/>
                      <a:ext cx="5272405" cy="1848485"/>
                    </a:xfrm>
                    <a:prstGeom prst="rect">
                      <a:avLst/>
                    </a:prstGeom>
                    <a:noFill/>
                    <a:ln>
                      <a:noFill/>
                    </a:ln>
                  </pic:spPr>
                </pic:pic>
              </a:graphicData>
            </a:graphic>
          </wp:inline>
        </w:drawing>
      </w:r>
    </w:p>
    <w:p>
      <w:pPr>
        <w:pStyle w:val="115"/>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outlineLvl w:val="7"/>
        <w:rPr>
          <w:rFonts w:hint="eastAsia" w:ascii="仿宋" w:hAnsi="仿宋" w:eastAsia="仿宋" w:cs="Times New Roman"/>
          <w:b/>
          <w:color w:val="auto"/>
          <w:sz w:val="28"/>
          <w:szCs w:val="28"/>
          <w:highlight w:val="none"/>
          <w:shd w:val="clear" w:color="auto" w:fill="auto"/>
          <w:lang w:val="en-US" w:eastAsia="zh-CN"/>
        </w:rPr>
      </w:pPr>
      <w:r>
        <w:rPr>
          <w:rFonts w:hint="eastAsia" w:ascii="仿宋" w:hAnsi="仿宋" w:eastAsia="仿宋" w:cs="Times New Roman"/>
          <w:b/>
          <w:color w:val="auto"/>
          <w:sz w:val="28"/>
          <w:szCs w:val="28"/>
          <w:highlight w:val="none"/>
          <w:shd w:val="clear" w:color="auto" w:fill="auto"/>
          <w:lang w:val="en-US" w:eastAsia="zh-CN"/>
        </w:rPr>
        <w:t>图5-4  畜禽固体粪肥委托处理和液体粪肥就近还田模式</w:t>
      </w:r>
    </w:p>
    <w:p>
      <w:pPr>
        <w:pStyle w:val="14"/>
        <w:spacing w:after="0" w:line="240" w:lineRule="auto"/>
        <w:ind w:left="0" w:leftChars="0" w:right="0" w:rightChars="0" w:firstLine="640" w:firstLineChars="200"/>
        <w:rPr>
          <w:rFonts w:hint="default" w:ascii="仿宋" w:hAnsi="仿宋" w:eastAsia="仿宋_GB2312" w:cs="Times New Roman"/>
          <w:kern w:val="2"/>
          <w:sz w:val="32"/>
          <w:szCs w:val="32"/>
          <w:highlight w:val="none"/>
          <w:shd w:val="clear" w:color="auto" w:fill="auto"/>
          <w:lang w:val="en-US" w:eastAsia="zh-CN" w:bidi="ar-SA"/>
        </w:rPr>
      </w:pPr>
      <w:r>
        <w:rPr>
          <w:rFonts w:hint="eastAsia" w:ascii="仿宋" w:hAnsi="仿宋" w:cs="Times New Roman"/>
          <w:kern w:val="2"/>
          <w:sz w:val="32"/>
          <w:szCs w:val="32"/>
          <w:highlight w:val="none"/>
          <w:shd w:val="clear" w:color="auto" w:fill="auto"/>
          <w:lang w:val="en-US" w:eastAsia="zh-CN" w:bidi="ar-SA"/>
        </w:rPr>
        <w:t>2、养殖户</w:t>
      </w:r>
    </w:p>
    <w:p>
      <w:pPr>
        <w:pStyle w:val="14"/>
        <w:spacing w:after="0" w:line="240" w:lineRule="auto"/>
        <w:ind w:left="0" w:leftChars="0" w:right="0" w:rightChars="0" w:firstLine="640" w:firstLineChars="200"/>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养殖总量大、消纳土地不足的区域，优先调整养殖结构，提高规模化养殖水平。在治理模式上，以乡镇为单元，对畜禽养殖户粪污数量进行摸底统计，建设粪污转运中心，实施统一收集和处理利用，固体粪便生产有机肥外销，液体粪污生产沼气，沼液就近农用。</w:t>
      </w:r>
    </w:p>
    <w:p>
      <w:pPr>
        <w:bidi w:val="0"/>
        <w:rPr>
          <w:rFonts w:hint="eastAsia" w:ascii="仿宋" w:hAnsi="仿宋"/>
          <w:highlight w:val="none"/>
          <w:lang w:val="en-US" w:eastAsia="zh-CN"/>
        </w:rPr>
      </w:pPr>
    </w:p>
    <w:p>
      <w:pPr>
        <w:keepNext/>
        <w:keepLines/>
        <w:pageBreakBefore w:val="0"/>
        <w:widowControl w:val="0"/>
        <w:kinsoku/>
        <w:wordWrap/>
        <w:overflowPunct/>
        <w:topLinePunct w:val="0"/>
        <w:bidi w:val="0"/>
        <w:snapToGrid/>
        <w:spacing w:line="240" w:lineRule="auto"/>
        <w:ind w:firstLine="0" w:firstLineChars="0"/>
        <w:jc w:val="center"/>
        <w:textAlignment w:val="auto"/>
        <w:outlineLvl w:val="1"/>
        <w:rPr>
          <w:rFonts w:hint="default" w:ascii="仿宋" w:hAnsi="仿宋" w:eastAsia="仿宋" w:cs="Times New Roman"/>
          <w:b/>
          <w:color w:val="auto"/>
          <w:kern w:val="2"/>
          <w:sz w:val="36"/>
          <w:szCs w:val="36"/>
          <w:highlight w:val="none"/>
          <w:shd w:val="clear" w:color="auto" w:fill="auto"/>
          <w:lang w:val="en-US" w:eastAsia="zh-CN" w:bidi="ar-SA"/>
        </w:rPr>
      </w:pPr>
      <w:bookmarkStart w:id="92" w:name="_Toc21401"/>
      <w:r>
        <w:rPr>
          <w:rFonts w:hint="eastAsia" w:ascii="仿宋" w:hAnsi="仿宋" w:eastAsia="仿宋" w:cs="Times New Roman"/>
          <w:b/>
          <w:color w:val="auto"/>
          <w:kern w:val="2"/>
          <w:sz w:val="36"/>
          <w:szCs w:val="36"/>
          <w:highlight w:val="none"/>
          <w:shd w:val="clear" w:color="auto" w:fill="auto"/>
          <w:lang w:val="en-US" w:eastAsia="zh-CN" w:bidi="ar-SA"/>
        </w:rPr>
        <w:t>第二节 畜禽养殖场户粪污处理设施建设</w:t>
      </w:r>
      <w:bookmarkEnd w:id="92"/>
    </w:p>
    <w:p>
      <w:pPr>
        <w:pStyle w:val="14"/>
        <w:spacing w:after="0" w:line="240" w:lineRule="auto"/>
        <w:ind w:left="0" w:leftChars="0" w:right="0" w:rightChars="0" w:firstLine="640" w:firstLineChars="200"/>
        <w:rPr>
          <w:rFonts w:hint="eastAsia" w:ascii="仿宋" w:hAnsi="仿宋" w:cs="Times New Roman"/>
          <w:szCs w:val="32"/>
          <w:highlight w:val="none"/>
          <w:shd w:val="clear" w:color="auto" w:fill="auto"/>
          <w:lang w:val="en-US" w:eastAsia="zh-CN"/>
        </w:rPr>
      </w:pPr>
      <w:r>
        <w:rPr>
          <w:rFonts w:hint="eastAsia" w:ascii="仿宋" w:hAnsi="仿宋" w:cs="Times New Roman"/>
          <w:kern w:val="2"/>
          <w:sz w:val="32"/>
          <w:szCs w:val="32"/>
          <w:highlight w:val="none"/>
          <w:shd w:val="clear" w:color="auto" w:fill="auto"/>
          <w:lang w:val="en-US" w:eastAsia="zh-CN" w:bidi="ar-SA"/>
        </w:rPr>
        <w:t>旺苍县全域规模养殖场畜禽粪污超出土地承载能力的乡镇11个，为</w:t>
      </w:r>
      <w:r>
        <w:rPr>
          <w:rFonts w:hint="eastAsia" w:ascii="仿宋" w:hAnsi="仿宋" w:eastAsia="仿宋_GB2312" w:cs="Times New Roman"/>
          <w:kern w:val="2"/>
          <w:sz w:val="32"/>
          <w:szCs w:val="32"/>
          <w:highlight w:val="none"/>
          <w:shd w:val="clear" w:color="auto" w:fill="auto"/>
          <w:lang w:val="en-US" w:eastAsia="zh-CN" w:bidi="ar-SA"/>
        </w:rPr>
        <w:t>白水镇、大德镇、大两镇、高阳镇、黄洋镇、九龙镇、普济镇、水磨镇、嘉川镇、燕子乡</w:t>
      </w:r>
      <w:r>
        <w:rPr>
          <w:rFonts w:hint="eastAsia" w:ascii="仿宋" w:hAnsi="仿宋" w:cs="Times New Roman"/>
          <w:kern w:val="2"/>
          <w:sz w:val="32"/>
          <w:szCs w:val="32"/>
          <w:highlight w:val="none"/>
          <w:shd w:val="clear" w:color="auto" w:fill="auto"/>
          <w:lang w:val="en-US" w:eastAsia="zh-CN" w:bidi="ar-SA"/>
        </w:rPr>
        <w:t>和英萃镇，涉及24个行政村规模畜禽养殖场30家。规划建设粪污处理设施，建设堆粪场有效容积6274立方米，堆粪场面积4183平方米，污水贮水池有效容积16635立方米，以整治</w:t>
      </w:r>
      <w:r>
        <w:rPr>
          <w:rFonts w:hint="eastAsia" w:ascii="仿宋" w:hAnsi="仿宋" w:cs="Times New Roman"/>
          <w:szCs w:val="32"/>
          <w:highlight w:val="none"/>
          <w:shd w:val="clear" w:color="auto" w:fill="auto"/>
          <w:lang w:val="en-US" w:eastAsia="zh-CN"/>
        </w:rPr>
        <w:t>超出环境承载能力的规模养殖场。</w:t>
      </w:r>
    </w:p>
    <w:p>
      <w:pPr>
        <w:pStyle w:val="115"/>
        <w:pageBreakBefore w:val="0"/>
        <w:widowControl w:val="0"/>
        <w:kinsoku/>
        <w:wordWrap/>
        <w:overflowPunct/>
        <w:topLinePunct w:val="0"/>
        <w:bidi w:val="0"/>
        <w:snapToGrid/>
        <w:spacing w:line="560" w:lineRule="exact"/>
        <w:jc w:val="center"/>
        <w:textAlignment w:val="auto"/>
        <w:outlineLvl w:val="7"/>
        <w:rPr>
          <w:rFonts w:hint="default" w:ascii="仿宋" w:hAnsi="仿宋" w:cs="Times New Roman"/>
          <w:kern w:val="2"/>
          <w:sz w:val="32"/>
          <w:szCs w:val="32"/>
          <w:highlight w:val="none"/>
          <w:shd w:val="clear" w:color="auto" w:fill="auto"/>
          <w:lang w:val="en-US" w:eastAsia="zh-CN" w:bidi="ar-SA"/>
        </w:rPr>
      </w:pPr>
      <w:r>
        <w:rPr>
          <w:rFonts w:hint="eastAsia" w:ascii="仿宋" w:hAnsi="仿宋" w:eastAsia="仿宋" w:cs="Times New Roman"/>
          <w:b/>
          <w:color w:val="auto"/>
          <w:sz w:val="28"/>
          <w:szCs w:val="28"/>
          <w:highlight w:val="none"/>
          <w:shd w:val="clear" w:color="auto" w:fill="auto"/>
          <w:lang w:val="en-US" w:eastAsia="zh-CN"/>
        </w:rPr>
        <w:t>表5-5  旺苍县各乡镇规模养殖场拟整治清单</w:t>
      </w:r>
    </w:p>
    <w:tbl>
      <w:tblPr>
        <w:tblStyle w:val="3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55"/>
        <w:gridCol w:w="2319"/>
        <w:gridCol w:w="2321"/>
        <w:gridCol w:w="25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blHeader/>
        </w:trPr>
        <w:tc>
          <w:tcPr>
            <w:tcW w:w="795"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序号</w:t>
            </w:r>
          </w:p>
        </w:tc>
        <w:tc>
          <w:tcPr>
            <w:tcW w:w="136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乡镇</w:t>
            </w:r>
          </w:p>
        </w:tc>
        <w:tc>
          <w:tcPr>
            <w:tcW w:w="1362"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行政村</w:t>
            </w:r>
          </w:p>
        </w:tc>
        <w:tc>
          <w:tcPr>
            <w:tcW w:w="148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规模化养殖场数量（家）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95"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c>
          <w:tcPr>
            <w:tcW w:w="1361" w:type="pct"/>
            <w:vMerge w:val="restar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白水镇</w:t>
            </w:r>
          </w:p>
        </w:tc>
        <w:tc>
          <w:tcPr>
            <w:tcW w:w="1362"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大埝村</w:t>
            </w:r>
          </w:p>
        </w:tc>
        <w:tc>
          <w:tcPr>
            <w:tcW w:w="148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95"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2</w:t>
            </w:r>
          </w:p>
        </w:tc>
        <w:tc>
          <w:tcPr>
            <w:tcW w:w="1361" w:type="pct"/>
            <w:vMerge w:val="continue"/>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p>
        </w:tc>
        <w:tc>
          <w:tcPr>
            <w:tcW w:w="1362"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光明村</w:t>
            </w:r>
          </w:p>
        </w:tc>
        <w:tc>
          <w:tcPr>
            <w:tcW w:w="148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95"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3</w:t>
            </w:r>
          </w:p>
        </w:tc>
        <w:tc>
          <w:tcPr>
            <w:tcW w:w="1361" w:type="pct"/>
            <w:vMerge w:val="continue"/>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p>
        </w:tc>
        <w:tc>
          <w:tcPr>
            <w:tcW w:w="1362"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卢家坝村</w:t>
            </w:r>
          </w:p>
        </w:tc>
        <w:tc>
          <w:tcPr>
            <w:tcW w:w="148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95"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4</w:t>
            </w:r>
          </w:p>
        </w:tc>
        <w:tc>
          <w:tcPr>
            <w:tcW w:w="1361" w:type="pct"/>
            <w:vMerge w:val="continue"/>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p>
        </w:tc>
        <w:tc>
          <w:tcPr>
            <w:tcW w:w="1362"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同心村</w:t>
            </w:r>
          </w:p>
        </w:tc>
        <w:tc>
          <w:tcPr>
            <w:tcW w:w="148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95"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5</w:t>
            </w:r>
          </w:p>
        </w:tc>
        <w:tc>
          <w:tcPr>
            <w:tcW w:w="1361" w:type="pct"/>
            <w:vMerge w:val="continue"/>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p>
        </w:tc>
        <w:tc>
          <w:tcPr>
            <w:tcW w:w="1362"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勇敢村</w:t>
            </w:r>
          </w:p>
        </w:tc>
        <w:tc>
          <w:tcPr>
            <w:tcW w:w="148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95"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6</w:t>
            </w:r>
          </w:p>
        </w:tc>
        <w:tc>
          <w:tcPr>
            <w:tcW w:w="1361" w:type="pct"/>
            <w:vMerge w:val="restar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大德镇</w:t>
            </w:r>
          </w:p>
        </w:tc>
        <w:tc>
          <w:tcPr>
            <w:tcW w:w="1362"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燎原村</w:t>
            </w:r>
          </w:p>
        </w:tc>
        <w:tc>
          <w:tcPr>
            <w:tcW w:w="148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95"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7</w:t>
            </w:r>
          </w:p>
        </w:tc>
        <w:tc>
          <w:tcPr>
            <w:tcW w:w="1361" w:type="pct"/>
            <w:vMerge w:val="continue"/>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p>
        </w:tc>
        <w:tc>
          <w:tcPr>
            <w:tcW w:w="1362"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星火村</w:t>
            </w:r>
          </w:p>
        </w:tc>
        <w:tc>
          <w:tcPr>
            <w:tcW w:w="148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95"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8</w:t>
            </w:r>
          </w:p>
        </w:tc>
        <w:tc>
          <w:tcPr>
            <w:tcW w:w="1361" w:type="pct"/>
            <w:vMerge w:val="restar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大两镇</w:t>
            </w:r>
          </w:p>
        </w:tc>
        <w:tc>
          <w:tcPr>
            <w:tcW w:w="1362"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蒙溪村</w:t>
            </w:r>
          </w:p>
        </w:tc>
        <w:tc>
          <w:tcPr>
            <w:tcW w:w="148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95"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9</w:t>
            </w:r>
          </w:p>
        </w:tc>
        <w:tc>
          <w:tcPr>
            <w:tcW w:w="1361" w:type="pct"/>
            <w:vMerge w:val="continue"/>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p>
        </w:tc>
        <w:tc>
          <w:tcPr>
            <w:tcW w:w="1362"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金光村</w:t>
            </w:r>
          </w:p>
        </w:tc>
        <w:tc>
          <w:tcPr>
            <w:tcW w:w="148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95"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10</w:t>
            </w:r>
          </w:p>
        </w:tc>
        <w:tc>
          <w:tcPr>
            <w:tcW w:w="136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高阳镇</w:t>
            </w:r>
          </w:p>
        </w:tc>
        <w:tc>
          <w:tcPr>
            <w:tcW w:w="1362"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虎垭村</w:t>
            </w:r>
          </w:p>
        </w:tc>
        <w:tc>
          <w:tcPr>
            <w:tcW w:w="148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95"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11</w:t>
            </w:r>
          </w:p>
        </w:tc>
        <w:tc>
          <w:tcPr>
            <w:tcW w:w="136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黄洋镇</w:t>
            </w:r>
          </w:p>
        </w:tc>
        <w:tc>
          <w:tcPr>
            <w:tcW w:w="1362"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南溪村</w:t>
            </w:r>
          </w:p>
        </w:tc>
        <w:tc>
          <w:tcPr>
            <w:tcW w:w="148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95"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12</w:t>
            </w:r>
          </w:p>
        </w:tc>
        <w:tc>
          <w:tcPr>
            <w:tcW w:w="136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九龙镇</w:t>
            </w:r>
          </w:p>
        </w:tc>
        <w:tc>
          <w:tcPr>
            <w:tcW w:w="1362"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苍山村</w:t>
            </w:r>
          </w:p>
        </w:tc>
        <w:tc>
          <w:tcPr>
            <w:tcW w:w="148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95"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13</w:t>
            </w:r>
          </w:p>
        </w:tc>
        <w:tc>
          <w:tcPr>
            <w:tcW w:w="1361" w:type="pct"/>
            <w:vMerge w:val="restar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普济镇</w:t>
            </w:r>
          </w:p>
        </w:tc>
        <w:tc>
          <w:tcPr>
            <w:tcW w:w="1362"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龙池村</w:t>
            </w:r>
          </w:p>
        </w:tc>
        <w:tc>
          <w:tcPr>
            <w:tcW w:w="148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95"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14</w:t>
            </w:r>
          </w:p>
        </w:tc>
        <w:tc>
          <w:tcPr>
            <w:tcW w:w="1361" w:type="pct"/>
            <w:vMerge w:val="continue"/>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p>
        </w:tc>
        <w:tc>
          <w:tcPr>
            <w:tcW w:w="1362"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九江村</w:t>
            </w:r>
          </w:p>
        </w:tc>
        <w:tc>
          <w:tcPr>
            <w:tcW w:w="148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95"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15</w:t>
            </w:r>
          </w:p>
        </w:tc>
        <w:tc>
          <w:tcPr>
            <w:tcW w:w="1361" w:type="pct"/>
            <w:vMerge w:val="continue"/>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p>
        </w:tc>
        <w:tc>
          <w:tcPr>
            <w:tcW w:w="1362"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远景村</w:t>
            </w:r>
          </w:p>
        </w:tc>
        <w:tc>
          <w:tcPr>
            <w:tcW w:w="148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95"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16</w:t>
            </w:r>
          </w:p>
        </w:tc>
        <w:tc>
          <w:tcPr>
            <w:tcW w:w="1361" w:type="pct"/>
            <w:vMerge w:val="continue"/>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p>
        </w:tc>
        <w:tc>
          <w:tcPr>
            <w:tcW w:w="1362"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中江村</w:t>
            </w:r>
          </w:p>
        </w:tc>
        <w:tc>
          <w:tcPr>
            <w:tcW w:w="148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95"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17</w:t>
            </w:r>
          </w:p>
        </w:tc>
        <w:tc>
          <w:tcPr>
            <w:tcW w:w="136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水磨镇</w:t>
            </w:r>
          </w:p>
        </w:tc>
        <w:tc>
          <w:tcPr>
            <w:tcW w:w="1362"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代弓村</w:t>
            </w:r>
          </w:p>
        </w:tc>
        <w:tc>
          <w:tcPr>
            <w:tcW w:w="148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95"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18</w:t>
            </w:r>
          </w:p>
        </w:tc>
        <w:tc>
          <w:tcPr>
            <w:tcW w:w="1361" w:type="pct"/>
            <w:vMerge w:val="restart"/>
            <w:tcBorders>
              <w:top w:val="single" w:color="000000" w:sz="4" w:space="0"/>
              <w:left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嘉川镇</w:t>
            </w:r>
          </w:p>
        </w:tc>
        <w:tc>
          <w:tcPr>
            <w:tcW w:w="1362"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灯塔村</w:t>
            </w:r>
          </w:p>
        </w:tc>
        <w:tc>
          <w:tcPr>
            <w:tcW w:w="148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95"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19</w:t>
            </w:r>
          </w:p>
        </w:tc>
        <w:tc>
          <w:tcPr>
            <w:tcW w:w="1361" w:type="pct"/>
            <w:vMerge w:val="continue"/>
            <w:tcBorders>
              <w:left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p>
        </w:tc>
        <w:tc>
          <w:tcPr>
            <w:tcW w:w="1362"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顺水村</w:t>
            </w:r>
          </w:p>
        </w:tc>
        <w:tc>
          <w:tcPr>
            <w:tcW w:w="148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95"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20</w:t>
            </w:r>
          </w:p>
        </w:tc>
        <w:tc>
          <w:tcPr>
            <w:tcW w:w="1361" w:type="pct"/>
            <w:vMerge w:val="continue"/>
            <w:tcBorders>
              <w:left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p>
        </w:tc>
        <w:tc>
          <w:tcPr>
            <w:tcW w:w="1362"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群峰村</w:t>
            </w:r>
          </w:p>
        </w:tc>
        <w:tc>
          <w:tcPr>
            <w:tcW w:w="148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95"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21</w:t>
            </w:r>
          </w:p>
        </w:tc>
        <w:tc>
          <w:tcPr>
            <w:tcW w:w="1361" w:type="pct"/>
            <w:vMerge w:val="restar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燕子乡</w:t>
            </w:r>
          </w:p>
        </w:tc>
        <w:tc>
          <w:tcPr>
            <w:tcW w:w="1362"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金河村</w:t>
            </w:r>
          </w:p>
        </w:tc>
        <w:tc>
          <w:tcPr>
            <w:tcW w:w="148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95"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22</w:t>
            </w:r>
          </w:p>
        </w:tc>
        <w:tc>
          <w:tcPr>
            <w:tcW w:w="1361" w:type="pct"/>
            <w:vMerge w:val="continue"/>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p>
        </w:tc>
        <w:tc>
          <w:tcPr>
            <w:tcW w:w="1362"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绿化村</w:t>
            </w:r>
          </w:p>
        </w:tc>
        <w:tc>
          <w:tcPr>
            <w:tcW w:w="148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95"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23</w:t>
            </w:r>
          </w:p>
        </w:tc>
        <w:tc>
          <w:tcPr>
            <w:tcW w:w="1361" w:type="pct"/>
            <w:vMerge w:val="restar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英萃镇</w:t>
            </w:r>
          </w:p>
        </w:tc>
        <w:tc>
          <w:tcPr>
            <w:tcW w:w="1362"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中山村</w:t>
            </w:r>
          </w:p>
        </w:tc>
        <w:tc>
          <w:tcPr>
            <w:tcW w:w="148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95"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kern w:val="2"/>
                <w:sz w:val="24"/>
                <w:szCs w:val="24"/>
                <w:highlight w:val="none"/>
                <w:shd w:val="clear" w:color="auto" w:fill="auto"/>
                <w:lang w:val="en-US" w:eastAsia="zh-CN" w:bidi="ar-SA"/>
              </w:rPr>
              <w:t>24</w:t>
            </w:r>
          </w:p>
        </w:tc>
        <w:tc>
          <w:tcPr>
            <w:tcW w:w="1361" w:type="pct"/>
            <w:vMerge w:val="continue"/>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p>
        </w:tc>
        <w:tc>
          <w:tcPr>
            <w:tcW w:w="1362"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学堂村</w:t>
            </w:r>
          </w:p>
        </w:tc>
        <w:tc>
          <w:tcPr>
            <w:tcW w:w="148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518" w:type="pct"/>
            <w:gridSpan w:val="3"/>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合计</w:t>
            </w:r>
          </w:p>
        </w:tc>
        <w:tc>
          <w:tcPr>
            <w:tcW w:w="148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30</w:t>
            </w:r>
          </w:p>
        </w:tc>
      </w:tr>
    </w:tbl>
    <w:p>
      <w:pPr>
        <w:bidi w:val="0"/>
        <w:rPr>
          <w:rFonts w:hint="eastAsia" w:ascii="仿宋" w:hAnsi="仿宋"/>
          <w:highlight w:val="none"/>
          <w:lang w:val="en-US" w:eastAsia="zh-CN"/>
        </w:rPr>
      </w:pPr>
    </w:p>
    <w:p>
      <w:pPr>
        <w:keepNext/>
        <w:keepLines/>
        <w:pageBreakBefore w:val="0"/>
        <w:widowControl w:val="0"/>
        <w:kinsoku/>
        <w:wordWrap/>
        <w:overflowPunct/>
        <w:topLinePunct w:val="0"/>
        <w:bidi w:val="0"/>
        <w:snapToGrid/>
        <w:spacing w:line="240" w:lineRule="auto"/>
        <w:ind w:firstLine="0" w:firstLineChars="0"/>
        <w:jc w:val="center"/>
        <w:textAlignment w:val="auto"/>
        <w:outlineLvl w:val="1"/>
        <w:rPr>
          <w:rFonts w:hint="default" w:ascii="仿宋" w:hAnsi="仿宋" w:eastAsia="仿宋" w:cs="Times New Roman"/>
          <w:b/>
          <w:color w:val="auto"/>
          <w:kern w:val="2"/>
          <w:sz w:val="36"/>
          <w:szCs w:val="36"/>
          <w:highlight w:val="none"/>
          <w:shd w:val="clear" w:color="auto" w:fill="auto"/>
          <w:lang w:val="en-US" w:eastAsia="zh-CN" w:bidi="ar-SA"/>
        </w:rPr>
      </w:pPr>
      <w:bookmarkStart w:id="93" w:name="_Toc20365"/>
      <w:r>
        <w:rPr>
          <w:rFonts w:hint="eastAsia" w:ascii="仿宋" w:hAnsi="仿宋" w:eastAsia="仿宋" w:cs="Times New Roman"/>
          <w:b/>
          <w:color w:val="auto"/>
          <w:kern w:val="2"/>
          <w:sz w:val="36"/>
          <w:szCs w:val="36"/>
          <w:highlight w:val="none"/>
          <w:shd w:val="clear" w:color="auto" w:fill="auto"/>
          <w:lang w:val="en-US" w:eastAsia="zh-CN" w:bidi="ar-SA"/>
        </w:rPr>
        <w:t>第三节 畜禽粪污集中处理设施建设</w:t>
      </w:r>
      <w:bookmarkEnd w:id="93"/>
    </w:p>
    <w:p>
      <w:pPr>
        <w:pStyle w:val="14"/>
        <w:spacing w:after="0" w:line="240" w:lineRule="auto"/>
        <w:ind w:left="0" w:leftChars="0" w:right="0" w:rightChars="0" w:firstLine="640" w:firstLineChars="200"/>
        <w:rPr>
          <w:rFonts w:hint="eastAsia" w:ascii="仿宋" w:hAnsi="仿宋" w:cs="Times New Roman"/>
          <w:szCs w:val="32"/>
          <w:highlight w:val="none"/>
          <w:shd w:val="clear" w:color="auto" w:fill="auto"/>
          <w:lang w:val="en-US" w:eastAsia="zh-CN"/>
        </w:rPr>
      </w:pPr>
      <w:r>
        <w:rPr>
          <w:rFonts w:hint="eastAsia" w:ascii="仿宋" w:hAnsi="仿宋" w:cs="Times New Roman"/>
          <w:kern w:val="2"/>
          <w:sz w:val="32"/>
          <w:szCs w:val="32"/>
          <w:highlight w:val="none"/>
          <w:shd w:val="clear" w:color="auto" w:fill="auto"/>
          <w:lang w:val="en-US" w:eastAsia="zh-CN" w:bidi="ar-SA"/>
        </w:rPr>
        <w:t>旺苍县规模化以下专业养殖户畜禽粪污超出土地承载能力的乡镇13个，为</w:t>
      </w:r>
      <w:r>
        <w:rPr>
          <w:rFonts w:hint="eastAsia" w:ascii="仿宋" w:hAnsi="仿宋" w:eastAsia="仿宋_GB2312" w:cs="Times New Roman"/>
          <w:kern w:val="2"/>
          <w:sz w:val="32"/>
          <w:szCs w:val="32"/>
          <w:highlight w:val="none"/>
          <w:shd w:val="clear" w:color="auto" w:fill="auto"/>
          <w:lang w:val="en-US" w:eastAsia="zh-CN" w:bidi="ar-SA"/>
        </w:rPr>
        <w:t>白水镇、大德镇、大两镇、高阳镇、黄洋镇、嘉川镇、九龙镇、米仓山镇、水磨镇、天星镇、盐河镇</w:t>
      </w:r>
      <w:r>
        <w:rPr>
          <w:rFonts w:hint="eastAsia" w:ascii="仿宋" w:hAnsi="仿宋" w:cs="Times New Roman"/>
          <w:kern w:val="2"/>
          <w:sz w:val="32"/>
          <w:szCs w:val="32"/>
          <w:highlight w:val="none"/>
          <w:shd w:val="clear" w:color="auto" w:fill="auto"/>
          <w:lang w:val="en-US" w:eastAsia="zh-CN" w:bidi="ar-SA"/>
        </w:rPr>
        <w:t>、</w:t>
      </w:r>
      <w:r>
        <w:rPr>
          <w:rFonts w:hint="eastAsia" w:ascii="仿宋" w:hAnsi="仿宋" w:eastAsia="仿宋_GB2312" w:cs="Times New Roman"/>
          <w:kern w:val="2"/>
          <w:sz w:val="32"/>
          <w:szCs w:val="32"/>
          <w:highlight w:val="none"/>
          <w:shd w:val="clear" w:color="auto" w:fill="auto"/>
          <w:lang w:val="en-US" w:eastAsia="zh-CN" w:bidi="ar-SA"/>
        </w:rPr>
        <w:t>燕子乡</w:t>
      </w:r>
      <w:r>
        <w:rPr>
          <w:rFonts w:hint="eastAsia" w:ascii="仿宋" w:hAnsi="仿宋" w:cs="Times New Roman"/>
          <w:kern w:val="2"/>
          <w:sz w:val="32"/>
          <w:szCs w:val="32"/>
          <w:highlight w:val="none"/>
          <w:shd w:val="clear" w:color="auto" w:fill="auto"/>
          <w:lang w:val="en-US" w:eastAsia="zh-CN" w:bidi="ar-SA"/>
        </w:rPr>
        <w:t>和英萃镇，涉及35个行政村专业养殖户55家。规划建设粪污集中处理设施，建设堆粪场有效容积1365立方米，堆粪场面积910平方米，污水贮水池有效容积3619立方米，以整治</w:t>
      </w:r>
      <w:r>
        <w:rPr>
          <w:rFonts w:hint="eastAsia" w:ascii="仿宋" w:hAnsi="仿宋" w:cs="Times New Roman"/>
          <w:szCs w:val="32"/>
          <w:highlight w:val="none"/>
          <w:shd w:val="clear" w:color="auto" w:fill="auto"/>
          <w:lang w:val="en-US" w:eastAsia="zh-CN"/>
        </w:rPr>
        <w:t>超出环境承载能力的规模以下养殖户。</w:t>
      </w:r>
    </w:p>
    <w:p>
      <w:pPr>
        <w:pStyle w:val="115"/>
        <w:pageBreakBefore w:val="0"/>
        <w:widowControl w:val="0"/>
        <w:kinsoku/>
        <w:wordWrap/>
        <w:overflowPunct/>
        <w:topLinePunct w:val="0"/>
        <w:bidi w:val="0"/>
        <w:snapToGrid/>
        <w:spacing w:line="560" w:lineRule="exact"/>
        <w:jc w:val="center"/>
        <w:textAlignment w:val="auto"/>
        <w:outlineLvl w:val="7"/>
        <w:rPr>
          <w:rFonts w:hint="eastAsia" w:ascii="仿宋" w:hAnsi="仿宋" w:eastAsia="仿宋" w:cs="Times New Roman"/>
          <w:b/>
          <w:color w:val="auto"/>
          <w:sz w:val="28"/>
          <w:szCs w:val="28"/>
          <w:highlight w:val="none"/>
          <w:shd w:val="clear" w:color="auto" w:fill="auto"/>
          <w:lang w:val="en-US" w:eastAsia="zh-CN"/>
        </w:rPr>
      </w:pPr>
      <w:r>
        <w:rPr>
          <w:rFonts w:hint="eastAsia" w:ascii="仿宋" w:hAnsi="仿宋" w:eastAsia="仿宋" w:cs="Times New Roman"/>
          <w:b/>
          <w:color w:val="auto"/>
          <w:sz w:val="28"/>
          <w:szCs w:val="28"/>
          <w:highlight w:val="none"/>
          <w:shd w:val="clear" w:color="auto" w:fill="auto"/>
          <w:lang w:val="en-US" w:eastAsia="zh-CN"/>
        </w:rPr>
        <w:t>表5-6  旺苍县各乡镇规模化以下专业养殖户拟整治清单</w:t>
      </w:r>
    </w:p>
    <w:tbl>
      <w:tblPr>
        <w:tblStyle w:val="3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45"/>
        <w:gridCol w:w="2198"/>
        <w:gridCol w:w="2200"/>
        <w:gridCol w:w="27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blHeader/>
        </w:trPr>
        <w:tc>
          <w:tcPr>
            <w:tcW w:w="78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序号</w:t>
            </w:r>
          </w:p>
        </w:tc>
        <w:tc>
          <w:tcPr>
            <w:tcW w:w="129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乡镇</w:t>
            </w:r>
          </w:p>
        </w:tc>
        <w:tc>
          <w:tcPr>
            <w:tcW w:w="129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行政村</w:t>
            </w:r>
          </w:p>
        </w:tc>
        <w:tc>
          <w:tcPr>
            <w:tcW w:w="162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专业养殖户数量（家）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1</w:t>
            </w:r>
          </w:p>
        </w:tc>
        <w:tc>
          <w:tcPr>
            <w:tcW w:w="1290" w:type="pct"/>
            <w:vMerge w:val="restar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白水镇</w:t>
            </w:r>
          </w:p>
        </w:tc>
        <w:tc>
          <w:tcPr>
            <w:tcW w:w="129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白水村</w:t>
            </w:r>
          </w:p>
        </w:tc>
        <w:tc>
          <w:tcPr>
            <w:tcW w:w="162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2</w:t>
            </w:r>
          </w:p>
        </w:tc>
        <w:tc>
          <w:tcPr>
            <w:tcW w:w="1290" w:type="pct"/>
            <w:vMerge w:val="continue"/>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p>
        </w:tc>
        <w:tc>
          <w:tcPr>
            <w:tcW w:w="129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光明村</w:t>
            </w:r>
          </w:p>
        </w:tc>
        <w:tc>
          <w:tcPr>
            <w:tcW w:w="162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3</w:t>
            </w:r>
          </w:p>
        </w:tc>
        <w:tc>
          <w:tcPr>
            <w:tcW w:w="1290" w:type="pct"/>
            <w:vMerge w:val="continue"/>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p>
        </w:tc>
        <w:tc>
          <w:tcPr>
            <w:tcW w:w="129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解放村</w:t>
            </w:r>
          </w:p>
        </w:tc>
        <w:tc>
          <w:tcPr>
            <w:tcW w:w="162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4</w:t>
            </w:r>
          </w:p>
        </w:tc>
        <w:tc>
          <w:tcPr>
            <w:tcW w:w="1290" w:type="pct"/>
            <w:vMerge w:val="continue"/>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p>
        </w:tc>
        <w:tc>
          <w:tcPr>
            <w:tcW w:w="129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快活村</w:t>
            </w:r>
          </w:p>
        </w:tc>
        <w:tc>
          <w:tcPr>
            <w:tcW w:w="162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5</w:t>
            </w:r>
          </w:p>
        </w:tc>
        <w:tc>
          <w:tcPr>
            <w:tcW w:w="129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大德镇</w:t>
            </w:r>
          </w:p>
        </w:tc>
        <w:tc>
          <w:tcPr>
            <w:tcW w:w="129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增产村</w:t>
            </w:r>
          </w:p>
        </w:tc>
        <w:tc>
          <w:tcPr>
            <w:tcW w:w="162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6</w:t>
            </w:r>
          </w:p>
        </w:tc>
        <w:tc>
          <w:tcPr>
            <w:tcW w:w="129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大两镇</w:t>
            </w:r>
          </w:p>
        </w:tc>
        <w:tc>
          <w:tcPr>
            <w:tcW w:w="129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德山村</w:t>
            </w:r>
          </w:p>
        </w:tc>
        <w:tc>
          <w:tcPr>
            <w:tcW w:w="162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7</w:t>
            </w:r>
          </w:p>
        </w:tc>
        <w:tc>
          <w:tcPr>
            <w:tcW w:w="1290" w:type="pct"/>
            <w:vMerge w:val="restar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高阳镇</w:t>
            </w:r>
          </w:p>
        </w:tc>
        <w:tc>
          <w:tcPr>
            <w:tcW w:w="129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虎垭村</w:t>
            </w:r>
          </w:p>
        </w:tc>
        <w:tc>
          <w:tcPr>
            <w:tcW w:w="162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8</w:t>
            </w:r>
          </w:p>
        </w:tc>
        <w:tc>
          <w:tcPr>
            <w:tcW w:w="1290" w:type="pct"/>
            <w:vMerge w:val="continue"/>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p>
        </w:tc>
        <w:tc>
          <w:tcPr>
            <w:tcW w:w="129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鹿渡村</w:t>
            </w:r>
          </w:p>
        </w:tc>
        <w:tc>
          <w:tcPr>
            <w:tcW w:w="162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9</w:t>
            </w:r>
          </w:p>
        </w:tc>
        <w:tc>
          <w:tcPr>
            <w:tcW w:w="1290" w:type="pct"/>
            <w:vMerge w:val="continue"/>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p>
        </w:tc>
        <w:tc>
          <w:tcPr>
            <w:tcW w:w="129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双午村</w:t>
            </w:r>
          </w:p>
        </w:tc>
        <w:tc>
          <w:tcPr>
            <w:tcW w:w="162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10</w:t>
            </w:r>
          </w:p>
        </w:tc>
        <w:tc>
          <w:tcPr>
            <w:tcW w:w="1290" w:type="pct"/>
            <w:vMerge w:val="continue"/>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p>
        </w:tc>
        <w:tc>
          <w:tcPr>
            <w:tcW w:w="129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支溪村</w:t>
            </w:r>
          </w:p>
        </w:tc>
        <w:tc>
          <w:tcPr>
            <w:tcW w:w="162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11</w:t>
            </w:r>
          </w:p>
        </w:tc>
        <w:tc>
          <w:tcPr>
            <w:tcW w:w="129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黄洋镇</w:t>
            </w:r>
          </w:p>
        </w:tc>
        <w:tc>
          <w:tcPr>
            <w:tcW w:w="129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金华村</w:t>
            </w:r>
          </w:p>
        </w:tc>
        <w:tc>
          <w:tcPr>
            <w:tcW w:w="162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12</w:t>
            </w:r>
          </w:p>
        </w:tc>
        <w:tc>
          <w:tcPr>
            <w:tcW w:w="1290" w:type="pct"/>
            <w:vMerge w:val="restar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嘉川镇</w:t>
            </w:r>
          </w:p>
        </w:tc>
        <w:tc>
          <w:tcPr>
            <w:tcW w:w="129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灯塔村</w:t>
            </w:r>
          </w:p>
        </w:tc>
        <w:tc>
          <w:tcPr>
            <w:tcW w:w="162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13</w:t>
            </w:r>
          </w:p>
        </w:tc>
        <w:tc>
          <w:tcPr>
            <w:tcW w:w="1290" w:type="pct"/>
            <w:vMerge w:val="continue"/>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p>
        </w:tc>
        <w:tc>
          <w:tcPr>
            <w:tcW w:w="129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庙二村</w:t>
            </w:r>
          </w:p>
        </w:tc>
        <w:tc>
          <w:tcPr>
            <w:tcW w:w="162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14</w:t>
            </w:r>
          </w:p>
        </w:tc>
        <w:tc>
          <w:tcPr>
            <w:tcW w:w="1290" w:type="pct"/>
            <w:vMerge w:val="continue"/>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p>
        </w:tc>
        <w:tc>
          <w:tcPr>
            <w:tcW w:w="129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顺水村</w:t>
            </w:r>
          </w:p>
        </w:tc>
        <w:tc>
          <w:tcPr>
            <w:tcW w:w="162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15</w:t>
            </w:r>
          </w:p>
        </w:tc>
        <w:tc>
          <w:tcPr>
            <w:tcW w:w="1290" w:type="pct"/>
            <w:vMerge w:val="restar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九龙镇</w:t>
            </w:r>
          </w:p>
        </w:tc>
        <w:tc>
          <w:tcPr>
            <w:tcW w:w="129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柏林村</w:t>
            </w:r>
          </w:p>
        </w:tc>
        <w:tc>
          <w:tcPr>
            <w:tcW w:w="162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16</w:t>
            </w:r>
          </w:p>
        </w:tc>
        <w:tc>
          <w:tcPr>
            <w:tcW w:w="1290" w:type="pct"/>
            <w:vMerge w:val="continue"/>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p>
        </w:tc>
        <w:tc>
          <w:tcPr>
            <w:tcW w:w="129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苍山村</w:t>
            </w:r>
          </w:p>
        </w:tc>
        <w:tc>
          <w:tcPr>
            <w:tcW w:w="162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17</w:t>
            </w:r>
          </w:p>
        </w:tc>
        <w:tc>
          <w:tcPr>
            <w:tcW w:w="1290" w:type="pct"/>
            <w:vMerge w:val="continue"/>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p>
        </w:tc>
        <w:tc>
          <w:tcPr>
            <w:tcW w:w="129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文星村</w:t>
            </w:r>
          </w:p>
        </w:tc>
        <w:tc>
          <w:tcPr>
            <w:tcW w:w="162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18</w:t>
            </w:r>
          </w:p>
        </w:tc>
        <w:tc>
          <w:tcPr>
            <w:tcW w:w="129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米仓山镇</w:t>
            </w:r>
          </w:p>
        </w:tc>
        <w:tc>
          <w:tcPr>
            <w:tcW w:w="129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大坝村</w:t>
            </w:r>
          </w:p>
        </w:tc>
        <w:tc>
          <w:tcPr>
            <w:tcW w:w="162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19</w:t>
            </w:r>
          </w:p>
        </w:tc>
        <w:tc>
          <w:tcPr>
            <w:tcW w:w="129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双汇镇</w:t>
            </w:r>
          </w:p>
        </w:tc>
        <w:tc>
          <w:tcPr>
            <w:tcW w:w="129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莲花村</w:t>
            </w:r>
          </w:p>
        </w:tc>
        <w:tc>
          <w:tcPr>
            <w:tcW w:w="162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20</w:t>
            </w:r>
          </w:p>
        </w:tc>
        <w:tc>
          <w:tcPr>
            <w:tcW w:w="1290" w:type="pct"/>
            <w:vMerge w:val="restar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水磨镇</w:t>
            </w:r>
          </w:p>
        </w:tc>
        <w:tc>
          <w:tcPr>
            <w:tcW w:w="129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代弓村</w:t>
            </w:r>
          </w:p>
        </w:tc>
        <w:tc>
          <w:tcPr>
            <w:tcW w:w="162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21</w:t>
            </w:r>
          </w:p>
        </w:tc>
        <w:tc>
          <w:tcPr>
            <w:tcW w:w="1290" w:type="pct"/>
            <w:vMerge w:val="continue"/>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p>
        </w:tc>
        <w:tc>
          <w:tcPr>
            <w:tcW w:w="129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火花村</w:t>
            </w:r>
          </w:p>
        </w:tc>
        <w:tc>
          <w:tcPr>
            <w:tcW w:w="162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22</w:t>
            </w:r>
          </w:p>
        </w:tc>
        <w:tc>
          <w:tcPr>
            <w:tcW w:w="1290" w:type="pct"/>
            <w:vMerge w:val="restar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盐河镇</w:t>
            </w:r>
          </w:p>
        </w:tc>
        <w:tc>
          <w:tcPr>
            <w:tcW w:w="129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青山村</w:t>
            </w:r>
          </w:p>
        </w:tc>
        <w:tc>
          <w:tcPr>
            <w:tcW w:w="162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23</w:t>
            </w:r>
          </w:p>
        </w:tc>
        <w:tc>
          <w:tcPr>
            <w:tcW w:w="1290" w:type="pct"/>
            <w:vMerge w:val="continue"/>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p>
        </w:tc>
        <w:tc>
          <w:tcPr>
            <w:tcW w:w="129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竹垭村</w:t>
            </w:r>
          </w:p>
        </w:tc>
        <w:tc>
          <w:tcPr>
            <w:tcW w:w="162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24</w:t>
            </w:r>
          </w:p>
        </w:tc>
        <w:tc>
          <w:tcPr>
            <w:tcW w:w="1290" w:type="pct"/>
            <w:vMerge w:val="restar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燕子乡</w:t>
            </w:r>
          </w:p>
        </w:tc>
        <w:tc>
          <w:tcPr>
            <w:tcW w:w="129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金河村</w:t>
            </w:r>
          </w:p>
        </w:tc>
        <w:tc>
          <w:tcPr>
            <w:tcW w:w="162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kern w:val="2"/>
                <w:sz w:val="24"/>
                <w:szCs w:val="24"/>
                <w:highlight w:val="none"/>
                <w:shd w:val="clear" w:color="auto" w:fill="auto"/>
                <w:lang w:val="en-US" w:eastAsia="zh-CN" w:bidi="ar-SA"/>
              </w:rPr>
              <w:t>25</w:t>
            </w:r>
          </w:p>
        </w:tc>
        <w:tc>
          <w:tcPr>
            <w:tcW w:w="1290" w:type="pct"/>
            <w:vMerge w:val="continue"/>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p>
        </w:tc>
        <w:tc>
          <w:tcPr>
            <w:tcW w:w="129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绿化村</w:t>
            </w:r>
          </w:p>
        </w:tc>
        <w:tc>
          <w:tcPr>
            <w:tcW w:w="162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26</w:t>
            </w:r>
          </w:p>
        </w:tc>
        <w:tc>
          <w:tcPr>
            <w:tcW w:w="1290" w:type="pct"/>
            <w:vMerge w:val="continue"/>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p>
        </w:tc>
        <w:tc>
          <w:tcPr>
            <w:tcW w:w="129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双全村</w:t>
            </w:r>
          </w:p>
        </w:tc>
        <w:tc>
          <w:tcPr>
            <w:tcW w:w="162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27</w:t>
            </w:r>
          </w:p>
        </w:tc>
        <w:tc>
          <w:tcPr>
            <w:tcW w:w="1290" w:type="pct"/>
            <w:vMerge w:val="continue"/>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p>
        </w:tc>
        <w:tc>
          <w:tcPr>
            <w:tcW w:w="129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松龙村</w:t>
            </w:r>
          </w:p>
        </w:tc>
        <w:tc>
          <w:tcPr>
            <w:tcW w:w="162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28</w:t>
            </w:r>
          </w:p>
        </w:tc>
        <w:tc>
          <w:tcPr>
            <w:tcW w:w="1290" w:type="pct"/>
            <w:vMerge w:val="continue"/>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p>
        </w:tc>
        <w:tc>
          <w:tcPr>
            <w:tcW w:w="129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燕午村</w:t>
            </w:r>
          </w:p>
        </w:tc>
        <w:tc>
          <w:tcPr>
            <w:tcW w:w="162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29</w:t>
            </w:r>
          </w:p>
        </w:tc>
        <w:tc>
          <w:tcPr>
            <w:tcW w:w="1290" w:type="pct"/>
            <w:vMerge w:val="restart"/>
            <w:tcBorders>
              <w:top w:val="single" w:color="000000" w:sz="4" w:space="0"/>
              <w:left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英萃镇</w:t>
            </w:r>
          </w:p>
        </w:tc>
        <w:tc>
          <w:tcPr>
            <w:tcW w:w="129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关嘴村</w:t>
            </w:r>
          </w:p>
        </w:tc>
        <w:tc>
          <w:tcPr>
            <w:tcW w:w="162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30</w:t>
            </w:r>
          </w:p>
        </w:tc>
        <w:tc>
          <w:tcPr>
            <w:tcW w:w="1290" w:type="pct"/>
            <w:vMerge w:val="continue"/>
            <w:tcBorders>
              <w:left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p>
        </w:tc>
        <w:tc>
          <w:tcPr>
            <w:tcW w:w="129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蓝玉村</w:t>
            </w:r>
          </w:p>
        </w:tc>
        <w:tc>
          <w:tcPr>
            <w:tcW w:w="162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31</w:t>
            </w:r>
          </w:p>
        </w:tc>
        <w:tc>
          <w:tcPr>
            <w:tcW w:w="1290" w:type="pct"/>
            <w:vMerge w:val="continue"/>
            <w:tcBorders>
              <w:left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p>
        </w:tc>
        <w:tc>
          <w:tcPr>
            <w:tcW w:w="129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新房村</w:t>
            </w:r>
          </w:p>
        </w:tc>
        <w:tc>
          <w:tcPr>
            <w:tcW w:w="162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32</w:t>
            </w:r>
          </w:p>
        </w:tc>
        <w:tc>
          <w:tcPr>
            <w:tcW w:w="1290" w:type="pct"/>
            <w:vMerge w:val="continue"/>
            <w:tcBorders>
              <w:left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p>
        </w:tc>
        <w:tc>
          <w:tcPr>
            <w:tcW w:w="129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新建村</w:t>
            </w:r>
          </w:p>
        </w:tc>
        <w:tc>
          <w:tcPr>
            <w:tcW w:w="162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33</w:t>
            </w:r>
          </w:p>
        </w:tc>
        <w:tc>
          <w:tcPr>
            <w:tcW w:w="1290" w:type="pct"/>
            <w:vMerge w:val="continue"/>
            <w:tcBorders>
              <w:left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p>
        </w:tc>
        <w:tc>
          <w:tcPr>
            <w:tcW w:w="129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学堂村</w:t>
            </w:r>
          </w:p>
        </w:tc>
        <w:tc>
          <w:tcPr>
            <w:tcW w:w="162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34</w:t>
            </w:r>
          </w:p>
        </w:tc>
        <w:tc>
          <w:tcPr>
            <w:tcW w:w="1290" w:type="pct"/>
            <w:vMerge w:val="continue"/>
            <w:tcBorders>
              <w:left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p>
        </w:tc>
        <w:tc>
          <w:tcPr>
            <w:tcW w:w="129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长石村</w:t>
            </w:r>
          </w:p>
        </w:tc>
        <w:tc>
          <w:tcPr>
            <w:tcW w:w="162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35</w:t>
            </w:r>
          </w:p>
        </w:tc>
        <w:tc>
          <w:tcPr>
            <w:tcW w:w="1290" w:type="pct"/>
            <w:vMerge w:val="continue"/>
            <w:tcBorders>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p>
        </w:tc>
        <w:tc>
          <w:tcPr>
            <w:tcW w:w="129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中山村</w:t>
            </w:r>
          </w:p>
        </w:tc>
        <w:tc>
          <w:tcPr>
            <w:tcW w:w="162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70" w:type="pct"/>
            <w:gridSpan w:val="3"/>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合计</w:t>
            </w:r>
          </w:p>
        </w:tc>
        <w:tc>
          <w:tcPr>
            <w:tcW w:w="162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55</w:t>
            </w:r>
          </w:p>
        </w:tc>
      </w:tr>
    </w:tbl>
    <w:p>
      <w:pPr>
        <w:bidi w:val="0"/>
        <w:rPr>
          <w:rFonts w:hint="eastAsia" w:ascii="仿宋" w:hAnsi="仿宋"/>
          <w:highlight w:val="none"/>
          <w:lang w:val="en-US" w:eastAsia="zh-CN"/>
        </w:rPr>
      </w:pPr>
    </w:p>
    <w:p>
      <w:pPr>
        <w:keepNext/>
        <w:keepLines/>
        <w:pageBreakBefore w:val="0"/>
        <w:widowControl w:val="0"/>
        <w:kinsoku/>
        <w:wordWrap/>
        <w:overflowPunct/>
        <w:topLinePunct w:val="0"/>
        <w:bidi w:val="0"/>
        <w:snapToGrid/>
        <w:spacing w:line="240" w:lineRule="auto"/>
        <w:ind w:firstLine="0" w:firstLineChars="0"/>
        <w:jc w:val="center"/>
        <w:textAlignment w:val="auto"/>
        <w:outlineLvl w:val="1"/>
        <w:rPr>
          <w:rFonts w:hint="default" w:ascii="仿宋" w:hAnsi="仿宋" w:eastAsia="仿宋" w:cs="Times New Roman"/>
          <w:b/>
          <w:color w:val="auto"/>
          <w:kern w:val="2"/>
          <w:sz w:val="36"/>
          <w:szCs w:val="36"/>
          <w:highlight w:val="none"/>
          <w:shd w:val="clear" w:color="auto" w:fill="auto"/>
          <w:lang w:val="en-US" w:eastAsia="zh-CN" w:bidi="ar-SA"/>
        </w:rPr>
      </w:pPr>
      <w:bookmarkStart w:id="94" w:name="_Toc22582"/>
      <w:r>
        <w:rPr>
          <w:rFonts w:hint="eastAsia" w:ascii="仿宋" w:hAnsi="仿宋" w:eastAsia="仿宋" w:cs="Times New Roman"/>
          <w:b/>
          <w:color w:val="auto"/>
          <w:kern w:val="2"/>
          <w:sz w:val="36"/>
          <w:szCs w:val="36"/>
          <w:highlight w:val="none"/>
          <w:shd w:val="clear" w:color="auto" w:fill="auto"/>
          <w:lang w:val="en-US" w:eastAsia="zh-CN" w:bidi="ar-SA"/>
        </w:rPr>
        <w:t>第四节 田间配套设施建设</w:t>
      </w:r>
      <w:bookmarkEnd w:id="94"/>
    </w:p>
    <w:p>
      <w:pPr>
        <w:pStyle w:val="14"/>
        <w:spacing w:after="0" w:line="240" w:lineRule="auto"/>
        <w:ind w:left="0" w:leftChars="0" w:right="0" w:rightChars="0" w:firstLine="640" w:firstLineChars="200"/>
        <w:rPr>
          <w:rFonts w:hint="eastAsia" w:ascii="仿宋" w:hAnsi="仿宋" w:cs="Times New Roman"/>
          <w:szCs w:val="32"/>
          <w:highlight w:val="none"/>
          <w:shd w:val="clear" w:color="auto" w:fill="auto"/>
          <w:lang w:val="en-US" w:eastAsia="zh-CN"/>
        </w:rPr>
      </w:pPr>
      <w:r>
        <w:rPr>
          <w:rFonts w:hint="eastAsia" w:ascii="仿宋" w:hAnsi="仿宋" w:cs="Times New Roman"/>
          <w:kern w:val="2"/>
          <w:sz w:val="32"/>
          <w:szCs w:val="32"/>
          <w:highlight w:val="none"/>
          <w:shd w:val="clear" w:color="auto" w:fill="auto"/>
          <w:lang w:val="en-US" w:eastAsia="zh-CN" w:bidi="ar-SA"/>
        </w:rPr>
        <w:t>在全县各行政村建立规划建设粪污田间配套设施，涉及行政村228个，全县规划建设粪污田间配套设施，建设堆粪场有效容积18139立方米，堆粪场面积12092平方米，污水贮水池有效容积38885立方米，粪肥运输支管85938米，粪肥运输干管28469米，以改善由于散养总量带来的土地承载压力</w:t>
      </w:r>
      <w:r>
        <w:rPr>
          <w:rFonts w:hint="eastAsia" w:ascii="仿宋" w:hAnsi="仿宋" w:cs="Times New Roman"/>
          <w:szCs w:val="32"/>
          <w:highlight w:val="none"/>
          <w:shd w:val="clear" w:color="auto" w:fill="auto"/>
          <w:lang w:val="en-US" w:eastAsia="zh-CN"/>
        </w:rPr>
        <w:t>。</w:t>
      </w:r>
    </w:p>
    <w:p>
      <w:pPr>
        <w:pStyle w:val="115"/>
        <w:pageBreakBefore w:val="0"/>
        <w:widowControl w:val="0"/>
        <w:kinsoku/>
        <w:wordWrap/>
        <w:overflowPunct/>
        <w:topLinePunct w:val="0"/>
        <w:bidi w:val="0"/>
        <w:snapToGrid/>
        <w:spacing w:line="560" w:lineRule="exact"/>
        <w:jc w:val="center"/>
        <w:textAlignment w:val="auto"/>
        <w:outlineLvl w:val="7"/>
        <w:rPr>
          <w:rFonts w:hint="eastAsia" w:ascii="仿宋" w:hAnsi="仿宋" w:cs="Times New Roman"/>
          <w:kern w:val="2"/>
          <w:sz w:val="32"/>
          <w:szCs w:val="32"/>
          <w:highlight w:val="none"/>
          <w:shd w:val="clear" w:color="auto" w:fill="auto"/>
          <w:lang w:val="en-US" w:eastAsia="zh-CN" w:bidi="ar-SA"/>
        </w:rPr>
      </w:pPr>
      <w:r>
        <w:rPr>
          <w:rFonts w:hint="eastAsia" w:ascii="仿宋" w:hAnsi="仿宋" w:eastAsia="仿宋" w:cs="Times New Roman"/>
          <w:b/>
          <w:color w:val="auto"/>
          <w:sz w:val="28"/>
          <w:szCs w:val="28"/>
          <w:highlight w:val="none"/>
          <w:shd w:val="clear" w:color="auto" w:fill="auto"/>
          <w:lang w:val="en-US" w:eastAsia="zh-CN"/>
        </w:rPr>
        <w:t>表5-7  旺苍县粪污田间配套设施规划建设清单</w:t>
      </w:r>
    </w:p>
    <w:tbl>
      <w:tblPr>
        <w:tblStyle w:val="34"/>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48"/>
        <w:gridCol w:w="4402"/>
        <w:gridCol w:w="27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blHeader/>
        </w:trPr>
        <w:tc>
          <w:tcPr>
            <w:tcW w:w="791" w:type="pct"/>
            <w:tcBorders>
              <w:tl2br w:val="nil"/>
              <w:tr2bl w:val="nil"/>
            </w:tcBorders>
            <w:noWrap/>
            <w:vAlign w:val="center"/>
          </w:tcPr>
          <w:p>
            <w:pPr>
              <w:pStyle w:val="14"/>
              <w:spacing w:after="0" w:line="240" w:lineRule="auto"/>
              <w:ind w:left="0" w:leftChars="0" w:right="0" w:rightChars="0"/>
              <w:jc w:val="center"/>
              <w:rPr>
                <w:rFonts w:hint="default"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序号</w:t>
            </w:r>
          </w:p>
        </w:tc>
        <w:tc>
          <w:tcPr>
            <w:tcW w:w="2583"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乡镇</w:t>
            </w:r>
          </w:p>
        </w:tc>
        <w:tc>
          <w:tcPr>
            <w:tcW w:w="1625" w:type="pct"/>
            <w:tcBorders>
              <w:tl2br w:val="nil"/>
              <w:tr2bl w:val="nil"/>
            </w:tcBorders>
            <w:noWrap w:val="0"/>
            <w:vAlign w:val="center"/>
          </w:tcPr>
          <w:p>
            <w:pPr>
              <w:pStyle w:val="14"/>
              <w:spacing w:after="0" w:line="240" w:lineRule="auto"/>
              <w:ind w:left="0" w:leftChars="0" w:right="0" w:rightChars="0"/>
              <w:jc w:val="center"/>
              <w:rPr>
                <w:rFonts w:hint="default"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行政村个数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91" w:type="pct"/>
            <w:tcBorders>
              <w:tl2br w:val="nil"/>
              <w:tr2bl w:val="nil"/>
            </w:tcBorders>
            <w:noWrap/>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1</w:t>
            </w:r>
          </w:p>
        </w:tc>
        <w:tc>
          <w:tcPr>
            <w:tcW w:w="2583"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白水镇</w:t>
            </w:r>
          </w:p>
        </w:tc>
        <w:tc>
          <w:tcPr>
            <w:tcW w:w="1625" w:type="pct"/>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25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91" w:type="pct"/>
            <w:tcBorders>
              <w:tl2br w:val="nil"/>
              <w:tr2bl w:val="nil"/>
            </w:tcBorders>
            <w:noWrap/>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2</w:t>
            </w:r>
          </w:p>
        </w:tc>
        <w:tc>
          <w:tcPr>
            <w:tcW w:w="2583"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双汇镇</w:t>
            </w:r>
          </w:p>
        </w:tc>
        <w:tc>
          <w:tcPr>
            <w:tcW w:w="1625"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91" w:type="pct"/>
            <w:tcBorders>
              <w:tl2br w:val="nil"/>
              <w:tr2bl w:val="nil"/>
            </w:tcBorders>
            <w:noWrap/>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3</w:t>
            </w:r>
          </w:p>
        </w:tc>
        <w:tc>
          <w:tcPr>
            <w:tcW w:w="2583"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龙凤镇</w:t>
            </w:r>
          </w:p>
        </w:tc>
        <w:tc>
          <w:tcPr>
            <w:tcW w:w="1625"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91" w:type="pct"/>
            <w:tcBorders>
              <w:tl2br w:val="nil"/>
              <w:tr2bl w:val="nil"/>
            </w:tcBorders>
            <w:noWrap/>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4</w:t>
            </w:r>
          </w:p>
        </w:tc>
        <w:tc>
          <w:tcPr>
            <w:tcW w:w="2583"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大德镇</w:t>
            </w:r>
          </w:p>
        </w:tc>
        <w:tc>
          <w:tcPr>
            <w:tcW w:w="1625"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91" w:type="pct"/>
            <w:tcBorders>
              <w:tl2br w:val="nil"/>
              <w:tr2bl w:val="nil"/>
            </w:tcBorders>
            <w:noWrap/>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5</w:t>
            </w:r>
          </w:p>
        </w:tc>
        <w:tc>
          <w:tcPr>
            <w:tcW w:w="2583"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大两镇</w:t>
            </w:r>
          </w:p>
        </w:tc>
        <w:tc>
          <w:tcPr>
            <w:tcW w:w="1625"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91" w:type="pct"/>
            <w:tcBorders>
              <w:tl2br w:val="nil"/>
              <w:tr2bl w:val="nil"/>
            </w:tcBorders>
            <w:noWrap/>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6</w:t>
            </w:r>
          </w:p>
        </w:tc>
        <w:tc>
          <w:tcPr>
            <w:tcW w:w="2583"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高阳镇</w:t>
            </w:r>
          </w:p>
        </w:tc>
        <w:tc>
          <w:tcPr>
            <w:tcW w:w="1625"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91" w:type="pct"/>
            <w:tcBorders>
              <w:tl2br w:val="nil"/>
              <w:tr2bl w:val="nil"/>
            </w:tcBorders>
            <w:noWrap/>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7</w:t>
            </w:r>
          </w:p>
        </w:tc>
        <w:tc>
          <w:tcPr>
            <w:tcW w:w="2583"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国华镇</w:t>
            </w:r>
          </w:p>
        </w:tc>
        <w:tc>
          <w:tcPr>
            <w:tcW w:w="1625"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91" w:type="pct"/>
            <w:tcBorders>
              <w:tl2br w:val="nil"/>
              <w:tr2bl w:val="nil"/>
            </w:tcBorders>
            <w:noWrap/>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8</w:t>
            </w:r>
          </w:p>
        </w:tc>
        <w:tc>
          <w:tcPr>
            <w:tcW w:w="2583"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黄洋镇</w:t>
            </w:r>
          </w:p>
        </w:tc>
        <w:tc>
          <w:tcPr>
            <w:tcW w:w="1625"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91" w:type="pct"/>
            <w:tcBorders>
              <w:tl2br w:val="nil"/>
              <w:tr2bl w:val="nil"/>
            </w:tcBorders>
            <w:noWrap/>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9</w:t>
            </w:r>
          </w:p>
        </w:tc>
        <w:tc>
          <w:tcPr>
            <w:tcW w:w="2583"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九龙镇</w:t>
            </w:r>
          </w:p>
        </w:tc>
        <w:tc>
          <w:tcPr>
            <w:tcW w:w="1625"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91" w:type="pct"/>
            <w:tcBorders>
              <w:tl2br w:val="nil"/>
              <w:tr2bl w:val="nil"/>
            </w:tcBorders>
            <w:noWrap/>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10</w:t>
            </w:r>
          </w:p>
        </w:tc>
        <w:tc>
          <w:tcPr>
            <w:tcW w:w="2583"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檬子乡</w:t>
            </w:r>
          </w:p>
        </w:tc>
        <w:tc>
          <w:tcPr>
            <w:tcW w:w="1625"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91" w:type="pct"/>
            <w:tcBorders>
              <w:tl2br w:val="nil"/>
              <w:tr2bl w:val="nil"/>
            </w:tcBorders>
            <w:noWrap/>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11</w:t>
            </w:r>
          </w:p>
        </w:tc>
        <w:tc>
          <w:tcPr>
            <w:tcW w:w="2583"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张华镇</w:t>
            </w:r>
          </w:p>
        </w:tc>
        <w:tc>
          <w:tcPr>
            <w:tcW w:w="1625"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15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91" w:type="pct"/>
            <w:tcBorders>
              <w:tl2br w:val="nil"/>
              <w:tr2bl w:val="nil"/>
            </w:tcBorders>
            <w:noWrap/>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12</w:t>
            </w:r>
          </w:p>
        </w:tc>
        <w:tc>
          <w:tcPr>
            <w:tcW w:w="2583"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盐河镇</w:t>
            </w:r>
          </w:p>
        </w:tc>
        <w:tc>
          <w:tcPr>
            <w:tcW w:w="1625"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91" w:type="pct"/>
            <w:tcBorders>
              <w:tl2br w:val="nil"/>
              <w:tr2bl w:val="nil"/>
            </w:tcBorders>
            <w:noWrap/>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13</w:t>
            </w:r>
          </w:p>
        </w:tc>
        <w:tc>
          <w:tcPr>
            <w:tcW w:w="2583"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普济镇</w:t>
            </w:r>
          </w:p>
        </w:tc>
        <w:tc>
          <w:tcPr>
            <w:tcW w:w="1625"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12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91" w:type="pct"/>
            <w:tcBorders>
              <w:tl2br w:val="nil"/>
              <w:tr2bl w:val="nil"/>
            </w:tcBorders>
            <w:noWrap/>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14</w:t>
            </w:r>
          </w:p>
        </w:tc>
        <w:tc>
          <w:tcPr>
            <w:tcW w:w="2583"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水磨镇</w:t>
            </w:r>
          </w:p>
        </w:tc>
        <w:tc>
          <w:tcPr>
            <w:tcW w:w="1625"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91" w:type="pct"/>
            <w:tcBorders>
              <w:tl2br w:val="nil"/>
              <w:tr2bl w:val="nil"/>
            </w:tcBorders>
            <w:noWrap/>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15</w:t>
            </w:r>
          </w:p>
        </w:tc>
        <w:tc>
          <w:tcPr>
            <w:tcW w:w="2583"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五权镇</w:t>
            </w:r>
          </w:p>
        </w:tc>
        <w:tc>
          <w:tcPr>
            <w:tcW w:w="1625"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91" w:type="pct"/>
            <w:tcBorders>
              <w:tl2br w:val="nil"/>
              <w:tr2bl w:val="nil"/>
            </w:tcBorders>
            <w:noWrap/>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16</w:t>
            </w:r>
          </w:p>
        </w:tc>
        <w:tc>
          <w:tcPr>
            <w:tcW w:w="2583"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嘉川镇</w:t>
            </w:r>
          </w:p>
        </w:tc>
        <w:tc>
          <w:tcPr>
            <w:tcW w:w="1625" w:type="pct"/>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17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91" w:type="pct"/>
            <w:tcBorders>
              <w:tl2br w:val="nil"/>
              <w:tr2bl w:val="nil"/>
            </w:tcBorders>
            <w:noWrap/>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17</w:t>
            </w:r>
          </w:p>
        </w:tc>
        <w:tc>
          <w:tcPr>
            <w:tcW w:w="2583"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米仓山镇</w:t>
            </w:r>
          </w:p>
        </w:tc>
        <w:tc>
          <w:tcPr>
            <w:tcW w:w="1625"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91" w:type="pct"/>
            <w:tcBorders>
              <w:tl2br w:val="nil"/>
              <w:tr2bl w:val="nil"/>
            </w:tcBorders>
            <w:noWrap/>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18</w:t>
            </w:r>
          </w:p>
        </w:tc>
        <w:tc>
          <w:tcPr>
            <w:tcW w:w="2583"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东河镇</w:t>
            </w:r>
          </w:p>
        </w:tc>
        <w:tc>
          <w:tcPr>
            <w:tcW w:w="1625"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13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91" w:type="pct"/>
            <w:tcBorders>
              <w:tl2br w:val="nil"/>
              <w:tr2bl w:val="nil"/>
            </w:tcBorders>
            <w:noWrap/>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19</w:t>
            </w:r>
          </w:p>
        </w:tc>
        <w:tc>
          <w:tcPr>
            <w:tcW w:w="2583"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木门镇</w:t>
            </w:r>
          </w:p>
        </w:tc>
        <w:tc>
          <w:tcPr>
            <w:tcW w:w="1625"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17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91" w:type="pct"/>
            <w:tcBorders>
              <w:tl2br w:val="nil"/>
              <w:tr2bl w:val="nil"/>
            </w:tcBorders>
            <w:noWrap/>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20</w:t>
            </w:r>
          </w:p>
        </w:tc>
        <w:tc>
          <w:tcPr>
            <w:tcW w:w="2583"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燕子乡</w:t>
            </w:r>
          </w:p>
        </w:tc>
        <w:tc>
          <w:tcPr>
            <w:tcW w:w="1625"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91" w:type="pct"/>
            <w:tcBorders>
              <w:tl2br w:val="nil"/>
              <w:tr2bl w:val="nil"/>
            </w:tcBorders>
            <w:noWrap/>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21</w:t>
            </w:r>
          </w:p>
        </w:tc>
        <w:tc>
          <w:tcPr>
            <w:tcW w:w="2583"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天星镇</w:t>
            </w:r>
          </w:p>
        </w:tc>
        <w:tc>
          <w:tcPr>
            <w:tcW w:w="1625"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91" w:type="pct"/>
            <w:tcBorders>
              <w:tl2br w:val="nil"/>
              <w:tr2bl w:val="nil"/>
            </w:tcBorders>
            <w:noWrap/>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22</w:t>
            </w:r>
          </w:p>
        </w:tc>
        <w:tc>
          <w:tcPr>
            <w:tcW w:w="2583" w:type="pct"/>
            <w:tcBorders>
              <w:tl2br w:val="nil"/>
              <w:tr2bl w:val="nil"/>
            </w:tcBorders>
            <w:noWrap/>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英萃镇</w:t>
            </w:r>
          </w:p>
        </w:tc>
        <w:tc>
          <w:tcPr>
            <w:tcW w:w="1625" w:type="pct"/>
            <w:tcBorders>
              <w:tl2br w:val="nil"/>
              <w:tr2bl w:val="nil"/>
            </w:tcBorders>
            <w:noWrap/>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91" w:type="pct"/>
            <w:tcBorders>
              <w:tl2br w:val="nil"/>
              <w:tr2bl w:val="nil"/>
            </w:tcBorders>
            <w:noWrap/>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23</w:t>
            </w:r>
          </w:p>
        </w:tc>
        <w:tc>
          <w:tcPr>
            <w:tcW w:w="2583" w:type="pct"/>
            <w:tcBorders>
              <w:tl2br w:val="nil"/>
              <w:tr2bl w:val="nil"/>
            </w:tcBorders>
            <w:noWrap/>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三江镇</w:t>
            </w:r>
          </w:p>
        </w:tc>
        <w:tc>
          <w:tcPr>
            <w:tcW w:w="1625" w:type="pct"/>
            <w:tcBorders>
              <w:tl2br w:val="nil"/>
              <w:tr2bl w:val="nil"/>
            </w:tcBorders>
            <w:noWrap/>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3374" w:type="pct"/>
            <w:gridSpan w:val="2"/>
            <w:tcBorders>
              <w:tl2br w:val="nil"/>
              <w:tr2bl w:val="nil"/>
            </w:tcBorders>
            <w:noWrap/>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合计</w:t>
            </w:r>
          </w:p>
        </w:tc>
        <w:tc>
          <w:tcPr>
            <w:tcW w:w="1625" w:type="pct"/>
            <w:tcBorders>
              <w:tl2br w:val="nil"/>
              <w:tr2bl w:val="nil"/>
            </w:tcBorders>
            <w:noWrap/>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228</w:t>
            </w:r>
          </w:p>
        </w:tc>
      </w:tr>
    </w:tbl>
    <w:p>
      <w:pPr>
        <w:bidi w:val="0"/>
        <w:rPr>
          <w:rFonts w:hint="eastAsia" w:ascii="仿宋" w:hAnsi="仿宋"/>
          <w:highlight w:val="none"/>
          <w:lang w:val="en-US" w:eastAsia="zh-CN"/>
        </w:rPr>
      </w:pPr>
    </w:p>
    <w:p>
      <w:pPr>
        <w:keepNext/>
        <w:keepLines/>
        <w:pageBreakBefore w:val="0"/>
        <w:widowControl w:val="0"/>
        <w:kinsoku/>
        <w:wordWrap/>
        <w:overflowPunct/>
        <w:topLinePunct w:val="0"/>
        <w:bidi w:val="0"/>
        <w:snapToGrid/>
        <w:spacing w:line="240" w:lineRule="auto"/>
        <w:ind w:firstLine="0" w:firstLineChars="0"/>
        <w:jc w:val="center"/>
        <w:textAlignment w:val="auto"/>
        <w:outlineLvl w:val="1"/>
        <w:rPr>
          <w:rFonts w:hint="default" w:ascii="仿宋" w:hAnsi="仿宋" w:eastAsia="仿宋" w:cs="Times New Roman"/>
          <w:b/>
          <w:color w:val="auto"/>
          <w:kern w:val="2"/>
          <w:sz w:val="36"/>
          <w:szCs w:val="36"/>
          <w:highlight w:val="none"/>
          <w:shd w:val="clear" w:color="auto" w:fill="auto"/>
          <w:lang w:val="en-US" w:eastAsia="zh-CN" w:bidi="ar-SA"/>
        </w:rPr>
      </w:pPr>
      <w:bookmarkStart w:id="95" w:name="_Toc5983"/>
      <w:r>
        <w:rPr>
          <w:rFonts w:hint="eastAsia" w:ascii="仿宋" w:hAnsi="仿宋" w:eastAsia="仿宋" w:cs="Times New Roman"/>
          <w:b/>
          <w:color w:val="auto"/>
          <w:kern w:val="2"/>
          <w:sz w:val="36"/>
          <w:szCs w:val="36"/>
          <w:highlight w:val="none"/>
          <w:shd w:val="clear" w:color="auto" w:fill="auto"/>
          <w:lang w:val="en-US" w:eastAsia="zh-CN" w:bidi="ar-SA"/>
        </w:rPr>
        <w:t>第五节 监管体系建设</w:t>
      </w:r>
      <w:bookmarkEnd w:id="95"/>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szCs w:val="32"/>
          <w:highlight w:val="none"/>
          <w:shd w:val="clear" w:color="auto" w:fill="auto"/>
        </w:rPr>
        <w:t>积极探索办公室信息化、管理规范化、工作高效化、运行可靠化、操作简单化、监控动态化建设目标，对智能化信息数据、系统平台进行整合和模块信息共享。建立物联网平台，实现实时掌握现场数据，并在PC及手机端进行直观展现。</w:t>
      </w:r>
    </w:p>
    <w:p>
      <w:pPr>
        <w:keepNext/>
        <w:keepLines/>
        <w:pageBreakBefore w:val="0"/>
        <w:widowControl w:val="0"/>
        <w:kinsoku/>
        <w:wordWrap/>
        <w:overflowPunct/>
        <w:topLinePunct w:val="0"/>
        <w:autoSpaceDE/>
        <w:autoSpaceDN/>
        <w:bidi w:val="0"/>
        <w:adjustRightInd/>
        <w:snapToGrid/>
        <w:spacing w:line="240" w:lineRule="auto"/>
        <w:ind w:firstLine="643" w:firstLineChars="200"/>
        <w:jc w:val="left"/>
        <w:textAlignment w:val="auto"/>
        <w:outlineLvl w:val="2"/>
        <w:rPr>
          <w:rFonts w:hint="eastAsia" w:ascii="仿宋" w:hAnsi="仿宋" w:eastAsia="仿宋" w:cs="Times New Roman"/>
          <w:b/>
          <w:bCs/>
          <w:color w:val="auto"/>
          <w:kern w:val="2"/>
          <w:sz w:val="32"/>
          <w:szCs w:val="32"/>
          <w:highlight w:val="none"/>
          <w:shd w:val="clear" w:color="auto" w:fill="auto"/>
          <w:lang w:val="en-US" w:eastAsia="zh-CN" w:bidi="ar-SA"/>
        </w:rPr>
      </w:pPr>
      <w:r>
        <w:rPr>
          <w:rFonts w:hint="eastAsia" w:ascii="仿宋" w:hAnsi="仿宋" w:eastAsia="仿宋" w:cs="Times New Roman"/>
          <w:b/>
          <w:bCs/>
          <w:color w:val="auto"/>
          <w:kern w:val="2"/>
          <w:sz w:val="32"/>
          <w:szCs w:val="32"/>
          <w:highlight w:val="none"/>
          <w:shd w:val="clear" w:color="auto" w:fill="auto"/>
          <w:lang w:val="en-US" w:eastAsia="zh-CN" w:bidi="ar-SA"/>
        </w:rPr>
        <w:t>一、粪污处理设施自动监测</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szCs w:val="32"/>
          <w:highlight w:val="none"/>
          <w:shd w:val="clear" w:color="auto" w:fill="auto"/>
        </w:rPr>
        <w:t>粪污处理设施有条件均应配备自动控制系统，对水质水量进行监测。水泵、曝气设备等实现自控及远程控制系统，在中控中心控制室开辟监控界面，建立远程控制和监控系统。针对</w:t>
      </w:r>
      <w:r>
        <w:rPr>
          <w:rFonts w:hint="eastAsia" w:ascii="仿宋" w:hAnsi="仿宋"/>
          <w:szCs w:val="32"/>
          <w:highlight w:val="none"/>
          <w:shd w:val="clear" w:color="auto" w:fill="auto"/>
          <w:lang w:val="en-US" w:eastAsia="zh-CN"/>
        </w:rPr>
        <w:t>粪污处理</w:t>
      </w:r>
      <w:r>
        <w:rPr>
          <w:rFonts w:hint="eastAsia" w:ascii="仿宋" w:hAnsi="仿宋"/>
          <w:szCs w:val="32"/>
          <w:highlight w:val="none"/>
          <w:shd w:val="clear" w:color="auto" w:fill="auto"/>
        </w:rPr>
        <w:t>设施的泵站、终端，逐步改造水泵等机电设备自控系统，增设PLC远程控制接口，即可实现从城镇到农村全面的远程自控。运行数据实时传输，运行状况实时监控等。泵站、终端出水管设置流量计，通过现场采集系统、网络通信系统、上位机（中央监控计算机）系统三部分组成流量监控系统。采用移动通信网络技术把流量数据、流量计参数传送到监控平台，实现对流量数据在线实时检测和数据存储。</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szCs w:val="32"/>
          <w:highlight w:val="none"/>
          <w:shd w:val="clear" w:color="auto" w:fill="auto"/>
        </w:rPr>
        <w:t>对终端设置水质在线监测仪，在线分析仪表进行总磷、COD、NH、N、pH值、SS等污水进出水指标连续测量，为工艺生产控制提供重要数据。</w:t>
      </w:r>
    </w:p>
    <w:p>
      <w:pPr>
        <w:keepNext/>
        <w:keepLines/>
        <w:pageBreakBefore w:val="0"/>
        <w:widowControl w:val="0"/>
        <w:kinsoku/>
        <w:wordWrap/>
        <w:overflowPunct/>
        <w:topLinePunct w:val="0"/>
        <w:autoSpaceDE/>
        <w:autoSpaceDN/>
        <w:bidi w:val="0"/>
        <w:adjustRightInd/>
        <w:snapToGrid/>
        <w:spacing w:line="240" w:lineRule="auto"/>
        <w:ind w:firstLine="643" w:firstLineChars="200"/>
        <w:jc w:val="left"/>
        <w:textAlignment w:val="auto"/>
        <w:outlineLvl w:val="2"/>
        <w:rPr>
          <w:rFonts w:hint="eastAsia" w:ascii="仿宋" w:hAnsi="仿宋" w:eastAsia="仿宋" w:cs="Times New Roman"/>
          <w:b/>
          <w:bCs/>
          <w:color w:val="auto"/>
          <w:kern w:val="2"/>
          <w:sz w:val="32"/>
          <w:szCs w:val="32"/>
          <w:highlight w:val="none"/>
          <w:shd w:val="clear" w:color="auto" w:fill="auto"/>
          <w:lang w:val="en-US" w:eastAsia="zh-CN" w:bidi="ar-SA"/>
        </w:rPr>
      </w:pPr>
      <w:r>
        <w:rPr>
          <w:rFonts w:hint="eastAsia" w:ascii="仿宋" w:hAnsi="仿宋" w:eastAsia="仿宋" w:cs="Times New Roman"/>
          <w:b/>
          <w:bCs/>
          <w:color w:val="auto"/>
          <w:kern w:val="2"/>
          <w:sz w:val="32"/>
          <w:szCs w:val="32"/>
          <w:highlight w:val="none"/>
          <w:shd w:val="clear" w:color="auto" w:fill="auto"/>
          <w:lang w:val="en-US" w:eastAsia="zh-CN" w:bidi="ar-SA"/>
        </w:rPr>
        <w:t>二、自动监测设备管理与维护</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szCs w:val="32"/>
          <w:highlight w:val="none"/>
          <w:shd w:val="clear" w:color="auto" w:fill="auto"/>
        </w:rPr>
        <w:t>所有视频监控摄像头、流量计、采样仪、服务器等在线监测仪表都应是具有先进、可靠、成熟、易维护的品牌产品，厂家能够提供良好的质量保证和完整售后服务，能够提供完整的配件、附件、备品备件。建设专门的信息管理系统托管场地和专人负责。</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szCs w:val="32"/>
          <w:highlight w:val="none"/>
          <w:shd w:val="clear" w:color="auto" w:fill="auto"/>
        </w:rPr>
        <w:t>对自动监测设备的日常巡查主要有以下三个方面的内容：</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szCs w:val="32"/>
          <w:highlight w:val="none"/>
          <w:shd w:val="clear" w:color="auto" w:fill="auto"/>
        </w:rPr>
        <w:t>① 每日通过远程监控系统对污染物浓度在线监测设备和数据采集处理系统的巡检情况及处理结果的记录；</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szCs w:val="32"/>
          <w:highlight w:val="none"/>
          <w:shd w:val="clear" w:color="auto" w:fill="auto"/>
        </w:rPr>
        <w:t>② 每周对污染物在线监测设备和数据采集处理系统进行现场维护，查看仪器数据与异常情况，检查管路采样头等是否畅通的巡检情况及处理结果记录。</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szCs w:val="32"/>
          <w:highlight w:val="none"/>
          <w:shd w:val="clear" w:color="auto" w:fill="auto"/>
        </w:rPr>
        <w:t>③ 鼓励有条件的地区开展污泥、微生物性质等相关监测，掌握系统运行状况。</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szCs w:val="32"/>
          <w:highlight w:val="none"/>
          <w:shd w:val="clear" w:color="auto" w:fill="auto"/>
        </w:rPr>
        <w:t>自然生态红线区、水源保护地可逐步开展对生物相的检测，包括观察混合液和回流污泥的生物相，每天应观察记录。活性污泥中的散生物主要有细菌、原声动物、藻类三种，此外还有真菌病毒。</w:t>
      </w:r>
    </w:p>
    <w:p>
      <w:pPr>
        <w:keepNext/>
        <w:keepLines/>
        <w:pageBreakBefore w:val="0"/>
        <w:widowControl w:val="0"/>
        <w:kinsoku/>
        <w:wordWrap/>
        <w:overflowPunct/>
        <w:topLinePunct w:val="0"/>
        <w:autoSpaceDE/>
        <w:autoSpaceDN/>
        <w:bidi w:val="0"/>
        <w:adjustRightInd/>
        <w:snapToGrid/>
        <w:spacing w:line="240" w:lineRule="auto"/>
        <w:ind w:firstLine="643" w:firstLineChars="200"/>
        <w:jc w:val="left"/>
        <w:textAlignment w:val="auto"/>
        <w:outlineLvl w:val="2"/>
        <w:rPr>
          <w:rFonts w:hint="eastAsia" w:ascii="仿宋" w:hAnsi="仿宋" w:eastAsia="仿宋" w:cs="Times New Roman"/>
          <w:b/>
          <w:bCs/>
          <w:color w:val="auto"/>
          <w:kern w:val="2"/>
          <w:sz w:val="32"/>
          <w:szCs w:val="32"/>
          <w:highlight w:val="none"/>
          <w:shd w:val="clear" w:color="auto" w:fill="auto"/>
          <w:lang w:val="en-US" w:eastAsia="zh-CN" w:bidi="ar-SA"/>
        </w:rPr>
      </w:pPr>
      <w:r>
        <w:rPr>
          <w:rFonts w:hint="eastAsia" w:ascii="仿宋" w:hAnsi="仿宋" w:eastAsia="仿宋" w:cs="Times New Roman"/>
          <w:b/>
          <w:bCs/>
          <w:color w:val="auto"/>
          <w:kern w:val="2"/>
          <w:sz w:val="32"/>
          <w:szCs w:val="32"/>
          <w:highlight w:val="none"/>
          <w:shd w:val="clear" w:color="auto" w:fill="auto"/>
          <w:lang w:val="en-US" w:eastAsia="zh-CN" w:bidi="ar-SA"/>
        </w:rPr>
        <w:t>三、畜禽养殖污染防治信息化管理平台建设</w:t>
      </w:r>
    </w:p>
    <w:p>
      <w:pPr>
        <w:pStyle w:val="14"/>
        <w:spacing w:after="0" w:line="240" w:lineRule="auto"/>
        <w:ind w:left="0" w:leftChars="0" w:right="0" w:rightChars="0" w:firstLine="640" w:firstLineChars="200"/>
        <w:rPr>
          <w:rFonts w:ascii="仿宋" w:hAnsi="仿宋"/>
          <w:szCs w:val="32"/>
          <w:highlight w:val="none"/>
          <w:shd w:val="clear" w:color="auto" w:fill="auto"/>
        </w:rPr>
      </w:pPr>
      <w:r>
        <w:rPr>
          <w:rFonts w:hint="eastAsia" w:ascii="仿宋" w:hAnsi="仿宋"/>
          <w:szCs w:val="32"/>
          <w:highlight w:val="none"/>
          <w:shd w:val="clear" w:color="auto" w:fill="auto"/>
        </w:rPr>
        <w:t>结合第二次全国污染源普查和直联直报系统，更新区域畜禽规模养殖场清单，基于养殖场点位数据和基础信息探索建设畜禽养殖信息化管理平台，全面掌握区域内畜禽养殖场分布、污染防治设施建设、粪污处理利用模式及台账、环境管理相关制度执行等情况，为畜禽养殖粪污处理利用和环境监管工作奠定基础</w:t>
      </w:r>
      <w:r>
        <w:rPr>
          <w:rFonts w:ascii="仿宋" w:hAnsi="仿宋"/>
          <w:szCs w:val="32"/>
          <w:highlight w:val="none"/>
          <w:shd w:val="clear" w:color="auto" w:fill="auto"/>
        </w:rPr>
        <w:t>。</w:t>
      </w:r>
    </w:p>
    <w:p>
      <w:pPr>
        <w:keepNext/>
        <w:keepLines/>
        <w:pageBreakBefore w:val="0"/>
        <w:widowControl w:val="0"/>
        <w:kinsoku/>
        <w:wordWrap/>
        <w:overflowPunct/>
        <w:topLinePunct w:val="0"/>
        <w:autoSpaceDE/>
        <w:autoSpaceDN/>
        <w:bidi w:val="0"/>
        <w:adjustRightInd/>
        <w:snapToGrid/>
        <w:spacing w:line="240" w:lineRule="auto"/>
        <w:ind w:firstLine="643" w:firstLineChars="200"/>
        <w:jc w:val="left"/>
        <w:textAlignment w:val="auto"/>
        <w:outlineLvl w:val="2"/>
        <w:rPr>
          <w:rFonts w:hint="default" w:ascii="仿宋" w:hAnsi="仿宋" w:eastAsia="仿宋" w:cs="Times New Roman"/>
          <w:b/>
          <w:bCs/>
          <w:color w:val="auto"/>
          <w:kern w:val="2"/>
          <w:sz w:val="32"/>
          <w:szCs w:val="32"/>
          <w:highlight w:val="none"/>
          <w:shd w:val="clear" w:color="auto" w:fill="auto"/>
          <w:lang w:val="en-US" w:eastAsia="zh-CN" w:bidi="ar-SA"/>
        </w:rPr>
      </w:pPr>
      <w:r>
        <w:rPr>
          <w:rFonts w:hint="eastAsia" w:ascii="仿宋" w:hAnsi="仿宋" w:eastAsia="仿宋" w:cs="Times New Roman"/>
          <w:b/>
          <w:bCs/>
          <w:color w:val="auto"/>
          <w:kern w:val="2"/>
          <w:sz w:val="32"/>
          <w:szCs w:val="32"/>
          <w:highlight w:val="none"/>
          <w:shd w:val="clear" w:color="auto" w:fill="auto"/>
          <w:lang w:val="en-US" w:eastAsia="zh-CN" w:bidi="ar-SA"/>
        </w:rPr>
        <w:t>四、深化“放管服”改革工作</w:t>
      </w:r>
    </w:p>
    <w:p>
      <w:pPr>
        <w:pStyle w:val="14"/>
        <w:spacing w:after="0" w:line="240" w:lineRule="auto"/>
        <w:ind w:left="0" w:leftChars="0" w:right="0" w:rightChars="0" w:firstLine="643" w:firstLineChars="200"/>
        <w:rPr>
          <w:rFonts w:hint="eastAsia" w:ascii="仿宋" w:hAnsi="仿宋"/>
          <w:szCs w:val="32"/>
          <w:highlight w:val="none"/>
          <w:shd w:val="clear" w:color="auto" w:fill="auto"/>
        </w:rPr>
      </w:pPr>
      <w:r>
        <w:rPr>
          <w:rFonts w:hint="eastAsia" w:ascii="仿宋" w:hAnsi="仿宋"/>
          <w:b/>
          <w:bCs/>
          <w:szCs w:val="32"/>
          <w:highlight w:val="none"/>
          <w:shd w:val="clear" w:color="auto" w:fill="auto"/>
        </w:rPr>
        <w:t>积极推进简政放权。</w:t>
      </w:r>
      <w:r>
        <w:rPr>
          <w:rFonts w:hint="eastAsia" w:ascii="仿宋" w:hAnsi="仿宋"/>
          <w:szCs w:val="32"/>
          <w:highlight w:val="none"/>
          <w:shd w:val="clear" w:color="auto" w:fill="auto"/>
        </w:rPr>
        <w:t>配合省厅开展行政审批服务事项细化梳理，实现行政审批服务事项“五级十五同”。规范统一、逐项调整市级行政审批服务事项办事指南，做到线上线下同步更新，确保省网上办事大厅和闽政通上公布的内容准确无误。新增1项服务事项子项，进一步优化行政审批服务事项办理标准，完善办事指南和运行流程图。做好系统事项绑定发布和无需绑定事项登记工作，督促有关单位做好绑定工作。</w:t>
      </w:r>
    </w:p>
    <w:p>
      <w:pPr>
        <w:pStyle w:val="14"/>
        <w:spacing w:after="0" w:line="240" w:lineRule="auto"/>
        <w:ind w:left="0" w:leftChars="0" w:right="0" w:rightChars="0" w:firstLine="643" w:firstLineChars="200"/>
        <w:rPr>
          <w:rFonts w:hint="eastAsia" w:ascii="仿宋" w:hAnsi="仿宋"/>
          <w:szCs w:val="32"/>
          <w:highlight w:val="none"/>
          <w:shd w:val="clear" w:color="auto" w:fill="auto"/>
          <w:lang w:eastAsia="zh-CN"/>
        </w:rPr>
      </w:pPr>
      <w:r>
        <w:rPr>
          <w:rFonts w:hint="eastAsia" w:ascii="仿宋" w:hAnsi="仿宋"/>
          <w:b/>
          <w:bCs/>
          <w:szCs w:val="32"/>
          <w:highlight w:val="none"/>
          <w:shd w:val="clear" w:color="auto" w:fill="auto"/>
          <w:lang w:eastAsia="zh-CN"/>
        </w:rPr>
        <w:t>提高审批效率。</w:t>
      </w:r>
      <w:r>
        <w:rPr>
          <w:rFonts w:hint="eastAsia" w:ascii="仿宋" w:hAnsi="仿宋"/>
          <w:b w:val="0"/>
          <w:bCs w:val="0"/>
          <w:szCs w:val="32"/>
          <w:highlight w:val="none"/>
          <w:shd w:val="clear" w:color="auto" w:fill="auto"/>
          <w:lang w:val="en-US" w:eastAsia="zh-CN"/>
        </w:rPr>
        <w:t>一是</w:t>
      </w:r>
      <w:r>
        <w:rPr>
          <w:rFonts w:hint="eastAsia" w:ascii="仿宋" w:hAnsi="仿宋"/>
          <w:szCs w:val="32"/>
          <w:highlight w:val="none"/>
          <w:shd w:val="clear" w:color="auto" w:fill="auto"/>
          <w:lang w:eastAsia="zh-CN"/>
        </w:rPr>
        <w:t>根据省效能办有关文件精神要求,梳理后的所有行政审批事项减少多层审批，实行两岗审批终结制，并对科室负责人充分授权，严禁只咨询、不受理，受理、办理，以及多头受理、多头审批等问题。二是全力推行帮办、代办,实现零障碍服务。为为好的服务于群众，工作人员通过加强学习，熟练解答群众咨询的各类问题，为群众提供高效、简便、快捷的服务，免费为群众打印、复印各种所需手续，为企业开辟一条绿色通道。彻底改变群众办事难进、脸难看、事难办现象，顛实现百姓办事零障碍。三是加强政务公开。力推进政务公开，提办事透明度的要求，先通过网络平台公开了工作职责和人员信息，明确公开审批事项、责任领导、相关人员应承担的责任和义务；其次围绕国务院、省政府、市政府关于简政放权的决策部署，及时公开取消、下放、清理以及实施单位变更的行政审批项目信息。后公开行政审批事项目录及法律法规依据，申请条件、提交材料、棒程序办理时限、收费标准、做到公开透明。</w:t>
      </w:r>
    </w:p>
    <w:p>
      <w:pPr>
        <w:pStyle w:val="14"/>
        <w:spacing w:after="0" w:line="240" w:lineRule="auto"/>
        <w:ind w:left="0" w:leftChars="0" w:right="0" w:rightChars="0" w:firstLine="640" w:firstLineChars="200"/>
        <w:rPr>
          <w:rFonts w:hint="eastAsia" w:ascii="仿宋" w:hAnsi="仿宋" w:eastAsia="仿宋_GB2312"/>
          <w:szCs w:val="32"/>
          <w:highlight w:val="none"/>
          <w:shd w:val="clear" w:color="auto" w:fill="auto"/>
          <w:lang w:eastAsia="zh-CN"/>
        </w:rPr>
      </w:pPr>
    </w:p>
    <w:p>
      <w:pPr>
        <w:keepNext/>
        <w:keepLines/>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center"/>
        <w:textAlignment w:val="auto"/>
        <w:outlineLvl w:val="0"/>
        <w:rPr>
          <w:rFonts w:hint="default" w:ascii="仿宋" w:hAnsi="仿宋" w:eastAsia="黑体" w:cs="黑体"/>
          <w:b w:val="0"/>
          <w:bCs w:val="0"/>
          <w:color w:val="auto"/>
          <w:kern w:val="44"/>
          <w:sz w:val="44"/>
          <w:szCs w:val="44"/>
          <w:highlight w:val="none"/>
          <w:shd w:val="clear" w:color="auto" w:fill="auto"/>
          <w:lang w:val="en-US" w:eastAsia="zh-CN" w:bidi="ar-SA"/>
        </w:rPr>
      </w:pPr>
      <w:r>
        <w:rPr>
          <w:rFonts w:ascii="仿宋" w:hAnsi="仿宋"/>
          <w:szCs w:val="32"/>
          <w:highlight w:val="none"/>
          <w:shd w:val="clear" w:color="auto" w:fill="auto"/>
        </w:rPr>
        <w:br w:type="page"/>
      </w:r>
      <w:bookmarkStart w:id="96" w:name="_Toc8808"/>
      <w:r>
        <w:rPr>
          <w:rFonts w:hint="eastAsia" w:ascii="仿宋" w:hAnsi="仿宋" w:eastAsia="黑体" w:cs="黑体"/>
          <w:b w:val="0"/>
          <w:bCs w:val="0"/>
          <w:color w:val="auto"/>
          <w:kern w:val="44"/>
          <w:sz w:val="44"/>
          <w:szCs w:val="44"/>
          <w:highlight w:val="none"/>
          <w:shd w:val="clear" w:color="auto" w:fill="auto"/>
          <w:lang w:val="en-US" w:eastAsia="zh-CN" w:bidi="ar-SA"/>
        </w:rPr>
        <w:t>第六章  工程投资估算与资金筹措</w:t>
      </w:r>
      <w:bookmarkEnd w:id="96"/>
    </w:p>
    <w:p>
      <w:pPr>
        <w:keepNext/>
        <w:keepLines/>
        <w:pageBreakBefore w:val="0"/>
        <w:widowControl w:val="0"/>
        <w:kinsoku/>
        <w:wordWrap/>
        <w:overflowPunct/>
        <w:topLinePunct w:val="0"/>
        <w:bidi w:val="0"/>
        <w:snapToGrid/>
        <w:spacing w:line="240" w:lineRule="auto"/>
        <w:ind w:firstLine="0" w:firstLineChars="0"/>
        <w:jc w:val="center"/>
        <w:textAlignment w:val="auto"/>
        <w:outlineLvl w:val="1"/>
        <w:rPr>
          <w:rFonts w:hint="default" w:ascii="仿宋" w:hAnsi="仿宋" w:eastAsia="仿宋" w:cs="Times New Roman"/>
          <w:b/>
          <w:color w:val="auto"/>
          <w:kern w:val="2"/>
          <w:sz w:val="36"/>
          <w:szCs w:val="36"/>
          <w:highlight w:val="none"/>
          <w:shd w:val="clear" w:color="auto" w:fill="auto"/>
          <w:lang w:val="en-US" w:eastAsia="zh-CN" w:bidi="ar-SA"/>
        </w:rPr>
      </w:pPr>
      <w:bookmarkStart w:id="97" w:name="_Toc27635"/>
      <w:r>
        <w:rPr>
          <w:rFonts w:hint="eastAsia" w:ascii="仿宋" w:hAnsi="仿宋" w:eastAsia="仿宋" w:cs="Times New Roman"/>
          <w:b/>
          <w:color w:val="auto"/>
          <w:kern w:val="2"/>
          <w:sz w:val="36"/>
          <w:szCs w:val="36"/>
          <w:highlight w:val="none"/>
          <w:shd w:val="clear" w:color="auto" w:fill="auto"/>
          <w:lang w:val="en-US" w:eastAsia="zh-CN" w:bidi="ar-SA"/>
        </w:rPr>
        <w:t>第一节 工程投资估算</w:t>
      </w:r>
      <w:bookmarkEnd w:id="97"/>
    </w:p>
    <w:p>
      <w:pPr>
        <w:keepNext/>
        <w:keepLines/>
        <w:pageBreakBefore w:val="0"/>
        <w:widowControl w:val="0"/>
        <w:kinsoku/>
        <w:wordWrap/>
        <w:overflowPunct/>
        <w:topLinePunct w:val="0"/>
        <w:autoSpaceDE/>
        <w:autoSpaceDN/>
        <w:bidi w:val="0"/>
        <w:adjustRightInd/>
        <w:snapToGrid/>
        <w:spacing w:line="240" w:lineRule="auto"/>
        <w:ind w:firstLine="643" w:firstLineChars="200"/>
        <w:jc w:val="left"/>
        <w:textAlignment w:val="auto"/>
        <w:outlineLvl w:val="2"/>
        <w:rPr>
          <w:rFonts w:hint="eastAsia" w:ascii="仿宋" w:hAnsi="仿宋" w:eastAsia="仿宋" w:cs="Times New Roman"/>
          <w:b/>
          <w:bCs/>
          <w:color w:val="auto"/>
          <w:kern w:val="2"/>
          <w:sz w:val="32"/>
          <w:szCs w:val="32"/>
          <w:highlight w:val="none"/>
          <w:shd w:val="clear" w:color="auto" w:fill="auto"/>
          <w:lang w:val="en-US" w:eastAsia="zh-CN" w:bidi="ar-SA"/>
        </w:rPr>
      </w:pPr>
      <w:r>
        <w:rPr>
          <w:rFonts w:hint="eastAsia" w:ascii="仿宋" w:hAnsi="仿宋" w:eastAsia="仿宋" w:cs="Times New Roman"/>
          <w:b/>
          <w:bCs/>
          <w:color w:val="auto"/>
          <w:kern w:val="2"/>
          <w:sz w:val="32"/>
          <w:szCs w:val="32"/>
          <w:highlight w:val="none"/>
          <w:shd w:val="clear" w:color="auto" w:fill="auto"/>
          <w:lang w:val="en-US" w:eastAsia="zh-CN" w:bidi="ar-SA"/>
        </w:rPr>
        <w:t>一、年度计划</w:t>
      </w:r>
    </w:p>
    <w:p>
      <w:pPr>
        <w:pStyle w:val="14"/>
        <w:spacing w:after="0" w:line="240" w:lineRule="auto"/>
        <w:ind w:left="0" w:leftChars="0" w:right="0" w:rightChars="0" w:firstLine="640" w:firstLineChars="200"/>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根据</w:t>
      </w:r>
      <w:r>
        <w:rPr>
          <w:rFonts w:hint="eastAsia" w:ascii="仿宋" w:hAnsi="仿宋" w:cs="Times New Roman"/>
          <w:kern w:val="2"/>
          <w:sz w:val="32"/>
          <w:szCs w:val="32"/>
          <w:highlight w:val="none"/>
          <w:shd w:val="clear" w:color="auto" w:fill="auto"/>
          <w:lang w:val="en-US" w:eastAsia="zh-CN" w:bidi="ar-SA"/>
        </w:rPr>
        <w:t>粪污</w:t>
      </w:r>
      <w:r>
        <w:rPr>
          <w:rFonts w:hint="eastAsia" w:ascii="仿宋" w:hAnsi="仿宋" w:eastAsia="仿宋_GB2312" w:cs="Times New Roman"/>
          <w:kern w:val="2"/>
          <w:sz w:val="32"/>
          <w:szCs w:val="32"/>
          <w:highlight w:val="none"/>
          <w:shd w:val="clear" w:color="auto" w:fill="auto"/>
          <w:lang w:val="en-US" w:eastAsia="zh-CN" w:bidi="ar-SA"/>
        </w:rPr>
        <w:t>处理设施建设情况、村落类型、村落特点、</w:t>
      </w:r>
      <w:r>
        <w:rPr>
          <w:rFonts w:hint="eastAsia" w:ascii="仿宋" w:hAnsi="仿宋" w:cs="Times New Roman"/>
          <w:kern w:val="2"/>
          <w:sz w:val="32"/>
          <w:szCs w:val="32"/>
          <w:highlight w:val="none"/>
          <w:shd w:val="clear" w:color="auto" w:fill="auto"/>
          <w:lang w:val="en-US" w:eastAsia="zh-CN" w:bidi="ar-SA"/>
        </w:rPr>
        <w:t>水环境监测断面、自然保护地范围、</w:t>
      </w:r>
      <w:r>
        <w:rPr>
          <w:rFonts w:hint="eastAsia" w:ascii="仿宋" w:hAnsi="仿宋" w:eastAsia="仿宋_GB2312" w:cs="Times New Roman"/>
          <w:kern w:val="2"/>
          <w:sz w:val="32"/>
          <w:szCs w:val="32"/>
          <w:highlight w:val="none"/>
          <w:shd w:val="clear" w:color="auto" w:fill="auto"/>
          <w:lang w:val="en-US" w:eastAsia="zh-CN" w:bidi="ar-SA"/>
        </w:rPr>
        <w:t>生态敏感性和现场调查，结合</w:t>
      </w:r>
      <w:r>
        <w:rPr>
          <w:rFonts w:hint="eastAsia" w:ascii="仿宋" w:hAnsi="仿宋" w:cs="Times New Roman"/>
          <w:kern w:val="2"/>
          <w:sz w:val="32"/>
          <w:szCs w:val="32"/>
          <w:highlight w:val="none"/>
          <w:shd w:val="clear" w:color="auto" w:fill="auto"/>
          <w:lang w:val="en-US" w:eastAsia="zh-CN" w:bidi="ar-SA"/>
        </w:rPr>
        <w:t>旺苍</w:t>
      </w:r>
      <w:r>
        <w:rPr>
          <w:rFonts w:hint="eastAsia" w:ascii="仿宋" w:hAnsi="仿宋" w:eastAsia="仿宋_GB2312" w:cs="Times New Roman"/>
          <w:kern w:val="2"/>
          <w:sz w:val="32"/>
          <w:szCs w:val="32"/>
          <w:highlight w:val="none"/>
          <w:shd w:val="clear" w:color="auto" w:fill="auto"/>
          <w:lang w:val="en-US" w:eastAsia="zh-CN" w:bidi="ar-SA"/>
        </w:rPr>
        <w:t>县</w:t>
      </w:r>
      <w:r>
        <w:rPr>
          <w:rFonts w:hint="eastAsia" w:ascii="仿宋" w:hAnsi="仿宋" w:cs="Times New Roman"/>
          <w:kern w:val="2"/>
          <w:sz w:val="32"/>
          <w:szCs w:val="32"/>
          <w:highlight w:val="none"/>
          <w:shd w:val="clear" w:color="auto" w:fill="auto"/>
          <w:lang w:val="en-US" w:eastAsia="zh-CN" w:bidi="ar-SA"/>
        </w:rPr>
        <w:t>畜禽养殖</w:t>
      </w:r>
      <w:r>
        <w:rPr>
          <w:rFonts w:hint="eastAsia" w:ascii="仿宋" w:hAnsi="仿宋" w:eastAsia="仿宋_GB2312" w:cs="Times New Roman"/>
          <w:kern w:val="2"/>
          <w:sz w:val="32"/>
          <w:szCs w:val="32"/>
          <w:highlight w:val="none"/>
          <w:shd w:val="clear" w:color="auto" w:fill="auto"/>
          <w:lang w:val="en-US" w:eastAsia="zh-CN" w:bidi="ar-SA"/>
        </w:rPr>
        <w:t>综合整治和县推进项目实施的各种经验，</w:t>
      </w:r>
      <w:r>
        <w:rPr>
          <w:rFonts w:hint="eastAsia" w:ascii="仿宋" w:hAnsi="仿宋" w:cs="Times New Roman"/>
          <w:kern w:val="2"/>
          <w:sz w:val="32"/>
          <w:szCs w:val="32"/>
          <w:highlight w:val="none"/>
          <w:shd w:val="clear" w:color="auto" w:fill="auto"/>
          <w:lang w:val="en-US" w:eastAsia="zh-CN" w:bidi="ar-SA"/>
        </w:rPr>
        <w:t>规模畜禽养殖场粪污处理设施建设</w:t>
      </w:r>
      <w:r>
        <w:rPr>
          <w:rFonts w:hint="eastAsia" w:ascii="仿宋" w:hAnsi="仿宋" w:eastAsia="仿宋_GB2312" w:cs="Times New Roman"/>
          <w:kern w:val="2"/>
          <w:sz w:val="32"/>
          <w:szCs w:val="32"/>
          <w:highlight w:val="none"/>
          <w:shd w:val="clear" w:color="auto" w:fill="auto"/>
          <w:lang w:val="en-US" w:eastAsia="zh-CN" w:bidi="ar-SA"/>
        </w:rPr>
        <w:t>将分为近期（202</w:t>
      </w:r>
      <w:r>
        <w:rPr>
          <w:rFonts w:hint="eastAsia" w:ascii="仿宋" w:hAnsi="仿宋" w:cs="Times New Roman"/>
          <w:kern w:val="2"/>
          <w:sz w:val="32"/>
          <w:szCs w:val="32"/>
          <w:highlight w:val="none"/>
          <w:shd w:val="clear" w:color="auto" w:fill="auto"/>
          <w:lang w:val="en-US" w:eastAsia="zh-CN" w:bidi="ar-SA"/>
        </w:rPr>
        <w:t>3年</w:t>
      </w:r>
      <w:r>
        <w:rPr>
          <w:rFonts w:hint="eastAsia" w:ascii="仿宋" w:hAnsi="仿宋" w:eastAsia="仿宋_GB2312" w:cs="Times New Roman"/>
          <w:kern w:val="2"/>
          <w:sz w:val="32"/>
          <w:szCs w:val="32"/>
          <w:highlight w:val="none"/>
          <w:shd w:val="clear" w:color="auto" w:fill="auto"/>
          <w:lang w:val="en-US" w:eastAsia="zh-CN" w:bidi="ar-SA"/>
        </w:rPr>
        <w:t>）</w:t>
      </w:r>
      <w:r>
        <w:rPr>
          <w:rFonts w:hint="eastAsia" w:ascii="仿宋" w:hAnsi="仿宋" w:cs="Times New Roman"/>
          <w:kern w:val="2"/>
          <w:sz w:val="32"/>
          <w:szCs w:val="32"/>
          <w:highlight w:val="none"/>
          <w:shd w:val="clear" w:color="auto" w:fill="auto"/>
          <w:lang w:val="en-US" w:eastAsia="zh-CN" w:bidi="ar-SA"/>
        </w:rPr>
        <w:t>涉及2个乡镇（高阳镇、黄洋镇）</w:t>
      </w:r>
      <w:r>
        <w:rPr>
          <w:rFonts w:hint="eastAsia" w:ascii="仿宋" w:hAnsi="仿宋" w:eastAsia="仿宋_GB2312" w:cs="Times New Roman"/>
          <w:kern w:val="2"/>
          <w:sz w:val="32"/>
          <w:szCs w:val="32"/>
          <w:highlight w:val="none"/>
          <w:shd w:val="clear" w:color="auto" w:fill="auto"/>
          <w:lang w:val="en-US" w:eastAsia="zh-CN" w:bidi="ar-SA"/>
        </w:rPr>
        <w:t>、中期（202</w:t>
      </w:r>
      <w:r>
        <w:rPr>
          <w:rFonts w:hint="eastAsia" w:ascii="仿宋" w:hAnsi="仿宋" w:cs="Times New Roman"/>
          <w:kern w:val="2"/>
          <w:sz w:val="32"/>
          <w:szCs w:val="32"/>
          <w:highlight w:val="none"/>
          <w:shd w:val="clear" w:color="auto" w:fill="auto"/>
          <w:lang w:val="en-US" w:eastAsia="zh-CN" w:bidi="ar-SA"/>
        </w:rPr>
        <w:t>4年</w:t>
      </w:r>
      <w:r>
        <w:rPr>
          <w:rFonts w:hint="eastAsia" w:ascii="仿宋" w:hAnsi="仿宋" w:eastAsia="仿宋_GB2312" w:cs="Times New Roman"/>
          <w:kern w:val="2"/>
          <w:sz w:val="32"/>
          <w:szCs w:val="32"/>
          <w:highlight w:val="none"/>
          <w:shd w:val="clear" w:color="auto" w:fill="auto"/>
          <w:lang w:val="en-US" w:eastAsia="zh-CN" w:bidi="ar-SA"/>
        </w:rPr>
        <w:t>）</w:t>
      </w:r>
      <w:r>
        <w:rPr>
          <w:rFonts w:hint="eastAsia" w:ascii="仿宋" w:hAnsi="仿宋" w:cs="Times New Roman"/>
          <w:kern w:val="2"/>
          <w:sz w:val="32"/>
          <w:szCs w:val="32"/>
          <w:highlight w:val="none"/>
          <w:shd w:val="clear" w:color="auto" w:fill="auto"/>
          <w:lang w:val="en-US" w:eastAsia="zh-CN" w:bidi="ar-SA"/>
        </w:rPr>
        <w:t>涉及1个乡镇（英萃镇），其余8个乡镇为</w:t>
      </w:r>
      <w:r>
        <w:rPr>
          <w:rFonts w:hint="eastAsia" w:ascii="仿宋" w:hAnsi="仿宋" w:eastAsia="仿宋_GB2312" w:cs="Times New Roman"/>
          <w:kern w:val="2"/>
          <w:sz w:val="32"/>
          <w:szCs w:val="32"/>
          <w:highlight w:val="none"/>
          <w:shd w:val="clear" w:color="auto" w:fill="auto"/>
          <w:lang w:val="en-US" w:eastAsia="zh-CN" w:bidi="ar-SA"/>
        </w:rPr>
        <w:t>远期（202</w:t>
      </w:r>
      <w:r>
        <w:rPr>
          <w:rFonts w:hint="eastAsia" w:ascii="仿宋" w:hAnsi="仿宋" w:cs="Times New Roman"/>
          <w:kern w:val="2"/>
          <w:sz w:val="32"/>
          <w:szCs w:val="32"/>
          <w:highlight w:val="none"/>
          <w:shd w:val="clear" w:color="auto" w:fill="auto"/>
          <w:lang w:val="en-US" w:eastAsia="zh-CN" w:bidi="ar-SA"/>
        </w:rPr>
        <w:t>5年</w:t>
      </w:r>
      <w:r>
        <w:rPr>
          <w:rFonts w:hint="eastAsia" w:ascii="仿宋" w:hAnsi="仿宋" w:eastAsia="仿宋_GB2312" w:cs="Times New Roman"/>
          <w:kern w:val="2"/>
          <w:sz w:val="32"/>
          <w:szCs w:val="32"/>
          <w:highlight w:val="none"/>
          <w:shd w:val="clear" w:color="auto" w:fill="auto"/>
          <w:lang w:val="en-US" w:eastAsia="zh-CN" w:bidi="ar-SA"/>
        </w:rPr>
        <w:t>），分期实施。</w:t>
      </w:r>
    </w:p>
    <w:p>
      <w:pPr>
        <w:keepNext/>
        <w:keepLines/>
        <w:pageBreakBefore w:val="0"/>
        <w:widowControl w:val="0"/>
        <w:kinsoku/>
        <w:wordWrap/>
        <w:overflowPunct/>
        <w:topLinePunct w:val="0"/>
        <w:autoSpaceDE/>
        <w:autoSpaceDN/>
        <w:bidi w:val="0"/>
        <w:adjustRightInd/>
        <w:snapToGrid/>
        <w:spacing w:line="240" w:lineRule="auto"/>
        <w:ind w:firstLine="643" w:firstLineChars="200"/>
        <w:jc w:val="left"/>
        <w:textAlignment w:val="auto"/>
        <w:outlineLvl w:val="2"/>
        <w:rPr>
          <w:rFonts w:hint="eastAsia" w:ascii="仿宋" w:hAnsi="仿宋" w:eastAsia="仿宋" w:cs="Times New Roman"/>
          <w:b/>
          <w:bCs/>
          <w:color w:val="auto"/>
          <w:kern w:val="2"/>
          <w:sz w:val="32"/>
          <w:szCs w:val="32"/>
          <w:highlight w:val="none"/>
          <w:shd w:val="clear" w:color="auto" w:fill="auto"/>
          <w:lang w:val="en-US" w:eastAsia="zh-CN" w:bidi="ar-SA"/>
        </w:rPr>
      </w:pPr>
      <w:r>
        <w:rPr>
          <w:rFonts w:hint="eastAsia" w:ascii="仿宋" w:hAnsi="仿宋" w:eastAsia="仿宋" w:cs="Times New Roman"/>
          <w:b/>
          <w:bCs/>
          <w:color w:val="auto"/>
          <w:kern w:val="2"/>
          <w:sz w:val="32"/>
          <w:szCs w:val="32"/>
          <w:highlight w:val="none"/>
          <w:shd w:val="clear" w:color="auto" w:fill="auto"/>
          <w:lang w:val="en-US" w:eastAsia="zh-CN" w:bidi="ar-SA"/>
        </w:rPr>
        <w:t>二、工程材料价格</w:t>
      </w:r>
    </w:p>
    <w:p>
      <w:pPr>
        <w:pStyle w:val="14"/>
        <w:spacing w:after="0" w:line="240" w:lineRule="auto"/>
        <w:ind w:left="0" w:leftChars="0" w:right="0" w:rightChars="0" w:firstLine="640" w:firstLineChars="200"/>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cs="Times New Roman"/>
          <w:kern w:val="2"/>
          <w:sz w:val="32"/>
          <w:szCs w:val="32"/>
          <w:highlight w:val="none"/>
          <w:shd w:val="clear" w:color="auto" w:fill="auto"/>
          <w:lang w:val="en-US" w:eastAsia="zh-CN" w:bidi="ar-SA"/>
        </w:rPr>
        <w:t>粪污处理设施工程设计和投资</w:t>
      </w:r>
      <w:r>
        <w:rPr>
          <w:rFonts w:hint="eastAsia" w:ascii="仿宋" w:hAnsi="仿宋" w:eastAsia="仿宋_GB2312" w:cs="Times New Roman"/>
          <w:kern w:val="2"/>
          <w:sz w:val="32"/>
          <w:szCs w:val="32"/>
          <w:highlight w:val="none"/>
          <w:shd w:val="clear" w:color="auto" w:fill="auto"/>
          <w:lang w:val="en-US" w:eastAsia="zh-CN" w:bidi="ar-SA"/>
        </w:rPr>
        <w:t>参照四川省环境保护厅《2011年四川省规模化畜禽养殖主要污染物减排核查方案（试行）》川环发﹝2011﹞20号文件</w:t>
      </w:r>
      <w:r>
        <w:rPr>
          <w:rFonts w:hint="eastAsia" w:ascii="仿宋" w:hAnsi="仿宋" w:cs="Times New Roman"/>
          <w:kern w:val="2"/>
          <w:sz w:val="32"/>
          <w:szCs w:val="32"/>
          <w:highlight w:val="none"/>
          <w:shd w:val="clear" w:color="auto" w:fill="auto"/>
          <w:lang w:val="en-US" w:eastAsia="zh-CN" w:bidi="ar-SA"/>
        </w:rPr>
        <w:t>、</w:t>
      </w:r>
      <w:r>
        <w:rPr>
          <w:rFonts w:hint="eastAsia" w:ascii="仿宋" w:hAnsi="仿宋" w:eastAsia="仿宋_GB2312" w:cs="Times New Roman"/>
          <w:kern w:val="2"/>
          <w:sz w:val="32"/>
          <w:szCs w:val="32"/>
          <w:highlight w:val="none"/>
          <w:shd w:val="clear" w:color="auto" w:fill="auto"/>
          <w:lang w:val="en-US" w:eastAsia="zh-CN" w:bidi="ar-SA"/>
        </w:rPr>
        <w:t>《四川省畜禽养殖污染防治技术指南（试行）》川农业函〔2017〕647号</w:t>
      </w:r>
      <w:r>
        <w:rPr>
          <w:rFonts w:hint="eastAsia" w:ascii="仿宋" w:hAnsi="仿宋" w:cs="Times New Roman"/>
          <w:kern w:val="2"/>
          <w:sz w:val="32"/>
          <w:szCs w:val="32"/>
          <w:highlight w:val="none"/>
          <w:shd w:val="clear" w:color="auto" w:fill="auto"/>
          <w:lang w:val="en-US" w:eastAsia="zh-CN" w:bidi="ar-SA"/>
        </w:rPr>
        <w:t>、《畜禽规模养殖场粪污资源化利用设施建设规范（试行）》和《畜禽养殖污染防治项目建设与投资技术指南》（征求意见稿）</w:t>
      </w:r>
      <w:r>
        <w:rPr>
          <w:rFonts w:hint="eastAsia" w:ascii="仿宋" w:hAnsi="仿宋" w:eastAsia="仿宋_GB2312" w:cs="Times New Roman"/>
          <w:kern w:val="2"/>
          <w:sz w:val="32"/>
          <w:szCs w:val="32"/>
          <w:highlight w:val="none"/>
          <w:shd w:val="clear" w:color="auto" w:fill="auto"/>
          <w:lang w:val="en-US" w:eastAsia="zh-CN" w:bidi="ar-SA"/>
        </w:rPr>
        <w:t>等相关文件，并参照与</w:t>
      </w:r>
      <w:r>
        <w:rPr>
          <w:rFonts w:hint="eastAsia" w:ascii="仿宋" w:hAnsi="仿宋" w:cs="Times New Roman"/>
          <w:kern w:val="2"/>
          <w:sz w:val="32"/>
          <w:szCs w:val="32"/>
          <w:highlight w:val="none"/>
          <w:shd w:val="clear" w:color="auto" w:fill="auto"/>
          <w:lang w:val="en-US" w:eastAsia="zh-CN" w:bidi="ar-SA"/>
        </w:rPr>
        <w:t>旺苍</w:t>
      </w:r>
      <w:r>
        <w:rPr>
          <w:rFonts w:hint="eastAsia" w:ascii="仿宋" w:hAnsi="仿宋" w:eastAsia="仿宋_GB2312" w:cs="Times New Roman"/>
          <w:kern w:val="2"/>
          <w:sz w:val="32"/>
          <w:szCs w:val="32"/>
          <w:highlight w:val="none"/>
          <w:shd w:val="clear" w:color="auto" w:fill="auto"/>
          <w:lang w:val="en-US" w:eastAsia="zh-CN" w:bidi="ar-SA"/>
        </w:rPr>
        <w:t>县同类工程实例进行估算。</w:t>
      </w:r>
    </w:p>
    <w:p>
      <w:pPr>
        <w:keepNext/>
        <w:keepLines/>
        <w:pageBreakBefore w:val="0"/>
        <w:widowControl w:val="0"/>
        <w:kinsoku/>
        <w:wordWrap/>
        <w:overflowPunct/>
        <w:topLinePunct w:val="0"/>
        <w:autoSpaceDE/>
        <w:autoSpaceDN/>
        <w:bidi w:val="0"/>
        <w:adjustRightInd/>
        <w:snapToGrid/>
        <w:spacing w:line="240" w:lineRule="auto"/>
        <w:ind w:firstLine="643" w:firstLineChars="200"/>
        <w:jc w:val="left"/>
        <w:textAlignment w:val="auto"/>
        <w:outlineLvl w:val="2"/>
        <w:rPr>
          <w:rFonts w:hint="eastAsia" w:ascii="仿宋" w:hAnsi="仿宋" w:eastAsia="仿宋" w:cs="Times New Roman"/>
          <w:b/>
          <w:bCs/>
          <w:color w:val="auto"/>
          <w:kern w:val="2"/>
          <w:sz w:val="32"/>
          <w:szCs w:val="32"/>
          <w:highlight w:val="none"/>
          <w:shd w:val="clear" w:color="auto" w:fill="auto"/>
          <w:lang w:val="en-US" w:eastAsia="zh-CN" w:bidi="ar-SA"/>
        </w:rPr>
      </w:pPr>
      <w:r>
        <w:rPr>
          <w:rFonts w:hint="eastAsia" w:ascii="仿宋" w:hAnsi="仿宋" w:eastAsia="仿宋" w:cs="Times New Roman"/>
          <w:b/>
          <w:bCs/>
          <w:color w:val="auto"/>
          <w:kern w:val="2"/>
          <w:sz w:val="32"/>
          <w:szCs w:val="32"/>
          <w:highlight w:val="none"/>
          <w:shd w:val="clear" w:color="auto" w:fill="auto"/>
          <w:lang w:val="en-US" w:eastAsia="zh-CN" w:bidi="ar-SA"/>
        </w:rPr>
        <w:t>三、估算依据</w:t>
      </w:r>
    </w:p>
    <w:p>
      <w:pPr>
        <w:pStyle w:val="14"/>
        <w:spacing w:after="0" w:line="240" w:lineRule="auto"/>
        <w:ind w:left="0" w:leftChars="0" w:right="0" w:rightChars="0" w:firstLine="640" w:firstLineChars="200"/>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cs="Times New Roman"/>
          <w:kern w:val="2"/>
          <w:sz w:val="32"/>
          <w:szCs w:val="32"/>
          <w:highlight w:val="none"/>
          <w:shd w:val="clear" w:color="auto" w:fill="auto"/>
          <w:lang w:val="en-US" w:eastAsia="zh-CN" w:bidi="ar-SA"/>
        </w:rPr>
        <w:t>1、</w:t>
      </w:r>
      <w:r>
        <w:rPr>
          <w:rFonts w:hint="eastAsia" w:ascii="仿宋" w:hAnsi="仿宋" w:eastAsia="仿宋_GB2312" w:cs="Times New Roman"/>
          <w:kern w:val="2"/>
          <w:sz w:val="32"/>
          <w:szCs w:val="32"/>
          <w:highlight w:val="none"/>
          <w:shd w:val="clear" w:color="auto" w:fill="auto"/>
          <w:lang w:val="en-US" w:eastAsia="zh-CN" w:bidi="ar-SA"/>
        </w:rPr>
        <w:t>文件依据</w:t>
      </w:r>
    </w:p>
    <w:p>
      <w:pPr>
        <w:pStyle w:val="14"/>
        <w:spacing w:after="0" w:line="240" w:lineRule="auto"/>
        <w:ind w:left="0" w:leftChars="0" w:right="0" w:rightChars="0" w:firstLine="640" w:firstLineChars="200"/>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参照建设部建标〔20</w:t>
      </w:r>
      <w:r>
        <w:rPr>
          <w:rFonts w:hint="eastAsia" w:ascii="仿宋" w:hAnsi="仿宋" w:cs="Times New Roman"/>
          <w:kern w:val="2"/>
          <w:sz w:val="32"/>
          <w:szCs w:val="32"/>
          <w:highlight w:val="none"/>
          <w:shd w:val="clear" w:color="auto" w:fill="auto"/>
          <w:lang w:val="en-US" w:eastAsia="zh-CN" w:bidi="ar-SA"/>
        </w:rPr>
        <w:t>06</w:t>
      </w:r>
      <w:r>
        <w:rPr>
          <w:rFonts w:hint="eastAsia" w:ascii="仿宋" w:hAnsi="仿宋" w:eastAsia="仿宋_GB2312" w:cs="Times New Roman"/>
          <w:kern w:val="2"/>
          <w:sz w:val="32"/>
          <w:szCs w:val="32"/>
          <w:highlight w:val="none"/>
          <w:shd w:val="clear" w:color="auto" w:fill="auto"/>
          <w:lang w:val="en-US" w:eastAsia="zh-CN" w:bidi="ar-SA"/>
        </w:rPr>
        <w:t>〕309号文件发布的《全国市政工程投资估算指标》及《市政工程投资估算编制办法》（建标〔20</w:t>
      </w:r>
      <w:r>
        <w:rPr>
          <w:rFonts w:hint="eastAsia" w:ascii="仿宋" w:hAnsi="仿宋" w:cs="Times New Roman"/>
          <w:kern w:val="2"/>
          <w:sz w:val="32"/>
          <w:szCs w:val="32"/>
          <w:highlight w:val="none"/>
          <w:shd w:val="clear" w:color="auto" w:fill="auto"/>
          <w:lang w:val="en-US" w:eastAsia="zh-CN" w:bidi="ar-SA"/>
        </w:rPr>
        <w:t>0</w:t>
      </w:r>
      <w:r>
        <w:rPr>
          <w:rFonts w:hint="eastAsia" w:ascii="仿宋" w:hAnsi="仿宋" w:eastAsia="仿宋_GB2312" w:cs="Times New Roman"/>
          <w:kern w:val="2"/>
          <w:sz w:val="32"/>
          <w:szCs w:val="32"/>
          <w:highlight w:val="none"/>
          <w:shd w:val="clear" w:color="auto" w:fill="auto"/>
          <w:lang w:val="en-US" w:eastAsia="zh-CN" w:bidi="ar-SA"/>
        </w:rPr>
        <w:t>7〕164号文）进行编制，并根据当地实际情况调整主要材料价格；根据</w:t>
      </w:r>
      <w:r>
        <w:rPr>
          <w:rFonts w:hint="eastAsia" w:ascii="仿宋" w:hAnsi="仿宋" w:cs="Times New Roman"/>
          <w:kern w:val="2"/>
          <w:sz w:val="32"/>
          <w:szCs w:val="32"/>
          <w:highlight w:val="none"/>
          <w:shd w:val="clear" w:color="auto" w:fill="auto"/>
          <w:lang w:val="en-US" w:eastAsia="zh-CN" w:bidi="ar-SA"/>
        </w:rPr>
        <w:t>四川</w:t>
      </w:r>
      <w:r>
        <w:rPr>
          <w:rFonts w:hint="eastAsia" w:ascii="仿宋" w:hAnsi="仿宋" w:eastAsia="仿宋_GB2312" w:cs="Times New Roman"/>
          <w:kern w:val="2"/>
          <w:sz w:val="32"/>
          <w:szCs w:val="32"/>
          <w:highlight w:val="none"/>
          <w:shd w:val="clear" w:color="auto" w:fill="auto"/>
          <w:lang w:val="en-US" w:eastAsia="zh-CN" w:bidi="ar-SA"/>
        </w:rPr>
        <w:t>省费用定额对指标综合费用及其他工程费率进行调整，以期更加符合实际情况。</w:t>
      </w:r>
    </w:p>
    <w:p>
      <w:pPr>
        <w:pStyle w:val="14"/>
        <w:spacing w:after="0" w:line="240" w:lineRule="auto"/>
        <w:ind w:left="0" w:leftChars="0" w:right="0" w:rightChars="0" w:firstLine="640" w:firstLineChars="200"/>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本概算以国家现行建设项目实施方案概算编制办法及有关规定为原则编制，主要文件依据有：</w:t>
      </w:r>
    </w:p>
    <w:p>
      <w:pPr>
        <w:pStyle w:val="14"/>
        <w:spacing w:after="0" w:line="240" w:lineRule="auto"/>
        <w:ind w:left="0" w:leftChars="0" w:right="0" w:rightChars="0" w:firstLine="640" w:firstLineChars="200"/>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（1）以实施方案说明、图纸作为编制概算的基础依据；</w:t>
      </w:r>
    </w:p>
    <w:p>
      <w:pPr>
        <w:pStyle w:val="14"/>
        <w:spacing w:after="0" w:line="240" w:lineRule="auto"/>
        <w:ind w:left="0" w:leftChars="0" w:right="0" w:rightChars="0" w:firstLine="640" w:firstLineChars="200"/>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（2）《建设工程工程量清单计价规范》（GB 50500-2013）；</w:t>
      </w:r>
    </w:p>
    <w:p>
      <w:pPr>
        <w:pStyle w:val="14"/>
        <w:spacing w:after="0" w:line="240" w:lineRule="auto"/>
        <w:ind w:left="0" w:leftChars="0" w:right="0" w:rightChars="0" w:firstLine="640" w:firstLineChars="200"/>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（3）《四川省建设工程工程量清单计价定额》（2004年）；</w:t>
      </w:r>
    </w:p>
    <w:p>
      <w:pPr>
        <w:pStyle w:val="14"/>
        <w:spacing w:after="0" w:line="240" w:lineRule="auto"/>
        <w:ind w:left="0" w:leftChars="0" w:right="0" w:rightChars="0" w:firstLine="640" w:firstLineChars="200"/>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（4）《四川省建设工程工程量清单计价定额》（2015年）；</w:t>
      </w:r>
    </w:p>
    <w:p>
      <w:pPr>
        <w:pStyle w:val="14"/>
        <w:spacing w:after="0" w:line="240" w:lineRule="auto"/>
        <w:ind w:left="0" w:leftChars="0" w:right="0" w:rightChars="0" w:firstLine="640" w:firstLineChars="200"/>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（5）《市政工程设计概算编制办法》（建标〔201</w:t>
      </w:r>
      <w:r>
        <w:rPr>
          <w:rFonts w:hint="eastAsia" w:ascii="仿宋" w:hAnsi="仿宋" w:cs="Times New Roman"/>
          <w:kern w:val="2"/>
          <w:sz w:val="32"/>
          <w:szCs w:val="32"/>
          <w:highlight w:val="none"/>
          <w:shd w:val="clear" w:color="auto" w:fill="auto"/>
          <w:lang w:val="en-US" w:eastAsia="zh-CN" w:bidi="ar-SA"/>
        </w:rPr>
        <w:t>1</w:t>
      </w:r>
      <w:r>
        <w:rPr>
          <w:rFonts w:hint="eastAsia" w:ascii="仿宋" w:hAnsi="仿宋" w:eastAsia="仿宋_GB2312" w:cs="Times New Roman"/>
          <w:kern w:val="2"/>
          <w:sz w:val="32"/>
          <w:szCs w:val="32"/>
          <w:highlight w:val="none"/>
          <w:shd w:val="clear" w:color="auto" w:fill="auto"/>
          <w:lang w:val="en-US" w:eastAsia="zh-CN" w:bidi="ar-SA"/>
        </w:rPr>
        <w:t>〕1号文）；</w:t>
      </w:r>
    </w:p>
    <w:p>
      <w:pPr>
        <w:pStyle w:val="14"/>
        <w:spacing w:after="0" w:line="240" w:lineRule="auto"/>
        <w:ind w:left="0" w:leftChars="0" w:right="0" w:rightChars="0" w:firstLine="640" w:firstLineChars="200"/>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（6）四川省建设行政主管部门2019年12月以前发布的相关配套实施文件；</w:t>
      </w:r>
    </w:p>
    <w:p>
      <w:pPr>
        <w:pStyle w:val="14"/>
        <w:spacing w:after="0" w:line="240" w:lineRule="auto"/>
        <w:ind w:left="0" w:leftChars="0" w:right="0" w:rightChars="0" w:firstLine="640" w:firstLineChars="200"/>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（7） 与该工程建设相关的建设相关的建设标准、规范、技术要求等；</w:t>
      </w:r>
    </w:p>
    <w:p>
      <w:pPr>
        <w:pStyle w:val="14"/>
        <w:spacing w:after="0" w:line="240" w:lineRule="auto"/>
        <w:ind w:left="0" w:leftChars="0" w:right="0" w:rightChars="0" w:firstLine="640" w:firstLineChars="200"/>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以上定额不足的部分采用现行有关概预算定额作为参考和补充。</w:t>
      </w:r>
    </w:p>
    <w:p>
      <w:pPr>
        <w:pStyle w:val="14"/>
        <w:spacing w:after="0" w:line="240" w:lineRule="auto"/>
        <w:ind w:left="0" w:leftChars="0" w:right="0" w:rightChars="0" w:firstLine="640" w:firstLineChars="200"/>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cs="Times New Roman"/>
          <w:kern w:val="2"/>
          <w:sz w:val="32"/>
          <w:szCs w:val="32"/>
          <w:highlight w:val="none"/>
          <w:shd w:val="clear" w:color="auto" w:fill="auto"/>
          <w:lang w:val="en-US" w:eastAsia="zh-CN" w:bidi="ar-SA"/>
        </w:rPr>
        <w:t>2、</w:t>
      </w:r>
      <w:r>
        <w:rPr>
          <w:rFonts w:hint="eastAsia" w:ascii="仿宋" w:hAnsi="仿宋" w:eastAsia="仿宋_GB2312" w:cs="Times New Roman"/>
          <w:kern w:val="2"/>
          <w:sz w:val="32"/>
          <w:szCs w:val="32"/>
          <w:highlight w:val="none"/>
          <w:shd w:val="clear" w:color="auto" w:fill="auto"/>
          <w:lang w:val="en-US" w:eastAsia="zh-CN" w:bidi="ar-SA"/>
        </w:rPr>
        <w:t>工程材料价格</w:t>
      </w:r>
    </w:p>
    <w:p>
      <w:pPr>
        <w:pStyle w:val="14"/>
        <w:spacing w:after="0" w:line="240" w:lineRule="auto"/>
        <w:ind w:left="0" w:leftChars="0" w:right="0" w:rightChars="0" w:firstLine="640" w:firstLineChars="200"/>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（1）材料价格：主要依据《</w:t>
      </w:r>
      <w:r>
        <w:rPr>
          <w:rFonts w:hint="eastAsia" w:ascii="仿宋" w:hAnsi="仿宋" w:cs="Times New Roman"/>
          <w:kern w:val="2"/>
          <w:sz w:val="32"/>
          <w:szCs w:val="32"/>
          <w:highlight w:val="none"/>
          <w:shd w:val="clear" w:color="auto" w:fill="auto"/>
          <w:lang w:val="en-US" w:eastAsia="zh-CN" w:bidi="ar-SA"/>
        </w:rPr>
        <w:t>广元市</w:t>
      </w:r>
      <w:r>
        <w:rPr>
          <w:rFonts w:hint="eastAsia" w:ascii="仿宋" w:hAnsi="仿宋" w:eastAsia="仿宋_GB2312" w:cs="Times New Roman"/>
          <w:kern w:val="2"/>
          <w:sz w:val="32"/>
          <w:szCs w:val="32"/>
          <w:highlight w:val="none"/>
          <w:shd w:val="clear" w:color="auto" w:fill="auto"/>
          <w:lang w:val="en-US" w:eastAsia="zh-CN" w:bidi="ar-SA"/>
        </w:rPr>
        <w:t>建筑</w:t>
      </w:r>
      <w:r>
        <w:rPr>
          <w:rFonts w:hint="eastAsia" w:ascii="仿宋" w:hAnsi="仿宋" w:cs="Times New Roman"/>
          <w:kern w:val="2"/>
          <w:sz w:val="32"/>
          <w:szCs w:val="32"/>
          <w:highlight w:val="none"/>
          <w:shd w:val="clear" w:color="auto" w:fill="auto"/>
          <w:lang w:val="en-US" w:eastAsia="zh-CN" w:bidi="ar-SA"/>
        </w:rPr>
        <w:t>材料</w:t>
      </w:r>
      <w:r>
        <w:rPr>
          <w:rFonts w:hint="eastAsia" w:ascii="仿宋" w:hAnsi="仿宋" w:eastAsia="仿宋_GB2312" w:cs="Times New Roman"/>
          <w:kern w:val="2"/>
          <w:sz w:val="32"/>
          <w:szCs w:val="32"/>
          <w:highlight w:val="none"/>
          <w:shd w:val="clear" w:color="auto" w:fill="auto"/>
          <w:lang w:val="en-US" w:eastAsia="zh-CN" w:bidi="ar-SA"/>
        </w:rPr>
        <w:t>信息》价格。</w:t>
      </w:r>
    </w:p>
    <w:p>
      <w:pPr>
        <w:pStyle w:val="14"/>
        <w:spacing w:after="0" w:line="240" w:lineRule="auto"/>
        <w:ind w:left="0" w:leftChars="0" w:right="0" w:rightChars="0" w:firstLine="640" w:firstLineChars="200"/>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（2）设备及安装材料价格：根据现行市场价格（询价）及类似工程订货价格编制。</w:t>
      </w:r>
    </w:p>
    <w:p>
      <w:pPr>
        <w:pStyle w:val="14"/>
        <w:spacing w:after="0" w:line="240" w:lineRule="auto"/>
        <w:ind w:left="0" w:leftChars="0" w:right="0" w:rightChars="0" w:firstLine="640" w:firstLineChars="200"/>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（3）土壤污染工程类材料价格采用 “四川工程造价信息”中地区现行材料价格及有关部门提供资料中的价格执行，缺项的材料价格为市场价格。价格均为不含税价格。</w:t>
      </w:r>
    </w:p>
    <w:p>
      <w:pPr>
        <w:pStyle w:val="14"/>
        <w:spacing w:after="0" w:line="240" w:lineRule="auto"/>
        <w:ind w:left="0" w:leftChars="0" w:right="0" w:rightChars="0" w:firstLine="640" w:firstLineChars="200"/>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cs="Times New Roman"/>
          <w:kern w:val="2"/>
          <w:sz w:val="32"/>
          <w:szCs w:val="32"/>
          <w:highlight w:val="none"/>
          <w:shd w:val="clear" w:color="auto" w:fill="auto"/>
          <w:lang w:val="en-US" w:eastAsia="zh-CN" w:bidi="ar-SA"/>
        </w:rPr>
        <w:t>3、</w:t>
      </w:r>
      <w:r>
        <w:rPr>
          <w:rFonts w:hint="eastAsia" w:ascii="仿宋" w:hAnsi="仿宋" w:eastAsia="仿宋_GB2312" w:cs="Times New Roman"/>
          <w:kern w:val="2"/>
          <w:sz w:val="32"/>
          <w:szCs w:val="32"/>
          <w:highlight w:val="none"/>
          <w:shd w:val="clear" w:color="auto" w:fill="auto"/>
          <w:lang w:val="en-US" w:eastAsia="zh-CN" w:bidi="ar-SA"/>
        </w:rPr>
        <w:t>其它费用（部分）计算说明</w:t>
      </w:r>
    </w:p>
    <w:p>
      <w:pPr>
        <w:pStyle w:val="14"/>
        <w:spacing w:after="0" w:line="240" w:lineRule="auto"/>
        <w:ind w:left="0" w:leftChars="0" w:right="0" w:rightChars="0" w:firstLine="640" w:firstLineChars="200"/>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（1）土地补偿费</w:t>
      </w:r>
    </w:p>
    <w:p>
      <w:pPr>
        <w:pStyle w:val="14"/>
        <w:spacing w:after="0" w:line="240" w:lineRule="auto"/>
        <w:ind w:left="0" w:leftChars="0" w:right="0" w:rightChars="0" w:firstLine="640" w:firstLineChars="200"/>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项目区的补偿安置按照《中华人民共和国土地管理法》第46、48条、《中华人民共和国土地管理法实施条例》第25条、《四川省征地补偿标准》的规定，对当地村民进行补偿安置。</w:t>
      </w:r>
    </w:p>
    <w:p>
      <w:pPr>
        <w:pStyle w:val="14"/>
        <w:spacing w:after="0" w:line="240" w:lineRule="auto"/>
        <w:ind w:left="0" w:leftChars="0" w:right="0" w:rightChars="0" w:firstLine="640" w:firstLineChars="200"/>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（2）建设单位管理费：财政部（财建〔20</w:t>
      </w:r>
      <w:r>
        <w:rPr>
          <w:rFonts w:hint="eastAsia" w:ascii="仿宋" w:hAnsi="仿宋" w:cs="Times New Roman"/>
          <w:kern w:val="2"/>
          <w:sz w:val="32"/>
          <w:szCs w:val="32"/>
          <w:highlight w:val="none"/>
          <w:shd w:val="clear" w:color="auto" w:fill="auto"/>
          <w:lang w:val="en-US" w:eastAsia="zh-CN" w:bidi="ar-SA"/>
        </w:rPr>
        <w:t>02</w:t>
      </w:r>
      <w:r>
        <w:rPr>
          <w:rFonts w:hint="eastAsia" w:ascii="仿宋" w:hAnsi="仿宋" w:eastAsia="仿宋_GB2312" w:cs="Times New Roman"/>
          <w:kern w:val="2"/>
          <w:sz w:val="32"/>
          <w:szCs w:val="32"/>
          <w:highlight w:val="none"/>
          <w:shd w:val="clear" w:color="auto" w:fill="auto"/>
          <w:lang w:val="en-US" w:eastAsia="zh-CN" w:bidi="ar-SA"/>
        </w:rPr>
        <w:t>〕394号）计取；</w:t>
      </w:r>
    </w:p>
    <w:p>
      <w:pPr>
        <w:pStyle w:val="14"/>
        <w:spacing w:after="0" w:line="240" w:lineRule="auto"/>
        <w:ind w:left="0" w:leftChars="0" w:right="0" w:rightChars="0" w:firstLine="640" w:firstLineChars="200"/>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（3）前期工作费：根据建设项目前期工作咨询收费暂行规定（计价格〔</w:t>
      </w:r>
      <w:r>
        <w:rPr>
          <w:rFonts w:hint="eastAsia" w:ascii="仿宋" w:hAnsi="仿宋" w:cs="Times New Roman"/>
          <w:kern w:val="2"/>
          <w:sz w:val="32"/>
          <w:szCs w:val="32"/>
          <w:highlight w:val="none"/>
          <w:shd w:val="clear" w:color="auto" w:fill="auto"/>
          <w:lang w:val="en-US" w:eastAsia="zh-CN" w:bidi="ar-SA"/>
        </w:rPr>
        <w:t>1999</w:t>
      </w:r>
      <w:r>
        <w:rPr>
          <w:rFonts w:hint="eastAsia" w:ascii="仿宋" w:hAnsi="仿宋" w:eastAsia="仿宋_GB2312" w:cs="Times New Roman"/>
          <w:kern w:val="2"/>
          <w:sz w:val="32"/>
          <w:szCs w:val="32"/>
          <w:highlight w:val="none"/>
          <w:shd w:val="clear" w:color="auto" w:fill="auto"/>
          <w:lang w:val="en-US" w:eastAsia="zh-CN" w:bidi="ar-SA"/>
        </w:rPr>
        <w:t>〕1283号）计取；</w:t>
      </w:r>
    </w:p>
    <w:p>
      <w:pPr>
        <w:pStyle w:val="14"/>
        <w:spacing w:after="0" w:line="240" w:lineRule="auto"/>
        <w:ind w:left="0" w:leftChars="0" w:right="0" w:rightChars="0" w:firstLine="640" w:firstLineChars="200"/>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（4）勘察设计费</w:t>
      </w:r>
    </w:p>
    <w:p>
      <w:pPr>
        <w:pStyle w:val="14"/>
        <w:spacing w:after="0" w:line="240" w:lineRule="auto"/>
        <w:ind w:left="0" w:leftChars="0" w:right="0" w:rightChars="0" w:firstLine="640" w:firstLineChars="200"/>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① 勘察费：按国家计委、建设部计价格〔20</w:t>
      </w:r>
      <w:r>
        <w:rPr>
          <w:rFonts w:hint="eastAsia" w:ascii="仿宋" w:hAnsi="仿宋" w:cs="Times New Roman"/>
          <w:kern w:val="2"/>
          <w:sz w:val="32"/>
          <w:szCs w:val="32"/>
          <w:highlight w:val="none"/>
          <w:shd w:val="clear" w:color="auto" w:fill="auto"/>
          <w:lang w:val="en-US" w:eastAsia="zh-CN" w:bidi="ar-SA"/>
        </w:rPr>
        <w:t>02</w:t>
      </w:r>
      <w:r>
        <w:rPr>
          <w:rFonts w:hint="eastAsia" w:ascii="仿宋" w:hAnsi="仿宋" w:eastAsia="仿宋_GB2312" w:cs="Times New Roman"/>
          <w:kern w:val="2"/>
          <w:sz w:val="32"/>
          <w:szCs w:val="32"/>
          <w:highlight w:val="none"/>
          <w:shd w:val="clear" w:color="auto" w:fill="auto"/>
          <w:lang w:val="en-US" w:eastAsia="zh-CN" w:bidi="ar-SA"/>
        </w:rPr>
        <w:t>〕10号文计取依据；</w:t>
      </w:r>
    </w:p>
    <w:p>
      <w:pPr>
        <w:pStyle w:val="14"/>
        <w:spacing w:after="0" w:line="240" w:lineRule="auto"/>
        <w:ind w:left="0" w:leftChars="0" w:right="0" w:rightChars="0" w:firstLine="640" w:firstLineChars="200"/>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② 设计费：按国家计委、建设部计价格〔20</w:t>
      </w:r>
      <w:r>
        <w:rPr>
          <w:rFonts w:hint="eastAsia" w:ascii="仿宋" w:hAnsi="仿宋" w:cs="Times New Roman"/>
          <w:kern w:val="2"/>
          <w:sz w:val="32"/>
          <w:szCs w:val="32"/>
          <w:highlight w:val="none"/>
          <w:shd w:val="clear" w:color="auto" w:fill="auto"/>
          <w:lang w:val="en-US" w:eastAsia="zh-CN" w:bidi="ar-SA"/>
        </w:rPr>
        <w:t>02</w:t>
      </w:r>
      <w:r>
        <w:rPr>
          <w:rFonts w:hint="eastAsia" w:ascii="仿宋" w:hAnsi="仿宋" w:eastAsia="仿宋_GB2312" w:cs="Times New Roman"/>
          <w:kern w:val="2"/>
          <w:sz w:val="32"/>
          <w:szCs w:val="32"/>
          <w:highlight w:val="none"/>
          <w:shd w:val="clear" w:color="auto" w:fill="auto"/>
          <w:lang w:val="en-US" w:eastAsia="zh-CN" w:bidi="ar-SA"/>
        </w:rPr>
        <w:t>〕10号文计取依据；</w:t>
      </w:r>
    </w:p>
    <w:p>
      <w:pPr>
        <w:pStyle w:val="14"/>
        <w:spacing w:after="0" w:line="240" w:lineRule="auto"/>
        <w:ind w:left="0" w:leftChars="0" w:right="0" w:rightChars="0" w:firstLine="640" w:firstLineChars="200"/>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③ 施工图预算编制费：按国家计委、建设部计价格〔20</w:t>
      </w:r>
      <w:r>
        <w:rPr>
          <w:rFonts w:hint="eastAsia" w:ascii="仿宋" w:hAnsi="仿宋" w:cs="Times New Roman"/>
          <w:kern w:val="2"/>
          <w:sz w:val="32"/>
          <w:szCs w:val="32"/>
          <w:highlight w:val="none"/>
          <w:shd w:val="clear" w:color="auto" w:fill="auto"/>
          <w:lang w:val="en-US" w:eastAsia="zh-CN" w:bidi="ar-SA"/>
        </w:rPr>
        <w:t>02</w:t>
      </w:r>
      <w:r>
        <w:rPr>
          <w:rFonts w:hint="eastAsia" w:ascii="仿宋" w:hAnsi="仿宋" w:eastAsia="仿宋_GB2312" w:cs="Times New Roman"/>
          <w:kern w:val="2"/>
          <w:sz w:val="32"/>
          <w:szCs w:val="32"/>
          <w:highlight w:val="none"/>
          <w:shd w:val="clear" w:color="auto" w:fill="auto"/>
          <w:lang w:val="en-US" w:eastAsia="zh-CN" w:bidi="ar-SA"/>
        </w:rPr>
        <w:t>〕10号文计取依据，设计费的10％计取；</w:t>
      </w:r>
    </w:p>
    <w:p>
      <w:pPr>
        <w:pStyle w:val="14"/>
        <w:spacing w:after="0" w:line="240" w:lineRule="auto"/>
        <w:ind w:left="0" w:leftChars="0" w:right="0" w:rightChars="0" w:firstLine="640" w:firstLineChars="200"/>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（5）工程监理费：国家发改委、建设部（发改价格〔20</w:t>
      </w:r>
      <w:r>
        <w:rPr>
          <w:rFonts w:hint="eastAsia" w:ascii="仿宋" w:hAnsi="仿宋" w:cs="Times New Roman"/>
          <w:kern w:val="2"/>
          <w:sz w:val="32"/>
          <w:szCs w:val="32"/>
          <w:highlight w:val="none"/>
          <w:shd w:val="clear" w:color="auto" w:fill="auto"/>
          <w:lang w:val="en-US" w:eastAsia="zh-CN" w:bidi="ar-SA"/>
        </w:rPr>
        <w:t>07</w:t>
      </w:r>
      <w:r>
        <w:rPr>
          <w:rFonts w:hint="eastAsia" w:ascii="仿宋" w:hAnsi="仿宋" w:eastAsia="仿宋_GB2312" w:cs="Times New Roman"/>
          <w:kern w:val="2"/>
          <w:sz w:val="32"/>
          <w:szCs w:val="32"/>
          <w:highlight w:val="none"/>
          <w:shd w:val="clear" w:color="auto" w:fill="auto"/>
          <w:lang w:val="en-US" w:eastAsia="zh-CN" w:bidi="ar-SA"/>
        </w:rPr>
        <w:t>〕670号）计取；</w:t>
      </w:r>
    </w:p>
    <w:p>
      <w:pPr>
        <w:pStyle w:val="14"/>
        <w:spacing w:after="0" w:line="240" w:lineRule="auto"/>
        <w:ind w:left="0" w:leftChars="0" w:right="0" w:rightChars="0" w:firstLine="640" w:firstLineChars="200"/>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（6）招标代理服务费：按发改价格〔20</w:t>
      </w:r>
      <w:r>
        <w:rPr>
          <w:rFonts w:hint="eastAsia" w:ascii="仿宋" w:hAnsi="仿宋" w:cs="Times New Roman"/>
          <w:kern w:val="2"/>
          <w:sz w:val="32"/>
          <w:szCs w:val="32"/>
          <w:highlight w:val="none"/>
          <w:shd w:val="clear" w:color="auto" w:fill="auto"/>
          <w:lang w:val="en-US" w:eastAsia="zh-CN" w:bidi="ar-SA"/>
        </w:rPr>
        <w:t>011</w:t>
      </w:r>
      <w:r>
        <w:rPr>
          <w:rFonts w:hint="eastAsia" w:ascii="仿宋" w:hAnsi="仿宋" w:eastAsia="仿宋_GB2312" w:cs="Times New Roman"/>
          <w:kern w:val="2"/>
          <w:sz w:val="32"/>
          <w:szCs w:val="32"/>
          <w:highlight w:val="none"/>
          <w:shd w:val="clear" w:color="auto" w:fill="auto"/>
          <w:lang w:val="en-US" w:eastAsia="zh-CN" w:bidi="ar-SA"/>
        </w:rPr>
        <w:t>〕534号计取；</w:t>
      </w:r>
    </w:p>
    <w:p>
      <w:pPr>
        <w:pStyle w:val="14"/>
        <w:spacing w:after="0" w:line="240" w:lineRule="auto"/>
        <w:ind w:left="0" w:leftChars="0" w:right="0" w:rightChars="0" w:firstLine="640" w:firstLineChars="200"/>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（7）竣工图编制费：按国家计委、建设部计价格﹞10号文计取依据，施工图审查费按设计费用的8%计取；</w:t>
      </w:r>
    </w:p>
    <w:p>
      <w:pPr>
        <w:pStyle w:val="14"/>
        <w:spacing w:after="0" w:line="240" w:lineRule="auto"/>
        <w:ind w:left="0" w:leftChars="0" w:right="0" w:rightChars="0" w:firstLine="640" w:firstLineChars="200"/>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（8）预备费由基本预备费和价差预备费组成，基本预备费取5％，价差预备费按国家计委计投资〔</w:t>
      </w:r>
      <w:r>
        <w:rPr>
          <w:rFonts w:hint="eastAsia" w:ascii="仿宋" w:hAnsi="仿宋" w:cs="Times New Roman"/>
          <w:kern w:val="2"/>
          <w:sz w:val="32"/>
          <w:szCs w:val="32"/>
          <w:highlight w:val="none"/>
          <w:shd w:val="clear" w:color="auto" w:fill="auto"/>
          <w:lang w:val="en-US" w:eastAsia="zh-CN" w:bidi="ar-SA"/>
        </w:rPr>
        <w:t>1999</w:t>
      </w:r>
      <w:r>
        <w:rPr>
          <w:rFonts w:hint="eastAsia" w:ascii="仿宋" w:hAnsi="仿宋" w:eastAsia="仿宋_GB2312" w:cs="Times New Roman"/>
          <w:kern w:val="2"/>
          <w:sz w:val="32"/>
          <w:szCs w:val="32"/>
          <w:highlight w:val="none"/>
          <w:shd w:val="clear" w:color="auto" w:fill="auto"/>
          <w:lang w:val="en-US" w:eastAsia="zh-CN" w:bidi="ar-SA"/>
        </w:rPr>
        <w:t>〕1340号文的规定暂不计列。</w:t>
      </w:r>
    </w:p>
    <w:p>
      <w:pPr>
        <w:pStyle w:val="14"/>
        <w:spacing w:after="0" w:line="240" w:lineRule="auto"/>
        <w:ind w:left="0" w:leftChars="0" w:right="0" w:rightChars="0" w:firstLine="640" w:firstLineChars="200"/>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（9）运行费计算</w:t>
      </w:r>
    </w:p>
    <w:p>
      <w:pPr>
        <w:pStyle w:val="14"/>
        <w:spacing w:after="0" w:line="240" w:lineRule="auto"/>
        <w:ind w:left="0" w:leftChars="0" w:right="0" w:rightChars="0" w:firstLine="640" w:firstLineChars="200"/>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本项目运行费主要包括垃圾清运车辆的运行成本，不列入总投资。</w:t>
      </w:r>
    </w:p>
    <w:p>
      <w:pPr>
        <w:pStyle w:val="14"/>
        <w:spacing w:after="0" w:line="240" w:lineRule="auto"/>
        <w:ind w:left="0" w:leftChars="0" w:right="0" w:rightChars="0" w:firstLine="640" w:firstLineChars="200"/>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（10）土壤污染工程类</w:t>
      </w:r>
    </w:p>
    <w:p>
      <w:pPr>
        <w:pStyle w:val="14"/>
        <w:spacing w:after="0" w:line="240" w:lineRule="auto"/>
        <w:ind w:left="0" w:leftChars="0" w:right="0" w:rightChars="0" w:firstLine="640" w:firstLineChars="200"/>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①</w:t>
      </w:r>
      <w:r>
        <w:rPr>
          <w:rFonts w:hint="eastAsia" w:ascii="仿宋" w:hAnsi="仿宋" w:cs="Times New Roman"/>
          <w:kern w:val="2"/>
          <w:sz w:val="32"/>
          <w:szCs w:val="32"/>
          <w:highlight w:val="none"/>
          <w:shd w:val="clear" w:color="auto" w:fill="auto"/>
          <w:lang w:val="en-US" w:eastAsia="zh-CN" w:bidi="ar-SA"/>
        </w:rPr>
        <w:t xml:space="preserve"> </w:t>
      </w:r>
      <w:r>
        <w:rPr>
          <w:rFonts w:hint="eastAsia" w:ascii="仿宋" w:hAnsi="仿宋" w:eastAsia="仿宋_GB2312" w:cs="Times New Roman"/>
          <w:kern w:val="2"/>
          <w:sz w:val="32"/>
          <w:szCs w:val="32"/>
          <w:highlight w:val="none"/>
          <w:shd w:val="clear" w:color="auto" w:fill="auto"/>
          <w:lang w:val="en-US" w:eastAsia="zh-CN" w:bidi="ar-SA"/>
        </w:rPr>
        <w:t>耕地临时占用及青苗补偿费：按0.145万元／亩计算；修建固体废物处置场征地费用以5万元/亩计算；</w:t>
      </w:r>
    </w:p>
    <w:p>
      <w:pPr>
        <w:pStyle w:val="14"/>
        <w:spacing w:after="0" w:line="240" w:lineRule="auto"/>
        <w:ind w:left="0" w:leftChars="0" w:right="0" w:rightChars="0" w:firstLine="640" w:firstLineChars="200"/>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②</w:t>
      </w:r>
      <w:r>
        <w:rPr>
          <w:rFonts w:hint="eastAsia" w:ascii="仿宋" w:hAnsi="仿宋" w:cs="Times New Roman"/>
          <w:kern w:val="2"/>
          <w:sz w:val="32"/>
          <w:szCs w:val="32"/>
          <w:highlight w:val="none"/>
          <w:shd w:val="clear" w:color="auto" w:fill="auto"/>
          <w:lang w:val="en-US" w:eastAsia="zh-CN" w:bidi="ar-SA"/>
        </w:rPr>
        <w:t xml:space="preserve"> </w:t>
      </w:r>
      <w:r>
        <w:rPr>
          <w:rFonts w:hint="eastAsia" w:ascii="仿宋" w:hAnsi="仿宋" w:eastAsia="仿宋_GB2312" w:cs="Times New Roman"/>
          <w:kern w:val="2"/>
          <w:sz w:val="32"/>
          <w:szCs w:val="32"/>
          <w:highlight w:val="none"/>
          <w:shd w:val="clear" w:color="auto" w:fill="auto"/>
          <w:lang w:val="en-US" w:eastAsia="zh-CN" w:bidi="ar-SA"/>
        </w:rPr>
        <w:t>工程设计费、项目区域地形区测绘：按发改价格〔20</w:t>
      </w:r>
      <w:r>
        <w:rPr>
          <w:rFonts w:hint="eastAsia" w:ascii="仿宋" w:hAnsi="仿宋" w:cs="Times New Roman"/>
          <w:kern w:val="2"/>
          <w:sz w:val="32"/>
          <w:szCs w:val="32"/>
          <w:highlight w:val="none"/>
          <w:shd w:val="clear" w:color="auto" w:fill="auto"/>
          <w:lang w:val="en-US" w:eastAsia="zh-CN" w:bidi="ar-SA"/>
        </w:rPr>
        <w:t>15</w:t>
      </w:r>
      <w:r>
        <w:rPr>
          <w:rFonts w:hint="eastAsia" w:ascii="仿宋" w:hAnsi="仿宋" w:eastAsia="仿宋_GB2312" w:cs="Times New Roman"/>
          <w:kern w:val="2"/>
          <w:sz w:val="32"/>
          <w:szCs w:val="32"/>
          <w:highlight w:val="none"/>
          <w:shd w:val="clear" w:color="auto" w:fill="auto"/>
          <w:lang w:val="en-US" w:eastAsia="zh-CN" w:bidi="ar-SA"/>
        </w:rPr>
        <w:t>〕299号计取；</w:t>
      </w:r>
    </w:p>
    <w:p>
      <w:pPr>
        <w:pStyle w:val="14"/>
        <w:spacing w:after="0" w:line="240" w:lineRule="auto"/>
        <w:ind w:left="0" w:leftChars="0" w:right="0" w:rightChars="0" w:firstLine="640" w:firstLineChars="200"/>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③</w:t>
      </w:r>
      <w:r>
        <w:rPr>
          <w:rFonts w:hint="eastAsia" w:ascii="仿宋" w:hAnsi="仿宋" w:cs="Times New Roman"/>
          <w:kern w:val="2"/>
          <w:sz w:val="32"/>
          <w:szCs w:val="32"/>
          <w:highlight w:val="none"/>
          <w:shd w:val="clear" w:color="auto" w:fill="auto"/>
          <w:lang w:val="en-US" w:eastAsia="zh-CN" w:bidi="ar-SA"/>
        </w:rPr>
        <w:t xml:space="preserve"> </w:t>
      </w:r>
      <w:r>
        <w:rPr>
          <w:rFonts w:hint="eastAsia" w:ascii="仿宋" w:hAnsi="仿宋" w:eastAsia="仿宋_GB2312" w:cs="Times New Roman"/>
          <w:kern w:val="2"/>
          <w:sz w:val="32"/>
          <w:szCs w:val="32"/>
          <w:highlight w:val="none"/>
          <w:shd w:val="clear" w:color="auto" w:fill="auto"/>
          <w:lang w:val="en-US" w:eastAsia="zh-CN" w:bidi="ar-SA"/>
        </w:rPr>
        <w:t>项目监理费：按国家发改委、建设部发改价格〔20</w:t>
      </w:r>
      <w:r>
        <w:rPr>
          <w:rFonts w:hint="eastAsia" w:ascii="仿宋" w:hAnsi="仿宋" w:cs="Times New Roman"/>
          <w:kern w:val="2"/>
          <w:sz w:val="32"/>
          <w:szCs w:val="32"/>
          <w:highlight w:val="none"/>
          <w:shd w:val="clear" w:color="auto" w:fill="auto"/>
          <w:lang w:val="en-US" w:eastAsia="zh-CN" w:bidi="ar-SA"/>
        </w:rPr>
        <w:t>07</w:t>
      </w:r>
      <w:r>
        <w:rPr>
          <w:rFonts w:hint="eastAsia" w:ascii="仿宋" w:hAnsi="仿宋" w:eastAsia="仿宋_GB2312" w:cs="Times New Roman"/>
          <w:kern w:val="2"/>
          <w:sz w:val="32"/>
          <w:szCs w:val="32"/>
          <w:highlight w:val="none"/>
          <w:shd w:val="clear" w:color="auto" w:fill="auto"/>
          <w:lang w:val="en-US" w:eastAsia="zh-CN" w:bidi="ar-SA"/>
        </w:rPr>
        <w:t>〕670号计取；</w:t>
      </w:r>
    </w:p>
    <w:p>
      <w:pPr>
        <w:pStyle w:val="14"/>
        <w:spacing w:after="0" w:line="240" w:lineRule="auto"/>
        <w:ind w:left="0" w:leftChars="0" w:right="0" w:rightChars="0" w:firstLine="640" w:firstLineChars="200"/>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④</w:t>
      </w:r>
      <w:r>
        <w:rPr>
          <w:rFonts w:hint="eastAsia" w:ascii="仿宋" w:hAnsi="仿宋" w:cs="Times New Roman"/>
          <w:kern w:val="2"/>
          <w:sz w:val="32"/>
          <w:szCs w:val="32"/>
          <w:highlight w:val="none"/>
          <w:shd w:val="clear" w:color="auto" w:fill="auto"/>
          <w:lang w:val="en-US" w:eastAsia="zh-CN" w:bidi="ar-SA"/>
        </w:rPr>
        <w:t xml:space="preserve"> </w:t>
      </w:r>
      <w:r>
        <w:rPr>
          <w:rFonts w:hint="eastAsia" w:ascii="仿宋" w:hAnsi="仿宋" w:eastAsia="仿宋_GB2312" w:cs="Times New Roman"/>
          <w:kern w:val="2"/>
          <w:sz w:val="32"/>
          <w:szCs w:val="32"/>
          <w:highlight w:val="none"/>
          <w:shd w:val="clear" w:color="auto" w:fill="auto"/>
          <w:lang w:val="en-US" w:eastAsia="zh-CN" w:bidi="ar-SA"/>
        </w:rPr>
        <w:t>环境影响咨询服务费：按国家计委、国家环保总局计价格〔20</w:t>
      </w:r>
      <w:r>
        <w:rPr>
          <w:rFonts w:hint="eastAsia" w:ascii="仿宋" w:hAnsi="仿宋" w:cs="Times New Roman"/>
          <w:kern w:val="2"/>
          <w:sz w:val="32"/>
          <w:szCs w:val="32"/>
          <w:highlight w:val="none"/>
          <w:shd w:val="clear" w:color="auto" w:fill="auto"/>
          <w:lang w:val="en-US" w:eastAsia="zh-CN" w:bidi="ar-SA"/>
        </w:rPr>
        <w:t>02</w:t>
      </w:r>
      <w:r>
        <w:rPr>
          <w:rFonts w:hint="eastAsia" w:ascii="仿宋" w:hAnsi="仿宋" w:eastAsia="仿宋_GB2312" w:cs="Times New Roman"/>
          <w:kern w:val="2"/>
          <w:sz w:val="32"/>
          <w:szCs w:val="32"/>
          <w:highlight w:val="none"/>
          <w:shd w:val="clear" w:color="auto" w:fill="auto"/>
          <w:lang w:val="en-US" w:eastAsia="zh-CN" w:bidi="ar-SA"/>
        </w:rPr>
        <w:t>〕125号计取；</w:t>
      </w:r>
    </w:p>
    <w:p>
      <w:pPr>
        <w:pStyle w:val="14"/>
        <w:spacing w:after="0" w:line="240" w:lineRule="auto"/>
        <w:ind w:left="0" w:leftChars="0" w:right="0" w:rightChars="0" w:firstLine="640" w:firstLineChars="200"/>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⑤</w:t>
      </w:r>
      <w:r>
        <w:rPr>
          <w:rFonts w:hint="eastAsia" w:ascii="仿宋" w:hAnsi="仿宋" w:cs="Times New Roman"/>
          <w:kern w:val="2"/>
          <w:sz w:val="32"/>
          <w:szCs w:val="32"/>
          <w:highlight w:val="none"/>
          <w:shd w:val="clear" w:color="auto" w:fill="auto"/>
          <w:lang w:val="en-US" w:eastAsia="zh-CN" w:bidi="ar-SA"/>
        </w:rPr>
        <w:t xml:space="preserve"> </w:t>
      </w:r>
      <w:r>
        <w:rPr>
          <w:rFonts w:hint="eastAsia" w:ascii="仿宋" w:hAnsi="仿宋" w:eastAsia="仿宋_GB2312" w:cs="Times New Roman"/>
          <w:kern w:val="2"/>
          <w:sz w:val="32"/>
          <w:szCs w:val="32"/>
          <w:highlight w:val="none"/>
          <w:shd w:val="clear" w:color="auto" w:fill="auto"/>
          <w:lang w:val="en-US" w:eastAsia="zh-CN" w:bidi="ar-SA"/>
        </w:rPr>
        <w:t>建设项目前期工作咨询费：按国家计委计价格〔</w:t>
      </w:r>
      <w:r>
        <w:rPr>
          <w:rFonts w:hint="eastAsia" w:ascii="仿宋" w:hAnsi="仿宋" w:cs="Times New Roman"/>
          <w:kern w:val="2"/>
          <w:sz w:val="32"/>
          <w:szCs w:val="32"/>
          <w:highlight w:val="none"/>
          <w:shd w:val="clear" w:color="auto" w:fill="auto"/>
          <w:lang w:val="en-US" w:eastAsia="zh-CN" w:bidi="ar-SA"/>
        </w:rPr>
        <w:t>1999</w:t>
      </w:r>
      <w:r>
        <w:rPr>
          <w:rFonts w:hint="eastAsia" w:ascii="仿宋" w:hAnsi="仿宋" w:eastAsia="仿宋_GB2312" w:cs="Times New Roman"/>
          <w:kern w:val="2"/>
          <w:sz w:val="32"/>
          <w:szCs w:val="32"/>
          <w:highlight w:val="none"/>
          <w:shd w:val="clear" w:color="auto" w:fill="auto"/>
          <w:lang w:val="en-US" w:eastAsia="zh-CN" w:bidi="ar-SA"/>
        </w:rPr>
        <w:t>〕1283号计取；</w:t>
      </w:r>
    </w:p>
    <w:p>
      <w:pPr>
        <w:pStyle w:val="14"/>
        <w:spacing w:after="0" w:line="240" w:lineRule="auto"/>
        <w:ind w:left="0" w:leftChars="0" w:right="0" w:rightChars="0" w:firstLine="640" w:firstLineChars="200"/>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⑥</w:t>
      </w:r>
      <w:r>
        <w:rPr>
          <w:rFonts w:hint="eastAsia" w:ascii="仿宋" w:hAnsi="仿宋" w:cs="Times New Roman"/>
          <w:kern w:val="2"/>
          <w:sz w:val="32"/>
          <w:szCs w:val="32"/>
          <w:highlight w:val="none"/>
          <w:shd w:val="clear" w:color="auto" w:fill="auto"/>
          <w:lang w:val="en-US" w:eastAsia="zh-CN" w:bidi="ar-SA"/>
        </w:rPr>
        <w:t xml:space="preserve"> </w:t>
      </w:r>
      <w:r>
        <w:rPr>
          <w:rFonts w:hint="eastAsia" w:ascii="仿宋" w:hAnsi="仿宋" w:eastAsia="仿宋_GB2312" w:cs="Times New Roman"/>
          <w:kern w:val="2"/>
          <w:sz w:val="32"/>
          <w:szCs w:val="32"/>
          <w:highlight w:val="none"/>
          <w:shd w:val="clear" w:color="auto" w:fill="auto"/>
          <w:lang w:val="en-US" w:eastAsia="zh-CN" w:bidi="ar-SA"/>
        </w:rPr>
        <w:t>工程量清单及控制价编制费、审核竣工结算费：按川建价发〔20</w:t>
      </w:r>
      <w:r>
        <w:rPr>
          <w:rFonts w:hint="eastAsia" w:ascii="仿宋" w:hAnsi="仿宋" w:cs="Times New Roman"/>
          <w:kern w:val="2"/>
          <w:sz w:val="32"/>
          <w:szCs w:val="32"/>
          <w:highlight w:val="none"/>
          <w:shd w:val="clear" w:color="auto" w:fill="auto"/>
          <w:lang w:val="en-US" w:eastAsia="zh-CN" w:bidi="ar-SA"/>
        </w:rPr>
        <w:t>12</w:t>
      </w:r>
      <w:r>
        <w:rPr>
          <w:rFonts w:hint="eastAsia" w:ascii="仿宋" w:hAnsi="仿宋" w:eastAsia="仿宋_GB2312" w:cs="Times New Roman"/>
          <w:kern w:val="2"/>
          <w:sz w:val="32"/>
          <w:szCs w:val="32"/>
          <w:highlight w:val="none"/>
          <w:shd w:val="clear" w:color="auto" w:fill="auto"/>
          <w:lang w:val="en-US" w:eastAsia="zh-CN" w:bidi="ar-SA"/>
        </w:rPr>
        <w:t>〕计取；</w:t>
      </w:r>
    </w:p>
    <w:p>
      <w:pPr>
        <w:pStyle w:val="14"/>
        <w:spacing w:after="0" w:line="240" w:lineRule="auto"/>
        <w:ind w:left="0" w:leftChars="0" w:right="0" w:rightChars="0" w:firstLine="640" w:firstLineChars="200"/>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⑦</w:t>
      </w:r>
      <w:r>
        <w:rPr>
          <w:rFonts w:hint="eastAsia" w:ascii="仿宋" w:hAnsi="仿宋" w:cs="Times New Roman"/>
          <w:kern w:val="2"/>
          <w:sz w:val="32"/>
          <w:szCs w:val="32"/>
          <w:highlight w:val="none"/>
          <w:shd w:val="clear" w:color="auto" w:fill="auto"/>
          <w:lang w:val="en-US" w:eastAsia="zh-CN" w:bidi="ar-SA"/>
        </w:rPr>
        <w:t xml:space="preserve"> </w:t>
      </w:r>
      <w:r>
        <w:rPr>
          <w:rFonts w:hint="eastAsia" w:ascii="仿宋" w:hAnsi="仿宋" w:eastAsia="仿宋_GB2312" w:cs="Times New Roman"/>
          <w:kern w:val="2"/>
          <w:sz w:val="32"/>
          <w:szCs w:val="32"/>
          <w:highlight w:val="none"/>
          <w:shd w:val="clear" w:color="auto" w:fill="auto"/>
          <w:lang w:val="en-US" w:eastAsia="zh-CN" w:bidi="ar-SA"/>
        </w:rPr>
        <w:t>招标代理服务费：按国家计委计价格〔20</w:t>
      </w:r>
      <w:r>
        <w:rPr>
          <w:rFonts w:hint="eastAsia" w:ascii="仿宋" w:hAnsi="仿宋" w:cs="Times New Roman"/>
          <w:kern w:val="2"/>
          <w:sz w:val="32"/>
          <w:szCs w:val="32"/>
          <w:highlight w:val="none"/>
          <w:shd w:val="clear" w:color="auto" w:fill="auto"/>
          <w:lang w:val="en-US" w:eastAsia="zh-CN" w:bidi="ar-SA"/>
        </w:rPr>
        <w:t>02</w:t>
      </w:r>
      <w:r>
        <w:rPr>
          <w:rFonts w:hint="eastAsia" w:ascii="仿宋" w:hAnsi="仿宋" w:eastAsia="仿宋_GB2312" w:cs="Times New Roman"/>
          <w:kern w:val="2"/>
          <w:sz w:val="32"/>
          <w:szCs w:val="32"/>
          <w:highlight w:val="none"/>
          <w:shd w:val="clear" w:color="auto" w:fill="auto"/>
          <w:lang w:val="en-US" w:eastAsia="zh-CN" w:bidi="ar-SA"/>
        </w:rPr>
        <w:t>〕1980号计取；</w:t>
      </w:r>
    </w:p>
    <w:p>
      <w:pPr>
        <w:pStyle w:val="14"/>
        <w:spacing w:after="0" w:line="240" w:lineRule="auto"/>
        <w:ind w:left="0" w:leftChars="0" w:right="0" w:rightChars="0" w:firstLine="640" w:firstLineChars="200"/>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⑧</w:t>
      </w:r>
      <w:r>
        <w:rPr>
          <w:rFonts w:hint="eastAsia" w:ascii="仿宋" w:hAnsi="仿宋" w:cs="Times New Roman"/>
          <w:kern w:val="2"/>
          <w:sz w:val="32"/>
          <w:szCs w:val="32"/>
          <w:highlight w:val="none"/>
          <w:shd w:val="clear" w:color="auto" w:fill="auto"/>
          <w:lang w:val="en-US" w:eastAsia="zh-CN" w:bidi="ar-SA"/>
        </w:rPr>
        <w:t xml:space="preserve"> </w:t>
      </w:r>
      <w:r>
        <w:rPr>
          <w:rFonts w:hint="eastAsia" w:ascii="仿宋" w:hAnsi="仿宋" w:eastAsia="仿宋_GB2312" w:cs="Times New Roman"/>
          <w:kern w:val="2"/>
          <w:sz w:val="32"/>
          <w:szCs w:val="32"/>
          <w:highlight w:val="none"/>
          <w:shd w:val="clear" w:color="auto" w:fill="auto"/>
          <w:lang w:val="en-US" w:eastAsia="zh-CN" w:bidi="ar-SA"/>
        </w:rPr>
        <w:t>场地准备费及临时设施费：按工程费的0.5%计算；</w:t>
      </w:r>
    </w:p>
    <w:p>
      <w:pPr>
        <w:pStyle w:val="14"/>
        <w:spacing w:after="0" w:line="240" w:lineRule="auto"/>
        <w:ind w:left="0" w:leftChars="0" w:right="0" w:rightChars="0" w:firstLine="640" w:firstLineChars="200"/>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⑨</w:t>
      </w:r>
      <w:r>
        <w:rPr>
          <w:rFonts w:hint="eastAsia" w:ascii="仿宋" w:hAnsi="仿宋" w:cs="Times New Roman"/>
          <w:kern w:val="2"/>
          <w:sz w:val="32"/>
          <w:szCs w:val="32"/>
          <w:highlight w:val="none"/>
          <w:shd w:val="clear" w:color="auto" w:fill="auto"/>
          <w:lang w:val="en-US" w:eastAsia="zh-CN" w:bidi="ar-SA"/>
        </w:rPr>
        <w:t xml:space="preserve"> </w:t>
      </w:r>
      <w:r>
        <w:rPr>
          <w:rFonts w:hint="eastAsia" w:ascii="仿宋" w:hAnsi="仿宋" w:eastAsia="仿宋_GB2312" w:cs="Times New Roman"/>
          <w:kern w:val="2"/>
          <w:sz w:val="32"/>
          <w:szCs w:val="32"/>
          <w:highlight w:val="none"/>
          <w:shd w:val="clear" w:color="auto" w:fill="auto"/>
          <w:lang w:val="en-US" w:eastAsia="zh-CN" w:bidi="ar-SA"/>
        </w:rPr>
        <w:t>施工图审查费：根据（川建价发〔20</w:t>
      </w:r>
      <w:r>
        <w:rPr>
          <w:rFonts w:hint="eastAsia" w:ascii="仿宋" w:hAnsi="仿宋" w:cs="Times New Roman"/>
          <w:kern w:val="2"/>
          <w:sz w:val="32"/>
          <w:szCs w:val="32"/>
          <w:highlight w:val="none"/>
          <w:shd w:val="clear" w:color="auto" w:fill="auto"/>
          <w:lang w:val="en-US" w:eastAsia="zh-CN" w:bidi="ar-SA"/>
        </w:rPr>
        <w:t>12</w:t>
      </w:r>
      <w:r>
        <w:rPr>
          <w:rFonts w:hint="eastAsia" w:ascii="仿宋" w:hAnsi="仿宋" w:eastAsia="仿宋_GB2312" w:cs="Times New Roman"/>
          <w:kern w:val="2"/>
          <w:sz w:val="32"/>
          <w:szCs w:val="32"/>
          <w:highlight w:val="none"/>
          <w:shd w:val="clear" w:color="auto" w:fill="auto"/>
          <w:lang w:val="en-US" w:eastAsia="zh-CN" w:bidi="ar-SA"/>
        </w:rPr>
        <w:t>〕）文计算；</w:t>
      </w:r>
    </w:p>
    <w:p>
      <w:pPr>
        <w:pStyle w:val="14"/>
        <w:spacing w:after="0" w:line="240" w:lineRule="auto"/>
        <w:ind w:left="0" w:leftChars="0" w:right="0" w:rightChars="0" w:firstLine="640" w:firstLineChars="200"/>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⑩</w:t>
      </w:r>
      <w:r>
        <w:rPr>
          <w:rFonts w:hint="eastAsia" w:ascii="仿宋" w:hAnsi="仿宋" w:cs="Times New Roman"/>
          <w:kern w:val="2"/>
          <w:sz w:val="32"/>
          <w:szCs w:val="32"/>
          <w:highlight w:val="none"/>
          <w:shd w:val="clear" w:color="auto" w:fill="auto"/>
          <w:lang w:val="en-US" w:eastAsia="zh-CN" w:bidi="ar-SA"/>
        </w:rPr>
        <w:t xml:space="preserve"> </w:t>
      </w:r>
      <w:r>
        <w:rPr>
          <w:rFonts w:hint="eastAsia" w:ascii="仿宋" w:hAnsi="仿宋" w:eastAsia="仿宋_GB2312" w:cs="Times New Roman"/>
          <w:kern w:val="2"/>
          <w:sz w:val="32"/>
          <w:szCs w:val="32"/>
          <w:highlight w:val="none"/>
          <w:shd w:val="clear" w:color="auto" w:fill="auto"/>
          <w:lang w:val="en-US" w:eastAsia="zh-CN" w:bidi="ar-SA"/>
        </w:rPr>
        <w:t>工程保险费：按工程费的0.6%计算。</w:t>
      </w:r>
    </w:p>
    <w:p>
      <w:pPr>
        <w:pStyle w:val="14"/>
        <w:spacing w:after="0" w:line="240" w:lineRule="auto"/>
        <w:ind w:left="0" w:leftChars="0" w:right="0" w:rightChars="0" w:firstLine="640" w:firstLineChars="200"/>
        <w:rPr>
          <w:rFonts w:ascii="仿宋" w:hAnsi="仿宋"/>
          <w:szCs w:val="32"/>
          <w:highlight w:val="none"/>
          <w:shd w:val="clear" w:color="auto" w:fill="auto"/>
        </w:rPr>
      </w:pPr>
      <w:r>
        <w:rPr>
          <w:rFonts w:hint="eastAsia" w:ascii="仿宋" w:hAnsi="仿宋" w:cs="Times New Roman"/>
          <w:kern w:val="2"/>
          <w:sz w:val="32"/>
          <w:szCs w:val="32"/>
          <w:highlight w:val="none"/>
          <w:shd w:val="clear" w:color="auto" w:fill="auto"/>
          <w:lang w:val="en-US" w:eastAsia="zh-CN" w:bidi="ar-SA"/>
        </w:rPr>
        <w:t xml:space="preserve">⑪ </w:t>
      </w:r>
      <w:r>
        <w:rPr>
          <w:rFonts w:hint="eastAsia" w:ascii="仿宋" w:hAnsi="仿宋" w:eastAsia="仿宋_GB2312" w:cs="Times New Roman"/>
          <w:kern w:val="2"/>
          <w:sz w:val="32"/>
          <w:szCs w:val="32"/>
          <w:highlight w:val="none"/>
          <w:shd w:val="clear" w:color="auto" w:fill="auto"/>
          <w:lang w:val="en-US" w:eastAsia="zh-CN" w:bidi="ar-SA"/>
        </w:rPr>
        <w:t>基本预备费：按第一、二部分费用（扣除耕地临时占用和青苗补偿费）之和8%计算；</w:t>
      </w:r>
    </w:p>
    <w:p>
      <w:pPr>
        <w:keepNext/>
        <w:keepLines/>
        <w:pageBreakBefore w:val="0"/>
        <w:widowControl w:val="0"/>
        <w:kinsoku/>
        <w:wordWrap/>
        <w:overflowPunct/>
        <w:topLinePunct w:val="0"/>
        <w:autoSpaceDE/>
        <w:autoSpaceDN/>
        <w:bidi w:val="0"/>
        <w:adjustRightInd/>
        <w:snapToGrid/>
        <w:spacing w:line="240" w:lineRule="auto"/>
        <w:ind w:firstLine="643" w:firstLineChars="200"/>
        <w:jc w:val="left"/>
        <w:textAlignment w:val="auto"/>
        <w:outlineLvl w:val="2"/>
        <w:rPr>
          <w:rFonts w:hint="eastAsia" w:ascii="仿宋" w:hAnsi="仿宋" w:eastAsia="仿宋" w:cs="Times New Roman"/>
          <w:b/>
          <w:bCs/>
          <w:color w:val="auto"/>
          <w:kern w:val="2"/>
          <w:sz w:val="32"/>
          <w:szCs w:val="32"/>
          <w:highlight w:val="none"/>
          <w:shd w:val="clear" w:color="auto" w:fill="auto"/>
          <w:lang w:val="en-US" w:eastAsia="zh-CN" w:bidi="ar-SA"/>
        </w:rPr>
      </w:pPr>
      <w:r>
        <w:rPr>
          <w:rFonts w:hint="eastAsia" w:ascii="仿宋" w:hAnsi="仿宋" w:eastAsia="仿宋" w:cs="Times New Roman"/>
          <w:b/>
          <w:bCs/>
          <w:color w:val="auto"/>
          <w:kern w:val="2"/>
          <w:sz w:val="32"/>
          <w:szCs w:val="32"/>
          <w:highlight w:val="none"/>
          <w:shd w:val="clear" w:color="auto" w:fill="auto"/>
          <w:lang w:val="en-US" w:eastAsia="zh-CN" w:bidi="ar-SA"/>
        </w:rPr>
        <w:t>四、投资估算</w:t>
      </w:r>
    </w:p>
    <w:p>
      <w:pPr>
        <w:pStyle w:val="14"/>
        <w:spacing w:after="0" w:line="240" w:lineRule="auto"/>
        <w:ind w:left="0" w:leftChars="0" w:right="0" w:rightChars="0" w:firstLine="640" w:firstLineChars="200"/>
        <w:rPr>
          <w:rFonts w:hint="eastAsia" w:ascii="仿宋" w:hAnsi="仿宋" w:cs="Times New Roman"/>
          <w:kern w:val="2"/>
          <w:sz w:val="32"/>
          <w:szCs w:val="32"/>
          <w:highlight w:val="none"/>
          <w:shd w:val="clear" w:color="auto" w:fill="auto"/>
          <w:lang w:val="en-US" w:eastAsia="zh-CN" w:bidi="ar-SA"/>
        </w:rPr>
      </w:pPr>
      <w:r>
        <w:rPr>
          <w:rFonts w:hint="eastAsia" w:ascii="仿宋" w:hAnsi="仿宋" w:cs="Times New Roman"/>
          <w:kern w:val="2"/>
          <w:sz w:val="32"/>
          <w:szCs w:val="32"/>
          <w:highlight w:val="none"/>
          <w:shd w:val="clear" w:color="auto" w:fill="auto"/>
          <w:lang w:val="en-US" w:eastAsia="zh-CN" w:bidi="ar-SA"/>
        </w:rPr>
        <w:t>1、规模养殖场粪污处理设施</w:t>
      </w:r>
    </w:p>
    <w:p>
      <w:pPr>
        <w:pStyle w:val="14"/>
        <w:spacing w:after="0" w:line="240" w:lineRule="auto"/>
        <w:ind w:left="0" w:leftChars="0" w:right="0" w:rightChars="0" w:firstLine="640" w:firstLineChars="200"/>
        <w:rPr>
          <w:rFonts w:hint="default" w:ascii="仿宋" w:hAnsi="仿宋" w:cs="Times New Roman"/>
          <w:kern w:val="2"/>
          <w:sz w:val="32"/>
          <w:szCs w:val="32"/>
          <w:highlight w:val="none"/>
          <w:shd w:val="clear" w:color="auto" w:fill="auto"/>
          <w:lang w:val="en-US" w:eastAsia="zh-CN" w:bidi="ar-SA"/>
        </w:rPr>
      </w:pPr>
      <w:r>
        <w:rPr>
          <w:rFonts w:hint="eastAsia" w:ascii="仿宋" w:hAnsi="仿宋" w:cs="Times New Roman"/>
          <w:kern w:val="2"/>
          <w:sz w:val="32"/>
          <w:szCs w:val="32"/>
          <w:highlight w:val="none"/>
          <w:shd w:val="clear" w:color="auto" w:fill="auto"/>
          <w:lang w:val="en-US" w:eastAsia="zh-CN" w:bidi="ar-SA"/>
        </w:rPr>
        <w:t>旺苍县拟整治11个乡镇的规模畜禽养殖场30家，规划建设粪污处理设施，建设堆粪场有效容积6274立方米，堆粪场面积4183平方米，污水贮水池有效容积16635立方米，堆粪场工程估算165万元，贮水池工程估算641万元。2023年规划完成2家规模畜禽养殖场整治，2024年规划完成2家规模畜禽养殖场整治，2025年规划完成26家规模畜禽养殖场整治。</w:t>
      </w:r>
    </w:p>
    <w:p>
      <w:pPr>
        <w:pStyle w:val="115"/>
        <w:pageBreakBefore w:val="0"/>
        <w:widowControl w:val="0"/>
        <w:kinsoku/>
        <w:wordWrap/>
        <w:overflowPunct/>
        <w:topLinePunct w:val="0"/>
        <w:bidi w:val="0"/>
        <w:snapToGrid/>
        <w:spacing w:line="560" w:lineRule="exact"/>
        <w:jc w:val="center"/>
        <w:textAlignment w:val="auto"/>
        <w:outlineLvl w:val="7"/>
        <w:rPr>
          <w:rFonts w:hint="default" w:ascii="仿宋" w:hAnsi="仿宋" w:cs="Times New Roman"/>
          <w:kern w:val="2"/>
          <w:sz w:val="32"/>
          <w:szCs w:val="32"/>
          <w:highlight w:val="none"/>
          <w:shd w:val="clear" w:color="auto" w:fill="auto"/>
          <w:lang w:val="en-US" w:eastAsia="zh-CN" w:bidi="ar-SA"/>
        </w:rPr>
      </w:pPr>
      <w:r>
        <w:rPr>
          <w:rFonts w:hint="eastAsia" w:ascii="仿宋" w:hAnsi="仿宋" w:eastAsia="仿宋" w:cs="Times New Roman"/>
          <w:b/>
          <w:color w:val="auto"/>
          <w:sz w:val="28"/>
          <w:szCs w:val="28"/>
          <w:highlight w:val="none"/>
          <w:shd w:val="clear" w:color="auto" w:fill="auto"/>
          <w:lang w:val="en-US" w:eastAsia="zh-CN"/>
        </w:rPr>
        <w:t>表6-1  旺苍县乡镇规模养殖场粪污处理设施投资估算</w:t>
      </w:r>
    </w:p>
    <w:tbl>
      <w:tblPr>
        <w:tblStyle w:val="3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0"/>
        <w:gridCol w:w="951"/>
        <w:gridCol w:w="974"/>
        <w:gridCol w:w="1019"/>
        <w:gridCol w:w="1019"/>
        <w:gridCol w:w="1021"/>
        <w:gridCol w:w="1008"/>
        <w:gridCol w:w="1009"/>
        <w:gridCol w:w="10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blHeader/>
        </w:trPr>
        <w:tc>
          <w:tcPr>
            <w:tcW w:w="0" w:type="auto"/>
            <w:vMerge w:val="restart"/>
            <w:tcBorders>
              <w:top w:val="single" w:color="000000" w:sz="4" w:space="0"/>
              <w:left w:val="single" w:color="000000" w:sz="4" w:space="0"/>
              <w:bottom w:val="single" w:color="auto"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序号</w:t>
            </w:r>
          </w:p>
        </w:tc>
        <w:tc>
          <w:tcPr>
            <w:tcW w:w="951" w:type="dxa"/>
            <w:vMerge w:val="restart"/>
            <w:tcBorders>
              <w:top w:val="single" w:color="000000" w:sz="4" w:space="0"/>
              <w:left w:val="single" w:color="000000" w:sz="4" w:space="0"/>
              <w:bottom w:val="single" w:color="auto"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乡镇</w:t>
            </w:r>
          </w:p>
        </w:tc>
        <w:tc>
          <w:tcPr>
            <w:tcW w:w="974" w:type="dxa"/>
            <w:vMerge w:val="restart"/>
            <w:tcBorders>
              <w:top w:val="single" w:color="000000" w:sz="4" w:space="0"/>
              <w:left w:val="single" w:color="000000" w:sz="4" w:space="0"/>
              <w:bottom w:val="single" w:color="auto"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规模化养殖场数量（家）</w:t>
            </w: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堆粪场</w:t>
            </w:r>
          </w:p>
        </w:tc>
        <w:tc>
          <w:tcPr>
            <w:tcW w:w="2017"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污水贮水池</w:t>
            </w:r>
          </w:p>
        </w:tc>
        <w:tc>
          <w:tcPr>
            <w:tcW w:w="1011" w:type="dxa"/>
            <w:vMerge w:val="restart"/>
            <w:tcBorders>
              <w:top w:val="single" w:color="000000" w:sz="4" w:space="0"/>
              <w:left w:val="single" w:color="000000" w:sz="4" w:space="0"/>
              <w:bottom w:val="single" w:color="auto"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完成时限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blHeader/>
        </w:trPr>
        <w:tc>
          <w:tcPr>
            <w:tcW w:w="0" w:type="auto"/>
            <w:vMerge w:val="continue"/>
            <w:tcBorders>
              <w:top w:val="single" w:color="auto" w:sz="4" w:space="0"/>
              <w:left w:val="single" w:color="000000" w:sz="4" w:space="0"/>
              <w:bottom w:val="single" w:color="auto"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bCs/>
                <w:color w:val="auto"/>
                <w:sz w:val="24"/>
                <w:szCs w:val="24"/>
                <w:highlight w:val="none"/>
                <w:shd w:val="clear" w:color="auto" w:fill="auto"/>
                <w:lang w:val="en-US" w:eastAsia="zh-CN"/>
              </w:rPr>
            </w:pPr>
          </w:p>
        </w:tc>
        <w:tc>
          <w:tcPr>
            <w:tcW w:w="951" w:type="dxa"/>
            <w:vMerge w:val="continue"/>
            <w:tcBorders>
              <w:top w:val="single" w:color="auto" w:sz="4" w:space="0"/>
              <w:left w:val="single" w:color="000000" w:sz="4" w:space="0"/>
              <w:bottom w:val="single" w:color="auto"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p>
        </w:tc>
        <w:tc>
          <w:tcPr>
            <w:tcW w:w="974" w:type="dxa"/>
            <w:vMerge w:val="continue"/>
            <w:tcBorders>
              <w:top w:val="single" w:color="auto" w:sz="4" w:space="0"/>
              <w:left w:val="single" w:color="000000" w:sz="4" w:space="0"/>
              <w:bottom w:val="single" w:color="auto"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bCs/>
                <w:color w:val="auto"/>
                <w:sz w:val="24"/>
                <w:szCs w:val="24"/>
                <w:highlight w:val="none"/>
                <w:shd w:val="clear" w:color="auto" w:fill="auto"/>
                <w:lang w:val="en-US" w:eastAsia="zh-CN"/>
              </w:rPr>
            </w:pP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有效容积(立方米）</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面积（平方米）</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工程估算（万元）</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有效容积（立方米）</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工程估算（万元）</w:t>
            </w:r>
          </w:p>
        </w:tc>
        <w:tc>
          <w:tcPr>
            <w:tcW w:w="1011" w:type="dxa"/>
            <w:vMerge w:val="continue"/>
            <w:tcBorders>
              <w:top w:val="single" w:color="auto"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bCs/>
                <w:color w:val="auto"/>
                <w:sz w:val="24"/>
                <w:szCs w:val="24"/>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auto"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1</w:t>
            </w:r>
          </w:p>
        </w:tc>
        <w:tc>
          <w:tcPr>
            <w:tcW w:w="951"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eastAsia="仿宋_GB2312" w:cs="仿宋_GB2312"/>
                <w:i w:val="0"/>
                <w:iCs w:val="0"/>
                <w:color w:val="000000"/>
                <w:kern w:val="0"/>
                <w:sz w:val="24"/>
                <w:szCs w:val="24"/>
                <w:highlight w:val="none"/>
                <w:u w:val="none"/>
                <w:lang w:val="en-US" w:eastAsia="zh-CN" w:bidi="ar"/>
              </w:rPr>
              <w:t>白水镇</w:t>
            </w:r>
          </w:p>
        </w:tc>
        <w:tc>
          <w:tcPr>
            <w:tcW w:w="974"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cs="Times New Roman"/>
                <w:b w:val="0"/>
                <w:bCs w:val="0"/>
                <w:color w:val="auto"/>
                <w:sz w:val="24"/>
                <w:szCs w:val="24"/>
                <w:highlight w:val="none"/>
                <w:shd w:val="clear" w:color="auto" w:fill="auto"/>
                <w:lang w:val="en-US" w:eastAsia="zh-CN"/>
              </w:rPr>
            </w:pPr>
            <w:r>
              <w:rPr>
                <w:rFonts w:hint="default" w:ascii="仿宋" w:hAnsi="仿宋" w:eastAsia="宋体" w:cs="Times New Roman"/>
                <w:i w:val="0"/>
                <w:iCs w:val="0"/>
                <w:color w:val="000000"/>
                <w:kern w:val="0"/>
                <w:sz w:val="24"/>
                <w:szCs w:val="24"/>
                <w:highlight w:val="none"/>
                <w:u w:val="none"/>
                <w:lang w:val="en-US" w:eastAsia="zh-CN" w:bidi="ar"/>
              </w:rPr>
              <w:t>6</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701 </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468 </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18 </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1860 </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72 </w:t>
            </w:r>
          </w:p>
        </w:tc>
        <w:tc>
          <w:tcPr>
            <w:tcW w:w="10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_GB2312" w:cs="仿宋_GB2312"/>
                <w:i w:val="0"/>
                <w:iCs w:val="0"/>
                <w:color w:val="000000"/>
                <w:kern w:val="0"/>
                <w:sz w:val="24"/>
                <w:szCs w:val="24"/>
                <w:highlight w:val="none"/>
                <w:u w:val="none"/>
                <w:lang w:val="en-US" w:eastAsia="zh-CN" w:bidi="ar"/>
              </w:rPr>
            </w:pPr>
            <w:r>
              <w:rPr>
                <w:rFonts w:hint="default" w:ascii="仿宋" w:hAnsi="仿宋" w:eastAsia="仿宋_GB2312" w:cs="仿宋_GB2312"/>
                <w:i w:val="0"/>
                <w:iCs w:val="0"/>
                <w:color w:val="000000"/>
                <w:kern w:val="0"/>
                <w:sz w:val="24"/>
                <w:szCs w:val="24"/>
                <w:highlight w:val="none"/>
                <w:u w:val="none"/>
                <w:lang w:val="en-US" w:eastAsia="zh-CN" w:bidi="ar"/>
              </w:rPr>
              <w:t>2025</w:t>
            </w:r>
            <w:r>
              <w:rPr>
                <w:rFonts w:hint="eastAsia" w:ascii="仿宋" w:hAnsi="仿宋" w:eastAsia="仿宋_GB2312" w:cs="仿宋_GB2312"/>
                <w:i w:val="0"/>
                <w:iCs w:val="0"/>
                <w:color w:val="000000"/>
                <w:kern w:val="0"/>
                <w:sz w:val="24"/>
                <w:szCs w:val="24"/>
                <w:highlight w:val="none"/>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2</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eastAsia="仿宋_GB2312" w:cs="仿宋_GB2312"/>
                <w:i w:val="0"/>
                <w:iCs w:val="0"/>
                <w:color w:val="000000"/>
                <w:kern w:val="0"/>
                <w:sz w:val="24"/>
                <w:szCs w:val="24"/>
                <w:highlight w:val="none"/>
                <w:u w:val="none"/>
                <w:lang w:val="en-US" w:eastAsia="zh-CN" w:bidi="ar"/>
              </w:rPr>
              <w:t>大德镇</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cs="Times New Roman"/>
                <w:b w:val="0"/>
                <w:bCs w:val="0"/>
                <w:color w:val="auto"/>
                <w:sz w:val="24"/>
                <w:szCs w:val="24"/>
                <w:highlight w:val="none"/>
                <w:shd w:val="clear" w:color="auto" w:fill="auto"/>
                <w:lang w:val="en-US" w:eastAsia="zh-CN"/>
              </w:rPr>
            </w:pPr>
            <w:r>
              <w:rPr>
                <w:rFonts w:hint="default" w:ascii="仿宋" w:hAnsi="仿宋" w:eastAsia="宋体" w:cs="Times New Roman"/>
                <w:i w:val="0"/>
                <w:iCs w:val="0"/>
                <w:color w:val="000000"/>
                <w:kern w:val="0"/>
                <w:sz w:val="24"/>
                <w:szCs w:val="24"/>
                <w:highlight w:val="none"/>
                <w:u w:val="none"/>
                <w:lang w:val="en-US" w:eastAsia="zh-CN" w:bidi="ar"/>
              </w:rPr>
              <w:t>3</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603 </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402 </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16 </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1600 </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62 </w:t>
            </w:r>
          </w:p>
        </w:tc>
        <w:tc>
          <w:tcPr>
            <w:tcW w:w="10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_GB2312" w:cs="仿宋_GB2312"/>
                <w:i w:val="0"/>
                <w:iCs w:val="0"/>
                <w:color w:val="000000"/>
                <w:kern w:val="0"/>
                <w:sz w:val="24"/>
                <w:szCs w:val="24"/>
                <w:highlight w:val="none"/>
                <w:u w:val="none"/>
                <w:lang w:val="en-US" w:eastAsia="zh-CN" w:bidi="ar"/>
              </w:rPr>
            </w:pPr>
            <w:r>
              <w:rPr>
                <w:rFonts w:hint="default" w:ascii="仿宋" w:hAnsi="仿宋" w:eastAsia="仿宋_GB2312" w:cs="仿宋_GB2312"/>
                <w:i w:val="0"/>
                <w:iCs w:val="0"/>
                <w:color w:val="000000"/>
                <w:kern w:val="0"/>
                <w:sz w:val="24"/>
                <w:szCs w:val="24"/>
                <w:highlight w:val="none"/>
                <w:u w:val="none"/>
                <w:lang w:val="en-US" w:eastAsia="zh-CN" w:bidi="ar"/>
              </w:rPr>
              <w:t>2025</w:t>
            </w:r>
            <w:r>
              <w:rPr>
                <w:rFonts w:hint="eastAsia" w:ascii="仿宋" w:hAnsi="仿宋" w:eastAsia="仿宋_GB2312" w:cs="仿宋_GB2312"/>
                <w:i w:val="0"/>
                <w:iCs w:val="0"/>
                <w:color w:val="000000"/>
                <w:kern w:val="0"/>
                <w:sz w:val="24"/>
                <w:szCs w:val="24"/>
                <w:highlight w:val="none"/>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3</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eastAsia="仿宋_GB2312" w:cs="仿宋_GB2312"/>
                <w:i w:val="0"/>
                <w:iCs w:val="0"/>
                <w:color w:val="000000"/>
                <w:kern w:val="0"/>
                <w:sz w:val="24"/>
                <w:szCs w:val="24"/>
                <w:highlight w:val="none"/>
                <w:u w:val="none"/>
                <w:lang w:val="en-US" w:eastAsia="zh-CN" w:bidi="ar"/>
              </w:rPr>
              <w:t>大两镇</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cs="Times New Roman"/>
                <w:b w:val="0"/>
                <w:bCs w:val="0"/>
                <w:color w:val="auto"/>
                <w:sz w:val="24"/>
                <w:szCs w:val="24"/>
                <w:highlight w:val="none"/>
                <w:shd w:val="clear" w:color="auto" w:fill="auto"/>
                <w:lang w:val="en-US" w:eastAsia="zh-CN"/>
              </w:rPr>
            </w:pPr>
            <w:r>
              <w:rPr>
                <w:rFonts w:hint="default" w:ascii="仿宋" w:hAnsi="仿宋" w:eastAsia="宋体" w:cs="Times New Roman"/>
                <w:i w:val="0"/>
                <w:iCs w:val="0"/>
                <w:color w:val="000000"/>
                <w:kern w:val="0"/>
                <w:sz w:val="24"/>
                <w:szCs w:val="24"/>
                <w:highlight w:val="none"/>
                <w:u w:val="none"/>
                <w:lang w:val="en-US" w:eastAsia="zh-CN" w:bidi="ar"/>
              </w:rPr>
              <w:t>2</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396 </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264 </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10 </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1050 </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40 </w:t>
            </w:r>
          </w:p>
        </w:tc>
        <w:tc>
          <w:tcPr>
            <w:tcW w:w="10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_GB2312" w:cs="仿宋_GB2312"/>
                <w:i w:val="0"/>
                <w:iCs w:val="0"/>
                <w:color w:val="000000"/>
                <w:kern w:val="0"/>
                <w:sz w:val="24"/>
                <w:szCs w:val="24"/>
                <w:highlight w:val="none"/>
                <w:u w:val="none"/>
                <w:lang w:val="en-US" w:eastAsia="zh-CN" w:bidi="ar"/>
              </w:rPr>
            </w:pPr>
            <w:r>
              <w:rPr>
                <w:rFonts w:hint="default" w:ascii="仿宋" w:hAnsi="仿宋" w:eastAsia="仿宋_GB2312" w:cs="仿宋_GB2312"/>
                <w:i w:val="0"/>
                <w:iCs w:val="0"/>
                <w:color w:val="000000"/>
                <w:kern w:val="0"/>
                <w:sz w:val="24"/>
                <w:szCs w:val="24"/>
                <w:highlight w:val="none"/>
                <w:u w:val="none"/>
                <w:lang w:val="en-US" w:eastAsia="zh-CN" w:bidi="ar"/>
              </w:rPr>
              <w:t>2025</w:t>
            </w:r>
            <w:r>
              <w:rPr>
                <w:rFonts w:hint="eastAsia" w:ascii="仿宋" w:hAnsi="仿宋" w:eastAsia="仿宋_GB2312" w:cs="仿宋_GB2312"/>
                <w:i w:val="0"/>
                <w:iCs w:val="0"/>
                <w:color w:val="000000"/>
                <w:kern w:val="0"/>
                <w:sz w:val="24"/>
                <w:szCs w:val="24"/>
                <w:highlight w:val="none"/>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4</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eastAsia="仿宋_GB2312" w:cs="仿宋_GB2312"/>
                <w:i w:val="0"/>
                <w:iCs w:val="0"/>
                <w:color w:val="000000"/>
                <w:kern w:val="0"/>
                <w:sz w:val="24"/>
                <w:szCs w:val="24"/>
                <w:highlight w:val="none"/>
                <w:u w:val="none"/>
                <w:lang w:val="en-US" w:eastAsia="zh-CN" w:bidi="ar"/>
              </w:rPr>
              <w:t>高阳镇</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cs="Times New Roman"/>
                <w:b w:val="0"/>
                <w:bCs w:val="0"/>
                <w:color w:val="auto"/>
                <w:sz w:val="24"/>
                <w:szCs w:val="24"/>
                <w:highlight w:val="none"/>
                <w:shd w:val="clear" w:color="auto" w:fill="auto"/>
                <w:lang w:val="en-US" w:eastAsia="zh-CN"/>
              </w:rPr>
            </w:pPr>
            <w:r>
              <w:rPr>
                <w:rFonts w:hint="default" w:ascii="仿宋" w:hAnsi="仿宋" w:eastAsia="宋体" w:cs="Times New Roman"/>
                <w:i w:val="0"/>
                <w:iCs w:val="0"/>
                <w:color w:val="000000"/>
                <w:kern w:val="0"/>
                <w:sz w:val="24"/>
                <w:szCs w:val="24"/>
                <w:highlight w:val="none"/>
                <w:u w:val="none"/>
                <w:lang w:val="en-US" w:eastAsia="zh-CN" w:bidi="ar"/>
              </w:rPr>
              <w:t>1</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170 </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113 </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5 </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450 </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17 </w:t>
            </w:r>
          </w:p>
        </w:tc>
        <w:tc>
          <w:tcPr>
            <w:tcW w:w="10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_GB2312" w:cs="仿宋_GB2312"/>
                <w:i w:val="0"/>
                <w:iCs w:val="0"/>
                <w:color w:val="000000"/>
                <w:kern w:val="0"/>
                <w:sz w:val="24"/>
                <w:szCs w:val="24"/>
                <w:highlight w:val="none"/>
                <w:u w:val="none"/>
                <w:lang w:val="en-US" w:eastAsia="zh-CN" w:bidi="ar"/>
              </w:rPr>
            </w:pPr>
            <w:r>
              <w:rPr>
                <w:rFonts w:hint="default" w:ascii="仿宋" w:hAnsi="仿宋" w:eastAsia="仿宋_GB2312" w:cs="仿宋_GB2312"/>
                <w:i w:val="0"/>
                <w:iCs w:val="0"/>
                <w:color w:val="000000"/>
                <w:kern w:val="0"/>
                <w:sz w:val="24"/>
                <w:szCs w:val="24"/>
                <w:highlight w:val="none"/>
                <w:u w:val="none"/>
                <w:lang w:val="en-US" w:eastAsia="zh-CN" w:bidi="ar"/>
              </w:rPr>
              <w:t>2023</w:t>
            </w:r>
            <w:r>
              <w:rPr>
                <w:rFonts w:hint="eastAsia" w:ascii="仿宋" w:hAnsi="仿宋" w:eastAsia="仿宋_GB2312" w:cs="仿宋_GB2312"/>
                <w:i w:val="0"/>
                <w:iCs w:val="0"/>
                <w:color w:val="000000"/>
                <w:kern w:val="0"/>
                <w:sz w:val="24"/>
                <w:szCs w:val="24"/>
                <w:highlight w:val="none"/>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5</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eastAsia="仿宋_GB2312" w:cs="仿宋_GB2312"/>
                <w:i w:val="0"/>
                <w:iCs w:val="0"/>
                <w:color w:val="000000"/>
                <w:kern w:val="0"/>
                <w:sz w:val="24"/>
                <w:szCs w:val="24"/>
                <w:highlight w:val="none"/>
                <w:u w:val="none"/>
                <w:lang w:val="en-US" w:eastAsia="zh-CN" w:bidi="ar"/>
              </w:rPr>
              <w:t>黄洋镇</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cs="Times New Roman"/>
                <w:b w:val="0"/>
                <w:bCs w:val="0"/>
                <w:color w:val="auto"/>
                <w:sz w:val="24"/>
                <w:szCs w:val="24"/>
                <w:highlight w:val="none"/>
                <w:shd w:val="clear" w:color="auto" w:fill="auto"/>
                <w:lang w:val="en-US" w:eastAsia="zh-CN"/>
              </w:rPr>
            </w:pPr>
            <w:r>
              <w:rPr>
                <w:rFonts w:hint="default" w:ascii="仿宋" w:hAnsi="仿宋" w:eastAsia="宋体" w:cs="Times New Roman"/>
                <w:i w:val="0"/>
                <w:iCs w:val="0"/>
                <w:color w:val="000000"/>
                <w:kern w:val="0"/>
                <w:sz w:val="24"/>
                <w:szCs w:val="24"/>
                <w:highlight w:val="none"/>
                <w:u w:val="none"/>
                <w:lang w:val="en-US" w:eastAsia="zh-CN" w:bidi="ar"/>
              </w:rPr>
              <w:t>1</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113 </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75 </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3 </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300 </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12 </w:t>
            </w:r>
          </w:p>
        </w:tc>
        <w:tc>
          <w:tcPr>
            <w:tcW w:w="10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_GB2312" w:cs="仿宋_GB2312"/>
                <w:i w:val="0"/>
                <w:iCs w:val="0"/>
                <w:color w:val="000000"/>
                <w:kern w:val="0"/>
                <w:sz w:val="24"/>
                <w:szCs w:val="24"/>
                <w:highlight w:val="none"/>
                <w:u w:val="none"/>
                <w:lang w:val="en-US" w:eastAsia="zh-CN" w:bidi="ar"/>
              </w:rPr>
            </w:pPr>
            <w:r>
              <w:rPr>
                <w:rFonts w:hint="default" w:ascii="仿宋" w:hAnsi="仿宋" w:eastAsia="仿宋_GB2312" w:cs="仿宋_GB2312"/>
                <w:i w:val="0"/>
                <w:iCs w:val="0"/>
                <w:color w:val="000000"/>
                <w:kern w:val="0"/>
                <w:sz w:val="24"/>
                <w:szCs w:val="24"/>
                <w:highlight w:val="none"/>
                <w:u w:val="none"/>
                <w:lang w:val="en-US" w:eastAsia="zh-CN" w:bidi="ar"/>
              </w:rPr>
              <w:t>2023</w:t>
            </w:r>
            <w:r>
              <w:rPr>
                <w:rFonts w:hint="eastAsia" w:ascii="仿宋" w:hAnsi="仿宋" w:eastAsia="仿宋_GB2312" w:cs="仿宋_GB2312"/>
                <w:i w:val="0"/>
                <w:iCs w:val="0"/>
                <w:color w:val="000000"/>
                <w:kern w:val="0"/>
                <w:sz w:val="24"/>
                <w:szCs w:val="24"/>
                <w:highlight w:val="none"/>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6</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eastAsia="仿宋_GB2312" w:cs="仿宋_GB2312"/>
                <w:i w:val="0"/>
                <w:iCs w:val="0"/>
                <w:color w:val="000000"/>
                <w:kern w:val="0"/>
                <w:sz w:val="24"/>
                <w:szCs w:val="24"/>
                <w:highlight w:val="none"/>
                <w:u w:val="none"/>
                <w:lang w:val="en-US" w:eastAsia="zh-CN" w:bidi="ar"/>
              </w:rPr>
              <w:t>九龙镇</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cs="Times New Roman"/>
                <w:b w:val="0"/>
                <w:bCs w:val="0"/>
                <w:color w:val="auto"/>
                <w:sz w:val="24"/>
                <w:szCs w:val="24"/>
                <w:highlight w:val="none"/>
                <w:shd w:val="clear" w:color="auto" w:fill="auto"/>
                <w:lang w:val="en-US" w:eastAsia="zh-CN"/>
              </w:rPr>
            </w:pPr>
            <w:r>
              <w:rPr>
                <w:rFonts w:hint="default" w:ascii="仿宋" w:hAnsi="仿宋" w:eastAsia="宋体" w:cs="Times New Roman"/>
                <w:i w:val="0"/>
                <w:iCs w:val="0"/>
                <w:color w:val="000000"/>
                <w:kern w:val="0"/>
                <w:sz w:val="24"/>
                <w:szCs w:val="24"/>
                <w:highlight w:val="none"/>
                <w:u w:val="none"/>
                <w:lang w:val="en-US" w:eastAsia="zh-CN" w:bidi="ar"/>
              </w:rPr>
              <w:t>1</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189 </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126 </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5 </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500 </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19 </w:t>
            </w:r>
          </w:p>
        </w:tc>
        <w:tc>
          <w:tcPr>
            <w:tcW w:w="10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_GB2312" w:cs="仿宋_GB2312"/>
                <w:i w:val="0"/>
                <w:iCs w:val="0"/>
                <w:color w:val="000000"/>
                <w:kern w:val="0"/>
                <w:sz w:val="24"/>
                <w:szCs w:val="24"/>
                <w:highlight w:val="none"/>
                <w:u w:val="none"/>
                <w:lang w:val="en-US" w:eastAsia="zh-CN" w:bidi="ar"/>
              </w:rPr>
            </w:pPr>
            <w:r>
              <w:rPr>
                <w:rFonts w:hint="default" w:ascii="仿宋" w:hAnsi="仿宋" w:eastAsia="仿宋_GB2312" w:cs="仿宋_GB2312"/>
                <w:i w:val="0"/>
                <w:iCs w:val="0"/>
                <w:color w:val="000000"/>
                <w:kern w:val="0"/>
                <w:sz w:val="24"/>
                <w:szCs w:val="24"/>
                <w:highlight w:val="none"/>
                <w:u w:val="none"/>
                <w:lang w:val="en-US" w:eastAsia="zh-CN" w:bidi="ar"/>
              </w:rPr>
              <w:t>2025</w:t>
            </w:r>
            <w:r>
              <w:rPr>
                <w:rFonts w:hint="eastAsia" w:ascii="仿宋" w:hAnsi="仿宋" w:eastAsia="仿宋_GB2312" w:cs="仿宋_GB2312"/>
                <w:i w:val="0"/>
                <w:iCs w:val="0"/>
                <w:color w:val="000000"/>
                <w:kern w:val="0"/>
                <w:sz w:val="24"/>
                <w:szCs w:val="24"/>
                <w:highlight w:val="none"/>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7</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eastAsia="仿宋_GB2312" w:cs="仿宋_GB2312"/>
                <w:i w:val="0"/>
                <w:iCs w:val="0"/>
                <w:color w:val="000000"/>
                <w:kern w:val="0"/>
                <w:sz w:val="24"/>
                <w:szCs w:val="24"/>
                <w:highlight w:val="none"/>
                <w:u w:val="none"/>
                <w:lang w:val="en-US" w:eastAsia="zh-CN" w:bidi="ar"/>
              </w:rPr>
              <w:t>普济镇</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cs="Times New Roman"/>
                <w:b w:val="0"/>
                <w:bCs w:val="0"/>
                <w:color w:val="auto"/>
                <w:sz w:val="24"/>
                <w:szCs w:val="24"/>
                <w:highlight w:val="none"/>
                <w:shd w:val="clear" w:color="auto" w:fill="auto"/>
                <w:lang w:val="en-US" w:eastAsia="zh-CN"/>
              </w:rPr>
            </w:pPr>
            <w:r>
              <w:rPr>
                <w:rFonts w:hint="default" w:ascii="仿宋" w:hAnsi="仿宋" w:eastAsia="宋体" w:cs="Times New Roman"/>
                <w:i w:val="0"/>
                <w:iCs w:val="0"/>
                <w:color w:val="000000"/>
                <w:kern w:val="0"/>
                <w:sz w:val="24"/>
                <w:szCs w:val="24"/>
                <w:highlight w:val="none"/>
                <w:u w:val="none"/>
                <w:lang w:val="en-US" w:eastAsia="zh-CN" w:bidi="ar"/>
              </w:rPr>
              <w:t>5</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2433 </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1622 </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64 </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6450 </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248 </w:t>
            </w:r>
          </w:p>
        </w:tc>
        <w:tc>
          <w:tcPr>
            <w:tcW w:w="10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_GB2312" w:cs="仿宋_GB2312"/>
                <w:i w:val="0"/>
                <w:iCs w:val="0"/>
                <w:color w:val="000000"/>
                <w:kern w:val="0"/>
                <w:sz w:val="24"/>
                <w:szCs w:val="24"/>
                <w:highlight w:val="none"/>
                <w:u w:val="none"/>
                <w:lang w:val="en-US" w:eastAsia="zh-CN" w:bidi="ar"/>
              </w:rPr>
            </w:pPr>
            <w:r>
              <w:rPr>
                <w:rFonts w:hint="default" w:ascii="仿宋" w:hAnsi="仿宋" w:eastAsia="仿宋_GB2312" w:cs="仿宋_GB2312"/>
                <w:i w:val="0"/>
                <w:iCs w:val="0"/>
                <w:color w:val="000000"/>
                <w:kern w:val="0"/>
                <w:sz w:val="24"/>
                <w:szCs w:val="24"/>
                <w:highlight w:val="none"/>
                <w:u w:val="none"/>
                <w:lang w:val="en-US" w:eastAsia="zh-CN" w:bidi="ar"/>
              </w:rPr>
              <w:t>2025</w:t>
            </w:r>
            <w:r>
              <w:rPr>
                <w:rFonts w:hint="eastAsia" w:ascii="仿宋" w:hAnsi="仿宋" w:eastAsia="仿宋_GB2312" w:cs="仿宋_GB2312"/>
                <w:i w:val="0"/>
                <w:iCs w:val="0"/>
                <w:color w:val="000000"/>
                <w:kern w:val="0"/>
                <w:sz w:val="24"/>
                <w:szCs w:val="24"/>
                <w:highlight w:val="none"/>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8</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eastAsia="仿宋_GB2312" w:cs="仿宋_GB2312"/>
                <w:i w:val="0"/>
                <w:iCs w:val="0"/>
                <w:color w:val="000000"/>
                <w:kern w:val="0"/>
                <w:sz w:val="24"/>
                <w:szCs w:val="24"/>
                <w:highlight w:val="none"/>
                <w:u w:val="none"/>
                <w:lang w:val="en-US" w:eastAsia="zh-CN" w:bidi="ar"/>
              </w:rPr>
              <w:t>水磨镇</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cs="Times New Roman"/>
                <w:b w:val="0"/>
                <w:bCs w:val="0"/>
                <w:color w:val="auto"/>
                <w:sz w:val="24"/>
                <w:szCs w:val="24"/>
                <w:highlight w:val="none"/>
                <w:shd w:val="clear" w:color="auto" w:fill="auto"/>
                <w:lang w:val="en-US" w:eastAsia="zh-CN"/>
              </w:rPr>
            </w:pPr>
            <w:r>
              <w:rPr>
                <w:rFonts w:hint="default" w:ascii="仿宋" w:hAnsi="仿宋" w:eastAsia="宋体" w:cs="Times New Roman"/>
                <w:i w:val="0"/>
                <w:iCs w:val="0"/>
                <w:color w:val="000000"/>
                <w:kern w:val="0"/>
                <w:sz w:val="24"/>
                <w:szCs w:val="24"/>
                <w:highlight w:val="none"/>
                <w:u w:val="none"/>
                <w:lang w:val="en-US" w:eastAsia="zh-CN" w:bidi="ar"/>
              </w:rPr>
              <w:t>1</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189 </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126 </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5 </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500 </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19 </w:t>
            </w:r>
          </w:p>
        </w:tc>
        <w:tc>
          <w:tcPr>
            <w:tcW w:w="10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_GB2312" w:cs="仿宋_GB2312"/>
                <w:i w:val="0"/>
                <w:iCs w:val="0"/>
                <w:color w:val="000000"/>
                <w:kern w:val="0"/>
                <w:sz w:val="24"/>
                <w:szCs w:val="24"/>
                <w:highlight w:val="none"/>
                <w:u w:val="none"/>
                <w:lang w:val="en-US" w:eastAsia="zh-CN" w:bidi="ar"/>
              </w:rPr>
            </w:pPr>
            <w:r>
              <w:rPr>
                <w:rFonts w:hint="default" w:ascii="仿宋" w:hAnsi="仿宋" w:eastAsia="仿宋_GB2312" w:cs="仿宋_GB2312"/>
                <w:i w:val="0"/>
                <w:iCs w:val="0"/>
                <w:color w:val="000000"/>
                <w:kern w:val="0"/>
                <w:sz w:val="24"/>
                <w:szCs w:val="24"/>
                <w:highlight w:val="none"/>
                <w:u w:val="none"/>
                <w:lang w:val="en-US" w:eastAsia="zh-CN" w:bidi="ar"/>
              </w:rPr>
              <w:t>2025</w:t>
            </w:r>
            <w:r>
              <w:rPr>
                <w:rFonts w:hint="eastAsia" w:ascii="仿宋" w:hAnsi="仿宋" w:eastAsia="仿宋_GB2312" w:cs="仿宋_GB2312"/>
                <w:i w:val="0"/>
                <w:iCs w:val="0"/>
                <w:color w:val="000000"/>
                <w:kern w:val="0"/>
                <w:sz w:val="24"/>
                <w:szCs w:val="24"/>
                <w:highlight w:val="none"/>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9</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eastAsia="仿宋_GB2312" w:cs="仿宋_GB2312"/>
                <w:i w:val="0"/>
                <w:iCs w:val="0"/>
                <w:color w:val="000000"/>
                <w:kern w:val="0"/>
                <w:sz w:val="24"/>
                <w:szCs w:val="24"/>
                <w:highlight w:val="none"/>
                <w:u w:val="none"/>
                <w:lang w:val="en-US" w:eastAsia="zh-CN" w:bidi="ar"/>
              </w:rPr>
              <w:t>嘉川镇</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cs="Times New Roman"/>
                <w:b w:val="0"/>
                <w:bCs w:val="0"/>
                <w:color w:val="auto"/>
                <w:sz w:val="24"/>
                <w:szCs w:val="24"/>
                <w:highlight w:val="none"/>
                <w:shd w:val="clear" w:color="auto" w:fill="auto"/>
                <w:lang w:val="en-US" w:eastAsia="zh-CN"/>
              </w:rPr>
            </w:pPr>
            <w:r>
              <w:rPr>
                <w:rFonts w:hint="default" w:ascii="仿宋" w:hAnsi="仿宋" w:eastAsia="宋体" w:cs="Times New Roman"/>
                <w:i w:val="0"/>
                <w:iCs w:val="0"/>
                <w:color w:val="000000"/>
                <w:kern w:val="0"/>
                <w:sz w:val="24"/>
                <w:szCs w:val="24"/>
                <w:highlight w:val="none"/>
                <w:u w:val="none"/>
                <w:lang w:val="en-US" w:eastAsia="zh-CN" w:bidi="ar"/>
              </w:rPr>
              <w:t>3</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513 </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342 </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14 </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1360 </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52 </w:t>
            </w:r>
          </w:p>
        </w:tc>
        <w:tc>
          <w:tcPr>
            <w:tcW w:w="10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_GB2312" w:cs="仿宋_GB2312"/>
                <w:i w:val="0"/>
                <w:iCs w:val="0"/>
                <w:color w:val="000000"/>
                <w:kern w:val="0"/>
                <w:sz w:val="24"/>
                <w:szCs w:val="24"/>
                <w:highlight w:val="none"/>
                <w:u w:val="none"/>
                <w:lang w:val="en-US" w:eastAsia="zh-CN" w:bidi="ar"/>
              </w:rPr>
            </w:pPr>
            <w:r>
              <w:rPr>
                <w:rFonts w:hint="default" w:ascii="仿宋" w:hAnsi="仿宋" w:eastAsia="仿宋_GB2312" w:cs="仿宋_GB2312"/>
                <w:i w:val="0"/>
                <w:iCs w:val="0"/>
                <w:color w:val="000000"/>
                <w:kern w:val="0"/>
                <w:sz w:val="24"/>
                <w:szCs w:val="24"/>
                <w:highlight w:val="none"/>
                <w:u w:val="none"/>
                <w:lang w:val="en-US" w:eastAsia="zh-CN" w:bidi="ar"/>
              </w:rPr>
              <w:t>2025</w:t>
            </w:r>
            <w:r>
              <w:rPr>
                <w:rFonts w:hint="eastAsia" w:ascii="仿宋" w:hAnsi="仿宋" w:eastAsia="仿宋_GB2312" w:cs="仿宋_GB2312"/>
                <w:i w:val="0"/>
                <w:iCs w:val="0"/>
                <w:color w:val="000000"/>
                <w:kern w:val="0"/>
                <w:sz w:val="24"/>
                <w:szCs w:val="24"/>
                <w:highlight w:val="none"/>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10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eastAsia="仿宋_GB2312" w:cs="仿宋_GB2312"/>
                <w:i w:val="0"/>
                <w:iCs w:val="0"/>
                <w:color w:val="000000"/>
                <w:kern w:val="0"/>
                <w:sz w:val="24"/>
                <w:szCs w:val="24"/>
                <w:highlight w:val="none"/>
                <w:u w:val="none"/>
                <w:lang w:val="en-US" w:eastAsia="zh-CN" w:bidi="ar"/>
              </w:rPr>
              <w:t>燕子乡</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cs="Times New Roman"/>
                <w:b w:val="0"/>
                <w:bCs w:val="0"/>
                <w:color w:val="auto"/>
                <w:sz w:val="24"/>
                <w:szCs w:val="24"/>
                <w:highlight w:val="none"/>
                <w:shd w:val="clear" w:color="auto" w:fill="auto"/>
                <w:lang w:val="en-US" w:eastAsia="zh-CN"/>
              </w:rPr>
            </w:pPr>
            <w:r>
              <w:rPr>
                <w:rFonts w:hint="default" w:ascii="仿宋" w:hAnsi="仿宋" w:eastAsia="宋体" w:cs="Times New Roman"/>
                <w:i w:val="0"/>
                <w:iCs w:val="0"/>
                <w:color w:val="000000"/>
                <w:kern w:val="0"/>
                <w:sz w:val="24"/>
                <w:szCs w:val="24"/>
                <w:highlight w:val="none"/>
                <w:u w:val="none"/>
                <w:lang w:val="en-US" w:eastAsia="zh-CN" w:bidi="ar"/>
              </w:rPr>
              <w:t>5</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779 </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519 </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21 </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2065 </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80 </w:t>
            </w:r>
          </w:p>
        </w:tc>
        <w:tc>
          <w:tcPr>
            <w:tcW w:w="10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_GB2312" w:cs="仿宋_GB2312"/>
                <w:i w:val="0"/>
                <w:iCs w:val="0"/>
                <w:color w:val="000000"/>
                <w:kern w:val="0"/>
                <w:sz w:val="24"/>
                <w:szCs w:val="24"/>
                <w:highlight w:val="none"/>
                <w:u w:val="none"/>
                <w:lang w:val="en-US" w:eastAsia="zh-CN" w:bidi="ar"/>
              </w:rPr>
            </w:pPr>
            <w:r>
              <w:rPr>
                <w:rFonts w:hint="default" w:ascii="仿宋" w:hAnsi="仿宋" w:eastAsia="仿宋_GB2312" w:cs="仿宋_GB2312"/>
                <w:i w:val="0"/>
                <w:iCs w:val="0"/>
                <w:color w:val="000000"/>
                <w:kern w:val="0"/>
                <w:sz w:val="24"/>
                <w:szCs w:val="24"/>
                <w:highlight w:val="none"/>
                <w:u w:val="none"/>
                <w:lang w:val="en-US" w:eastAsia="zh-CN" w:bidi="ar"/>
              </w:rPr>
              <w:t>2025</w:t>
            </w:r>
            <w:r>
              <w:rPr>
                <w:rFonts w:hint="eastAsia" w:ascii="仿宋" w:hAnsi="仿宋" w:eastAsia="仿宋_GB2312" w:cs="仿宋_GB2312"/>
                <w:i w:val="0"/>
                <w:iCs w:val="0"/>
                <w:color w:val="000000"/>
                <w:kern w:val="0"/>
                <w:sz w:val="24"/>
                <w:szCs w:val="24"/>
                <w:highlight w:val="none"/>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11</w:t>
            </w:r>
          </w:p>
        </w:tc>
        <w:tc>
          <w:tcPr>
            <w:tcW w:w="95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eastAsia="仿宋_GB2312" w:cs="仿宋_GB2312"/>
                <w:i w:val="0"/>
                <w:iCs w:val="0"/>
                <w:color w:val="000000"/>
                <w:kern w:val="0"/>
                <w:sz w:val="24"/>
                <w:szCs w:val="24"/>
                <w:highlight w:val="none"/>
                <w:u w:val="none"/>
                <w:lang w:val="en-US" w:eastAsia="zh-CN" w:bidi="ar"/>
              </w:rPr>
              <w:t>英萃镇</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cs="Times New Roman"/>
                <w:b w:val="0"/>
                <w:bCs w:val="0"/>
                <w:color w:val="auto"/>
                <w:sz w:val="24"/>
                <w:szCs w:val="24"/>
                <w:highlight w:val="none"/>
                <w:shd w:val="clear" w:color="auto" w:fill="auto"/>
                <w:lang w:val="en-US" w:eastAsia="zh-CN"/>
              </w:rPr>
            </w:pPr>
            <w:r>
              <w:rPr>
                <w:rFonts w:hint="default" w:ascii="仿宋" w:hAnsi="仿宋" w:eastAsia="宋体" w:cs="Times New Roman"/>
                <w:i w:val="0"/>
                <w:iCs w:val="0"/>
                <w:color w:val="000000"/>
                <w:kern w:val="0"/>
                <w:sz w:val="24"/>
                <w:szCs w:val="24"/>
                <w:highlight w:val="none"/>
                <w:u w:val="none"/>
                <w:lang w:val="en-US" w:eastAsia="zh-CN" w:bidi="ar"/>
              </w:rPr>
              <w:t>2</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189 </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126 </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5 </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500 </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19 </w:t>
            </w:r>
          </w:p>
        </w:tc>
        <w:tc>
          <w:tcPr>
            <w:tcW w:w="10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_GB2312" w:cs="仿宋_GB2312"/>
                <w:i w:val="0"/>
                <w:iCs w:val="0"/>
                <w:color w:val="000000"/>
                <w:kern w:val="0"/>
                <w:sz w:val="24"/>
                <w:szCs w:val="24"/>
                <w:highlight w:val="none"/>
                <w:u w:val="none"/>
                <w:lang w:val="en-US" w:eastAsia="zh-CN" w:bidi="ar"/>
              </w:rPr>
            </w:pPr>
            <w:r>
              <w:rPr>
                <w:rFonts w:hint="default" w:ascii="仿宋" w:hAnsi="仿宋" w:eastAsia="仿宋_GB2312" w:cs="仿宋_GB2312"/>
                <w:i w:val="0"/>
                <w:iCs w:val="0"/>
                <w:color w:val="000000"/>
                <w:kern w:val="0"/>
                <w:sz w:val="24"/>
                <w:szCs w:val="24"/>
                <w:highlight w:val="none"/>
                <w:u w:val="none"/>
                <w:lang w:val="en-US" w:eastAsia="zh-CN" w:bidi="ar"/>
              </w:rPr>
              <w:t>2024</w:t>
            </w:r>
            <w:r>
              <w:rPr>
                <w:rFonts w:hint="eastAsia" w:ascii="仿宋" w:hAnsi="仿宋" w:eastAsia="仿宋_GB2312" w:cs="仿宋_GB2312"/>
                <w:i w:val="0"/>
                <w:iCs w:val="0"/>
                <w:color w:val="000000"/>
                <w:kern w:val="0"/>
                <w:sz w:val="24"/>
                <w:szCs w:val="24"/>
                <w:highlight w:val="none"/>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61"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合计</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cs="Times New Roman"/>
                <w:b w:val="0"/>
                <w:bCs w:val="0"/>
                <w:color w:val="auto"/>
                <w:sz w:val="24"/>
                <w:szCs w:val="24"/>
                <w:highlight w:val="none"/>
                <w:shd w:val="clear" w:color="auto" w:fill="auto"/>
                <w:lang w:val="en-US" w:eastAsia="zh-CN"/>
              </w:rPr>
            </w:pPr>
            <w:r>
              <w:rPr>
                <w:rFonts w:hint="default" w:ascii="仿宋" w:hAnsi="仿宋" w:eastAsia="宋体" w:cs="Times New Roman"/>
                <w:i w:val="0"/>
                <w:iCs w:val="0"/>
                <w:color w:val="000000"/>
                <w:kern w:val="0"/>
                <w:sz w:val="24"/>
                <w:szCs w:val="24"/>
                <w:highlight w:val="none"/>
                <w:u w:val="none"/>
                <w:lang w:val="en-US" w:eastAsia="zh-CN" w:bidi="ar"/>
              </w:rPr>
              <w:t>30</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eastAsia" w:ascii="仿宋" w:hAnsi="仿宋" w:eastAsia="宋体" w:cs="Times New Roman"/>
                <w:i w:val="0"/>
                <w:iCs w:val="0"/>
                <w:color w:val="000000"/>
                <w:kern w:val="0"/>
                <w:sz w:val="24"/>
                <w:szCs w:val="24"/>
                <w:highlight w:val="none"/>
                <w:u w:val="none"/>
                <w:lang w:val="en-US" w:eastAsia="zh-CN" w:bidi="ar"/>
              </w:rPr>
              <w:t xml:space="preserve">6274 </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eastAsia" w:ascii="仿宋" w:hAnsi="仿宋" w:eastAsia="宋体" w:cs="Times New Roman"/>
                <w:i w:val="0"/>
                <w:iCs w:val="0"/>
                <w:color w:val="000000"/>
                <w:kern w:val="0"/>
                <w:sz w:val="24"/>
                <w:szCs w:val="24"/>
                <w:highlight w:val="none"/>
                <w:u w:val="none"/>
                <w:lang w:val="en-US" w:eastAsia="zh-CN" w:bidi="ar"/>
              </w:rPr>
              <w:t xml:space="preserve">4183 </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宋体" w:cs="Times New Roman"/>
                <w:i w:val="0"/>
                <w:iCs w:val="0"/>
                <w:color w:val="000000"/>
                <w:kern w:val="0"/>
                <w:sz w:val="24"/>
                <w:szCs w:val="24"/>
                <w:highlight w:val="none"/>
                <w:u w:val="none"/>
                <w:lang w:val="en-US" w:eastAsia="zh-CN" w:bidi="ar"/>
              </w:rPr>
            </w:pPr>
            <w:r>
              <w:rPr>
                <w:rFonts w:hint="eastAsia" w:ascii="仿宋" w:hAnsi="仿宋" w:eastAsia="宋体" w:cs="Times New Roman"/>
                <w:i w:val="0"/>
                <w:iCs w:val="0"/>
                <w:color w:val="000000"/>
                <w:kern w:val="0"/>
                <w:sz w:val="24"/>
                <w:szCs w:val="24"/>
                <w:highlight w:val="none"/>
                <w:u w:val="none"/>
                <w:lang w:val="en-US" w:eastAsia="zh-CN" w:bidi="ar"/>
              </w:rPr>
              <w:t xml:space="preserve">165 </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宋体" w:cs="Times New Roman"/>
                <w:i w:val="0"/>
                <w:iCs w:val="0"/>
                <w:color w:val="000000"/>
                <w:kern w:val="0"/>
                <w:sz w:val="24"/>
                <w:szCs w:val="24"/>
                <w:highlight w:val="none"/>
                <w:u w:val="none"/>
                <w:lang w:val="en-US" w:eastAsia="zh-CN" w:bidi="ar"/>
              </w:rPr>
            </w:pPr>
            <w:r>
              <w:rPr>
                <w:rFonts w:hint="eastAsia" w:ascii="仿宋" w:hAnsi="仿宋" w:eastAsia="宋体" w:cs="Times New Roman"/>
                <w:i w:val="0"/>
                <w:iCs w:val="0"/>
                <w:color w:val="000000"/>
                <w:kern w:val="0"/>
                <w:sz w:val="24"/>
                <w:szCs w:val="24"/>
                <w:highlight w:val="none"/>
                <w:u w:val="none"/>
                <w:lang w:val="en-US" w:eastAsia="zh-CN" w:bidi="ar"/>
              </w:rPr>
              <w:t xml:space="preserve">16635 </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宋体" w:cs="Times New Roman"/>
                <w:i w:val="0"/>
                <w:iCs w:val="0"/>
                <w:color w:val="000000"/>
                <w:kern w:val="0"/>
                <w:sz w:val="24"/>
                <w:szCs w:val="24"/>
                <w:highlight w:val="none"/>
                <w:u w:val="none"/>
                <w:lang w:val="en-US" w:eastAsia="zh-CN" w:bidi="ar"/>
              </w:rPr>
            </w:pPr>
            <w:r>
              <w:rPr>
                <w:rFonts w:hint="eastAsia" w:ascii="仿宋" w:hAnsi="仿宋" w:eastAsia="宋体" w:cs="Times New Roman"/>
                <w:i w:val="0"/>
                <w:iCs w:val="0"/>
                <w:color w:val="000000"/>
                <w:kern w:val="0"/>
                <w:sz w:val="24"/>
                <w:szCs w:val="24"/>
                <w:highlight w:val="none"/>
                <w:u w:val="none"/>
                <w:lang w:val="en-US" w:eastAsia="zh-CN" w:bidi="ar"/>
              </w:rPr>
              <w:t xml:space="preserve">641 </w:t>
            </w:r>
          </w:p>
        </w:tc>
        <w:tc>
          <w:tcPr>
            <w:tcW w:w="10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_GB2312" w:cs="仿宋_GB2312"/>
                <w:i w:val="0"/>
                <w:iCs w:val="0"/>
                <w:color w:val="000000"/>
                <w:kern w:val="0"/>
                <w:sz w:val="24"/>
                <w:szCs w:val="24"/>
                <w:highlight w:val="none"/>
                <w:u w:val="none"/>
                <w:lang w:val="en-US" w:eastAsia="zh-CN" w:bidi="ar"/>
              </w:rPr>
            </w:pPr>
            <w:r>
              <w:rPr>
                <w:rFonts w:hint="eastAsia" w:ascii="仿宋" w:hAnsi="仿宋" w:eastAsia="仿宋_GB2312" w:cs="仿宋_GB2312"/>
                <w:i w:val="0"/>
                <w:iCs w:val="0"/>
                <w:color w:val="000000"/>
                <w:kern w:val="0"/>
                <w:sz w:val="24"/>
                <w:szCs w:val="24"/>
                <w:highlight w:val="none"/>
                <w:u w:val="none"/>
                <w:lang w:val="en-US" w:eastAsia="zh-CN" w:bidi="ar"/>
              </w:rPr>
              <w:t>/</w:t>
            </w:r>
          </w:p>
        </w:tc>
      </w:tr>
    </w:tbl>
    <w:p>
      <w:pPr>
        <w:bidi w:val="0"/>
        <w:rPr>
          <w:rFonts w:hint="eastAsia" w:ascii="仿宋" w:hAnsi="仿宋"/>
          <w:highlight w:val="none"/>
          <w:lang w:val="en-US" w:eastAsia="zh-CN"/>
        </w:rPr>
      </w:pPr>
    </w:p>
    <w:p>
      <w:pPr>
        <w:pStyle w:val="14"/>
        <w:spacing w:after="0" w:line="240" w:lineRule="auto"/>
        <w:ind w:left="0" w:leftChars="0" w:right="0" w:rightChars="0" w:firstLine="640" w:firstLineChars="200"/>
        <w:rPr>
          <w:rFonts w:hint="default" w:ascii="仿宋" w:hAnsi="仿宋" w:cs="Times New Roman"/>
          <w:kern w:val="2"/>
          <w:sz w:val="32"/>
          <w:szCs w:val="32"/>
          <w:highlight w:val="none"/>
          <w:shd w:val="clear" w:color="auto" w:fill="auto"/>
          <w:lang w:val="en-US" w:eastAsia="zh-CN" w:bidi="ar-SA"/>
        </w:rPr>
      </w:pPr>
      <w:bookmarkStart w:id="98" w:name="_Toc19690"/>
      <w:r>
        <w:rPr>
          <w:rFonts w:hint="eastAsia" w:ascii="仿宋" w:hAnsi="仿宋" w:cs="Times New Roman"/>
          <w:kern w:val="2"/>
          <w:sz w:val="32"/>
          <w:szCs w:val="32"/>
          <w:highlight w:val="none"/>
          <w:shd w:val="clear" w:color="auto" w:fill="auto"/>
          <w:lang w:val="en-US" w:eastAsia="zh-CN" w:bidi="ar-SA"/>
        </w:rPr>
        <w:t>2、规模化以下专业养殖户粪污处理设施</w:t>
      </w:r>
    </w:p>
    <w:p>
      <w:pPr>
        <w:pStyle w:val="14"/>
        <w:spacing w:after="0" w:line="240" w:lineRule="auto"/>
        <w:ind w:left="0" w:leftChars="0" w:right="0" w:rightChars="0" w:firstLine="640" w:firstLineChars="200"/>
        <w:rPr>
          <w:rFonts w:hint="eastAsia" w:ascii="仿宋" w:hAnsi="仿宋" w:cs="Times New Roman"/>
          <w:kern w:val="2"/>
          <w:sz w:val="32"/>
          <w:szCs w:val="32"/>
          <w:highlight w:val="none"/>
          <w:shd w:val="clear" w:color="auto" w:fill="auto"/>
          <w:lang w:val="en-US" w:eastAsia="zh-CN" w:bidi="ar-SA"/>
        </w:rPr>
      </w:pPr>
      <w:r>
        <w:rPr>
          <w:rFonts w:hint="eastAsia" w:ascii="仿宋" w:hAnsi="仿宋" w:cs="Times New Roman"/>
          <w:kern w:val="2"/>
          <w:sz w:val="32"/>
          <w:szCs w:val="32"/>
          <w:highlight w:val="none"/>
          <w:shd w:val="clear" w:color="auto" w:fill="auto"/>
          <w:lang w:val="en-US" w:eastAsia="zh-CN" w:bidi="ar-SA"/>
        </w:rPr>
        <w:t>规划建设13个畜禽粪污集中处理设施，覆盖13个乡镇，35个行政村，55家专业养殖户。规划建设13座粪污集中处理设施，建设堆粪场有效容积1365立方米，堆粪场面积910平方米，污水贮水池有效容积3619立方米。堆粪场工程估算36万元，贮水池工程估算139万元。</w:t>
      </w:r>
    </w:p>
    <w:p>
      <w:pPr>
        <w:pStyle w:val="115"/>
        <w:pageBreakBefore w:val="0"/>
        <w:widowControl w:val="0"/>
        <w:kinsoku/>
        <w:wordWrap/>
        <w:overflowPunct/>
        <w:topLinePunct w:val="0"/>
        <w:bidi w:val="0"/>
        <w:snapToGrid/>
        <w:spacing w:line="560" w:lineRule="exact"/>
        <w:jc w:val="center"/>
        <w:textAlignment w:val="auto"/>
        <w:outlineLvl w:val="7"/>
        <w:rPr>
          <w:rFonts w:hint="eastAsia" w:ascii="仿宋" w:hAnsi="仿宋" w:eastAsia="仿宋" w:cs="Times New Roman"/>
          <w:b/>
          <w:color w:val="auto"/>
          <w:sz w:val="28"/>
          <w:szCs w:val="28"/>
          <w:highlight w:val="none"/>
          <w:shd w:val="clear" w:color="auto" w:fill="auto"/>
          <w:lang w:val="en-US" w:eastAsia="zh-CN"/>
        </w:rPr>
      </w:pPr>
      <w:r>
        <w:rPr>
          <w:rFonts w:hint="eastAsia" w:ascii="仿宋" w:hAnsi="仿宋" w:eastAsia="仿宋" w:cs="Times New Roman"/>
          <w:b/>
          <w:color w:val="auto"/>
          <w:sz w:val="28"/>
          <w:szCs w:val="28"/>
          <w:highlight w:val="none"/>
          <w:shd w:val="clear" w:color="auto" w:fill="auto"/>
          <w:lang w:val="en-US" w:eastAsia="zh-CN"/>
        </w:rPr>
        <w:t>表6-2  旺苍县乡镇专业养殖户粪污处理设施投资估算</w:t>
      </w:r>
    </w:p>
    <w:tbl>
      <w:tblPr>
        <w:tblStyle w:val="3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8"/>
        <w:gridCol w:w="1210"/>
        <w:gridCol w:w="1462"/>
        <w:gridCol w:w="1069"/>
        <w:gridCol w:w="1069"/>
        <w:gridCol w:w="1070"/>
        <w:gridCol w:w="1069"/>
        <w:gridCol w:w="10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blHeader/>
        </w:trPr>
        <w:tc>
          <w:tcPr>
            <w:tcW w:w="293" w:type="pct"/>
            <w:vMerge w:val="restart"/>
            <w:tcBorders>
              <w:top w:val="single" w:color="000000" w:sz="4" w:space="0"/>
              <w:left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序号</w:t>
            </w:r>
          </w:p>
        </w:tc>
        <w:tc>
          <w:tcPr>
            <w:tcW w:w="709" w:type="pct"/>
            <w:vMerge w:val="restart"/>
            <w:tcBorders>
              <w:top w:val="single" w:color="000000" w:sz="4" w:space="0"/>
              <w:left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乡镇</w:t>
            </w:r>
          </w:p>
        </w:tc>
        <w:tc>
          <w:tcPr>
            <w:tcW w:w="858" w:type="pct"/>
            <w:vMerge w:val="restart"/>
            <w:tcBorders>
              <w:top w:val="single" w:color="000000" w:sz="4" w:space="0"/>
              <w:left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default" w:ascii="仿宋" w:hAnsi="仿宋" w:cs="Times New Roman"/>
                <w:b/>
                <w:bCs/>
                <w:color w:val="auto"/>
                <w:sz w:val="24"/>
                <w:szCs w:val="24"/>
                <w:highlight w:val="none"/>
                <w:shd w:val="clear" w:color="auto" w:fill="auto"/>
                <w:lang w:val="en-US" w:eastAsia="zh-CN"/>
              </w:rPr>
              <w:t>专业养殖户数量（家）</w:t>
            </w:r>
          </w:p>
        </w:tc>
        <w:tc>
          <w:tcPr>
            <w:tcW w:w="1882" w:type="pct"/>
            <w:gridSpan w:val="3"/>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堆粪场</w:t>
            </w:r>
          </w:p>
        </w:tc>
        <w:tc>
          <w:tcPr>
            <w:tcW w:w="1256" w:type="pct"/>
            <w:gridSpan w:val="2"/>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污水贮水池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blHeader/>
        </w:trPr>
        <w:tc>
          <w:tcPr>
            <w:tcW w:w="293" w:type="pct"/>
            <w:vMerge w:val="continue"/>
            <w:tcBorders>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bCs/>
                <w:color w:val="auto"/>
                <w:sz w:val="24"/>
                <w:szCs w:val="24"/>
                <w:highlight w:val="none"/>
                <w:shd w:val="clear" w:color="auto" w:fill="auto"/>
                <w:lang w:val="en-US" w:eastAsia="zh-CN"/>
              </w:rPr>
            </w:pPr>
          </w:p>
        </w:tc>
        <w:tc>
          <w:tcPr>
            <w:tcW w:w="709" w:type="pct"/>
            <w:vMerge w:val="continue"/>
            <w:tcBorders>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p>
        </w:tc>
        <w:tc>
          <w:tcPr>
            <w:tcW w:w="858" w:type="pct"/>
            <w:vMerge w:val="continue"/>
            <w:tcBorders>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p>
        </w:tc>
        <w:tc>
          <w:tcPr>
            <w:tcW w:w="627"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有效容积（立方米）</w:t>
            </w:r>
          </w:p>
        </w:tc>
        <w:tc>
          <w:tcPr>
            <w:tcW w:w="627"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面积（平方米）</w:t>
            </w:r>
          </w:p>
        </w:tc>
        <w:tc>
          <w:tcPr>
            <w:tcW w:w="627"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工程估算（万元）</w:t>
            </w:r>
          </w:p>
        </w:tc>
        <w:tc>
          <w:tcPr>
            <w:tcW w:w="627"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有效容积（立方米）</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工程估算（万元）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3"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1</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_GB2312" w:cs="仿宋_GB2312"/>
                <w:i w:val="0"/>
                <w:iCs w:val="0"/>
                <w:color w:val="000000"/>
                <w:kern w:val="0"/>
                <w:sz w:val="24"/>
                <w:szCs w:val="24"/>
                <w:highlight w:val="none"/>
                <w:u w:val="none"/>
                <w:lang w:val="en-US" w:eastAsia="zh-CN" w:bidi="ar"/>
              </w:rPr>
            </w:pPr>
            <w:r>
              <w:rPr>
                <w:rFonts w:hint="eastAsia" w:ascii="仿宋" w:hAnsi="仿宋" w:eastAsia="仿宋_GB2312" w:cs="仿宋_GB2312"/>
                <w:i w:val="0"/>
                <w:iCs w:val="0"/>
                <w:color w:val="000000"/>
                <w:kern w:val="0"/>
                <w:sz w:val="24"/>
                <w:szCs w:val="24"/>
                <w:highlight w:val="none"/>
                <w:u w:val="none"/>
                <w:lang w:val="en-US" w:eastAsia="zh-CN" w:bidi="ar"/>
              </w:rPr>
              <w:t>白水镇</w:t>
            </w:r>
          </w:p>
        </w:tc>
        <w:tc>
          <w:tcPr>
            <w:tcW w:w="8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eastAsia="宋体" w:cs="Times New Roman"/>
                <w:i w:val="0"/>
                <w:iCs w:val="0"/>
                <w:color w:val="000000"/>
                <w:kern w:val="0"/>
                <w:sz w:val="24"/>
                <w:szCs w:val="24"/>
                <w:highlight w:val="none"/>
                <w:u w:val="none"/>
                <w:lang w:val="en-US" w:eastAsia="zh-CN" w:bidi="ar"/>
              </w:rPr>
              <w:t>4</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131 </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88 </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4 </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348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 w:hRule="atLeast"/>
        </w:trPr>
        <w:tc>
          <w:tcPr>
            <w:tcW w:w="293"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2</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_GB2312" w:cs="仿宋_GB2312"/>
                <w:i w:val="0"/>
                <w:iCs w:val="0"/>
                <w:color w:val="000000"/>
                <w:kern w:val="0"/>
                <w:sz w:val="24"/>
                <w:szCs w:val="24"/>
                <w:highlight w:val="none"/>
                <w:u w:val="none"/>
                <w:lang w:val="en-US" w:eastAsia="zh-CN" w:bidi="ar"/>
              </w:rPr>
            </w:pPr>
            <w:r>
              <w:rPr>
                <w:rFonts w:hint="eastAsia" w:ascii="仿宋" w:hAnsi="仿宋" w:eastAsia="仿宋_GB2312" w:cs="仿宋_GB2312"/>
                <w:i w:val="0"/>
                <w:iCs w:val="0"/>
                <w:color w:val="000000"/>
                <w:kern w:val="0"/>
                <w:sz w:val="24"/>
                <w:szCs w:val="24"/>
                <w:highlight w:val="none"/>
                <w:u w:val="none"/>
                <w:lang w:val="en-US" w:eastAsia="zh-CN" w:bidi="ar"/>
              </w:rPr>
              <w:t>大德镇</w:t>
            </w:r>
          </w:p>
        </w:tc>
        <w:tc>
          <w:tcPr>
            <w:tcW w:w="8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eastAsia="宋体" w:cs="Times New Roman"/>
                <w:i w:val="0"/>
                <w:iCs w:val="0"/>
                <w:color w:val="000000"/>
                <w:kern w:val="0"/>
                <w:sz w:val="24"/>
                <w:szCs w:val="24"/>
                <w:highlight w:val="none"/>
                <w:u w:val="none"/>
                <w:lang w:val="en-US" w:eastAsia="zh-CN" w:bidi="ar"/>
              </w:rPr>
              <w:t>1</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38 </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25 </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 </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100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3"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3</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_GB2312" w:cs="仿宋_GB2312"/>
                <w:i w:val="0"/>
                <w:iCs w:val="0"/>
                <w:color w:val="000000"/>
                <w:kern w:val="0"/>
                <w:sz w:val="24"/>
                <w:szCs w:val="24"/>
                <w:highlight w:val="none"/>
                <w:u w:val="none"/>
                <w:lang w:val="en-US" w:eastAsia="zh-CN" w:bidi="ar"/>
              </w:rPr>
            </w:pPr>
            <w:r>
              <w:rPr>
                <w:rFonts w:hint="eastAsia" w:ascii="仿宋" w:hAnsi="仿宋" w:eastAsia="仿宋_GB2312" w:cs="仿宋_GB2312"/>
                <w:i w:val="0"/>
                <w:iCs w:val="0"/>
                <w:color w:val="000000"/>
                <w:kern w:val="0"/>
                <w:sz w:val="24"/>
                <w:szCs w:val="24"/>
                <w:highlight w:val="none"/>
                <w:u w:val="none"/>
                <w:lang w:val="en-US" w:eastAsia="zh-CN" w:bidi="ar"/>
              </w:rPr>
              <w:t>大两镇</w:t>
            </w:r>
          </w:p>
        </w:tc>
        <w:tc>
          <w:tcPr>
            <w:tcW w:w="8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eastAsia="宋体" w:cs="Times New Roman"/>
                <w:i w:val="0"/>
                <w:iCs w:val="0"/>
                <w:color w:val="000000"/>
                <w:kern w:val="0"/>
                <w:sz w:val="24"/>
                <w:szCs w:val="24"/>
                <w:highlight w:val="none"/>
                <w:u w:val="none"/>
                <w:lang w:val="en-US" w:eastAsia="zh-CN" w:bidi="ar"/>
              </w:rPr>
              <w:t>1</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57 </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38 </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 </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150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3"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4</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_GB2312" w:cs="仿宋_GB2312"/>
                <w:i w:val="0"/>
                <w:iCs w:val="0"/>
                <w:color w:val="000000"/>
                <w:kern w:val="0"/>
                <w:sz w:val="24"/>
                <w:szCs w:val="24"/>
                <w:highlight w:val="none"/>
                <w:u w:val="none"/>
                <w:lang w:val="en-US" w:eastAsia="zh-CN" w:bidi="ar"/>
              </w:rPr>
            </w:pPr>
            <w:r>
              <w:rPr>
                <w:rFonts w:hint="eastAsia" w:ascii="仿宋" w:hAnsi="仿宋" w:eastAsia="仿宋_GB2312" w:cs="仿宋_GB2312"/>
                <w:i w:val="0"/>
                <w:iCs w:val="0"/>
                <w:color w:val="000000"/>
                <w:kern w:val="0"/>
                <w:sz w:val="24"/>
                <w:szCs w:val="24"/>
                <w:highlight w:val="none"/>
                <w:u w:val="none"/>
                <w:lang w:val="en-US" w:eastAsia="zh-CN" w:bidi="ar"/>
              </w:rPr>
              <w:t>高阳镇</w:t>
            </w:r>
          </w:p>
        </w:tc>
        <w:tc>
          <w:tcPr>
            <w:tcW w:w="8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eastAsia="宋体" w:cs="Times New Roman"/>
                <w:i w:val="0"/>
                <w:iCs w:val="0"/>
                <w:color w:val="000000"/>
                <w:kern w:val="0"/>
                <w:sz w:val="24"/>
                <w:szCs w:val="24"/>
                <w:highlight w:val="none"/>
                <w:u w:val="none"/>
                <w:lang w:val="en-US" w:eastAsia="zh-CN" w:bidi="ar"/>
              </w:rPr>
              <w:t>10</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222 </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148 </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6 </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588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3"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5</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_GB2312" w:cs="仿宋_GB2312"/>
                <w:i w:val="0"/>
                <w:iCs w:val="0"/>
                <w:color w:val="000000"/>
                <w:kern w:val="0"/>
                <w:sz w:val="24"/>
                <w:szCs w:val="24"/>
                <w:highlight w:val="none"/>
                <w:u w:val="none"/>
                <w:lang w:val="en-US" w:eastAsia="zh-CN" w:bidi="ar"/>
              </w:rPr>
            </w:pPr>
            <w:r>
              <w:rPr>
                <w:rFonts w:hint="eastAsia" w:ascii="仿宋" w:hAnsi="仿宋" w:eastAsia="仿宋_GB2312" w:cs="仿宋_GB2312"/>
                <w:i w:val="0"/>
                <w:iCs w:val="0"/>
                <w:color w:val="000000"/>
                <w:kern w:val="0"/>
                <w:sz w:val="24"/>
                <w:szCs w:val="24"/>
                <w:highlight w:val="none"/>
                <w:u w:val="none"/>
                <w:lang w:val="en-US" w:eastAsia="zh-CN" w:bidi="ar"/>
              </w:rPr>
              <w:t>黄洋镇</w:t>
            </w:r>
          </w:p>
        </w:tc>
        <w:tc>
          <w:tcPr>
            <w:tcW w:w="8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eastAsia="宋体" w:cs="Times New Roman"/>
                <w:i w:val="0"/>
                <w:iCs w:val="0"/>
                <w:color w:val="000000"/>
                <w:kern w:val="0"/>
                <w:sz w:val="24"/>
                <w:szCs w:val="24"/>
                <w:highlight w:val="none"/>
                <w:u w:val="none"/>
                <w:lang w:val="en-US" w:eastAsia="zh-CN" w:bidi="ar"/>
              </w:rPr>
              <w:t>1</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38 </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25 </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 </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100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3"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6</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_GB2312" w:cs="仿宋_GB2312"/>
                <w:i w:val="0"/>
                <w:iCs w:val="0"/>
                <w:color w:val="000000"/>
                <w:kern w:val="0"/>
                <w:sz w:val="24"/>
                <w:szCs w:val="24"/>
                <w:highlight w:val="none"/>
                <w:u w:val="none"/>
                <w:lang w:val="en-US" w:eastAsia="zh-CN" w:bidi="ar"/>
              </w:rPr>
            </w:pPr>
            <w:r>
              <w:rPr>
                <w:rFonts w:hint="eastAsia" w:ascii="仿宋" w:hAnsi="仿宋" w:eastAsia="仿宋_GB2312" w:cs="仿宋_GB2312"/>
                <w:i w:val="0"/>
                <w:iCs w:val="0"/>
                <w:color w:val="000000"/>
                <w:kern w:val="0"/>
                <w:sz w:val="24"/>
                <w:szCs w:val="24"/>
                <w:highlight w:val="none"/>
                <w:u w:val="none"/>
                <w:lang w:val="en-US" w:eastAsia="zh-CN" w:bidi="ar"/>
              </w:rPr>
              <w:t>嘉川镇</w:t>
            </w:r>
          </w:p>
        </w:tc>
        <w:tc>
          <w:tcPr>
            <w:tcW w:w="8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eastAsia="宋体" w:cs="Times New Roman"/>
                <w:i w:val="0"/>
                <w:iCs w:val="0"/>
                <w:color w:val="000000"/>
                <w:kern w:val="0"/>
                <w:sz w:val="24"/>
                <w:szCs w:val="24"/>
                <w:highlight w:val="none"/>
                <w:u w:val="none"/>
                <w:lang w:val="en-US" w:eastAsia="zh-CN" w:bidi="ar"/>
              </w:rPr>
              <w:t>3</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100 </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66 </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3 </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264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3"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7</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_GB2312" w:cs="仿宋_GB2312"/>
                <w:i w:val="0"/>
                <w:iCs w:val="0"/>
                <w:color w:val="000000"/>
                <w:kern w:val="0"/>
                <w:sz w:val="24"/>
                <w:szCs w:val="24"/>
                <w:highlight w:val="none"/>
                <w:u w:val="none"/>
                <w:lang w:val="en-US" w:eastAsia="zh-CN" w:bidi="ar"/>
              </w:rPr>
            </w:pPr>
            <w:r>
              <w:rPr>
                <w:rFonts w:hint="eastAsia" w:ascii="仿宋" w:hAnsi="仿宋" w:eastAsia="仿宋_GB2312" w:cs="仿宋_GB2312"/>
                <w:i w:val="0"/>
                <w:iCs w:val="0"/>
                <w:color w:val="000000"/>
                <w:kern w:val="0"/>
                <w:sz w:val="24"/>
                <w:szCs w:val="24"/>
                <w:highlight w:val="none"/>
                <w:u w:val="none"/>
                <w:lang w:val="en-US" w:eastAsia="zh-CN" w:bidi="ar"/>
              </w:rPr>
              <w:t>九龙镇</w:t>
            </w:r>
          </w:p>
        </w:tc>
        <w:tc>
          <w:tcPr>
            <w:tcW w:w="8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eastAsia="宋体" w:cs="Times New Roman"/>
                <w:i w:val="0"/>
                <w:iCs w:val="0"/>
                <w:color w:val="000000"/>
                <w:kern w:val="0"/>
                <w:sz w:val="24"/>
                <w:szCs w:val="24"/>
                <w:highlight w:val="none"/>
                <w:u w:val="none"/>
                <w:lang w:val="en-US" w:eastAsia="zh-CN" w:bidi="ar"/>
              </w:rPr>
              <w:t>3</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124 </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83 </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3 </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330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3"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8</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_GB2312" w:cs="仿宋_GB2312"/>
                <w:i w:val="0"/>
                <w:iCs w:val="0"/>
                <w:color w:val="000000"/>
                <w:kern w:val="0"/>
                <w:sz w:val="24"/>
                <w:szCs w:val="24"/>
                <w:highlight w:val="none"/>
                <w:u w:val="none"/>
                <w:lang w:val="en-US" w:eastAsia="zh-CN" w:bidi="ar"/>
              </w:rPr>
            </w:pPr>
            <w:r>
              <w:rPr>
                <w:rFonts w:hint="eastAsia" w:ascii="仿宋" w:hAnsi="仿宋" w:eastAsia="仿宋_GB2312" w:cs="仿宋_GB2312"/>
                <w:i w:val="0"/>
                <w:iCs w:val="0"/>
                <w:color w:val="000000"/>
                <w:kern w:val="0"/>
                <w:sz w:val="24"/>
                <w:szCs w:val="24"/>
                <w:highlight w:val="none"/>
                <w:u w:val="none"/>
                <w:lang w:val="en-US" w:eastAsia="zh-CN" w:bidi="ar"/>
              </w:rPr>
              <w:t>米仓山镇</w:t>
            </w:r>
          </w:p>
        </w:tc>
        <w:tc>
          <w:tcPr>
            <w:tcW w:w="8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eastAsia="宋体" w:cs="Times New Roman"/>
                <w:i w:val="0"/>
                <w:iCs w:val="0"/>
                <w:color w:val="000000"/>
                <w:kern w:val="0"/>
                <w:sz w:val="24"/>
                <w:szCs w:val="24"/>
                <w:highlight w:val="none"/>
                <w:u w:val="none"/>
                <w:lang w:val="en-US" w:eastAsia="zh-CN" w:bidi="ar"/>
              </w:rPr>
              <w:t>1</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23 </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15 </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 </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60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3"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9</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_GB2312" w:cs="仿宋_GB2312"/>
                <w:i w:val="0"/>
                <w:iCs w:val="0"/>
                <w:color w:val="000000"/>
                <w:kern w:val="0"/>
                <w:sz w:val="24"/>
                <w:szCs w:val="24"/>
                <w:highlight w:val="none"/>
                <w:u w:val="none"/>
                <w:lang w:val="en-US" w:eastAsia="zh-CN" w:bidi="ar"/>
              </w:rPr>
            </w:pPr>
            <w:r>
              <w:rPr>
                <w:rFonts w:hint="eastAsia" w:ascii="仿宋" w:hAnsi="仿宋" w:eastAsia="仿宋_GB2312" w:cs="仿宋_GB2312"/>
                <w:i w:val="0"/>
                <w:iCs w:val="0"/>
                <w:color w:val="000000"/>
                <w:kern w:val="0"/>
                <w:sz w:val="24"/>
                <w:szCs w:val="24"/>
                <w:highlight w:val="none"/>
                <w:u w:val="none"/>
                <w:lang w:val="en-US" w:eastAsia="zh-CN" w:bidi="ar"/>
              </w:rPr>
              <w:t>双汇镇</w:t>
            </w:r>
          </w:p>
        </w:tc>
        <w:tc>
          <w:tcPr>
            <w:tcW w:w="8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eastAsia="宋体" w:cs="Times New Roman"/>
                <w:i w:val="0"/>
                <w:iCs w:val="0"/>
                <w:color w:val="000000"/>
                <w:kern w:val="0"/>
                <w:sz w:val="24"/>
                <w:szCs w:val="24"/>
                <w:highlight w:val="none"/>
                <w:u w:val="none"/>
                <w:lang w:val="en-US" w:eastAsia="zh-CN" w:bidi="ar"/>
              </w:rPr>
              <w:t>1</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49 </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33 </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 </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130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3"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10</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_GB2312" w:cs="仿宋_GB2312"/>
                <w:i w:val="0"/>
                <w:iCs w:val="0"/>
                <w:color w:val="000000"/>
                <w:kern w:val="0"/>
                <w:sz w:val="24"/>
                <w:szCs w:val="24"/>
                <w:highlight w:val="none"/>
                <w:u w:val="none"/>
                <w:lang w:val="en-US" w:eastAsia="zh-CN" w:bidi="ar"/>
              </w:rPr>
            </w:pPr>
            <w:r>
              <w:rPr>
                <w:rFonts w:hint="eastAsia" w:ascii="仿宋" w:hAnsi="仿宋" w:eastAsia="仿宋_GB2312" w:cs="仿宋_GB2312"/>
                <w:i w:val="0"/>
                <w:iCs w:val="0"/>
                <w:color w:val="000000"/>
                <w:kern w:val="0"/>
                <w:sz w:val="24"/>
                <w:szCs w:val="24"/>
                <w:highlight w:val="none"/>
                <w:u w:val="none"/>
                <w:lang w:val="en-US" w:eastAsia="zh-CN" w:bidi="ar"/>
              </w:rPr>
              <w:t>水磨镇</w:t>
            </w:r>
          </w:p>
        </w:tc>
        <w:tc>
          <w:tcPr>
            <w:tcW w:w="8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eastAsia="宋体" w:cs="Times New Roman"/>
                <w:i w:val="0"/>
                <w:iCs w:val="0"/>
                <w:color w:val="000000"/>
                <w:kern w:val="0"/>
                <w:sz w:val="24"/>
                <w:szCs w:val="24"/>
                <w:highlight w:val="none"/>
                <w:u w:val="none"/>
                <w:lang w:val="en-US" w:eastAsia="zh-CN" w:bidi="ar"/>
              </w:rPr>
              <w:t>2</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77 </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51 </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2 </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204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3"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11</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_GB2312" w:cs="仿宋_GB2312"/>
                <w:i w:val="0"/>
                <w:iCs w:val="0"/>
                <w:color w:val="000000"/>
                <w:kern w:val="0"/>
                <w:sz w:val="24"/>
                <w:szCs w:val="24"/>
                <w:highlight w:val="none"/>
                <w:u w:val="none"/>
                <w:lang w:val="en-US" w:eastAsia="zh-CN" w:bidi="ar"/>
              </w:rPr>
            </w:pPr>
            <w:r>
              <w:rPr>
                <w:rFonts w:hint="eastAsia" w:ascii="仿宋" w:hAnsi="仿宋" w:eastAsia="仿宋_GB2312" w:cs="仿宋_GB2312"/>
                <w:i w:val="0"/>
                <w:iCs w:val="0"/>
                <w:color w:val="000000"/>
                <w:kern w:val="0"/>
                <w:sz w:val="24"/>
                <w:szCs w:val="24"/>
                <w:highlight w:val="none"/>
                <w:u w:val="none"/>
                <w:lang w:val="en-US" w:eastAsia="zh-CN" w:bidi="ar"/>
              </w:rPr>
              <w:t>盐河镇</w:t>
            </w:r>
          </w:p>
        </w:tc>
        <w:tc>
          <w:tcPr>
            <w:tcW w:w="8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eastAsia="宋体" w:cs="Times New Roman"/>
                <w:i w:val="0"/>
                <w:iCs w:val="0"/>
                <w:color w:val="000000"/>
                <w:kern w:val="0"/>
                <w:sz w:val="24"/>
                <w:szCs w:val="24"/>
                <w:highlight w:val="none"/>
                <w:u w:val="none"/>
                <w:lang w:val="en-US" w:eastAsia="zh-CN" w:bidi="ar"/>
              </w:rPr>
              <w:t>3</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36 </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24 </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 </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96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3"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12</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_GB2312" w:cs="仿宋_GB2312"/>
                <w:i w:val="0"/>
                <w:iCs w:val="0"/>
                <w:color w:val="000000"/>
                <w:kern w:val="0"/>
                <w:sz w:val="24"/>
                <w:szCs w:val="24"/>
                <w:highlight w:val="none"/>
                <w:u w:val="none"/>
                <w:lang w:val="en-US" w:eastAsia="zh-CN" w:bidi="ar"/>
              </w:rPr>
            </w:pPr>
            <w:r>
              <w:rPr>
                <w:rFonts w:hint="eastAsia" w:ascii="仿宋" w:hAnsi="仿宋" w:eastAsia="仿宋_GB2312" w:cs="仿宋_GB2312"/>
                <w:i w:val="0"/>
                <w:iCs w:val="0"/>
                <w:color w:val="000000"/>
                <w:kern w:val="0"/>
                <w:sz w:val="24"/>
                <w:szCs w:val="24"/>
                <w:highlight w:val="none"/>
                <w:u w:val="none"/>
                <w:lang w:val="en-US" w:eastAsia="zh-CN" w:bidi="ar"/>
              </w:rPr>
              <w:t>燕子乡</w:t>
            </w:r>
          </w:p>
        </w:tc>
        <w:tc>
          <w:tcPr>
            <w:tcW w:w="8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eastAsia="宋体" w:cs="Times New Roman"/>
                <w:i w:val="0"/>
                <w:iCs w:val="0"/>
                <w:color w:val="000000"/>
                <w:kern w:val="0"/>
                <w:sz w:val="24"/>
                <w:szCs w:val="24"/>
                <w:highlight w:val="none"/>
                <w:u w:val="none"/>
                <w:lang w:val="en-US" w:eastAsia="zh-CN" w:bidi="ar"/>
              </w:rPr>
              <w:t>11</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230 </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154 </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6 </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611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3"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13</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_GB2312" w:cs="仿宋_GB2312"/>
                <w:i w:val="0"/>
                <w:iCs w:val="0"/>
                <w:color w:val="000000"/>
                <w:kern w:val="0"/>
                <w:sz w:val="24"/>
                <w:szCs w:val="24"/>
                <w:highlight w:val="none"/>
                <w:u w:val="none"/>
                <w:lang w:val="en-US" w:eastAsia="zh-CN" w:bidi="ar"/>
              </w:rPr>
            </w:pPr>
            <w:r>
              <w:rPr>
                <w:rFonts w:hint="eastAsia" w:ascii="仿宋" w:hAnsi="仿宋" w:eastAsia="仿宋_GB2312" w:cs="仿宋_GB2312"/>
                <w:i w:val="0"/>
                <w:iCs w:val="0"/>
                <w:color w:val="000000"/>
                <w:kern w:val="0"/>
                <w:sz w:val="24"/>
                <w:szCs w:val="24"/>
                <w:highlight w:val="none"/>
                <w:u w:val="none"/>
                <w:lang w:val="en-US" w:eastAsia="zh-CN" w:bidi="ar"/>
              </w:rPr>
              <w:t>英萃镇</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eastAsia="宋体" w:cs="Times New Roman"/>
                <w:i w:val="0"/>
                <w:iCs w:val="0"/>
                <w:color w:val="000000"/>
                <w:kern w:val="0"/>
                <w:sz w:val="24"/>
                <w:szCs w:val="24"/>
                <w:highlight w:val="none"/>
                <w:u w:val="none"/>
                <w:lang w:val="en-US" w:eastAsia="zh-CN" w:bidi="ar"/>
              </w:rPr>
              <w:t>14</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240 </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160 </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6 </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638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3" w:type="pct"/>
            <w:gridSpan w:val="2"/>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合计</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cs="Times New Roman"/>
                <w:b w:val="0"/>
                <w:bCs w:val="0"/>
                <w:color w:val="auto"/>
                <w:sz w:val="24"/>
                <w:szCs w:val="24"/>
                <w:highlight w:val="none"/>
                <w:shd w:val="clear" w:color="auto" w:fill="auto"/>
                <w:lang w:val="en-US" w:eastAsia="zh-CN"/>
              </w:rPr>
            </w:pPr>
            <w:r>
              <w:rPr>
                <w:rFonts w:hint="default" w:ascii="仿宋" w:hAnsi="仿宋" w:eastAsia="宋体" w:cs="Times New Roman"/>
                <w:i w:val="0"/>
                <w:iCs w:val="0"/>
                <w:color w:val="000000"/>
                <w:kern w:val="0"/>
                <w:sz w:val="24"/>
                <w:szCs w:val="24"/>
                <w:highlight w:val="none"/>
                <w:u w:val="none"/>
                <w:lang w:val="en-US" w:eastAsia="zh-CN" w:bidi="ar"/>
              </w:rPr>
              <w:t>55</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eastAsia" w:ascii="仿宋" w:hAnsi="仿宋" w:eastAsia="宋体" w:cs="Times New Roman"/>
                <w:i w:val="0"/>
                <w:iCs w:val="0"/>
                <w:color w:val="000000"/>
                <w:kern w:val="0"/>
                <w:sz w:val="24"/>
                <w:szCs w:val="24"/>
                <w:highlight w:val="none"/>
                <w:u w:val="none"/>
                <w:lang w:val="en-US" w:eastAsia="zh-CN" w:bidi="ar"/>
              </w:rPr>
              <w:t xml:space="preserve">1365 </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eastAsia" w:ascii="仿宋" w:hAnsi="仿宋" w:eastAsia="宋体" w:cs="Times New Roman"/>
                <w:i w:val="0"/>
                <w:iCs w:val="0"/>
                <w:color w:val="000000"/>
                <w:kern w:val="0"/>
                <w:sz w:val="24"/>
                <w:szCs w:val="24"/>
                <w:highlight w:val="none"/>
                <w:u w:val="none"/>
                <w:lang w:val="en-US" w:eastAsia="zh-CN" w:bidi="ar"/>
              </w:rPr>
              <w:t xml:space="preserve">910 </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eastAsia" w:ascii="仿宋" w:hAnsi="仿宋" w:eastAsia="宋体" w:cs="Times New Roman"/>
                <w:i w:val="0"/>
                <w:iCs w:val="0"/>
                <w:color w:val="000000"/>
                <w:kern w:val="0"/>
                <w:sz w:val="24"/>
                <w:szCs w:val="24"/>
                <w:highlight w:val="none"/>
                <w:u w:val="none"/>
                <w:lang w:val="en-US" w:eastAsia="zh-CN" w:bidi="ar"/>
              </w:rPr>
              <w:t xml:space="preserve">36 </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eastAsia" w:ascii="仿宋" w:hAnsi="仿宋" w:eastAsia="宋体" w:cs="Times New Roman"/>
                <w:i w:val="0"/>
                <w:iCs w:val="0"/>
                <w:color w:val="000000"/>
                <w:kern w:val="0"/>
                <w:sz w:val="24"/>
                <w:szCs w:val="24"/>
                <w:highlight w:val="none"/>
                <w:u w:val="none"/>
                <w:lang w:val="en-US" w:eastAsia="zh-CN" w:bidi="ar"/>
              </w:rPr>
              <w:t xml:space="preserve">3619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eastAsia" w:ascii="仿宋" w:hAnsi="仿宋" w:eastAsia="宋体" w:cs="Times New Roman"/>
                <w:i w:val="0"/>
                <w:iCs w:val="0"/>
                <w:color w:val="000000"/>
                <w:kern w:val="0"/>
                <w:sz w:val="24"/>
                <w:szCs w:val="24"/>
                <w:highlight w:val="none"/>
                <w:u w:val="none"/>
                <w:lang w:val="en-US" w:eastAsia="zh-CN" w:bidi="ar"/>
              </w:rPr>
              <w:t xml:space="preserve">139 </w:t>
            </w:r>
          </w:p>
        </w:tc>
      </w:tr>
    </w:tbl>
    <w:p>
      <w:pPr>
        <w:bidi w:val="0"/>
        <w:rPr>
          <w:rFonts w:hint="eastAsia" w:ascii="仿宋" w:hAnsi="仿宋"/>
          <w:highlight w:val="none"/>
          <w:lang w:val="en-US" w:eastAsia="zh-CN"/>
        </w:rPr>
      </w:pPr>
    </w:p>
    <w:p>
      <w:pPr>
        <w:pStyle w:val="14"/>
        <w:spacing w:after="0" w:line="240" w:lineRule="auto"/>
        <w:ind w:left="0" w:leftChars="0" w:right="0" w:rightChars="0" w:firstLine="640" w:firstLineChars="200"/>
        <w:rPr>
          <w:rFonts w:hint="default" w:ascii="仿宋" w:hAnsi="仿宋" w:cs="Times New Roman"/>
          <w:kern w:val="2"/>
          <w:sz w:val="32"/>
          <w:szCs w:val="32"/>
          <w:highlight w:val="none"/>
          <w:shd w:val="clear" w:color="auto" w:fill="auto"/>
          <w:lang w:val="en-US" w:eastAsia="zh-CN" w:bidi="ar-SA"/>
        </w:rPr>
      </w:pPr>
      <w:r>
        <w:rPr>
          <w:rFonts w:hint="eastAsia" w:ascii="仿宋" w:hAnsi="仿宋" w:cs="Times New Roman"/>
          <w:kern w:val="2"/>
          <w:sz w:val="32"/>
          <w:szCs w:val="32"/>
          <w:highlight w:val="none"/>
          <w:shd w:val="clear" w:color="auto" w:fill="auto"/>
          <w:lang w:val="en-US" w:eastAsia="zh-CN" w:bidi="ar-SA"/>
        </w:rPr>
        <w:t>3、养殖散户</w:t>
      </w:r>
      <w:bookmarkEnd w:id="98"/>
      <w:r>
        <w:rPr>
          <w:rFonts w:hint="eastAsia" w:ascii="仿宋" w:hAnsi="仿宋" w:cs="Times New Roman"/>
          <w:kern w:val="2"/>
          <w:sz w:val="32"/>
          <w:szCs w:val="32"/>
          <w:highlight w:val="none"/>
          <w:shd w:val="clear" w:color="auto" w:fill="auto"/>
          <w:lang w:val="en-US" w:eastAsia="zh-CN" w:bidi="ar-SA"/>
        </w:rPr>
        <w:t>粪污田间配套设施</w:t>
      </w:r>
    </w:p>
    <w:p>
      <w:pPr>
        <w:pStyle w:val="14"/>
        <w:spacing w:after="0" w:line="240" w:lineRule="auto"/>
        <w:ind w:left="0" w:leftChars="0" w:right="0" w:rightChars="0" w:firstLine="640" w:firstLineChars="200"/>
        <w:rPr>
          <w:rFonts w:hint="eastAsia" w:ascii="仿宋" w:hAnsi="仿宋" w:cs="Times New Roman"/>
          <w:kern w:val="2"/>
          <w:sz w:val="32"/>
          <w:szCs w:val="32"/>
          <w:highlight w:val="none"/>
          <w:shd w:val="clear" w:color="auto" w:fill="auto"/>
          <w:lang w:val="en-US" w:eastAsia="zh-CN" w:bidi="ar-SA"/>
        </w:rPr>
      </w:pPr>
      <w:r>
        <w:rPr>
          <w:rFonts w:hint="eastAsia" w:ascii="仿宋" w:hAnsi="仿宋" w:cs="Times New Roman"/>
          <w:kern w:val="2"/>
          <w:sz w:val="32"/>
          <w:szCs w:val="32"/>
          <w:highlight w:val="none"/>
          <w:shd w:val="clear" w:color="auto" w:fill="auto"/>
          <w:lang w:val="en-US" w:eastAsia="zh-CN" w:bidi="ar-SA"/>
        </w:rPr>
        <w:t>在旺苍县全县23个乡镇规划建设粪污田间配套设施，涉及行政村228个，规划建设粪污田间配套设施228套，建设堆粪场有效容积18139立方米，堆粪场面积12092平方米，污水贮水池有效容积38885立方米，粪肥运输支管（DN 300）85938米，粪肥运输干管（DN 400）28469米。堆粪场工程估算477万元，贮水池工程估算1497万元，粪肥运输管网工程估算8006万元。</w:t>
      </w:r>
    </w:p>
    <w:p>
      <w:pPr>
        <w:pStyle w:val="115"/>
        <w:pageBreakBefore w:val="0"/>
        <w:widowControl w:val="0"/>
        <w:kinsoku/>
        <w:wordWrap/>
        <w:overflowPunct/>
        <w:topLinePunct w:val="0"/>
        <w:bidi w:val="0"/>
        <w:snapToGrid/>
        <w:spacing w:line="560" w:lineRule="exact"/>
        <w:jc w:val="center"/>
        <w:textAlignment w:val="auto"/>
        <w:outlineLvl w:val="7"/>
        <w:rPr>
          <w:rFonts w:hint="default" w:ascii="仿宋" w:hAnsi="仿宋" w:cs="Times New Roman"/>
          <w:kern w:val="2"/>
          <w:sz w:val="32"/>
          <w:szCs w:val="32"/>
          <w:highlight w:val="none"/>
          <w:shd w:val="clear" w:color="auto" w:fill="auto"/>
          <w:lang w:val="en-US" w:eastAsia="zh-CN" w:bidi="ar-SA"/>
        </w:rPr>
      </w:pPr>
      <w:r>
        <w:rPr>
          <w:rFonts w:hint="eastAsia" w:ascii="仿宋" w:hAnsi="仿宋" w:eastAsia="仿宋" w:cs="Times New Roman"/>
          <w:b/>
          <w:color w:val="auto"/>
          <w:sz w:val="28"/>
          <w:szCs w:val="28"/>
          <w:highlight w:val="none"/>
          <w:shd w:val="clear" w:color="auto" w:fill="auto"/>
          <w:lang w:val="en-US" w:eastAsia="zh-CN"/>
        </w:rPr>
        <w:t>表6-3  旺苍县各乡镇粪污田间配套设施投资估算</w:t>
      </w:r>
    </w:p>
    <w:tbl>
      <w:tblPr>
        <w:tblStyle w:val="3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98"/>
        <w:gridCol w:w="1176"/>
        <w:gridCol w:w="897"/>
        <w:gridCol w:w="877"/>
        <w:gridCol w:w="779"/>
        <w:gridCol w:w="904"/>
        <w:gridCol w:w="779"/>
        <w:gridCol w:w="816"/>
        <w:gridCol w:w="816"/>
        <w:gridCol w:w="7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blHeader/>
        </w:trPr>
        <w:tc>
          <w:tcPr>
            <w:tcW w:w="0" w:type="auto"/>
            <w:vMerge w:val="restart"/>
            <w:tcBorders>
              <w:tl2br w:val="nil"/>
              <w:tr2bl w:val="nil"/>
            </w:tcBorders>
            <w:noWrap/>
            <w:vAlign w:val="center"/>
          </w:tcPr>
          <w:p>
            <w:pPr>
              <w:pStyle w:val="14"/>
              <w:spacing w:after="0" w:line="240" w:lineRule="auto"/>
              <w:ind w:left="0" w:leftChars="0" w:right="0" w:rightChars="0"/>
              <w:jc w:val="center"/>
              <w:rPr>
                <w:rFonts w:hint="default"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序号</w:t>
            </w:r>
          </w:p>
        </w:tc>
        <w:tc>
          <w:tcPr>
            <w:tcW w:w="0" w:type="auto"/>
            <w:vMerge w:val="restar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乡镇</w:t>
            </w:r>
          </w:p>
        </w:tc>
        <w:tc>
          <w:tcPr>
            <w:tcW w:w="0" w:type="auto"/>
            <w:gridSpan w:val="3"/>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堆粪场</w:t>
            </w:r>
          </w:p>
        </w:tc>
        <w:tc>
          <w:tcPr>
            <w:tcW w:w="0" w:type="auto"/>
            <w:gridSpan w:val="2"/>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污水贮水池</w:t>
            </w:r>
          </w:p>
        </w:tc>
        <w:tc>
          <w:tcPr>
            <w:tcW w:w="0" w:type="auto"/>
            <w:gridSpan w:val="3"/>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粪肥运输管网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blHeader/>
        </w:trPr>
        <w:tc>
          <w:tcPr>
            <w:tcW w:w="0" w:type="auto"/>
            <w:vMerge w:val="continue"/>
            <w:tcBorders>
              <w:tl2br w:val="nil"/>
              <w:tr2bl w:val="nil"/>
            </w:tcBorders>
            <w:noWrap/>
            <w:vAlign w:val="center"/>
          </w:tcPr>
          <w:p>
            <w:pPr>
              <w:pStyle w:val="14"/>
              <w:spacing w:after="0" w:line="240" w:lineRule="auto"/>
              <w:ind w:left="0" w:leftChars="0" w:right="0" w:rightChars="0"/>
              <w:jc w:val="center"/>
              <w:rPr>
                <w:rFonts w:hint="default" w:ascii="仿宋" w:hAnsi="仿宋" w:cs="Times New Roman"/>
                <w:b/>
                <w:bCs/>
                <w:color w:val="auto"/>
                <w:sz w:val="24"/>
                <w:szCs w:val="24"/>
                <w:highlight w:val="none"/>
                <w:shd w:val="clear" w:color="auto" w:fill="auto"/>
                <w:lang w:val="en-US" w:eastAsia="zh-CN"/>
              </w:rPr>
            </w:pPr>
          </w:p>
        </w:tc>
        <w:tc>
          <w:tcPr>
            <w:tcW w:w="0" w:type="auto"/>
            <w:vMerge w:val="continue"/>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p>
        </w:tc>
        <w:tc>
          <w:tcPr>
            <w:tcW w:w="0" w:type="auto"/>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有效容积(立方米）</w:t>
            </w:r>
          </w:p>
        </w:tc>
        <w:tc>
          <w:tcPr>
            <w:tcW w:w="0" w:type="auto"/>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面积（平方米）</w:t>
            </w:r>
          </w:p>
        </w:tc>
        <w:tc>
          <w:tcPr>
            <w:tcW w:w="0" w:type="auto"/>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工程估算（万元）</w:t>
            </w:r>
          </w:p>
        </w:tc>
        <w:tc>
          <w:tcPr>
            <w:tcW w:w="0" w:type="auto"/>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有效容积（立方米）</w:t>
            </w:r>
          </w:p>
        </w:tc>
        <w:tc>
          <w:tcPr>
            <w:tcW w:w="0" w:type="auto"/>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工程估算（万元）</w:t>
            </w:r>
          </w:p>
        </w:tc>
        <w:tc>
          <w:tcPr>
            <w:tcW w:w="0" w:type="auto"/>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支管</w:t>
            </w:r>
          </w:p>
        </w:tc>
        <w:tc>
          <w:tcPr>
            <w:tcW w:w="0" w:type="auto"/>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干管</w:t>
            </w:r>
          </w:p>
        </w:tc>
        <w:tc>
          <w:tcPr>
            <w:tcW w:w="0" w:type="auto"/>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工程估算（万元）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default" w:ascii="仿宋" w:hAnsi="仿宋" w:eastAsia="宋体" w:cs="Times New Roman"/>
                <w:i w:val="0"/>
                <w:iCs w:val="0"/>
                <w:color w:val="000000"/>
                <w:kern w:val="0"/>
                <w:sz w:val="24"/>
                <w:szCs w:val="24"/>
                <w:highlight w:val="none"/>
                <w:u w:val="none"/>
                <w:lang w:val="en-US" w:eastAsia="zh-CN" w:bidi="ar"/>
              </w:rPr>
              <w:t>1</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eastAsia="仿宋_GB2312" w:cs="仿宋_GB2312"/>
                <w:i w:val="0"/>
                <w:iCs w:val="0"/>
                <w:color w:val="000000"/>
                <w:kern w:val="0"/>
                <w:sz w:val="24"/>
                <w:szCs w:val="24"/>
                <w:highlight w:val="none"/>
                <w:u w:val="none"/>
                <w:lang w:val="en-US" w:eastAsia="zh-CN" w:bidi="ar"/>
              </w:rPr>
              <w:t>白水镇</w:t>
            </w:r>
          </w:p>
        </w:tc>
        <w:tc>
          <w:tcPr>
            <w:tcW w:w="0" w:type="auto"/>
            <w:tcBorders>
              <w:tl2br w:val="nil"/>
              <w:tr2bl w:val="nil"/>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512 </w:t>
            </w:r>
          </w:p>
        </w:tc>
        <w:tc>
          <w:tcPr>
            <w:tcW w:w="0" w:type="auto"/>
            <w:tcBorders>
              <w:tl2br w:val="nil"/>
              <w:tr2bl w:val="nil"/>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341 </w:t>
            </w:r>
          </w:p>
        </w:tc>
        <w:tc>
          <w:tcPr>
            <w:tcW w:w="0" w:type="auto"/>
            <w:tcBorders>
              <w:tl2br w:val="nil"/>
              <w:tr2bl w:val="nil"/>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13 </w:t>
            </w:r>
          </w:p>
        </w:tc>
        <w:tc>
          <w:tcPr>
            <w:tcW w:w="0" w:type="auto"/>
            <w:tcBorders>
              <w:tl2br w:val="nil"/>
              <w:tr2bl w:val="nil"/>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1153 </w:t>
            </w:r>
          </w:p>
        </w:tc>
        <w:tc>
          <w:tcPr>
            <w:tcW w:w="0" w:type="auto"/>
            <w:tcBorders>
              <w:tl2br w:val="nil"/>
              <w:tr2bl w:val="nil"/>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44 </w:t>
            </w:r>
          </w:p>
        </w:tc>
        <w:tc>
          <w:tcPr>
            <w:tcW w:w="0" w:type="auto"/>
            <w:tcBorders>
              <w:tl2br w:val="nil"/>
              <w:tr2bl w:val="nil"/>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4949 </w:t>
            </w:r>
          </w:p>
        </w:tc>
        <w:tc>
          <w:tcPr>
            <w:tcW w:w="0" w:type="auto"/>
            <w:tcBorders>
              <w:tl2br w:val="nil"/>
              <w:tr2bl w:val="nil"/>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844 </w:t>
            </w:r>
          </w:p>
        </w:tc>
        <w:tc>
          <w:tcPr>
            <w:tcW w:w="0" w:type="auto"/>
            <w:tcBorders>
              <w:tl2br w:val="nil"/>
              <w:tr2bl w:val="nil"/>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393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hRule="atLeast"/>
        </w:trPr>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default" w:ascii="仿宋" w:hAnsi="仿宋" w:eastAsia="宋体" w:cs="Times New Roman"/>
                <w:i w:val="0"/>
                <w:iCs w:val="0"/>
                <w:color w:val="000000"/>
                <w:kern w:val="0"/>
                <w:sz w:val="24"/>
                <w:szCs w:val="24"/>
                <w:highlight w:val="none"/>
                <w:u w:val="none"/>
                <w:lang w:val="en-US" w:eastAsia="zh-CN" w:bidi="ar"/>
              </w:rPr>
              <w:t>2</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eastAsia="仿宋_GB2312" w:cs="仿宋_GB2312"/>
                <w:i w:val="0"/>
                <w:iCs w:val="0"/>
                <w:color w:val="000000"/>
                <w:kern w:val="0"/>
                <w:sz w:val="24"/>
                <w:szCs w:val="24"/>
                <w:highlight w:val="none"/>
                <w:u w:val="none"/>
                <w:lang w:val="en-US" w:eastAsia="zh-CN" w:bidi="ar"/>
              </w:rPr>
              <w:t>双汇镇</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590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393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16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1379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53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2959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1009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278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hRule="atLeast"/>
        </w:trPr>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default" w:ascii="仿宋" w:hAnsi="仿宋" w:eastAsia="宋体" w:cs="Times New Roman"/>
                <w:i w:val="0"/>
                <w:iCs w:val="0"/>
                <w:color w:val="000000"/>
                <w:kern w:val="0"/>
                <w:sz w:val="24"/>
                <w:szCs w:val="24"/>
                <w:highlight w:val="none"/>
                <w:u w:val="none"/>
                <w:lang w:val="en-US" w:eastAsia="zh-CN" w:bidi="ar"/>
              </w:rPr>
              <w:t>3</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eastAsia="仿宋_GB2312" w:cs="仿宋_GB2312"/>
                <w:i w:val="0"/>
                <w:iCs w:val="0"/>
                <w:color w:val="000000"/>
                <w:kern w:val="0"/>
                <w:sz w:val="24"/>
                <w:szCs w:val="24"/>
                <w:highlight w:val="none"/>
                <w:u w:val="none"/>
                <w:lang w:val="en-US" w:eastAsia="zh-CN" w:bidi="ar"/>
              </w:rPr>
              <w:t>龙凤镇</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1425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950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37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3419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132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7338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2503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690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hRule="atLeast"/>
        </w:trPr>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default" w:ascii="仿宋" w:hAnsi="仿宋" w:eastAsia="宋体" w:cs="Times New Roman"/>
                <w:i w:val="0"/>
                <w:iCs w:val="0"/>
                <w:color w:val="000000"/>
                <w:kern w:val="0"/>
                <w:sz w:val="24"/>
                <w:szCs w:val="24"/>
                <w:highlight w:val="none"/>
                <w:u w:val="none"/>
                <w:lang w:val="en-US" w:eastAsia="zh-CN" w:bidi="ar"/>
              </w:rPr>
              <w:t>4</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eastAsia="仿宋_GB2312" w:cs="仿宋_GB2312"/>
                <w:i w:val="0"/>
                <w:iCs w:val="0"/>
                <w:color w:val="000000"/>
                <w:kern w:val="0"/>
                <w:sz w:val="24"/>
                <w:szCs w:val="24"/>
                <w:highlight w:val="none"/>
                <w:u w:val="none"/>
                <w:lang w:val="en-US" w:eastAsia="zh-CN" w:bidi="ar"/>
              </w:rPr>
              <w:t>大德镇</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352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235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9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572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22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1227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418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115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hRule="atLeast"/>
        </w:trPr>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default" w:ascii="仿宋" w:hAnsi="仿宋" w:eastAsia="宋体" w:cs="Times New Roman"/>
                <w:i w:val="0"/>
                <w:iCs w:val="0"/>
                <w:color w:val="000000"/>
                <w:kern w:val="0"/>
                <w:sz w:val="24"/>
                <w:szCs w:val="24"/>
                <w:highlight w:val="none"/>
                <w:u w:val="none"/>
                <w:lang w:val="en-US" w:eastAsia="zh-CN" w:bidi="ar"/>
              </w:rPr>
              <w:t>5</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eastAsia="仿宋_GB2312" w:cs="仿宋_GB2312"/>
                <w:i w:val="0"/>
                <w:iCs w:val="0"/>
                <w:color w:val="000000"/>
                <w:kern w:val="0"/>
                <w:sz w:val="24"/>
                <w:szCs w:val="24"/>
                <w:highlight w:val="none"/>
                <w:u w:val="none"/>
                <w:lang w:val="en-US" w:eastAsia="zh-CN" w:bidi="ar"/>
              </w:rPr>
              <w:t>大两镇</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664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442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17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1337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51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2870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979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270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hRule="atLeast"/>
        </w:trPr>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default" w:ascii="仿宋" w:hAnsi="仿宋" w:eastAsia="宋体" w:cs="Times New Roman"/>
                <w:i w:val="0"/>
                <w:iCs w:val="0"/>
                <w:color w:val="000000"/>
                <w:kern w:val="0"/>
                <w:sz w:val="24"/>
                <w:szCs w:val="24"/>
                <w:highlight w:val="none"/>
                <w:u w:val="none"/>
                <w:lang w:val="en-US" w:eastAsia="zh-CN" w:bidi="ar"/>
              </w:rPr>
              <w:t>6</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eastAsia="仿宋_GB2312" w:cs="仿宋_GB2312"/>
                <w:i w:val="0"/>
                <w:iCs w:val="0"/>
                <w:color w:val="000000"/>
                <w:kern w:val="0"/>
                <w:sz w:val="24"/>
                <w:szCs w:val="24"/>
                <w:highlight w:val="none"/>
                <w:u w:val="none"/>
                <w:lang w:val="en-US" w:eastAsia="zh-CN" w:bidi="ar"/>
              </w:rPr>
              <w:t>高阳镇</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659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440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17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1599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62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3432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1171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323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hRule="atLeast"/>
        </w:trPr>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default" w:ascii="仿宋" w:hAnsi="仿宋" w:eastAsia="宋体" w:cs="Times New Roman"/>
                <w:i w:val="0"/>
                <w:iCs w:val="0"/>
                <w:color w:val="000000"/>
                <w:kern w:val="0"/>
                <w:sz w:val="24"/>
                <w:szCs w:val="24"/>
                <w:highlight w:val="none"/>
                <w:u w:val="none"/>
                <w:lang w:val="en-US" w:eastAsia="zh-CN" w:bidi="ar"/>
              </w:rPr>
              <w:t>7</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eastAsia="仿宋_GB2312" w:cs="仿宋_GB2312"/>
                <w:i w:val="0"/>
                <w:iCs w:val="0"/>
                <w:color w:val="000000"/>
                <w:kern w:val="0"/>
                <w:sz w:val="24"/>
                <w:szCs w:val="24"/>
                <w:highlight w:val="none"/>
                <w:u w:val="none"/>
                <w:lang w:val="en-US" w:eastAsia="zh-CN" w:bidi="ar"/>
              </w:rPr>
              <w:t>国华镇</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355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236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9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771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30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1656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565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156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hRule="atLeast"/>
        </w:trPr>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default" w:ascii="仿宋" w:hAnsi="仿宋" w:eastAsia="宋体" w:cs="Times New Roman"/>
                <w:i w:val="0"/>
                <w:iCs w:val="0"/>
                <w:color w:val="000000"/>
                <w:kern w:val="0"/>
                <w:sz w:val="24"/>
                <w:szCs w:val="24"/>
                <w:highlight w:val="none"/>
                <w:u w:val="none"/>
                <w:lang w:val="en-US" w:eastAsia="zh-CN" w:bidi="ar"/>
              </w:rPr>
              <w:t>8</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eastAsia="仿宋_GB2312" w:cs="仿宋_GB2312"/>
                <w:i w:val="0"/>
                <w:iCs w:val="0"/>
                <w:color w:val="000000"/>
                <w:kern w:val="0"/>
                <w:sz w:val="24"/>
                <w:szCs w:val="24"/>
                <w:highlight w:val="none"/>
                <w:u w:val="none"/>
                <w:lang w:val="en-US" w:eastAsia="zh-CN" w:bidi="ar"/>
              </w:rPr>
              <w:t>黄洋镇</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527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351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14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1112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43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2386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814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224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hRule="atLeast"/>
        </w:trPr>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default" w:ascii="仿宋" w:hAnsi="仿宋" w:eastAsia="宋体" w:cs="Times New Roman"/>
                <w:i w:val="0"/>
                <w:iCs w:val="0"/>
                <w:color w:val="000000"/>
                <w:kern w:val="0"/>
                <w:sz w:val="24"/>
                <w:szCs w:val="24"/>
                <w:highlight w:val="none"/>
                <w:u w:val="none"/>
                <w:lang w:val="en-US" w:eastAsia="zh-CN" w:bidi="ar"/>
              </w:rPr>
              <w:t>9</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eastAsia="仿宋_GB2312" w:cs="仿宋_GB2312"/>
                <w:i w:val="0"/>
                <w:iCs w:val="0"/>
                <w:color w:val="000000"/>
                <w:kern w:val="0"/>
                <w:sz w:val="24"/>
                <w:szCs w:val="24"/>
                <w:highlight w:val="none"/>
                <w:u w:val="none"/>
                <w:lang w:val="en-US" w:eastAsia="zh-CN" w:bidi="ar"/>
              </w:rPr>
              <w:t>九龙镇</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1321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881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35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2905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112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6236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2127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586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hRule="atLeast"/>
        </w:trPr>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default" w:ascii="仿宋" w:hAnsi="仿宋" w:eastAsia="宋体" w:cs="Times New Roman"/>
                <w:i w:val="0"/>
                <w:iCs w:val="0"/>
                <w:color w:val="000000"/>
                <w:kern w:val="0"/>
                <w:sz w:val="24"/>
                <w:szCs w:val="24"/>
                <w:highlight w:val="none"/>
                <w:u w:val="none"/>
                <w:lang w:val="en-US" w:eastAsia="zh-CN" w:bidi="ar"/>
              </w:rPr>
              <w:t>10</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eastAsia="仿宋_GB2312" w:cs="仿宋_GB2312"/>
                <w:i w:val="0"/>
                <w:iCs w:val="0"/>
                <w:color w:val="000000"/>
                <w:kern w:val="0"/>
                <w:sz w:val="24"/>
                <w:szCs w:val="24"/>
                <w:highlight w:val="none"/>
                <w:u w:val="none"/>
                <w:lang w:val="en-US" w:eastAsia="zh-CN" w:bidi="ar"/>
              </w:rPr>
              <w:t>檬子乡</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788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525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21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1927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74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4135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1411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389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hRule="atLeast"/>
        </w:trPr>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default" w:ascii="仿宋" w:hAnsi="仿宋" w:eastAsia="宋体" w:cs="Times New Roman"/>
                <w:i w:val="0"/>
                <w:iCs w:val="0"/>
                <w:color w:val="000000"/>
                <w:kern w:val="0"/>
                <w:sz w:val="24"/>
                <w:szCs w:val="24"/>
                <w:highlight w:val="none"/>
                <w:u w:val="none"/>
                <w:lang w:val="en-US" w:eastAsia="zh-CN" w:bidi="ar"/>
              </w:rPr>
              <w:t>11</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eastAsia="仿宋_GB2312" w:cs="仿宋_GB2312"/>
                <w:i w:val="0"/>
                <w:iCs w:val="0"/>
                <w:color w:val="000000"/>
                <w:kern w:val="0"/>
                <w:sz w:val="24"/>
                <w:szCs w:val="24"/>
                <w:highlight w:val="none"/>
                <w:u w:val="none"/>
                <w:lang w:val="en-US" w:eastAsia="zh-CN" w:bidi="ar"/>
              </w:rPr>
              <w:t>张华镇</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510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340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13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950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37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2038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695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192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hRule="atLeast"/>
        </w:trPr>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default" w:ascii="仿宋" w:hAnsi="仿宋" w:eastAsia="宋体" w:cs="Times New Roman"/>
                <w:i w:val="0"/>
                <w:iCs w:val="0"/>
                <w:color w:val="000000"/>
                <w:kern w:val="0"/>
                <w:sz w:val="24"/>
                <w:szCs w:val="24"/>
                <w:highlight w:val="none"/>
                <w:u w:val="none"/>
                <w:lang w:val="en-US" w:eastAsia="zh-CN" w:bidi="ar"/>
              </w:rPr>
              <w:t>12</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eastAsia="仿宋_GB2312" w:cs="仿宋_GB2312"/>
                <w:i w:val="0"/>
                <w:iCs w:val="0"/>
                <w:color w:val="000000"/>
                <w:kern w:val="0"/>
                <w:sz w:val="24"/>
                <w:szCs w:val="24"/>
                <w:highlight w:val="none"/>
                <w:u w:val="none"/>
                <w:lang w:val="en-US" w:eastAsia="zh-CN" w:bidi="ar"/>
              </w:rPr>
              <w:t>盐河镇</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515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343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14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1173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45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2517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859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237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hRule="atLeast"/>
        </w:trPr>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default" w:ascii="仿宋" w:hAnsi="仿宋" w:eastAsia="宋体" w:cs="Times New Roman"/>
                <w:i w:val="0"/>
                <w:iCs w:val="0"/>
                <w:color w:val="000000"/>
                <w:kern w:val="0"/>
                <w:sz w:val="24"/>
                <w:szCs w:val="24"/>
                <w:highlight w:val="none"/>
                <w:u w:val="none"/>
                <w:lang w:val="en-US" w:eastAsia="zh-CN" w:bidi="ar"/>
              </w:rPr>
              <w:t>13</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eastAsia="仿宋_GB2312" w:cs="仿宋_GB2312"/>
                <w:i w:val="0"/>
                <w:iCs w:val="0"/>
                <w:color w:val="000000"/>
                <w:kern w:val="0"/>
                <w:sz w:val="24"/>
                <w:szCs w:val="24"/>
                <w:highlight w:val="none"/>
                <w:u w:val="none"/>
                <w:lang w:val="en-US" w:eastAsia="zh-CN" w:bidi="ar"/>
              </w:rPr>
              <w:t>普济镇</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795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530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21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1542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59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3310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1129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311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hRule="atLeast"/>
        </w:trPr>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default" w:ascii="仿宋" w:hAnsi="仿宋" w:eastAsia="宋体" w:cs="Times New Roman"/>
                <w:i w:val="0"/>
                <w:iCs w:val="0"/>
                <w:color w:val="000000"/>
                <w:kern w:val="0"/>
                <w:sz w:val="24"/>
                <w:szCs w:val="24"/>
                <w:highlight w:val="none"/>
                <w:u w:val="none"/>
                <w:lang w:val="en-US" w:eastAsia="zh-CN" w:bidi="ar"/>
              </w:rPr>
              <w:t>14</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eastAsia="仿宋_GB2312" w:cs="仿宋_GB2312"/>
                <w:i w:val="0"/>
                <w:iCs w:val="0"/>
                <w:color w:val="000000"/>
                <w:kern w:val="0"/>
                <w:sz w:val="24"/>
                <w:szCs w:val="24"/>
                <w:highlight w:val="none"/>
                <w:u w:val="none"/>
                <w:lang w:val="en-US" w:eastAsia="zh-CN" w:bidi="ar"/>
              </w:rPr>
              <w:t>水磨镇</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350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233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9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815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31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1750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597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165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hRule="atLeast"/>
        </w:trPr>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default" w:ascii="仿宋" w:hAnsi="仿宋" w:eastAsia="宋体" w:cs="Times New Roman"/>
                <w:i w:val="0"/>
                <w:iCs w:val="0"/>
                <w:color w:val="000000"/>
                <w:kern w:val="0"/>
                <w:sz w:val="24"/>
                <w:szCs w:val="24"/>
                <w:highlight w:val="none"/>
                <w:u w:val="none"/>
                <w:lang w:val="en-US" w:eastAsia="zh-CN" w:bidi="ar"/>
              </w:rPr>
              <w:t>15</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eastAsia="仿宋_GB2312" w:cs="仿宋_GB2312"/>
                <w:i w:val="0"/>
                <w:iCs w:val="0"/>
                <w:color w:val="000000"/>
                <w:kern w:val="0"/>
                <w:sz w:val="24"/>
                <w:szCs w:val="24"/>
                <w:highlight w:val="none"/>
                <w:u w:val="none"/>
                <w:lang w:val="en-US" w:eastAsia="zh-CN" w:bidi="ar"/>
              </w:rPr>
              <w:t>五权镇</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219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146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6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581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22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1247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425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117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hRule="atLeast"/>
        </w:trPr>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default" w:ascii="仿宋" w:hAnsi="仿宋" w:eastAsia="宋体" w:cs="Times New Roman"/>
                <w:i w:val="0"/>
                <w:iCs w:val="0"/>
                <w:color w:val="000000"/>
                <w:kern w:val="0"/>
                <w:sz w:val="24"/>
                <w:szCs w:val="24"/>
                <w:highlight w:val="none"/>
                <w:u w:val="none"/>
                <w:lang w:val="en-US" w:eastAsia="zh-CN" w:bidi="ar"/>
              </w:rPr>
              <w:t>16</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eastAsia="仿宋_GB2312" w:cs="仿宋_GB2312"/>
                <w:i w:val="0"/>
                <w:iCs w:val="0"/>
                <w:color w:val="000000"/>
                <w:kern w:val="0"/>
                <w:sz w:val="24"/>
                <w:szCs w:val="24"/>
                <w:highlight w:val="none"/>
                <w:u w:val="none"/>
                <w:lang w:val="en-US" w:eastAsia="zh-CN" w:bidi="ar"/>
              </w:rPr>
              <w:t>嘉川镇</w:t>
            </w:r>
          </w:p>
        </w:tc>
        <w:tc>
          <w:tcPr>
            <w:tcW w:w="0" w:type="auto"/>
            <w:tcBorders>
              <w:tl2br w:val="nil"/>
              <w:tr2bl w:val="nil"/>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278 </w:t>
            </w:r>
          </w:p>
        </w:tc>
        <w:tc>
          <w:tcPr>
            <w:tcW w:w="0" w:type="auto"/>
            <w:tcBorders>
              <w:tl2br w:val="nil"/>
              <w:tr2bl w:val="nil"/>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186 </w:t>
            </w:r>
          </w:p>
        </w:tc>
        <w:tc>
          <w:tcPr>
            <w:tcW w:w="0" w:type="auto"/>
            <w:tcBorders>
              <w:tl2br w:val="nil"/>
              <w:tr2bl w:val="nil"/>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7 </w:t>
            </w:r>
          </w:p>
        </w:tc>
        <w:tc>
          <w:tcPr>
            <w:tcW w:w="0" w:type="auto"/>
            <w:tcBorders>
              <w:tl2br w:val="nil"/>
              <w:tr2bl w:val="nil"/>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620 </w:t>
            </w:r>
          </w:p>
        </w:tc>
        <w:tc>
          <w:tcPr>
            <w:tcW w:w="0" w:type="auto"/>
            <w:tcBorders>
              <w:tl2br w:val="nil"/>
              <w:tr2bl w:val="nil"/>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24 </w:t>
            </w:r>
          </w:p>
        </w:tc>
        <w:tc>
          <w:tcPr>
            <w:tcW w:w="0" w:type="auto"/>
            <w:tcBorders>
              <w:tl2br w:val="nil"/>
              <w:tr2bl w:val="nil"/>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1331 </w:t>
            </w:r>
          </w:p>
        </w:tc>
        <w:tc>
          <w:tcPr>
            <w:tcW w:w="0" w:type="auto"/>
            <w:tcBorders>
              <w:tl2br w:val="nil"/>
              <w:tr2bl w:val="nil"/>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454 </w:t>
            </w:r>
          </w:p>
        </w:tc>
        <w:tc>
          <w:tcPr>
            <w:tcW w:w="0" w:type="auto"/>
            <w:tcBorders>
              <w:tl2br w:val="nil"/>
              <w:tr2bl w:val="nil"/>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125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hRule="atLeast"/>
        </w:trPr>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default" w:ascii="仿宋" w:hAnsi="仿宋" w:eastAsia="宋体" w:cs="Times New Roman"/>
                <w:i w:val="0"/>
                <w:iCs w:val="0"/>
                <w:color w:val="000000"/>
                <w:kern w:val="0"/>
                <w:sz w:val="24"/>
                <w:szCs w:val="24"/>
                <w:highlight w:val="none"/>
                <w:u w:val="none"/>
                <w:lang w:val="en-US" w:eastAsia="zh-CN" w:bidi="ar"/>
              </w:rPr>
              <w:t>17</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eastAsia="仿宋_GB2312" w:cs="仿宋_GB2312"/>
                <w:i w:val="0"/>
                <w:iCs w:val="0"/>
                <w:color w:val="000000"/>
                <w:kern w:val="0"/>
                <w:sz w:val="24"/>
                <w:szCs w:val="24"/>
                <w:highlight w:val="none"/>
                <w:u w:val="none"/>
                <w:lang w:val="en-US" w:eastAsia="zh-CN" w:bidi="ar"/>
              </w:rPr>
              <w:t>米仓山镇</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146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97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4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270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10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580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198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54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default" w:ascii="仿宋" w:hAnsi="仿宋" w:eastAsia="宋体" w:cs="Times New Roman"/>
                <w:i w:val="0"/>
                <w:iCs w:val="0"/>
                <w:color w:val="000000"/>
                <w:kern w:val="0"/>
                <w:sz w:val="24"/>
                <w:szCs w:val="24"/>
                <w:highlight w:val="none"/>
                <w:u w:val="none"/>
                <w:lang w:val="en-US" w:eastAsia="zh-CN" w:bidi="ar"/>
              </w:rPr>
              <w:t>18</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eastAsia="仿宋_GB2312" w:cs="仿宋_GB2312"/>
                <w:i w:val="0"/>
                <w:iCs w:val="0"/>
                <w:color w:val="000000"/>
                <w:kern w:val="0"/>
                <w:sz w:val="24"/>
                <w:szCs w:val="24"/>
                <w:highlight w:val="none"/>
                <w:u w:val="none"/>
                <w:lang w:val="en-US" w:eastAsia="zh-CN" w:bidi="ar"/>
              </w:rPr>
              <w:t>东河镇</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477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318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13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706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27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1516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517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143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hRule="atLeast"/>
        </w:trPr>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default" w:ascii="仿宋" w:hAnsi="仿宋" w:eastAsia="宋体" w:cs="Times New Roman"/>
                <w:i w:val="0"/>
                <w:iCs w:val="0"/>
                <w:color w:val="000000"/>
                <w:kern w:val="0"/>
                <w:sz w:val="24"/>
                <w:szCs w:val="24"/>
                <w:highlight w:val="none"/>
                <w:u w:val="none"/>
                <w:lang w:val="en-US" w:eastAsia="zh-CN" w:bidi="ar"/>
              </w:rPr>
              <w:t>19</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eastAsia="仿宋_GB2312" w:cs="仿宋_GB2312"/>
                <w:i w:val="0"/>
                <w:iCs w:val="0"/>
                <w:color w:val="000000"/>
                <w:kern w:val="0"/>
                <w:sz w:val="24"/>
                <w:szCs w:val="24"/>
                <w:highlight w:val="none"/>
                <w:u w:val="none"/>
                <w:lang w:val="en-US" w:eastAsia="zh-CN" w:bidi="ar"/>
              </w:rPr>
              <w:t>木门镇</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5622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3748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148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11469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442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24617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8397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2314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default" w:ascii="仿宋" w:hAnsi="仿宋" w:eastAsia="宋体" w:cs="Times New Roman"/>
                <w:i w:val="0"/>
                <w:iCs w:val="0"/>
                <w:color w:val="000000"/>
                <w:kern w:val="0"/>
                <w:sz w:val="24"/>
                <w:szCs w:val="24"/>
                <w:highlight w:val="none"/>
                <w:u w:val="none"/>
                <w:lang w:val="en-US" w:eastAsia="zh-CN" w:bidi="ar"/>
              </w:rPr>
              <w:t>20</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eastAsia="仿宋_GB2312" w:cs="仿宋_GB2312"/>
                <w:i w:val="0"/>
                <w:iCs w:val="0"/>
                <w:color w:val="000000"/>
                <w:kern w:val="0"/>
                <w:sz w:val="24"/>
                <w:szCs w:val="24"/>
                <w:highlight w:val="none"/>
                <w:u w:val="none"/>
                <w:lang w:val="en-US" w:eastAsia="zh-CN" w:bidi="ar"/>
              </w:rPr>
              <w:t>燕子乡</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488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325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13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1149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44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2467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841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232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hRule="atLeast"/>
        </w:trPr>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default" w:ascii="仿宋" w:hAnsi="仿宋" w:eastAsia="宋体" w:cs="Times New Roman"/>
                <w:i w:val="0"/>
                <w:iCs w:val="0"/>
                <w:color w:val="000000"/>
                <w:kern w:val="0"/>
                <w:sz w:val="24"/>
                <w:szCs w:val="24"/>
                <w:highlight w:val="none"/>
                <w:u w:val="none"/>
                <w:lang w:val="en-US" w:eastAsia="zh-CN" w:bidi="ar"/>
              </w:rPr>
              <w:t>21</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eastAsia="仿宋_GB2312" w:cs="仿宋_GB2312"/>
                <w:i w:val="0"/>
                <w:iCs w:val="0"/>
                <w:color w:val="000000"/>
                <w:kern w:val="0"/>
                <w:sz w:val="24"/>
                <w:szCs w:val="24"/>
                <w:highlight w:val="none"/>
                <w:u w:val="none"/>
                <w:lang w:val="en-US" w:eastAsia="zh-CN" w:bidi="ar"/>
              </w:rPr>
              <w:t>天星镇</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735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490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19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1708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66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3666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1250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345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hRule="atLeast"/>
        </w:trPr>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eastAsia="宋体" w:cs="Times New Roman"/>
                <w:i w:val="0"/>
                <w:iCs w:val="0"/>
                <w:color w:val="000000"/>
                <w:kern w:val="0"/>
                <w:sz w:val="24"/>
                <w:szCs w:val="24"/>
                <w:highlight w:val="none"/>
                <w:u w:val="none"/>
                <w:lang w:val="en-US" w:eastAsia="zh-CN" w:bidi="ar"/>
              </w:rPr>
              <w:t>22</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eastAsia="仿宋_GB2312" w:cs="仿宋_GB2312"/>
                <w:i w:val="0"/>
                <w:iCs w:val="0"/>
                <w:color w:val="000000"/>
                <w:kern w:val="0"/>
                <w:sz w:val="24"/>
                <w:szCs w:val="24"/>
                <w:highlight w:val="none"/>
                <w:u w:val="none"/>
                <w:lang w:val="en-US" w:eastAsia="zh-CN" w:bidi="ar"/>
              </w:rPr>
              <w:t>英萃镇</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304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203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8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736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28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1580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539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149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hRule="atLeast"/>
        </w:trPr>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eastAsia="宋体" w:cs="Times New Roman"/>
                <w:i w:val="0"/>
                <w:iCs w:val="0"/>
                <w:color w:val="000000"/>
                <w:kern w:val="0"/>
                <w:sz w:val="24"/>
                <w:szCs w:val="24"/>
                <w:highlight w:val="none"/>
                <w:u w:val="none"/>
                <w:lang w:val="en-US" w:eastAsia="zh-CN" w:bidi="ar"/>
              </w:rPr>
              <w:t>23</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eastAsia="仿宋_GB2312" w:cs="仿宋_GB2312"/>
                <w:i w:val="0"/>
                <w:iCs w:val="0"/>
                <w:color w:val="000000"/>
                <w:kern w:val="0"/>
                <w:sz w:val="24"/>
                <w:szCs w:val="24"/>
                <w:highlight w:val="none"/>
                <w:u w:val="none"/>
                <w:lang w:val="en-US" w:eastAsia="zh-CN" w:bidi="ar"/>
              </w:rPr>
              <w:t>三江镇</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508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338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13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993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38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2131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727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200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hRule="atLeast"/>
        </w:trPr>
        <w:tc>
          <w:tcPr>
            <w:tcW w:w="0" w:type="auto"/>
            <w:gridSpan w:val="2"/>
            <w:tcBorders>
              <w:tl2br w:val="nil"/>
              <w:tr2bl w:val="nil"/>
            </w:tcBorders>
            <w:noWrap/>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合计</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highlight w:val="none"/>
                <w:u w:val="none"/>
                <w:lang w:val="en-US" w:eastAsia="zh-CN" w:bidi="ar"/>
              </w:rPr>
              <w:t xml:space="preserve">18139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highlight w:val="none"/>
                <w:u w:val="none"/>
                <w:lang w:val="en-US" w:eastAsia="zh-CN" w:bidi="ar"/>
              </w:rPr>
              <w:t xml:space="preserve">12092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highlight w:val="none"/>
                <w:u w:val="none"/>
                <w:lang w:val="en-US" w:eastAsia="zh-CN" w:bidi="ar"/>
              </w:rPr>
              <w:t xml:space="preserve">477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highlight w:val="none"/>
                <w:u w:val="none"/>
                <w:lang w:val="en-US" w:eastAsia="zh-CN" w:bidi="ar"/>
              </w:rPr>
              <w:t xml:space="preserve">38885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highlight w:val="none"/>
                <w:u w:val="none"/>
                <w:lang w:val="en-US" w:eastAsia="zh-CN" w:bidi="ar"/>
              </w:rPr>
              <w:t xml:space="preserve">1497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highlight w:val="none"/>
                <w:u w:val="none"/>
                <w:lang w:val="en-US" w:eastAsia="zh-CN" w:bidi="ar"/>
              </w:rPr>
              <w:t xml:space="preserve">85938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highlight w:val="none"/>
                <w:u w:val="none"/>
                <w:lang w:val="en-US" w:eastAsia="zh-CN" w:bidi="ar"/>
              </w:rPr>
              <w:t xml:space="preserve">28469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highlight w:val="none"/>
                <w:u w:val="none"/>
                <w:lang w:val="en-US" w:eastAsia="zh-CN" w:bidi="ar"/>
              </w:rPr>
              <w:t xml:space="preserve">8006 </w:t>
            </w:r>
          </w:p>
        </w:tc>
      </w:tr>
    </w:tbl>
    <w:p>
      <w:pPr>
        <w:bidi w:val="0"/>
        <w:rPr>
          <w:rFonts w:hint="eastAsia" w:ascii="仿宋" w:hAnsi="仿宋"/>
          <w:lang w:val="en-US" w:eastAsia="zh-CN"/>
        </w:rPr>
      </w:pPr>
    </w:p>
    <w:p>
      <w:pPr>
        <w:keepNext/>
        <w:keepLines/>
        <w:pageBreakBefore w:val="0"/>
        <w:widowControl w:val="0"/>
        <w:kinsoku/>
        <w:wordWrap/>
        <w:overflowPunct/>
        <w:topLinePunct w:val="0"/>
        <w:bidi w:val="0"/>
        <w:snapToGrid/>
        <w:spacing w:line="240" w:lineRule="auto"/>
        <w:ind w:firstLine="0" w:firstLineChars="0"/>
        <w:jc w:val="center"/>
        <w:textAlignment w:val="auto"/>
        <w:outlineLvl w:val="1"/>
        <w:rPr>
          <w:rFonts w:hint="default" w:ascii="仿宋" w:hAnsi="仿宋" w:eastAsia="仿宋" w:cs="Times New Roman"/>
          <w:b/>
          <w:color w:val="auto"/>
          <w:kern w:val="2"/>
          <w:sz w:val="36"/>
          <w:szCs w:val="36"/>
          <w:highlight w:val="none"/>
          <w:shd w:val="clear" w:color="auto" w:fill="auto"/>
          <w:lang w:val="en-US" w:eastAsia="zh-CN" w:bidi="ar-SA"/>
        </w:rPr>
      </w:pPr>
      <w:bookmarkStart w:id="99" w:name="_Toc17102"/>
      <w:r>
        <w:rPr>
          <w:rFonts w:hint="eastAsia" w:ascii="仿宋" w:hAnsi="仿宋" w:eastAsia="仿宋" w:cs="Times New Roman"/>
          <w:b/>
          <w:color w:val="auto"/>
          <w:kern w:val="2"/>
          <w:sz w:val="36"/>
          <w:szCs w:val="36"/>
          <w:highlight w:val="none"/>
          <w:shd w:val="clear" w:color="auto" w:fill="auto"/>
          <w:lang w:val="en-US" w:eastAsia="zh-CN" w:bidi="ar-SA"/>
        </w:rPr>
        <w:t>第二节 资金筹措</w:t>
      </w:r>
      <w:bookmarkEnd w:id="99"/>
    </w:p>
    <w:p>
      <w:pPr>
        <w:pStyle w:val="14"/>
        <w:spacing w:after="0" w:line="240" w:lineRule="auto"/>
        <w:ind w:left="0" w:leftChars="0" w:right="0" w:rightChars="0" w:firstLine="640" w:firstLineChars="200"/>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cs="Times New Roman"/>
          <w:kern w:val="2"/>
          <w:sz w:val="32"/>
          <w:szCs w:val="32"/>
          <w:highlight w:val="none"/>
          <w:shd w:val="clear" w:color="auto" w:fill="auto"/>
          <w:lang w:val="en-US" w:eastAsia="zh-CN" w:bidi="ar-SA"/>
        </w:rPr>
        <w:t>畜禽养殖污染</w:t>
      </w:r>
      <w:r>
        <w:rPr>
          <w:rFonts w:hint="eastAsia" w:ascii="仿宋" w:hAnsi="仿宋" w:eastAsia="仿宋_GB2312" w:cs="Times New Roman"/>
          <w:kern w:val="2"/>
          <w:sz w:val="32"/>
          <w:szCs w:val="32"/>
          <w:highlight w:val="none"/>
          <w:shd w:val="clear" w:color="auto" w:fill="auto"/>
          <w:lang w:val="en-US" w:eastAsia="zh-CN" w:bidi="ar-SA"/>
        </w:rPr>
        <w:t>治理项目</w:t>
      </w:r>
      <w:r>
        <w:rPr>
          <w:rFonts w:hint="eastAsia" w:ascii="仿宋" w:hAnsi="仿宋" w:cs="Times New Roman"/>
          <w:kern w:val="2"/>
          <w:sz w:val="32"/>
          <w:szCs w:val="32"/>
          <w:highlight w:val="none"/>
          <w:shd w:val="clear" w:color="auto" w:fill="auto"/>
          <w:lang w:val="en-US" w:eastAsia="zh-CN" w:bidi="ar-SA"/>
        </w:rPr>
        <w:t>工程总投资、</w:t>
      </w:r>
      <w:r>
        <w:rPr>
          <w:rFonts w:hint="eastAsia" w:ascii="仿宋" w:hAnsi="仿宋" w:eastAsia="仿宋_GB2312" w:cs="Times New Roman"/>
          <w:kern w:val="2"/>
          <w:sz w:val="32"/>
          <w:szCs w:val="32"/>
          <w:highlight w:val="none"/>
          <w:shd w:val="clear" w:color="auto" w:fill="auto"/>
          <w:lang w:val="en-US" w:eastAsia="zh-CN" w:bidi="ar-SA"/>
        </w:rPr>
        <w:t>建设资金来源及比例见</w:t>
      </w:r>
      <w:r>
        <w:rPr>
          <w:rFonts w:hint="eastAsia" w:ascii="仿宋" w:hAnsi="仿宋" w:cs="Times New Roman"/>
          <w:kern w:val="2"/>
          <w:sz w:val="32"/>
          <w:szCs w:val="32"/>
          <w:highlight w:val="none"/>
          <w:shd w:val="clear" w:color="auto" w:fill="auto"/>
          <w:lang w:val="en-US" w:eastAsia="zh-CN" w:bidi="ar-SA"/>
        </w:rPr>
        <w:t>下表</w:t>
      </w:r>
      <w:r>
        <w:rPr>
          <w:rFonts w:hint="eastAsia" w:ascii="仿宋" w:hAnsi="仿宋" w:eastAsia="仿宋_GB2312" w:cs="Times New Roman"/>
          <w:kern w:val="2"/>
          <w:sz w:val="32"/>
          <w:szCs w:val="32"/>
          <w:highlight w:val="none"/>
          <w:shd w:val="clear" w:color="auto" w:fill="auto"/>
          <w:lang w:val="en-US" w:eastAsia="zh-CN" w:bidi="ar-SA"/>
        </w:rPr>
        <w:t>。</w:t>
      </w:r>
    </w:p>
    <w:p>
      <w:pPr>
        <w:pStyle w:val="115"/>
        <w:pageBreakBefore w:val="0"/>
        <w:widowControl w:val="0"/>
        <w:kinsoku/>
        <w:wordWrap/>
        <w:overflowPunct/>
        <w:topLinePunct w:val="0"/>
        <w:bidi w:val="0"/>
        <w:snapToGrid/>
        <w:spacing w:line="560" w:lineRule="exact"/>
        <w:jc w:val="center"/>
        <w:textAlignment w:val="auto"/>
        <w:outlineLvl w:val="7"/>
        <w:rPr>
          <w:rFonts w:hint="eastAsia" w:ascii="仿宋" w:hAnsi="仿宋" w:eastAsia="仿宋" w:cs="Times New Roman"/>
          <w:b/>
          <w:color w:val="auto"/>
          <w:sz w:val="28"/>
          <w:szCs w:val="28"/>
          <w:highlight w:val="none"/>
          <w:shd w:val="clear" w:color="auto" w:fill="auto"/>
          <w:lang w:val="en-US" w:eastAsia="zh-CN"/>
        </w:rPr>
      </w:pPr>
      <w:r>
        <w:rPr>
          <w:rFonts w:hint="eastAsia" w:ascii="仿宋" w:hAnsi="仿宋" w:eastAsia="仿宋" w:cs="Times New Roman"/>
          <w:b/>
          <w:color w:val="auto"/>
          <w:sz w:val="28"/>
          <w:szCs w:val="28"/>
          <w:highlight w:val="none"/>
          <w:shd w:val="clear" w:color="auto" w:fill="auto"/>
          <w:lang w:val="en-US" w:eastAsia="zh-CN"/>
        </w:rPr>
        <w:t>表6-4  工程总投资</w:t>
      </w:r>
    </w:p>
    <w:tbl>
      <w:tblPr>
        <w:tblStyle w:val="3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6188"/>
        <w:gridCol w:w="1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9" w:type="pct"/>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序号</w:t>
            </w:r>
          </w:p>
        </w:tc>
        <w:tc>
          <w:tcPr>
            <w:tcW w:w="3631" w:type="pct"/>
            <w:tcBorders>
              <w:tl2br w:val="nil"/>
              <w:tr2bl w:val="nil"/>
            </w:tcBorders>
            <w:noWrap w:val="0"/>
            <w:vAlign w:val="center"/>
          </w:tcPr>
          <w:p>
            <w:pPr>
              <w:pStyle w:val="14"/>
              <w:spacing w:after="0" w:line="240" w:lineRule="auto"/>
              <w:ind w:left="0" w:leftChars="0" w:right="0" w:rightChars="0"/>
              <w:jc w:val="center"/>
              <w:rPr>
                <w:rFonts w:hint="default"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项目名称</w:t>
            </w:r>
          </w:p>
        </w:tc>
        <w:tc>
          <w:tcPr>
            <w:tcW w:w="929" w:type="pct"/>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9" w:type="pct"/>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c>
          <w:tcPr>
            <w:tcW w:w="3631" w:type="pct"/>
            <w:tcBorders>
              <w:tl2br w:val="nil"/>
              <w:tr2bl w:val="nil"/>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default" w:ascii="仿宋" w:hAnsi="仿宋" w:cs="Times New Roman"/>
                <w:b w:val="0"/>
                <w:bCs w:val="0"/>
                <w:color w:val="auto"/>
                <w:sz w:val="24"/>
                <w:szCs w:val="24"/>
                <w:highlight w:val="none"/>
                <w:shd w:val="clear" w:color="auto" w:fill="auto"/>
                <w:lang w:val="en-US" w:eastAsia="zh-CN"/>
              </w:rPr>
              <w:t>旺苍县乡镇规模养殖场粪污处理设施</w:t>
            </w:r>
          </w:p>
        </w:tc>
        <w:tc>
          <w:tcPr>
            <w:tcW w:w="1583"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eastAsia="仿宋_GB2312" w:cs="Times New Roman"/>
                <w:b w:val="0"/>
                <w:bCs w:val="0"/>
                <w:color w:val="auto"/>
                <w:kern w:val="2"/>
                <w:sz w:val="24"/>
                <w:szCs w:val="24"/>
                <w:highlight w:val="none"/>
                <w:shd w:val="clear" w:color="auto" w:fill="auto"/>
                <w:lang w:val="en-US" w:eastAsia="zh-CN" w:bidi="ar-SA"/>
              </w:rPr>
              <w:t>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9" w:type="pct"/>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2</w:t>
            </w:r>
          </w:p>
        </w:tc>
        <w:tc>
          <w:tcPr>
            <w:tcW w:w="3631" w:type="pct"/>
            <w:tcBorders>
              <w:tl2br w:val="nil"/>
              <w:tr2bl w:val="nil"/>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default" w:ascii="仿宋" w:hAnsi="仿宋" w:cs="Times New Roman"/>
                <w:b w:val="0"/>
                <w:bCs w:val="0"/>
                <w:color w:val="auto"/>
                <w:sz w:val="24"/>
                <w:szCs w:val="24"/>
                <w:highlight w:val="none"/>
                <w:shd w:val="clear" w:color="auto" w:fill="auto"/>
                <w:lang w:val="en-US" w:eastAsia="zh-CN"/>
              </w:rPr>
              <w:t>旺苍县乡镇专业养殖户粪污处理设施</w:t>
            </w:r>
          </w:p>
        </w:tc>
        <w:tc>
          <w:tcPr>
            <w:tcW w:w="1583"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eastAsia="仿宋_GB2312" w:cs="Times New Roman"/>
                <w:b w:val="0"/>
                <w:bCs w:val="0"/>
                <w:color w:val="auto"/>
                <w:kern w:val="2"/>
                <w:sz w:val="24"/>
                <w:szCs w:val="24"/>
                <w:highlight w:val="none"/>
                <w:shd w:val="clear" w:color="auto" w:fill="auto"/>
                <w:lang w:val="en-US" w:eastAsia="zh-CN" w:bidi="ar-SA"/>
              </w:rPr>
              <w:t>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9" w:type="pct"/>
            <w:tcBorders>
              <w:tl2br w:val="nil"/>
              <w:tr2bl w:val="nil"/>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3</w:t>
            </w:r>
          </w:p>
        </w:tc>
        <w:tc>
          <w:tcPr>
            <w:tcW w:w="3631" w:type="pct"/>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旺苍县各乡镇粪污田间配套设施</w:t>
            </w:r>
          </w:p>
        </w:tc>
        <w:tc>
          <w:tcPr>
            <w:tcW w:w="1583"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eastAsia="仿宋_GB2312" w:cs="Times New Roman"/>
                <w:b w:val="0"/>
                <w:bCs w:val="0"/>
                <w:color w:val="auto"/>
                <w:kern w:val="2"/>
                <w:sz w:val="24"/>
                <w:szCs w:val="24"/>
                <w:highlight w:val="none"/>
                <w:shd w:val="clear" w:color="auto" w:fill="auto"/>
                <w:lang w:val="en-US" w:eastAsia="zh-CN" w:bidi="ar-SA"/>
              </w:rPr>
              <w:t>9980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70" w:type="pct"/>
            <w:gridSpan w:val="2"/>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合计</w:t>
            </w:r>
          </w:p>
        </w:tc>
        <w:tc>
          <w:tcPr>
            <w:tcW w:w="1583" w:type="dxa"/>
            <w:tcBorders>
              <w:tl2br w:val="nil"/>
              <w:tr2bl w:val="nil"/>
            </w:tcBorders>
            <w:noWrap w:val="0"/>
            <w:vAlign w:val="center"/>
          </w:tcPr>
          <w:p>
            <w:pPr>
              <w:keepNext w:val="0"/>
              <w:keepLines w:val="0"/>
              <w:widowControl/>
              <w:suppressLineNumbers w:val="0"/>
              <w:jc w:val="center"/>
              <w:textAlignment w:val="center"/>
              <w:rPr>
                <w:rFonts w:hint="default"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eastAsia="仿宋_GB2312" w:cs="Times New Roman"/>
                <w:b w:val="0"/>
                <w:bCs w:val="0"/>
                <w:color w:val="auto"/>
                <w:kern w:val="2"/>
                <w:sz w:val="24"/>
                <w:szCs w:val="24"/>
                <w:highlight w:val="none"/>
                <w:shd w:val="clear" w:color="auto" w:fill="auto"/>
                <w:lang w:val="en-US" w:eastAsia="zh-CN" w:bidi="ar-SA"/>
              </w:rPr>
              <w:t>10961</w:t>
            </w:r>
          </w:p>
        </w:tc>
      </w:tr>
    </w:tbl>
    <w:p>
      <w:pPr>
        <w:pStyle w:val="115"/>
        <w:pageBreakBefore w:val="0"/>
        <w:widowControl w:val="0"/>
        <w:kinsoku/>
        <w:wordWrap/>
        <w:overflowPunct/>
        <w:topLinePunct w:val="0"/>
        <w:bidi w:val="0"/>
        <w:snapToGrid/>
        <w:spacing w:line="560" w:lineRule="exact"/>
        <w:jc w:val="center"/>
        <w:textAlignment w:val="auto"/>
        <w:outlineLvl w:val="7"/>
        <w:rPr>
          <w:rFonts w:hint="eastAsia" w:ascii="仿宋" w:hAnsi="仿宋" w:eastAsia="仿宋" w:cs="Times New Roman"/>
          <w:b/>
          <w:color w:val="auto"/>
          <w:sz w:val="28"/>
          <w:szCs w:val="28"/>
          <w:highlight w:val="none"/>
          <w:shd w:val="clear" w:color="auto" w:fill="auto"/>
          <w:lang w:val="en-US" w:eastAsia="zh-CN"/>
        </w:rPr>
      </w:pPr>
      <w:r>
        <w:rPr>
          <w:rFonts w:hint="eastAsia" w:ascii="仿宋" w:hAnsi="仿宋" w:eastAsia="仿宋" w:cs="Times New Roman"/>
          <w:b/>
          <w:color w:val="auto"/>
          <w:sz w:val="28"/>
          <w:szCs w:val="28"/>
          <w:highlight w:val="none"/>
          <w:shd w:val="clear" w:color="auto" w:fill="auto"/>
          <w:lang w:val="en-US" w:eastAsia="zh-CN"/>
        </w:rPr>
        <w:t>表6-5  建设资金来源及比例</w:t>
      </w:r>
    </w:p>
    <w:tbl>
      <w:tblPr>
        <w:tblStyle w:val="3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1970"/>
        <w:gridCol w:w="2765"/>
        <w:gridCol w:w="1453"/>
        <w:gridCol w:w="1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39" w:type="pct"/>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序号</w:t>
            </w:r>
          </w:p>
        </w:tc>
        <w:tc>
          <w:tcPr>
            <w:tcW w:w="2779" w:type="pct"/>
            <w:gridSpan w:val="2"/>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资金来源</w:t>
            </w:r>
          </w:p>
        </w:tc>
        <w:tc>
          <w:tcPr>
            <w:tcW w:w="852" w:type="pct"/>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比例 / %</w:t>
            </w:r>
          </w:p>
        </w:tc>
        <w:tc>
          <w:tcPr>
            <w:tcW w:w="929" w:type="pct"/>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9" w:type="pct"/>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c>
          <w:tcPr>
            <w:tcW w:w="1156" w:type="pct"/>
            <w:vMerge w:val="restart"/>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政府资金投入</w:t>
            </w:r>
          </w:p>
        </w:tc>
        <w:tc>
          <w:tcPr>
            <w:tcW w:w="1622" w:type="pct"/>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中央财政补贴资金</w:t>
            </w:r>
          </w:p>
        </w:tc>
        <w:tc>
          <w:tcPr>
            <w:tcW w:w="852" w:type="pct"/>
            <w:tcBorders>
              <w:tl2br w:val="nil"/>
              <w:tr2bl w:val="nil"/>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60</w:t>
            </w:r>
          </w:p>
        </w:tc>
        <w:tc>
          <w:tcPr>
            <w:tcW w:w="1583"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eastAsia="仿宋_GB2312" w:cs="Times New Roman"/>
                <w:b w:val="0"/>
                <w:bCs w:val="0"/>
                <w:color w:val="auto"/>
                <w:kern w:val="2"/>
                <w:sz w:val="24"/>
                <w:szCs w:val="24"/>
                <w:highlight w:val="none"/>
                <w:shd w:val="clear" w:color="auto" w:fill="auto"/>
                <w:lang w:val="en-US" w:eastAsia="zh-CN" w:bidi="ar-SA"/>
              </w:rPr>
              <w:t xml:space="preserve">6577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9" w:type="pct"/>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2</w:t>
            </w:r>
          </w:p>
        </w:tc>
        <w:tc>
          <w:tcPr>
            <w:tcW w:w="1156" w:type="pct"/>
            <w:vMerge w:val="continue"/>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p>
        </w:tc>
        <w:tc>
          <w:tcPr>
            <w:tcW w:w="1622" w:type="pct"/>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县级财政配套资金</w:t>
            </w:r>
          </w:p>
        </w:tc>
        <w:tc>
          <w:tcPr>
            <w:tcW w:w="852" w:type="pct"/>
            <w:tcBorders>
              <w:tl2br w:val="nil"/>
              <w:tr2bl w:val="nil"/>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40</w:t>
            </w:r>
          </w:p>
        </w:tc>
        <w:tc>
          <w:tcPr>
            <w:tcW w:w="1583"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eastAsia="仿宋_GB2312" w:cs="Times New Roman"/>
                <w:b w:val="0"/>
                <w:bCs w:val="0"/>
                <w:color w:val="auto"/>
                <w:kern w:val="2"/>
                <w:sz w:val="24"/>
                <w:szCs w:val="24"/>
                <w:highlight w:val="none"/>
                <w:shd w:val="clear" w:color="auto" w:fill="auto"/>
                <w:lang w:val="en-US" w:eastAsia="zh-CN" w:bidi="ar-SA"/>
              </w:rPr>
              <w:t xml:space="preserve">4384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70" w:type="pct"/>
            <w:gridSpan w:val="4"/>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合计</w:t>
            </w:r>
          </w:p>
        </w:tc>
        <w:tc>
          <w:tcPr>
            <w:tcW w:w="1583" w:type="dxa"/>
            <w:tcBorders>
              <w:tl2br w:val="nil"/>
              <w:tr2bl w:val="nil"/>
            </w:tcBorders>
            <w:noWrap w:val="0"/>
            <w:vAlign w:val="center"/>
          </w:tcPr>
          <w:p>
            <w:pPr>
              <w:keepNext w:val="0"/>
              <w:keepLines w:val="0"/>
              <w:widowControl/>
              <w:suppressLineNumbers w:val="0"/>
              <w:jc w:val="center"/>
              <w:textAlignment w:val="center"/>
              <w:rPr>
                <w:rFonts w:hint="default"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eastAsia="仿宋_GB2312" w:cs="Times New Roman"/>
                <w:b w:val="0"/>
                <w:bCs w:val="0"/>
                <w:color w:val="auto"/>
                <w:kern w:val="2"/>
                <w:sz w:val="24"/>
                <w:szCs w:val="24"/>
                <w:highlight w:val="none"/>
                <w:shd w:val="clear" w:color="auto" w:fill="auto"/>
                <w:lang w:val="en-US" w:eastAsia="zh-CN" w:bidi="ar-SA"/>
              </w:rPr>
              <w:t>10961</w:t>
            </w:r>
          </w:p>
        </w:tc>
      </w:tr>
    </w:tbl>
    <w:p>
      <w:pPr>
        <w:bidi w:val="0"/>
        <w:rPr>
          <w:rFonts w:hint="eastAsia" w:ascii="仿宋" w:hAnsi="仿宋"/>
          <w:highlight w:val="none"/>
          <w:lang w:val="en-US" w:eastAsia="zh-CN"/>
        </w:rPr>
      </w:pPr>
    </w:p>
    <w:p>
      <w:pPr>
        <w:keepNext/>
        <w:keepLines/>
        <w:pageBreakBefore w:val="0"/>
        <w:widowControl w:val="0"/>
        <w:kinsoku/>
        <w:wordWrap/>
        <w:overflowPunct/>
        <w:topLinePunct w:val="0"/>
        <w:autoSpaceDE/>
        <w:autoSpaceDN/>
        <w:bidi w:val="0"/>
        <w:adjustRightInd/>
        <w:snapToGrid/>
        <w:spacing w:line="240" w:lineRule="auto"/>
        <w:ind w:firstLine="643" w:firstLineChars="200"/>
        <w:jc w:val="left"/>
        <w:textAlignment w:val="auto"/>
        <w:outlineLvl w:val="2"/>
        <w:rPr>
          <w:rFonts w:hint="eastAsia" w:ascii="仿宋" w:hAnsi="仿宋" w:eastAsia="仿宋" w:cs="Times New Roman"/>
          <w:b/>
          <w:bCs/>
          <w:color w:val="auto"/>
          <w:kern w:val="2"/>
          <w:sz w:val="32"/>
          <w:szCs w:val="32"/>
          <w:highlight w:val="none"/>
          <w:shd w:val="clear" w:color="auto" w:fill="auto"/>
          <w:lang w:val="en-US" w:eastAsia="zh-CN" w:bidi="ar-SA"/>
        </w:rPr>
      </w:pPr>
      <w:r>
        <w:rPr>
          <w:rFonts w:hint="eastAsia" w:ascii="仿宋" w:hAnsi="仿宋" w:eastAsia="仿宋" w:cs="Times New Roman"/>
          <w:b/>
          <w:bCs/>
          <w:color w:val="auto"/>
          <w:kern w:val="2"/>
          <w:sz w:val="32"/>
          <w:szCs w:val="32"/>
          <w:highlight w:val="none"/>
          <w:shd w:val="clear" w:color="auto" w:fill="auto"/>
          <w:lang w:val="en-US" w:eastAsia="zh-CN" w:bidi="ar-SA"/>
        </w:rPr>
        <w:t>一、建设资金筹措方案与投资计划</w:t>
      </w:r>
    </w:p>
    <w:p>
      <w:pPr>
        <w:pStyle w:val="14"/>
        <w:spacing w:after="0" w:line="240" w:lineRule="auto"/>
        <w:ind w:left="0" w:leftChars="0" w:right="0" w:rightChars="0" w:firstLine="640" w:firstLineChars="200"/>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cs="Times New Roman"/>
          <w:kern w:val="2"/>
          <w:sz w:val="32"/>
          <w:szCs w:val="32"/>
          <w:highlight w:val="none"/>
          <w:shd w:val="clear" w:color="auto" w:fill="auto"/>
          <w:lang w:val="en-US" w:eastAsia="zh-CN" w:bidi="ar-SA"/>
        </w:rPr>
        <w:t>粪污</w:t>
      </w:r>
      <w:r>
        <w:rPr>
          <w:rFonts w:hint="eastAsia" w:ascii="仿宋" w:hAnsi="仿宋" w:eastAsia="仿宋_GB2312" w:cs="Times New Roman"/>
          <w:kern w:val="2"/>
          <w:sz w:val="32"/>
          <w:szCs w:val="32"/>
          <w:highlight w:val="none"/>
          <w:shd w:val="clear" w:color="auto" w:fill="auto"/>
          <w:lang w:val="en-US" w:eastAsia="zh-CN" w:bidi="ar-SA"/>
        </w:rPr>
        <w:t>处理设施建设和运营属于特殊专业领域，县、乡镇缺乏充足财力、人力和技术资源，必须遵循“市场的交给市场、专业的交给专业”原则。积极拓宽融资渠道，采取多元投资、多方参与等方式筹措建设资金。例如，可以吸收社会资金参与投资，也可以县为单位，采取PPP等模式，通过招商洽谈，委托专业环保公司负责县域内乡镇污水处理设施建设，以政府购买服务、征收污水处理费等方式给予环保公司和投资人回报。各级财政应加大对乡镇污水处理设施建设的扶持力度，设立农村污水处理专项资金，建设及运维资金纳入年度财政预算，并积极申请省、市相关经费补助，同时鼓励引导和支持企业、社会团体、个人等社会力量，通过投资、捐助、认建等形式，参与农村生活污水治理设施建设与改造。</w:t>
      </w:r>
    </w:p>
    <w:p>
      <w:pPr>
        <w:keepNext/>
        <w:keepLines/>
        <w:pageBreakBefore w:val="0"/>
        <w:widowControl w:val="0"/>
        <w:kinsoku/>
        <w:wordWrap/>
        <w:overflowPunct/>
        <w:topLinePunct w:val="0"/>
        <w:autoSpaceDE/>
        <w:autoSpaceDN/>
        <w:bidi w:val="0"/>
        <w:adjustRightInd/>
        <w:snapToGrid/>
        <w:spacing w:line="240" w:lineRule="auto"/>
        <w:ind w:firstLine="643" w:firstLineChars="200"/>
        <w:jc w:val="left"/>
        <w:textAlignment w:val="auto"/>
        <w:outlineLvl w:val="2"/>
        <w:rPr>
          <w:rFonts w:hint="eastAsia" w:ascii="仿宋" w:hAnsi="仿宋" w:eastAsia="仿宋" w:cs="Times New Roman"/>
          <w:b/>
          <w:bCs/>
          <w:color w:val="auto"/>
          <w:kern w:val="2"/>
          <w:sz w:val="32"/>
          <w:szCs w:val="32"/>
          <w:highlight w:val="none"/>
          <w:shd w:val="clear" w:color="auto" w:fill="auto"/>
          <w:lang w:val="en-US" w:eastAsia="zh-CN" w:bidi="ar-SA"/>
        </w:rPr>
      </w:pPr>
      <w:r>
        <w:rPr>
          <w:rFonts w:hint="eastAsia" w:ascii="仿宋" w:hAnsi="仿宋" w:eastAsia="仿宋" w:cs="Times New Roman"/>
          <w:b/>
          <w:bCs/>
          <w:color w:val="auto"/>
          <w:kern w:val="2"/>
          <w:sz w:val="32"/>
          <w:szCs w:val="32"/>
          <w:highlight w:val="none"/>
          <w:shd w:val="clear" w:color="auto" w:fill="auto"/>
          <w:lang w:val="en-US" w:eastAsia="zh-CN" w:bidi="ar-SA"/>
        </w:rPr>
        <w:t>二、资金筹措模式</w:t>
      </w:r>
    </w:p>
    <w:p>
      <w:pPr>
        <w:pStyle w:val="14"/>
        <w:spacing w:after="0" w:line="240" w:lineRule="auto"/>
        <w:ind w:left="0" w:leftChars="0" w:right="0" w:rightChars="0" w:firstLine="640" w:firstLineChars="200"/>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采取多元化的经费筹措模式，鼓励引导和支持企业、社会团体、个人等社会力量积极参与。探索农村生活污水处理缴费机制，建立运维资金长效保障机制。积极争取长江经济带等国家重点支持的项目资金。结合中央环保投资项目储备库建设要求，县域农村污水处理可统筹捆绑作为单个项目纳入项目储备库，直接编制项目建议书和项目可行性研究报告。</w:t>
      </w:r>
    </w:p>
    <w:p>
      <w:pPr>
        <w:bidi w:val="0"/>
        <w:jc w:val="center"/>
        <w:outlineLvl w:val="0"/>
        <w:rPr>
          <w:rFonts w:hint="eastAsia" w:ascii="仿宋" w:hAnsi="仿宋" w:eastAsia="黑体" w:cs="黑体"/>
          <w:b w:val="0"/>
          <w:bCs w:val="0"/>
          <w:color w:val="auto"/>
          <w:kern w:val="44"/>
          <w:sz w:val="44"/>
          <w:szCs w:val="44"/>
          <w:highlight w:val="none"/>
          <w:shd w:val="clear" w:color="auto" w:fill="auto"/>
          <w:lang w:val="en-US" w:eastAsia="zh-CN" w:bidi="ar-SA"/>
        </w:rPr>
      </w:pPr>
      <w:r>
        <w:rPr>
          <w:rFonts w:hint="eastAsia" w:ascii="仿宋" w:hAnsi="仿宋" w:eastAsia="黑体" w:cs="黑体"/>
          <w:b w:val="0"/>
          <w:bCs w:val="0"/>
          <w:color w:val="auto"/>
          <w:kern w:val="44"/>
          <w:sz w:val="44"/>
          <w:szCs w:val="44"/>
          <w:highlight w:val="none"/>
          <w:shd w:val="clear" w:color="auto" w:fill="auto"/>
          <w:lang w:val="en-US" w:eastAsia="zh-CN" w:bidi="ar-SA"/>
        </w:rPr>
        <w:br w:type="page"/>
      </w:r>
      <w:bookmarkStart w:id="100" w:name="_Toc2420"/>
      <w:r>
        <w:rPr>
          <w:rFonts w:hint="eastAsia" w:ascii="仿宋" w:hAnsi="仿宋" w:eastAsia="黑体" w:cs="黑体"/>
          <w:b w:val="0"/>
          <w:bCs w:val="0"/>
          <w:color w:val="auto"/>
          <w:kern w:val="44"/>
          <w:sz w:val="44"/>
          <w:szCs w:val="44"/>
          <w:highlight w:val="none"/>
          <w:shd w:val="clear" w:color="auto" w:fill="auto"/>
          <w:lang w:val="en-US" w:eastAsia="zh-CN" w:bidi="ar-SA"/>
        </w:rPr>
        <w:t>第七章  效益分析</w:t>
      </w:r>
      <w:bookmarkEnd w:id="100"/>
    </w:p>
    <w:p>
      <w:pPr>
        <w:bidi w:val="0"/>
        <w:rPr>
          <w:rFonts w:hint="eastAsia" w:ascii="仿宋" w:hAnsi="仿宋"/>
          <w:highlight w:val="none"/>
          <w:lang w:val="en-US" w:eastAsia="zh-CN"/>
        </w:rPr>
      </w:pPr>
    </w:p>
    <w:p>
      <w:pPr>
        <w:keepNext/>
        <w:keepLines/>
        <w:pageBreakBefore w:val="0"/>
        <w:widowControl w:val="0"/>
        <w:kinsoku/>
        <w:wordWrap/>
        <w:overflowPunct/>
        <w:topLinePunct w:val="0"/>
        <w:bidi w:val="0"/>
        <w:snapToGrid/>
        <w:spacing w:line="240" w:lineRule="auto"/>
        <w:ind w:firstLine="0" w:firstLineChars="0"/>
        <w:jc w:val="center"/>
        <w:textAlignment w:val="auto"/>
        <w:outlineLvl w:val="1"/>
        <w:rPr>
          <w:rFonts w:hint="eastAsia" w:ascii="仿宋" w:hAnsi="仿宋" w:eastAsia="仿宋" w:cs="Times New Roman"/>
          <w:b/>
          <w:color w:val="auto"/>
          <w:kern w:val="2"/>
          <w:sz w:val="36"/>
          <w:szCs w:val="36"/>
          <w:highlight w:val="none"/>
          <w:shd w:val="clear" w:color="auto" w:fill="auto"/>
          <w:lang w:val="en-US" w:eastAsia="zh-CN" w:bidi="ar-SA"/>
        </w:rPr>
      </w:pPr>
      <w:bookmarkStart w:id="101" w:name="_Toc25294"/>
      <w:r>
        <w:rPr>
          <w:rFonts w:hint="eastAsia" w:ascii="仿宋" w:hAnsi="仿宋" w:eastAsia="仿宋" w:cs="Times New Roman"/>
          <w:b/>
          <w:color w:val="auto"/>
          <w:kern w:val="2"/>
          <w:sz w:val="36"/>
          <w:szCs w:val="36"/>
          <w:highlight w:val="none"/>
          <w:shd w:val="clear" w:color="auto" w:fill="auto"/>
          <w:lang w:val="en-US" w:eastAsia="zh-CN" w:bidi="ar-SA"/>
        </w:rPr>
        <w:t>第一节 社会效益</w:t>
      </w:r>
      <w:bookmarkEnd w:id="101"/>
    </w:p>
    <w:p>
      <w:pPr>
        <w:pStyle w:val="14"/>
        <w:spacing w:after="0" w:line="240" w:lineRule="auto"/>
        <w:ind w:left="0" w:leftChars="0" w:right="0" w:rightChars="0" w:firstLine="640" w:firstLineChars="200"/>
        <w:rPr>
          <w:rFonts w:hint="eastAsia" w:ascii="仿宋" w:hAnsi="仿宋" w:cs="Times New Roman"/>
          <w:szCs w:val="32"/>
          <w:highlight w:val="none"/>
          <w:shd w:val="clear" w:color="auto" w:fill="auto"/>
        </w:rPr>
      </w:pPr>
      <w:r>
        <w:rPr>
          <w:rFonts w:hint="eastAsia" w:ascii="仿宋" w:hAnsi="仿宋" w:cs="Times New Roman"/>
          <w:szCs w:val="32"/>
          <w:highlight w:val="none"/>
          <w:shd w:val="clear" w:color="auto" w:fill="auto"/>
        </w:rPr>
        <w:t>本规划对全</w:t>
      </w:r>
      <w:r>
        <w:rPr>
          <w:rFonts w:hint="eastAsia" w:ascii="仿宋" w:hAnsi="仿宋" w:cs="Times New Roman"/>
          <w:szCs w:val="32"/>
          <w:highlight w:val="none"/>
          <w:shd w:val="clear" w:color="auto" w:fill="auto"/>
          <w:lang w:val="en-US" w:eastAsia="zh-CN"/>
        </w:rPr>
        <w:t>县</w:t>
      </w:r>
      <w:r>
        <w:rPr>
          <w:rFonts w:hint="eastAsia" w:ascii="仿宋" w:hAnsi="仿宋" w:cs="Times New Roman"/>
          <w:szCs w:val="32"/>
          <w:highlight w:val="none"/>
          <w:shd w:val="clear" w:color="auto" w:fill="auto"/>
        </w:rPr>
        <w:t>畜禽养殖污染防治规“十四五”目标进行了系统、科学、合理的规划，便于指导今后</w:t>
      </w:r>
      <w:r>
        <w:rPr>
          <w:rFonts w:hint="eastAsia" w:ascii="仿宋" w:hAnsi="仿宋" w:cs="Times New Roman"/>
          <w:szCs w:val="32"/>
          <w:highlight w:val="none"/>
          <w:shd w:val="clear" w:color="auto" w:fill="auto"/>
          <w:lang w:val="en-US" w:eastAsia="zh-CN"/>
        </w:rPr>
        <w:t>五年</w:t>
      </w:r>
      <w:r>
        <w:rPr>
          <w:rFonts w:hint="eastAsia" w:ascii="仿宋" w:hAnsi="仿宋" w:cs="Times New Roman"/>
          <w:szCs w:val="32"/>
          <w:highlight w:val="none"/>
          <w:shd w:val="clear" w:color="auto" w:fill="auto"/>
        </w:rPr>
        <w:t>时期畜牧业发展，有利于全市畜牧业健康可持续发展，有利于畜禽产品安全稳定供应，有利于满足人民群众生活所需。</w:t>
      </w:r>
    </w:p>
    <w:p>
      <w:pPr>
        <w:bidi w:val="0"/>
        <w:rPr>
          <w:rFonts w:hint="eastAsia" w:ascii="仿宋" w:hAnsi="仿宋"/>
          <w:lang w:val="en-US" w:eastAsia="zh-CN"/>
        </w:rPr>
      </w:pPr>
    </w:p>
    <w:p>
      <w:pPr>
        <w:keepNext/>
        <w:keepLines/>
        <w:pageBreakBefore w:val="0"/>
        <w:widowControl w:val="0"/>
        <w:kinsoku/>
        <w:wordWrap/>
        <w:overflowPunct/>
        <w:topLinePunct w:val="0"/>
        <w:bidi w:val="0"/>
        <w:snapToGrid/>
        <w:spacing w:line="240" w:lineRule="auto"/>
        <w:ind w:firstLine="0" w:firstLineChars="0"/>
        <w:jc w:val="center"/>
        <w:textAlignment w:val="auto"/>
        <w:outlineLvl w:val="1"/>
        <w:rPr>
          <w:rFonts w:hint="eastAsia" w:ascii="仿宋" w:hAnsi="仿宋" w:eastAsia="仿宋" w:cs="Times New Roman"/>
          <w:b/>
          <w:color w:val="auto"/>
          <w:kern w:val="2"/>
          <w:sz w:val="36"/>
          <w:szCs w:val="36"/>
          <w:highlight w:val="none"/>
          <w:shd w:val="clear" w:color="auto" w:fill="auto"/>
          <w:lang w:val="en-US" w:eastAsia="zh-CN" w:bidi="ar-SA"/>
        </w:rPr>
      </w:pPr>
      <w:bookmarkStart w:id="102" w:name="_Toc25104"/>
      <w:r>
        <w:rPr>
          <w:rFonts w:hint="eastAsia" w:ascii="仿宋" w:hAnsi="仿宋" w:eastAsia="仿宋" w:cs="Times New Roman"/>
          <w:b/>
          <w:color w:val="auto"/>
          <w:kern w:val="2"/>
          <w:sz w:val="36"/>
          <w:szCs w:val="36"/>
          <w:highlight w:val="none"/>
          <w:shd w:val="clear" w:color="auto" w:fill="auto"/>
          <w:lang w:val="en-US" w:eastAsia="zh-CN" w:bidi="ar-SA"/>
        </w:rPr>
        <w:t>第二节 经济效益</w:t>
      </w:r>
      <w:bookmarkEnd w:id="102"/>
    </w:p>
    <w:p>
      <w:pPr>
        <w:pStyle w:val="14"/>
        <w:spacing w:after="0" w:line="240" w:lineRule="auto"/>
        <w:ind w:left="0" w:leftChars="0" w:right="0" w:rightChars="0" w:firstLine="640" w:firstLineChars="200"/>
        <w:rPr>
          <w:rFonts w:hint="eastAsia" w:ascii="仿宋" w:hAnsi="仿宋" w:cs="Times New Roman"/>
          <w:szCs w:val="32"/>
          <w:highlight w:val="none"/>
          <w:shd w:val="clear" w:color="auto" w:fill="auto"/>
        </w:rPr>
      </w:pPr>
      <w:r>
        <w:rPr>
          <w:rFonts w:hint="eastAsia" w:ascii="仿宋" w:hAnsi="仿宋" w:cs="Times New Roman"/>
          <w:szCs w:val="32"/>
          <w:highlight w:val="none"/>
          <w:shd w:val="clear" w:color="auto" w:fill="auto"/>
        </w:rPr>
        <w:t>本规划编制本着客观、科学、可行的原则，充分利用、合理配置畜牧业发展资源，因地制宜发展畜禽养殖，最大限度挖掘、发挥畜牧业发展潜力，将极大地减少资源浪费，</w:t>
      </w:r>
      <w:r>
        <w:rPr>
          <w:rFonts w:hint="eastAsia" w:ascii="仿宋" w:hAnsi="仿宋" w:cs="Times New Roman"/>
          <w:szCs w:val="32"/>
          <w:highlight w:val="none"/>
          <w:shd w:val="clear" w:color="auto" w:fill="auto"/>
          <w:lang w:val="en-US" w:eastAsia="zh-CN"/>
        </w:rPr>
        <w:t>减少</w:t>
      </w:r>
      <w:r>
        <w:rPr>
          <w:rFonts w:hint="eastAsia" w:ascii="仿宋" w:hAnsi="仿宋" w:cs="Times New Roman"/>
          <w:szCs w:val="32"/>
          <w:highlight w:val="none"/>
          <w:shd w:val="clear" w:color="auto" w:fill="auto"/>
        </w:rPr>
        <w:t>畜禽养殖</w:t>
      </w:r>
      <w:r>
        <w:rPr>
          <w:rFonts w:hint="eastAsia" w:ascii="仿宋" w:hAnsi="仿宋" w:cs="Times New Roman"/>
          <w:szCs w:val="32"/>
          <w:highlight w:val="none"/>
          <w:shd w:val="clear" w:color="auto" w:fill="auto"/>
          <w:lang w:val="en-US" w:eastAsia="zh-CN"/>
        </w:rPr>
        <w:t>导致的</w:t>
      </w:r>
      <w:r>
        <w:rPr>
          <w:rFonts w:hint="eastAsia" w:ascii="仿宋" w:hAnsi="仿宋" w:cs="Times New Roman"/>
          <w:szCs w:val="32"/>
          <w:highlight w:val="none"/>
          <w:shd w:val="clear" w:color="auto" w:fill="auto"/>
        </w:rPr>
        <w:t>污染</w:t>
      </w:r>
      <w:r>
        <w:rPr>
          <w:rFonts w:hint="eastAsia" w:ascii="仿宋" w:hAnsi="仿宋" w:cs="Times New Roman"/>
          <w:szCs w:val="32"/>
          <w:highlight w:val="none"/>
          <w:shd w:val="clear" w:color="auto" w:fill="auto"/>
          <w:lang w:eastAsia="zh-CN"/>
        </w:rPr>
        <w:t>，</w:t>
      </w:r>
      <w:r>
        <w:rPr>
          <w:rFonts w:hint="eastAsia" w:ascii="仿宋" w:hAnsi="仿宋" w:cs="Times New Roman"/>
          <w:szCs w:val="32"/>
          <w:highlight w:val="none"/>
          <w:shd w:val="clear" w:color="auto" w:fill="auto"/>
        </w:rPr>
        <w:t>提高畜牧业发展经济效益。</w:t>
      </w:r>
    </w:p>
    <w:p>
      <w:pPr>
        <w:bidi w:val="0"/>
        <w:rPr>
          <w:rFonts w:hint="eastAsia" w:ascii="仿宋" w:hAnsi="仿宋"/>
          <w:lang w:val="en-US" w:eastAsia="zh-CN"/>
        </w:rPr>
      </w:pPr>
    </w:p>
    <w:p>
      <w:pPr>
        <w:keepNext/>
        <w:keepLines/>
        <w:pageBreakBefore w:val="0"/>
        <w:widowControl w:val="0"/>
        <w:kinsoku/>
        <w:wordWrap/>
        <w:overflowPunct/>
        <w:topLinePunct w:val="0"/>
        <w:bidi w:val="0"/>
        <w:snapToGrid/>
        <w:spacing w:line="240" w:lineRule="auto"/>
        <w:ind w:firstLine="0" w:firstLineChars="0"/>
        <w:jc w:val="center"/>
        <w:textAlignment w:val="auto"/>
        <w:outlineLvl w:val="1"/>
        <w:rPr>
          <w:rFonts w:hint="eastAsia" w:ascii="仿宋" w:hAnsi="仿宋" w:eastAsia="仿宋" w:cs="Times New Roman"/>
          <w:b/>
          <w:color w:val="auto"/>
          <w:kern w:val="2"/>
          <w:sz w:val="36"/>
          <w:szCs w:val="36"/>
          <w:highlight w:val="none"/>
          <w:shd w:val="clear" w:color="auto" w:fill="auto"/>
          <w:lang w:val="en-US" w:eastAsia="zh-CN" w:bidi="ar-SA"/>
        </w:rPr>
      </w:pPr>
      <w:bookmarkStart w:id="103" w:name="_Toc18636"/>
      <w:r>
        <w:rPr>
          <w:rFonts w:hint="eastAsia" w:ascii="仿宋" w:hAnsi="仿宋" w:eastAsia="仿宋" w:cs="Times New Roman"/>
          <w:b/>
          <w:color w:val="auto"/>
          <w:kern w:val="2"/>
          <w:sz w:val="36"/>
          <w:szCs w:val="36"/>
          <w:highlight w:val="none"/>
          <w:shd w:val="clear" w:color="auto" w:fill="auto"/>
          <w:lang w:val="en-US" w:eastAsia="zh-CN" w:bidi="ar-SA"/>
        </w:rPr>
        <w:t>第三节 生态效益</w:t>
      </w:r>
      <w:bookmarkEnd w:id="103"/>
    </w:p>
    <w:p>
      <w:pPr>
        <w:pStyle w:val="14"/>
        <w:spacing w:after="0" w:line="240" w:lineRule="auto"/>
        <w:ind w:left="0" w:leftChars="0" w:right="0" w:rightChars="0" w:firstLine="640" w:firstLineChars="200"/>
        <w:rPr>
          <w:rFonts w:hint="eastAsia" w:ascii="仿宋" w:hAnsi="仿宋" w:cs="Times New Roman"/>
          <w:szCs w:val="32"/>
          <w:highlight w:val="none"/>
          <w:shd w:val="clear" w:color="auto" w:fill="auto"/>
        </w:rPr>
      </w:pPr>
      <w:r>
        <w:rPr>
          <w:rFonts w:hint="eastAsia" w:ascii="仿宋" w:hAnsi="仿宋" w:cs="Times New Roman"/>
          <w:szCs w:val="32"/>
          <w:highlight w:val="none"/>
          <w:shd w:val="clear" w:color="auto" w:fill="auto"/>
        </w:rPr>
        <w:t>发展畜牧业将产生大量粪尿与污水，对环境产生一定的影响。与本规划充分考虑了全市畜牧业的市场发展空间、饲草饲料资源、土地承载能力和粪污消纳能力，坚持以种定养、以养促种、种养循环，既发展了畜牧生产、增加了农民收入、保证了市场供应，又减少了化肥使用、改善了土壤结构、保护了生态环境。</w:t>
      </w:r>
    </w:p>
    <w:p>
      <w:pPr>
        <w:keepNext/>
        <w:keepLines/>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center"/>
        <w:textAlignment w:val="auto"/>
        <w:outlineLvl w:val="0"/>
        <w:rPr>
          <w:rFonts w:hint="eastAsia" w:ascii="仿宋" w:hAnsi="仿宋" w:eastAsia="黑体" w:cs="黑体"/>
          <w:b w:val="0"/>
          <w:bCs w:val="0"/>
          <w:color w:val="auto"/>
          <w:kern w:val="44"/>
          <w:sz w:val="44"/>
          <w:szCs w:val="44"/>
          <w:highlight w:val="none"/>
          <w:shd w:val="clear" w:color="auto" w:fill="auto"/>
          <w:lang w:val="en-US" w:eastAsia="zh-CN" w:bidi="ar-SA"/>
        </w:rPr>
      </w:pPr>
      <w:bookmarkStart w:id="104" w:name="_Toc15411"/>
      <w:r>
        <w:rPr>
          <w:rFonts w:hint="eastAsia" w:ascii="仿宋" w:hAnsi="仿宋" w:eastAsia="黑体" w:cs="黑体"/>
          <w:b w:val="0"/>
          <w:bCs w:val="0"/>
          <w:color w:val="auto"/>
          <w:kern w:val="44"/>
          <w:sz w:val="44"/>
          <w:szCs w:val="44"/>
          <w:highlight w:val="none"/>
          <w:shd w:val="clear" w:color="auto" w:fill="auto"/>
          <w:lang w:val="en-US" w:eastAsia="zh-CN" w:bidi="ar-SA"/>
        </w:rPr>
        <w:br w:type="page"/>
      </w:r>
      <w:bookmarkStart w:id="105" w:name="_Toc5054"/>
      <w:r>
        <w:rPr>
          <w:rFonts w:hint="eastAsia" w:ascii="仿宋" w:hAnsi="仿宋" w:eastAsia="黑体" w:cs="黑体"/>
          <w:b w:val="0"/>
          <w:bCs w:val="0"/>
          <w:color w:val="auto"/>
          <w:kern w:val="44"/>
          <w:sz w:val="44"/>
          <w:szCs w:val="44"/>
          <w:highlight w:val="none"/>
          <w:shd w:val="clear" w:color="auto" w:fill="auto"/>
          <w:lang w:val="en-US" w:eastAsia="zh-CN" w:bidi="ar-SA"/>
        </w:rPr>
        <w:t>第八章 保障措施</w:t>
      </w:r>
      <w:bookmarkEnd w:id="105"/>
    </w:p>
    <w:p>
      <w:pPr>
        <w:keepNext/>
        <w:keepLines/>
        <w:pageBreakBefore w:val="0"/>
        <w:widowControl w:val="0"/>
        <w:kinsoku/>
        <w:wordWrap/>
        <w:overflowPunct/>
        <w:topLinePunct w:val="0"/>
        <w:bidi w:val="0"/>
        <w:snapToGrid/>
        <w:spacing w:line="240" w:lineRule="auto"/>
        <w:ind w:firstLine="0" w:firstLineChars="0"/>
        <w:jc w:val="center"/>
        <w:textAlignment w:val="auto"/>
        <w:outlineLvl w:val="1"/>
        <w:rPr>
          <w:rFonts w:hint="eastAsia" w:ascii="仿宋" w:hAnsi="仿宋" w:eastAsia="仿宋" w:cs="Times New Roman"/>
          <w:b/>
          <w:color w:val="auto"/>
          <w:kern w:val="2"/>
          <w:sz w:val="36"/>
          <w:szCs w:val="36"/>
          <w:highlight w:val="none"/>
          <w:shd w:val="clear" w:color="auto" w:fill="auto"/>
          <w:lang w:val="en-US" w:eastAsia="zh-CN" w:bidi="ar-SA"/>
        </w:rPr>
      </w:pPr>
      <w:bookmarkStart w:id="106" w:name="（一）加强组织领导"/>
      <w:bookmarkEnd w:id="106"/>
      <w:bookmarkStart w:id="107" w:name="_bookmark19"/>
      <w:bookmarkEnd w:id="107"/>
      <w:bookmarkStart w:id="108" w:name="_Toc28517"/>
      <w:bookmarkStart w:id="109" w:name="_Toc12352"/>
      <w:r>
        <w:rPr>
          <w:rFonts w:hint="eastAsia" w:ascii="仿宋" w:hAnsi="仿宋" w:eastAsia="仿宋" w:cs="Times New Roman"/>
          <w:b/>
          <w:color w:val="auto"/>
          <w:kern w:val="2"/>
          <w:sz w:val="36"/>
          <w:szCs w:val="36"/>
          <w:highlight w:val="none"/>
          <w:shd w:val="clear" w:color="auto" w:fill="auto"/>
          <w:lang w:val="en-US" w:eastAsia="zh-CN" w:bidi="ar-SA"/>
        </w:rPr>
        <w:t>第一节 加强组织领导</w:t>
      </w:r>
      <w:bookmarkEnd w:id="108"/>
      <w:bookmarkEnd w:id="109"/>
    </w:p>
    <w:p>
      <w:pPr>
        <w:pStyle w:val="14"/>
        <w:spacing w:after="0" w:line="240" w:lineRule="auto"/>
        <w:ind w:left="0" w:leftChars="0" w:right="0" w:rightChars="0" w:firstLine="640" w:firstLineChars="200"/>
        <w:rPr>
          <w:rFonts w:ascii="仿宋" w:hAnsi="仿宋"/>
          <w:szCs w:val="32"/>
          <w:highlight w:val="none"/>
          <w:shd w:val="clear" w:color="auto" w:fill="auto"/>
        </w:rPr>
      </w:pPr>
      <w:r>
        <w:rPr>
          <w:rFonts w:ascii="仿宋" w:hAnsi="仿宋"/>
          <w:szCs w:val="32"/>
          <w:highlight w:val="none"/>
          <w:shd w:val="clear" w:color="auto" w:fill="auto"/>
        </w:rPr>
        <w:t>进一步加强对畜禽养殖污染防治工作的组织领导，加强污染防治工作协调，保障生猪增产保供稳价中心任务。建立健全部门沟通协作机制，按照部门职责分工，分解落实畜禽养殖污染防治任务，实现资源和信息共享，形成部门合力。</w:t>
      </w:r>
      <w:r>
        <w:rPr>
          <w:rFonts w:hint="eastAsia" w:ascii="仿宋" w:hAnsi="仿宋"/>
          <w:szCs w:val="32"/>
          <w:highlight w:val="none"/>
          <w:shd w:val="clear" w:color="auto" w:fill="auto"/>
        </w:rPr>
        <w:t>将</w:t>
      </w:r>
      <w:r>
        <w:rPr>
          <w:rFonts w:ascii="仿宋" w:hAnsi="仿宋"/>
          <w:szCs w:val="32"/>
          <w:highlight w:val="none"/>
          <w:shd w:val="clear" w:color="auto" w:fill="auto"/>
        </w:rPr>
        <w:t>畜禽养殖污染防治、畜禽养殖废弃物资源化利用等工作纳入政府年度目标责任考核，明确目标任务，落实防治工作责任。</w:t>
      </w:r>
    </w:p>
    <w:p>
      <w:pPr>
        <w:bidi w:val="0"/>
        <w:rPr>
          <w:rFonts w:ascii="仿宋" w:hAnsi="仿宋"/>
        </w:rPr>
      </w:pPr>
    </w:p>
    <w:p>
      <w:pPr>
        <w:keepNext/>
        <w:keepLines/>
        <w:pageBreakBefore w:val="0"/>
        <w:widowControl w:val="0"/>
        <w:kinsoku/>
        <w:wordWrap/>
        <w:overflowPunct/>
        <w:topLinePunct w:val="0"/>
        <w:bidi w:val="0"/>
        <w:snapToGrid/>
        <w:spacing w:line="240" w:lineRule="auto"/>
        <w:ind w:firstLine="0" w:firstLineChars="0"/>
        <w:jc w:val="center"/>
        <w:textAlignment w:val="auto"/>
        <w:outlineLvl w:val="1"/>
        <w:rPr>
          <w:rFonts w:hint="eastAsia" w:ascii="仿宋" w:hAnsi="仿宋" w:eastAsia="仿宋" w:cs="Times New Roman"/>
          <w:b/>
          <w:color w:val="auto"/>
          <w:kern w:val="2"/>
          <w:sz w:val="36"/>
          <w:szCs w:val="36"/>
          <w:highlight w:val="none"/>
          <w:shd w:val="clear" w:color="auto" w:fill="auto"/>
          <w:lang w:val="en-US" w:eastAsia="zh-CN" w:bidi="ar-SA"/>
        </w:rPr>
      </w:pPr>
      <w:bookmarkStart w:id="110" w:name="_bookmark20"/>
      <w:bookmarkEnd w:id="110"/>
      <w:bookmarkStart w:id="111" w:name="（二）强化监督管理"/>
      <w:bookmarkEnd w:id="111"/>
      <w:bookmarkStart w:id="112" w:name="_Toc12831"/>
      <w:bookmarkStart w:id="113" w:name="_Toc14628"/>
      <w:r>
        <w:rPr>
          <w:rFonts w:hint="eastAsia" w:ascii="仿宋" w:hAnsi="仿宋" w:eastAsia="仿宋" w:cs="Times New Roman"/>
          <w:b/>
          <w:color w:val="auto"/>
          <w:kern w:val="2"/>
          <w:sz w:val="36"/>
          <w:szCs w:val="36"/>
          <w:highlight w:val="none"/>
          <w:shd w:val="clear" w:color="auto" w:fill="auto"/>
          <w:lang w:val="en-US" w:eastAsia="zh-CN" w:bidi="ar-SA"/>
        </w:rPr>
        <w:t>第二节 强化监督管理</w:t>
      </w:r>
      <w:bookmarkEnd w:id="112"/>
      <w:bookmarkEnd w:id="113"/>
    </w:p>
    <w:p>
      <w:pPr>
        <w:pStyle w:val="14"/>
        <w:spacing w:after="0" w:line="240" w:lineRule="auto"/>
        <w:ind w:left="0" w:leftChars="0" w:right="0" w:rightChars="0" w:firstLine="640" w:firstLineChars="200"/>
        <w:rPr>
          <w:rFonts w:ascii="仿宋" w:hAnsi="仿宋"/>
          <w:szCs w:val="32"/>
          <w:highlight w:val="none"/>
          <w:shd w:val="clear" w:color="auto" w:fill="auto"/>
        </w:rPr>
      </w:pPr>
      <w:r>
        <w:rPr>
          <w:rFonts w:ascii="仿宋" w:hAnsi="仿宋"/>
          <w:szCs w:val="32"/>
          <w:highlight w:val="none"/>
          <w:shd w:val="clear" w:color="auto" w:fill="auto"/>
        </w:rPr>
        <w:t>突出重点，把握好保障生猪增产保供稳价和畜禽养殖污染防治工作的关系，加强对重点地区的监督指导和政策扶持。通过多部门联合监管、专项监督和日常性监督等多种监管方式加大畜禽养殖污染日常监督和执法管理，全力保障生猪增产保供稳价，保障畜牧业高质量绿色发展。依法切实履行病死动物无害化处理工作属地管理职责，强化监管，落实责任。推动建立畜禽粪污处理和粪肥利用台账。将畜禽养殖污染治理与生态创建、各类农业财政扶持资格、各类生态环保评优等挂钩，不断加大综合整治力度。</w:t>
      </w:r>
    </w:p>
    <w:p>
      <w:pPr>
        <w:bidi w:val="0"/>
        <w:rPr>
          <w:rFonts w:ascii="仿宋" w:hAnsi="仿宋"/>
        </w:rPr>
      </w:pPr>
      <w:bookmarkStart w:id="114" w:name="（三）加大政策和技术支撑"/>
      <w:bookmarkEnd w:id="114"/>
      <w:bookmarkStart w:id="115" w:name="_bookmark21"/>
      <w:bookmarkEnd w:id="115"/>
      <w:bookmarkStart w:id="116" w:name="_Toc25631"/>
    </w:p>
    <w:p>
      <w:pPr>
        <w:keepNext/>
        <w:keepLines/>
        <w:pageBreakBefore w:val="0"/>
        <w:widowControl w:val="0"/>
        <w:kinsoku/>
        <w:wordWrap/>
        <w:overflowPunct/>
        <w:topLinePunct w:val="0"/>
        <w:bidi w:val="0"/>
        <w:snapToGrid/>
        <w:spacing w:line="240" w:lineRule="auto"/>
        <w:ind w:firstLine="0" w:firstLineChars="0"/>
        <w:jc w:val="center"/>
        <w:textAlignment w:val="auto"/>
        <w:outlineLvl w:val="1"/>
        <w:rPr>
          <w:rFonts w:hint="eastAsia" w:ascii="仿宋" w:hAnsi="仿宋" w:eastAsia="仿宋" w:cs="Times New Roman"/>
          <w:b/>
          <w:color w:val="auto"/>
          <w:kern w:val="2"/>
          <w:sz w:val="36"/>
          <w:szCs w:val="36"/>
          <w:highlight w:val="none"/>
          <w:shd w:val="clear" w:color="auto" w:fill="auto"/>
          <w:lang w:val="en-US" w:eastAsia="zh-CN" w:bidi="ar-SA"/>
        </w:rPr>
      </w:pPr>
      <w:bookmarkStart w:id="117" w:name="_Toc20285"/>
      <w:r>
        <w:rPr>
          <w:rFonts w:hint="eastAsia" w:ascii="仿宋" w:hAnsi="仿宋" w:eastAsia="仿宋" w:cs="Times New Roman"/>
          <w:b/>
          <w:color w:val="auto"/>
          <w:kern w:val="2"/>
          <w:sz w:val="36"/>
          <w:szCs w:val="36"/>
          <w:highlight w:val="none"/>
          <w:shd w:val="clear" w:color="auto" w:fill="auto"/>
          <w:lang w:val="en-US" w:eastAsia="zh-CN" w:bidi="ar-SA"/>
        </w:rPr>
        <w:t>第三节 加大政策和技术支撑</w:t>
      </w:r>
      <w:bookmarkEnd w:id="116"/>
      <w:bookmarkEnd w:id="117"/>
    </w:p>
    <w:p>
      <w:pPr>
        <w:pStyle w:val="14"/>
        <w:spacing w:after="0" w:line="240" w:lineRule="auto"/>
        <w:ind w:left="0" w:leftChars="0" w:right="0" w:rightChars="0" w:firstLine="640" w:firstLineChars="200"/>
        <w:rPr>
          <w:rFonts w:ascii="仿宋" w:hAnsi="仿宋"/>
          <w:szCs w:val="32"/>
          <w:highlight w:val="none"/>
          <w:shd w:val="clear" w:color="auto" w:fill="auto"/>
        </w:rPr>
      </w:pPr>
      <w:r>
        <w:rPr>
          <w:rFonts w:ascii="仿宋" w:hAnsi="仿宋"/>
          <w:szCs w:val="32"/>
          <w:highlight w:val="none"/>
          <w:shd w:val="clear" w:color="auto" w:fill="auto"/>
        </w:rPr>
        <w:t>加大对生态畜牧业建设的政策扶持，出台相关政策</w:t>
      </w:r>
      <w:r>
        <w:rPr>
          <w:rFonts w:hint="eastAsia" w:ascii="仿宋" w:hAnsi="仿宋"/>
          <w:szCs w:val="32"/>
          <w:highlight w:val="none"/>
          <w:shd w:val="clear" w:color="auto" w:fill="auto"/>
        </w:rPr>
        <w:t>扶持</w:t>
      </w:r>
      <w:r>
        <w:rPr>
          <w:rFonts w:ascii="仿宋" w:hAnsi="仿宋"/>
          <w:szCs w:val="32"/>
          <w:highlight w:val="none"/>
          <w:shd w:val="clear" w:color="auto" w:fill="auto"/>
        </w:rPr>
        <w:t>美丽牧场、畜牧业生态养殖场、畜禽粪污无害化处理和资源化利用设施建设。探索建立涉及财政、企业、社会的多元投入机制，拓宽资金渠道，加强资金整合，加大畜禽养殖污染防治资金支持。优先制定和实施废弃物资源化利用、污染治理设施建设和运营，环境监测收费等优惠和扶持措施。加大对技术研发的投入和政策支持。鼓励建立农村有机废弃物收集转化利用网络体系，发展社会化服务组织，鼓励高校、科研院所等技术力量的参与，加快资源综合利用的研发和集成，破除粪污资源化利用过程中的技术和成本障碍。结合本地实际，推行经济高效的粪污资源化利用技术模式，逐步改进粪肥施用方式，鼓励全量收集和利用畜禽粪污。</w:t>
      </w:r>
    </w:p>
    <w:p>
      <w:pPr>
        <w:bidi w:val="0"/>
        <w:rPr>
          <w:rFonts w:ascii="仿宋" w:hAnsi="仿宋"/>
        </w:rPr>
      </w:pPr>
      <w:bookmarkStart w:id="118" w:name="（四）加大宣教，营造治理氛围"/>
      <w:bookmarkEnd w:id="118"/>
      <w:bookmarkStart w:id="119" w:name="_bookmark22"/>
      <w:bookmarkEnd w:id="119"/>
      <w:bookmarkStart w:id="120" w:name="_Toc16695"/>
    </w:p>
    <w:p>
      <w:pPr>
        <w:keepNext/>
        <w:keepLines/>
        <w:pageBreakBefore w:val="0"/>
        <w:widowControl w:val="0"/>
        <w:kinsoku/>
        <w:wordWrap/>
        <w:overflowPunct/>
        <w:topLinePunct w:val="0"/>
        <w:bidi w:val="0"/>
        <w:snapToGrid/>
        <w:spacing w:line="240" w:lineRule="auto"/>
        <w:ind w:firstLine="0" w:firstLineChars="0"/>
        <w:jc w:val="center"/>
        <w:textAlignment w:val="auto"/>
        <w:outlineLvl w:val="1"/>
        <w:rPr>
          <w:rFonts w:hint="eastAsia" w:ascii="仿宋" w:hAnsi="仿宋" w:eastAsia="仿宋" w:cs="Times New Roman"/>
          <w:b/>
          <w:color w:val="auto"/>
          <w:kern w:val="2"/>
          <w:sz w:val="36"/>
          <w:szCs w:val="36"/>
          <w:highlight w:val="none"/>
          <w:shd w:val="clear" w:color="auto" w:fill="auto"/>
          <w:lang w:val="en-US" w:eastAsia="zh-CN" w:bidi="ar-SA"/>
        </w:rPr>
      </w:pPr>
      <w:bookmarkStart w:id="121" w:name="_Toc22178"/>
      <w:r>
        <w:rPr>
          <w:rFonts w:hint="eastAsia" w:ascii="仿宋" w:hAnsi="仿宋" w:eastAsia="仿宋" w:cs="Times New Roman"/>
          <w:b/>
          <w:color w:val="auto"/>
          <w:kern w:val="2"/>
          <w:sz w:val="36"/>
          <w:szCs w:val="36"/>
          <w:highlight w:val="none"/>
          <w:shd w:val="clear" w:color="auto" w:fill="auto"/>
          <w:lang w:val="en-US" w:eastAsia="zh-CN" w:bidi="ar-SA"/>
        </w:rPr>
        <w:t>第四节 强化宣传教育</w:t>
      </w:r>
      <w:bookmarkEnd w:id="120"/>
      <w:bookmarkEnd w:id="121"/>
    </w:p>
    <w:p>
      <w:pPr>
        <w:pStyle w:val="14"/>
        <w:spacing w:after="0" w:line="240" w:lineRule="auto"/>
        <w:ind w:left="0" w:leftChars="0" w:right="0" w:rightChars="0" w:firstLine="640" w:firstLineChars="200"/>
        <w:rPr>
          <w:rFonts w:hint="eastAsia" w:ascii="仿宋" w:hAnsi="仿宋"/>
          <w:highlight w:val="none"/>
          <w:lang w:eastAsia="zh-CN"/>
        </w:rPr>
      </w:pPr>
      <w:r>
        <w:rPr>
          <w:rFonts w:ascii="仿宋" w:hAnsi="仿宋"/>
          <w:szCs w:val="32"/>
          <w:highlight w:val="none"/>
          <w:shd w:val="clear" w:color="auto" w:fill="auto"/>
        </w:rPr>
        <w:t>积极开展畜禽养殖污染防治工作的宣传教育，营造良好的舆论氛围。通过形式多样的宣传教育活动，利用电视、报刊、网络、微博、微信等新闻媒介，广泛开展畜禽养殖污染防治的舆论宣传。农</w:t>
      </w:r>
      <w:r>
        <w:rPr>
          <w:rFonts w:hint="eastAsia" w:ascii="仿宋" w:hAnsi="仿宋"/>
          <w:szCs w:val="32"/>
          <w:highlight w:val="none"/>
          <w:shd w:val="clear" w:color="auto" w:fill="auto"/>
        </w:rPr>
        <w:t>业</w:t>
      </w:r>
      <w:r>
        <w:rPr>
          <w:rFonts w:ascii="仿宋" w:hAnsi="仿宋"/>
          <w:szCs w:val="32"/>
          <w:highlight w:val="none"/>
          <w:shd w:val="clear" w:color="auto" w:fill="auto"/>
        </w:rPr>
        <w:t>部门或受委托的第三方培训机构定期组织开展技术交流与人员培训，将相关环保法律法规、畜禽废弃物治理和资源化利用技术培训纳入相关农业技术或养殖技能培训当中，逐步提高从业人员污染治理技术水平和农民污染防治意识。充分发挥行业协会、社会舆论的监督作用，及时通报</w:t>
      </w:r>
      <w:r>
        <w:rPr>
          <w:rFonts w:hint="eastAsia" w:ascii="仿宋" w:hAnsi="仿宋"/>
          <w:szCs w:val="32"/>
          <w:highlight w:val="none"/>
          <w:shd w:val="clear" w:color="auto" w:fill="auto"/>
        </w:rPr>
        <w:t>全县</w:t>
      </w:r>
      <w:r>
        <w:rPr>
          <w:rFonts w:ascii="仿宋" w:hAnsi="仿宋"/>
          <w:szCs w:val="32"/>
          <w:highlight w:val="none"/>
          <w:shd w:val="clear" w:color="auto" w:fill="auto"/>
        </w:rPr>
        <w:t>各</w:t>
      </w:r>
      <w:r>
        <w:rPr>
          <w:rFonts w:hint="eastAsia" w:ascii="仿宋" w:hAnsi="仿宋"/>
          <w:szCs w:val="32"/>
          <w:highlight w:val="none"/>
          <w:shd w:val="clear" w:color="auto" w:fill="auto"/>
        </w:rPr>
        <w:t>地</w:t>
      </w:r>
      <w:r>
        <w:rPr>
          <w:rFonts w:ascii="仿宋" w:hAnsi="仿宋"/>
          <w:szCs w:val="32"/>
          <w:highlight w:val="none"/>
          <w:shd w:val="clear" w:color="auto" w:fill="auto"/>
        </w:rPr>
        <w:t>养殖污染治理工作进展、存在的问题和违法处罚的案例，及时总结和凝练各地畜禽养殖污染治理工作中的扶持政策、治理方法、治理典型。积极鼓励村民自治组织和畜禽养殖协会制定相关规程，规范畜禽养殖行为，进一步提高广大养殖户和人民群众的责任意识和主人翁意识，提高养殖场（户）主参与污染防治的自觉性和主动性，形成群防群治畜禽养殖污染的良好氛围。</w:t>
      </w:r>
      <w:bookmarkEnd w:id="89"/>
      <w:bookmarkEnd w:id="104"/>
    </w:p>
    <w:sectPr>
      <w:footerReference r:id="rId6" w:type="default"/>
      <w:pgSz w:w="11906" w:h="16838"/>
      <w:pgMar w:top="1440" w:right="1800" w:bottom="1440" w:left="1800" w:header="851" w:footer="992" w:gutter="0"/>
      <w:pgBorders w:offsetFrom="page">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altName w:val="Calibri"/>
    <w:panose1 w:val="020F0302020204030204"/>
    <w:charset w:val="00"/>
    <w:family w:val="swiss"/>
    <w:pitch w:val="default"/>
    <w:sig w:usb0="00000000" w:usb1="00000000" w:usb2="00000009" w:usb3="00000000" w:csb0="200001FF" w:csb1="00000000"/>
  </w:font>
  <w:font w:name="等线">
    <w:altName w:val="微软雅黑"/>
    <w:panose1 w:val="02010600030101010101"/>
    <w:charset w:val="86"/>
    <w:family w:val="roman"/>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TimesNewRomanPSMT">
    <w:altName w:val="Times New Roman"/>
    <w:panose1 w:val="00000000000000000000"/>
    <w:charset w:val="00"/>
    <w:family w:val="auto"/>
    <w:pitch w:val="default"/>
    <w:sig w:usb0="00000000" w:usb1="00000000" w:usb2="00000000" w:usb3="00000000" w:csb0="00040001" w:csb1="00000000"/>
  </w:font>
  <w:font w:name="方正小标宋简体">
    <w:panose1 w:val="02000000000000000000"/>
    <w:charset w:val="86"/>
    <w:family w:val="script"/>
    <w:pitch w:val="default"/>
    <w:sig w:usb0="A00002BF" w:usb1="184F6CFA" w:usb2="00000012" w:usb3="00000000" w:csb0="00040001" w:csb1="00000000"/>
  </w:font>
  <w:font w:name="MS PGothic">
    <w:panose1 w:val="020B0600070205080204"/>
    <w:charset w:val="80"/>
    <w:family w:val="auto"/>
    <w:pitch w:val="default"/>
    <w:sig w:usb0="E00002FF" w:usb1="6AC7FDFB" w:usb2="00000012" w:usb3="00000000" w:csb0="4002009F" w:csb1="DFD7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rPr>
        <w:rStyle w:val="38"/>
      </w:rPr>
    </w:pPr>
    <w:r>
      <w:fldChar w:fldCharType="begin"/>
    </w:r>
    <w:r>
      <w:rPr>
        <w:rStyle w:val="38"/>
      </w:rPr>
      <w:instrText xml:space="preserve">PAGE  </w:instrText>
    </w:r>
    <w:r>
      <w:fldChar w:fldCharType="separate"/>
    </w:r>
    <w:r>
      <w:fldChar w:fldCharType="end"/>
    </w: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LCPVrwwEAAHEDAAAOAAAAAAAAAAEAIAAAAB4BAABkcnMvZTJvRG9jLnhtbFBL&#10;BQYAAAAABgAGAFkBAABTBQAAAAA=&#10;">
              <v:fill on="f" focussize="0,0"/>
              <v:stroke on="f"/>
              <v:imagedata o:title=""/>
              <o:lock v:ext="edit" aspectratio="f"/>
              <v:textbox inset="0mm,0mm,0mm,0mm" style="mso-fit-shape-to-text:t;">
                <w:txbxContent>
                  <w:p>
                    <w:pPr>
                      <w:pStyle w:val="21"/>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pPr>
                          <w:r>
                            <w:t xml:space="preserve">— </w:t>
                          </w:r>
                          <w:r>
                            <w:fldChar w:fldCharType="begin"/>
                          </w:r>
                          <w:r>
                            <w:instrText xml:space="preserve"> PAGE  \* MERGEFORMAT </w:instrText>
                          </w:r>
                          <w:r>
                            <w:fldChar w:fldCharType="separate"/>
                          </w:r>
                          <w:r>
                            <w:t>80</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0uH+BwwEAAHEDAAAOAAAAAAAAAAEAIAAAAB4BAABkcnMvZTJvRG9jLnhtbFBL&#10;BQYAAAAABgAGAFkBAABTBQAAAAA=&#10;">
              <v:fill on="f" focussize="0,0"/>
              <v:stroke on="f"/>
              <v:imagedata o:title=""/>
              <o:lock v:ext="edit" aspectratio="f"/>
              <v:textbox inset="0mm,0mm,0mm,0mm" style="mso-fit-shape-to-text:t;">
                <w:txbxContent>
                  <w:p>
                    <w:pPr>
                      <w:pStyle w:val="21"/>
                    </w:pPr>
                    <w:r>
                      <w:t xml:space="preserve">— </w:t>
                    </w:r>
                    <w:r>
                      <w:fldChar w:fldCharType="begin"/>
                    </w:r>
                    <w:r>
                      <w:instrText xml:space="preserve"> PAGE  \* MERGEFORMAT </w:instrText>
                    </w:r>
                    <w:r>
                      <w:fldChar w:fldCharType="separate"/>
                    </w:r>
                    <w:r>
                      <w:t>80</w:t>
                    </w:r>
                    <w:r>
                      <w:fldChar w:fldCharType="end"/>
                    </w:r>
                    <w:r>
                      <w:t xml:space="preserve"> —</w:t>
                    </w:r>
                  </w:p>
                </w:txbxContent>
              </v:textbox>
            </v:shape>
          </w:pict>
        </mc:Fallback>
      </mc:AlternateContent>
    </w:r>
  </w:p>
  <w:p>
    <w:pPr>
      <w:pStyle w:val="12"/>
      <w:tabs>
        <w:tab w:val="center" w:pos="6979"/>
      </w:tabs>
      <w:kinsoku w:val="0"/>
      <w:overflowPunct w:val="0"/>
      <w:spacing w:line="14" w:lineRule="auto"/>
      <w:rPr>
        <w:rFonts w:hint="eastAsia"/>
        <w:sz w:val="18"/>
        <w:szCs w:val="1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AAEF46"/>
    <w:multiLevelType w:val="singleLevel"/>
    <w:tmpl w:val="A3AAEF46"/>
    <w:lvl w:ilvl="0" w:tentative="0">
      <w:start w:val="1"/>
      <w:numFmt w:val="decimal"/>
      <w:suff w:val="nothing"/>
      <w:lvlText w:val="%1．"/>
      <w:lvlJc w:val="left"/>
      <w:pPr>
        <w:ind w:left="0" w:firstLine="400"/>
      </w:pPr>
      <w:rPr>
        <w:rFonts w:hint="default"/>
      </w:rPr>
    </w:lvl>
  </w:abstractNum>
  <w:abstractNum w:abstractNumId="1">
    <w:nsid w:val="A96966DB"/>
    <w:multiLevelType w:val="singleLevel"/>
    <w:tmpl w:val="A96966DB"/>
    <w:lvl w:ilvl="0" w:tentative="0">
      <w:start w:val="10"/>
      <w:numFmt w:val="decimal"/>
      <w:suff w:val="nothing"/>
      <w:lvlText w:val="%1、"/>
      <w:lvlJc w:val="left"/>
    </w:lvl>
  </w:abstractNum>
  <w:abstractNum w:abstractNumId="2">
    <w:nsid w:val="BC948F6E"/>
    <w:multiLevelType w:val="singleLevel"/>
    <w:tmpl w:val="BC948F6E"/>
    <w:lvl w:ilvl="0" w:tentative="0">
      <w:start w:val="2"/>
      <w:numFmt w:val="chineseCounting"/>
      <w:suff w:val="nothing"/>
      <w:lvlText w:val="%1、"/>
      <w:lvlJc w:val="left"/>
      <w:pPr>
        <w:ind w:left="197"/>
      </w:pPr>
      <w:rPr>
        <w:rFonts w:hint="eastAsia"/>
      </w:rPr>
    </w:lvl>
  </w:abstractNum>
  <w:abstractNum w:abstractNumId="3">
    <w:nsid w:val="DF9C3C04"/>
    <w:multiLevelType w:val="singleLevel"/>
    <w:tmpl w:val="DF9C3C04"/>
    <w:lvl w:ilvl="0" w:tentative="0">
      <w:start w:val="1"/>
      <w:numFmt w:val="decimal"/>
      <w:suff w:val="nothing"/>
      <w:lvlText w:val="%1．"/>
      <w:lvlJc w:val="left"/>
      <w:pPr>
        <w:ind w:left="0" w:firstLine="403"/>
      </w:pPr>
      <w:rPr>
        <w:rFonts w:hint="default"/>
      </w:rPr>
    </w:lvl>
  </w:abstractNum>
  <w:abstractNum w:abstractNumId="4">
    <w:nsid w:val="EA37E48D"/>
    <w:multiLevelType w:val="singleLevel"/>
    <w:tmpl w:val="EA37E48D"/>
    <w:lvl w:ilvl="0" w:tentative="0">
      <w:start w:val="1"/>
      <w:numFmt w:val="decimal"/>
      <w:suff w:val="nothing"/>
      <w:lvlText w:val="%1．"/>
      <w:lvlJc w:val="left"/>
      <w:pPr>
        <w:ind w:left="0" w:firstLine="403"/>
      </w:pPr>
      <w:rPr>
        <w:rFonts w:hint="default"/>
      </w:rPr>
    </w:lvl>
  </w:abstractNum>
  <w:abstractNum w:abstractNumId="5">
    <w:nsid w:val="0000000A"/>
    <w:multiLevelType w:val="multilevel"/>
    <w:tmpl w:val="0000000A"/>
    <w:lvl w:ilvl="0" w:tentative="0">
      <w:start w:val="1"/>
      <w:numFmt w:val="decimal"/>
      <w:pStyle w:val="17"/>
      <w:lvlText w:val="%1、"/>
      <w:lvlJc w:val="left"/>
      <w:pPr>
        <w:tabs>
          <w:tab w:val="left" w:pos="1320"/>
        </w:tabs>
        <w:ind w:left="1320" w:hanging="72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6">
    <w:nsid w:val="2B845BD4"/>
    <w:multiLevelType w:val="singleLevel"/>
    <w:tmpl w:val="2B845BD4"/>
    <w:lvl w:ilvl="0" w:tentative="0">
      <w:start w:val="1"/>
      <w:numFmt w:val="decimal"/>
      <w:suff w:val="nothing"/>
      <w:lvlText w:val="（%1）"/>
      <w:lvlJc w:val="left"/>
    </w:lvl>
  </w:abstractNum>
  <w:num w:numId="1">
    <w:abstractNumId w:val="5"/>
  </w:num>
  <w:num w:numId="2">
    <w:abstractNumId w:val="0"/>
  </w:num>
  <w:num w:numId="3">
    <w:abstractNumId w:val="2"/>
  </w:num>
  <w:num w:numId="4">
    <w:abstractNumId w:val="3"/>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2NjA0OTUyZWRiNjFlNDljZmNjOTYzZjIzZGY2MDYifQ=="/>
  </w:docVars>
  <w:rsids>
    <w:rsidRoot w:val="00172A27"/>
    <w:rsid w:val="00000067"/>
    <w:rsid w:val="0000081E"/>
    <w:rsid w:val="00000D34"/>
    <w:rsid w:val="0000287C"/>
    <w:rsid w:val="00002897"/>
    <w:rsid w:val="00003566"/>
    <w:rsid w:val="000038F1"/>
    <w:rsid w:val="00003FE0"/>
    <w:rsid w:val="000046CC"/>
    <w:rsid w:val="00005128"/>
    <w:rsid w:val="00005DDF"/>
    <w:rsid w:val="00005ED7"/>
    <w:rsid w:val="0000654D"/>
    <w:rsid w:val="00006B0C"/>
    <w:rsid w:val="00006F79"/>
    <w:rsid w:val="0000710C"/>
    <w:rsid w:val="00007A0C"/>
    <w:rsid w:val="000104AE"/>
    <w:rsid w:val="00010729"/>
    <w:rsid w:val="0001080F"/>
    <w:rsid w:val="00010998"/>
    <w:rsid w:val="00010EB4"/>
    <w:rsid w:val="00011738"/>
    <w:rsid w:val="000118E5"/>
    <w:rsid w:val="00011F09"/>
    <w:rsid w:val="00012314"/>
    <w:rsid w:val="00012502"/>
    <w:rsid w:val="00013250"/>
    <w:rsid w:val="000133BB"/>
    <w:rsid w:val="000134F8"/>
    <w:rsid w:val="00014D01"/>
    <w:rsid w:val="00014FB1"/>
    <w:rsid w:val="000157F0"/>
    <w:rsid w:val="00015B95"/>
    <w:rsid w:val="0001756E"/>
    <w:rsid w:val="00020598"/>
    <w:rsid w:val="00020754"/>
    <w:rsid w:val="00020F67"/>
    <w:rsid w:val="00020FAE"/>
    <w:rsid w:val="00021379"/>
    <w:rsid w:val="00021D3A"/>
    <w:rsid w:val="00021DDF"/>
    <w:rsid w:val="00023A75"/>
    <w:rsid w:val="00023DB2"/>
    <w:rsid w:val="00024490"/>
    <w:rsid w:val="00024C9A"/>
    <w:rsid w:val="00025C0D"/>
    <w:rsid w:val="0002600E"/>
    <w:rsid w:val="00026329"/>
    <w:rsid w:val="000263E5"/>
    <w:rsid w:val="00027E03"/>
    <w:rsid w:val="00030CE2"/>
    <w:rsid w:val="000315D5"/>
    <w:rsid w:val="00031ACC"/>
    <w:rsid w:val="00031B62"/>
    <w:rsid w:val="00032CF0"/>
    <w:rsid w:val="00033112"/>
    <w:rsid w:val="0003498C"/>
    <w:rsid w:val="00035402"/>
    <w:rsid w:val="00035E78"/>
    <w:rsid w:val="00036152"/>
    <w:rsid w:val="00036B3E"/>
    <w:rsid w:val="000372A6"/>
    <w:rsid w:val="00037B22"/>
    <w:rsid w:val="00040006"/>
    <w:rsid w:val="000403D3"/>
    <w:rsid w:val="0004123F"/>
    <w:rsid w:val="00041C5D"/>
    <w:rsid w:val="00042161"/>
    <w:rsid w:val="000428E0"/>
    <w:rsid w:val="000428ED"/>
    <w:rsid w:val="0004346A"/>
    <w:rsid w:val="000443CF"/>
    <w:rsid w:val="0004480D"/>
    <w:rsid w:val="00044C2E"/>
    <w:rsid w:val="000450CD"/>
    <w:rsid w:val="00045814"/>
    <w:rsid w:val="0004596D"/>
    <w:rsid w:val="00045B16"/>
    <w:rsid w:val="0004612D"/>
    <w:rsid w:val="0004629E"/>
    <w:rsid w:val="000466B2"/>
    <w:rsid w:val="00046E64"/>
    <w:rsid w:val="0004743F"/>
    <w:rsid w:val="0004775B"/>
    <w:rsid w:val="00047DB7"/>
    <w:rsid w:val="00050541"/>
    <w:rsid w:val="00050A28"/>
    <w:rsid w:val="00051333"/>
    <w:rsid w:val="0005136F"/>
    <w:rsid w:val="00051487"/>
    <w:rsid w:val="0005150A"/>
    <w:rsid w:val="00051C1E"/>
    <w:rsid w:val="000522FB"/>
    <w:rsid w:val="00052D50"/>
    <w:rsid w:val="0005361A"/>
    <w:rsid w:val="0005459C"/>
    <w:rsid w:val="000545AA"/>
    <w:rsid w:val="00055AB8"/>
    <w:rsid w:val="00056913"/>
    <w:rsid w:val="00057007"/>
    <w:rsid w:val="000573A1"/>
    <w:rsid w:val="00060454"/>
    <w:rsid w:val="00060AFC"/>
    <w:rsid w:val="00060C73"/>
    <w:rsid w:val="0006167D"/>
    <w:rsid w:val="0006177D"/>
    <w:rsid w:val="00062878"/>
    <w:rsid w:val="00062950"/>
    <w:rsid w:val="00062A9A"/>
    <w:rsid w:val="00062B96"/>
    <w:rsid w:val="00062D58"/>
    <w:rsid w:val="000638E7"/>
    <w:rsid w:val="0006434C"/>
    <w:rsid w:val="000659EB"/>
    <w:rsid w:val="000660B1"/>
    <w:rsid w:val="000677EF"/>
    <w:rsid w:val="000678E9"/>
    <w:rsid w:val="000702D2"/>
    <w:rsid w:val="00070AF2"/>
    <w:rsid w:val="00070D18"/>
    <w:rsid w:val="00071FFB"/>
    <w:rsid w:val="000724E6"/>
    <w:rsid w:val="0007289A"/>
    <w:rsid w:val="00072A2E"/>
    <w:rsid w:val="000735B3"/>
    <w:rsid w:val="000737E2"/>
    <w:rsid w:val="00073B71"/>
    <w:rsid w:val="0007427C"/>
    <w:rsid w:val="00074AC1"/>
    <w:rsid w:val="0007585E"/>
    <w:rsid w:val="00075905"/>
    <w:rsid w:val="00075928"/>
    <w:rsid w:val="00075F5D"/>
    <w:rsid w:val="000760C1"/>
    <w:rsid w:val="00076603"/>
    <w:rsid w:val="00076629"/>
    <w:rsid w:val="00076D3B"/>
    <w:rsid w:val="00076FA7"/>
    <w:rsid w:val="000814E1"/>
    <w:rsid w:val="000816D5"/>
    <w:rsid w:val="00081D2B"/>
    <w:rsid w:val="00081F40"/>
    <w:rsid w:val="00082CF1"/>
    <w:rsid w:val="000831A6"/>
    <w:rsid w:val="000833C7"/>
    <w:rsid w:val="00083F9A"/>
    <w:rsid w:val="000846BE"/>
    <w:rsid w:val="00084981"/>
    <w:rsid w:val="00084C63"/>
    <w:rsid w:val="000868DA"/>
    <w:rsid w:val="00087112"/>
    <w:rsid w:val="0008721B"/>
    <w:rsid w:val="00087E26"/>
    <w:rsid w:val="00090756"/>
    <w:rsid w:val="00090AC5"/>
    <w:rsid w:val="0009150A"/>
    <w:rsid w:val="000917FD"/>
    <w:rsid w:val="0009180F"/>
    <w:rsid w:val="00091859"/>
    <w:rsid w:val="00092047"/>
    <w:rsid w:val="00093A21"/>
    <w:rsid w:val="00094022"/>
    <w:rsid w:val="00094041"/>
    <w:rsid w:val="00095194"/>
    <w:rsid w:val="00095D5A"/>
    <w:rsid w:val="00095FEB"/>
    <w:rsid w:val="00096551"/>
    <w:rsid w:val="000966D0"/>
    <w:rsid w:val="0009682B"/>
    <w:rsid w:val="000975E2"/>
    <w:rsid w:val="000A0285"/>
    <w:rsid w:val="000A09EC"/>
    <w:rsid w:val="000A0F8F"/>
    <w:rsid w:val="000A1BD1"/>
    <w:rsid w:val="000A1C9D"/>
    <w:rsid w:val="000A20F1"/>
    <w:rsid w:val="000A22D3"/>
    <w:rsid w:val="000A3087"/>
    <w:rsid w:val="000A344E"/>
    <w:rsid w:val="000A3486"/>
    <w:rsid w:val="000A3DA6"/>
    <w:rsid w:val="000A407D"/>
    <w:rsid w:val="000A4756"/>
    <w:rsid w:val="000A49D8"/>
    <w:rsid w:val="000A4CC5"/>
    <w:rsid w:val="000A593D"/>
    <w:rsid w:val="000A619E"/>
    <w:rsid w:val="000A63C6"/>
    <w:rsid w:val="000A63FC"/>
    <w:rsid w:val="000A6555"/>
    <w:rsid w:val="000A6E11"/>
    <w:rsid w:val="000A700C"/>
    <w:rsid w:val="000A79CD"/>
    <w:rsid w:val="000B097F"/>
    <w:rsid w:val="000B09A8"/>
    <w:rsid w:val="000B16F5"/>
    <w:rsid w:val="000B1829"/>
    <w:rsid w:val="000B27D7"/>
    <w:rsid w:val="000B2A7A"/>
    <w:rsid w:val="000B3618"/>
    <w:rsid w:val="000B51C8"/>
    <w:rsid w:val="000B65FF"/>
    <w:rsid w:val="000B6619"/>
    <w:rsid w:val="000B6D99"/>
    <w:rsid w:val="000B6E1E"/>
    <w:rsid w:val="000B7947"/>
    <w:rsid w:val="000C0B44"/>
    <w:rsid w:val="000C1694"/>
    <w:rsid w:val="000C1B41"/>
    <w:rsid w:val="000C2156"/>
    <w:rsid w:val="000C2BEB"/>
    <w:rsid w:val="000C2C0C"/>
    <w:rsid w:val="000C39AA"/>
    <w:rsid w:val="000C41ED"/>
    <w:rsid w:val="000C4957"/>
    <w:rsid w:val="000C4EDB"/>
    <w:rsid w:val="000C5321"/>
    <w:rsid w:val="000C5ED0"/>
    <w:rsid w:val="000C60A1"/>
    <w:rsid w:val="000C67E3"/>
    <w:rsid w:val="000C67FA"/>
    <w:rsid w:val="000C6FAB"/>
    <w:rsid w:val="000C7222"/>
    <w:rsid w:val="000C7290"/>
    <w:rsid w:val="000C74C8"/>
    <w:rsid w:val="000C7D2D"/>
    <w:rsid w:val="000D0A91"/>
    <w:rsid w:val="000D0C46"/>
    <w:rsid w:val="000D0EBB"/>
    <w:rsid w:val="000D123F"/>
    <w:rsid w:val="000D1F0A"/>
    <w:rsid w:val="000D22BF"/>
    <w:rsid w:val="000D236F"/>
    <w:rsid w:val="000D4080"/>
    <w:rsid w:val="000D4740"/>
    <w:rsid w:val="000D487B"/>
    <w:rsid w:val="000D4C60"/>
    <w:rsid w:val="000D4CC2"/>
    <w:rsid w:val="000D52AE"/>
    <w:rsid w:val="000D6783"/>
    <w:rsid w:val="000D7FC2"/>
    <w:rsid w:val="000E039A"/>
    <w:rsid w:val="000E03FF"/>
    <w:rsid w:val="000E0698"/>
    <w:rsid w:val="000E1558"/>
    <w:rsid w:val="000E1D84"/>
    <w:rsid w:val="000E2564"/>
    <w:rsid w:val="000E3192"/>
    <w:rsid w:val="000E40CA"/>
    <w:rsid w:val="000E4BC2"/>
    <w:rsid w:val="000E5516"/>
    <w:rsid w:val="000E572D"/>
    <w:rsid w:val="000E59FD"/>
    <w:rsid w:val="000E5E5F"/>
    <w:rsid w:val="000E6916"/>
    <w:rsid w:val="000E70A4"/>
    <w:rsid w:val="000F0C20"/>
    <w:rsid w:val="000F16B0"/>
    <w:rsid w:val="000F17FE"/>
    <w:rsid w:val="000F20A4"/>
    <w:rsid w:val="000F2D90"/>
    <w:rsid w:val="000F3044"/>
    <w:rsid w:val="000F334A"/>
    <w:rsid w:val="000F3BE0"/>
    <w:rsid w:val="000F55BF"/>
    <w:rsid w:val="000F5E44"/>
    <w:rsid w:val="000F6812"/>
    <w:rsid w:val="000F6AF2"/>
    <w:rsid w:val="000F7570"/>
    <w:rsid w:val="000F7620"/>
    <w:rsid w:val="00100B57"/>
    <w:rsid w:val="00101178"/>
    <w:rsid w:val="001012B1"/>
    <w:rsid w:val="00102298"/>
    <w:rsid w:val="001025EA"/>
    <w:rsid w:val="00102F1C"/>
    <w:rsid w:val="00102F5F"/>
    <w:rsid w:val="00102FBD"/>
    <w:rsid w:val="001030C0"/>
    <w:rsid w:val="00103C27"/>
    <w:rsid w:val="00105351"/>
    <w:rsid w:val="00107109"/>
    <w:rsid w:val="00107129"/>
    <w:rsid w:val="00107AE9"/>
    <w:rsid w:val="001103E3"/>
    <w:rsid w:val="0011230F"/>
    <w:rsid w:val="001129AE"/>
    <w:rsid w:val="00113094"/>
    <w:rsid w:val="001131ED"/>
    <w:rsid w:val="00113663"/>
    <w:rsid w:val="00114AAC"/>
    <w:rsid w:val="00115653"/>
    <w:rsid w:val="00116369"/>
    <w:rsid w:val="00116C39"/>
    <w:rsid w:val="00116E54"/>
    <w:rsid w:val="00116F4A"/>
    <w:rsid w:val="001178B7"/>
    <w:rsid w:val="00120AE3"/>
    <w:rsid w:val="00122618"/>
    <w:rsid w:val="0012268A"/>
    <w:rsid w:val="001226A0"/>
    <w:rsid w:val="001226BB"/>
    <w:rsid w:val="00122E19"/>
    <w:rsid w:val="0012327F"/>
    <w:rsid w:val="001234EA"/>
    <w:rsid w:val="00123770"/>
    <w:rsid w:val="0012586E"/>
    <w:rsid w:val="00126511"/>
    <w:rsid w:val="00126F42"/>
    <w:rsid w:val="001273AA"/>
    <w:rsid w:val="001275E1"/>
    <w:rsid w:val="001306D2"/>
    <w:rsid w:val="001308CF"/>
    <w:rsid w:val="001309D5"/>
    <w:rsid w:val="00130BBB"/>
    <w:rsid w:val="00131441"/>
    <w:rsid w:val="00131764"/>
    <w:rsid w:val="00131C72"/>
    <w:rsid w:val="00131D92"/>
    <w:rsid w:val="00131F5E"/>
    <w:rsid w:val="001324AB"/>
    <w:rsid w:val="00132F7E"/>
    <w:rsid w:val="00133555"/>
    <w:rsid w:val="00133A54"/>
    <w:rsid w:val="0013459C"/>
    <w:rsid w:val="00134F5A"/>
    <w:rsid w:val="001365C4"/>
    <w:rsid w:val="00136A83"/>
    <w:rsid w:val="00137136"/>
    <w:rsid w:val="001374BF"/>
    <w:rsid w:val="001400D3"/>
    <w:rsid w:val="001402E6"/>
    <w:rsid w:val="001405FB"/>
    <w:rsid w:val="001408B2"/>
    <w:rsid w:val="0014125B"/>
    <w:rsid w:val="001425B7"/>
    <w:rsid w:val="0014293F"/>
    <w:rsid w:val="00142C56"/>
    <w:rsid w:val="001430F9"/>
    <w:rsid w:val="0014329E"/>
    <w:rsid w:val="00143D42"/>
    <w:rsid w:val="001455C3"/>
    <w:rsid w:val="00145E9B"/>
    <w:rsid w:val="00146A46"/>
    <w:rsid w:val="001470FE"/>
    <w:rsid w:val="001472B8"/>
    <w:rsid w:val="001502BF"/>
    <w:rsid w:val="001509F6"/>
    <w:rsid w:val="00150DB1"/>
    <w:rsid w:val="00150ED9"/>
    <w:rsid w:val="00151E6E"/>
    <w:rsid w:val="0015215D"/>
    <w:rsid w:val="00152186"/>
    <w:rsid w:val="0015232C"/>
    <w:rsid w:val="00152667"/>
    <w:rsid w:val="00153225"/>
    <w:rsid w:val="00153727"/>
    <w:rsid w:val="00153860"/>
    <w:rsid w:val="00153A5E"/>
    <w:rsid w:val="0015403F"/>
    <w:rsid w:val="00154158"/>
    <w:rsid w:val="00154271"/>
    <w:rsid w:val="0015463C"/>
    <w:rsid w:val="001546AD"/>
    <w:rsid w:val="00154D77"/>
    <w:rsid w:val="00155595"/>
    <w:rsid w:val="0015612D"/>
    <w:rsid w:val="00157280"/>
    <w:rsid w:val="001574FD"/>
    <w:rsid w:val="001577F3"/>
    <w:rsid w:val="001579A5"/>
    <w:rsid w:val="0016061B"/>
    <w:rsid w:val="00160F41"/>
    <w:rsid w:val="00161925"/>
    <w:rsid w:val="0016257A"/>
    <w:rsid w:val="00162821"/>
    <w:rsid w:val="00162862"/>
    <w:rsid w:val="00163E85"/>
    <w:rsid w:val="00163F3C"/>
    <w:rsid w:val="001642D4"/>
    <w:rsid w:val="00164718"/>
    <w:rsid w:val="001655AE"/>
    <w:rsid w:val="00166B37"/>
    <w:rsid w:val="00166C88"/>
    <w:rsid w:val="0016717D"/>
    <w:rsid w:val="00167625"/>
    <w:rsid w:val="00167B65"/>
    <w:rsid w:val="00170707"/>
    <w:rsid w:val="0017075A"/>
    <w:rsid w:val="00171012"/>
    <w:rsid w:val="00171176"/>
    <w:rsid w:val="00172C3A"/>
    <w:rsid w:val="00172E75"/>
    <w:rsid w:val="00172F16"/>
    <w:rsid w:val="00173274"/>
    <w:rsid w:val="00173A28"/>
    <w:rsid w:val="001742F0"/>
    <w:rsid w:val="00175243"/>
    <w:rsid w:val="001754A0"/>
    <w:rsid w:val="001759E9"/>
    <w:rsid w:val="00176006"/>
    <w:rsid w:val="0017789B"/>
    <w:rsid w:val="00177958"/>
    <w:rsid w:val="00177D9C"/>
    <w:rsid w:val="00177DA4"/>
    <w:rsid w:val="0018021B"/>
    <w:rsid w:val="0018063F"/>
    <w:rsid w:val="0018070F"/>
    <w:rsid w:val="001809B9"/>
    <w:rsid w:val="00180EA7"/>
    <w:rsid w:val="0018101D"/>
    <w:rsid w:val="0018214F"/>
    <w:rsid w:val="00182336"/>
    <w:rsid w:val="00182E2F"/>
    <w:rsid w:val="00184B43"/>
    <w:rsid w:val="00185425"/>
    <w:rsid w:val="001857F1"/>
    <w:rsid w:val="00185FC1"/>
    <w:rsid w:val="00186077"/>
    <w:rsid w:val="0018616F"/>
    <w:rsid w:val="0018688A"/>
    <w:rsid w:val="001870FE"/>
    <w:rsid w:val="0018763C"/>
    <w:rsid w:val="00190065"/>
    <w:rsid w:val="001908FE"/>
    <w:rsid w:val="00191117"/>
    <w:rsid w:val="0019137F"/>
    <w:rsid w:val="00191540"/>
    <w:rsid w:val="00191C8E"/>
    <w:rsid w:val="00192926"/>
    <w:rsid w:val="00192ADA"/>
    <w:rsid w:val="0019475E"/>
    <w:rsid w:val="0019490F"/>
    <w:rsid w:val="00194BE1"/>
    <w:rsid w:val="00195028"/>
    <w:rsid w:val="001950D1"/>
    <w:rsid w:val="0019511D"/>
    <w:rsid w:val="00195475"/>
    <w:rsid w:val="00195F3D"/>
    <w:rsid w:val="0019620A"/>
    <w:rsid w:val="00196A5D"/>
    <w:rsid w:val="00196B49"/>
    <w:rsid w:val="00196D8A"/>
    <w:rsid w:val="00197F53"/>
    <w:rsid w:val="001A0231"/>
    <w:rsid w:val="001A0474"/>
    <w:rsid w:val="001A04C3"/>
    <w:rsid w:val="001A13CA"/>
    <w:rsid w:val="001A1561"/>
    <w:rsid w:val="001A16BE"/>
    <w:rsid w:val="001A2D8A"/>
    <w:rsid w:val="001A2E53"/>
    <w:rsid w:val="001A307A"/>
    <w:rsid w:val="001A45AD"/>
    <w:rsid w:val="001A4925"/>
    <w:rsid w:val="001A4B22"/>
    <w:rsid w:val="001A5C9A"/>
    <w:rsid w:val="001A5F8C"/>
    <w:rsid w:val="001A6229"/>
    <w:rsid w:val="001A6C74"/>
    <w:rsid w:val="001A749E"/>
    <w:rsid w:val="001A7B6D"/>
    <w:rsid w:val="001A7BBA"/>
    <w:rsid w:val="001A7CB7"/>
    <w:rsid w:val="001A7D6F"/>
    <w:rsid w:val="001B1CCE"/>
    <w:rsid w:val="001B24E2"/>
    <w:rsid w:val="001B3AC4"/>
    <w:rsid w:val="001B3DA9"/>
    <w:rsid w:val="001B40E0"/>
    <w:rsid w:val="001B494F"/>
    <w:rsid w:val="001B4AA3"/>
    <w:rsid w:val="001B552E"/>
    <w:rsid w:val="001B55D8"/>
    <w:rsid w:val="001B5819"/>
    <w:rsid w:val="001B59A2"/>
    <w:rsid w:val="001B670A"/>
    <w:rsid w:val="001B6C2A"/>
    <w:rsid w:val="001B7863"/>
    <w:rsid w:val="001B7C6C"/>
    <w:rsid w:val="001C0061"/>
    <w:rsid w:val="001C020E"/>
    <w:rsid w:val="001C0565"/>
    <w:rsid w:val="001C0C6C"/>
    <w:rsid w:val="001C1062"/>
    <w:rsid w:val="001C157C"/>
    <w:rsid w:val="001C258B"/>
    <w:rsid w:val="001C3424"/>
    <w:rsid w:val="001C3B98"/>
    <w:rsid w:val="001C3EB8"/>
    <w:rsid w:val="001C4183"/>
    <w:rsid w:val="001C42CF"/>
    <w:rsid w:val="001C4C19"/>
    <w:rsid w:val="001C58AC"/>
    <w:rsid w:val="001C6395"/>
    <w:rsid w:val="001C6418"/>
    <w:rsid w:val="001C7BC1"/>
    <w:rsid w:val="001C7F71"/>
    <w:rsid w:val="001D158D"/>
    <w:rsid w:val="001D15BF"/>
    <w:rsid w:val="001D1AEF"/>
    <w:rsid w:val="001D1B50"/>
    <w:rsid w:val="001D206C"/>
    <w:rsid w:val="001D293F"/>
    <w:rsid w:val="001D2F94"/>
    <w:rsid w:val="001D36B2"/>
    <w:rsid w:val="001D3F12"/>
    <w:rsid w:val="001D4CC4"/>
    <w:rsid w:val="001D5B01"/>
    <w:rsid w:val="001D607F"/>
    <w:rsid w:val="001D6B3A"/>
    <w:rsid w:val="001D7218"/>
    <w:rsid w:val="001D72DE"/>
    <w:rsid w:val="001D7A0D"/>
    <w:rsid w:val="001E0691"/>
    <w:rsid w:val="001E078A"/>
    <w:rsid w:val="001E28A0"/>
    <w:rsid w:val="001E2991"/>
    <w:rsid w:val="001E320E"/>
    <w:rsid w:val="001E33FB"/>
    <w:rsid w:val="001E46F8"/>
    <w:rsid w:val="001E5040"/>
    <w:rsid w:val="001E5D57"/>
    <w:rsid w:val="001E5DF9"/>
    <w:rsid w:val="001E669F"/>
    <w:rsid w:val="001E6A4A"/>
    <w:rsid w:val="001E72B3"/>
    <w:rsid w:val="001E73EB"/>
    <w:rsid w:val="001E7434"/>
    <w:rsid w:val="001E7BAF"/>
    <w:rsid w:val="001E7D8D"/>
    <w:rsid w:val="001F020C"/>
    <w:rsid w:val="001F0A9D"/>
    <w:rsid w:val="001F0CDE"/>
    <w:rsid w:val="001F177F"/>
    <w:rsid w:val="001F1810"/>
    <w:rsid w:val="001F1843"/>
    <w:rsid w:val="001F1965"/>
    <w:rsid w:val="001F1BF1"/>
    <w:rsid w:val="001F20F9"/>
    <w:rsid w:val="001F218A"/>
    <w:rsid w:val="001F235C"/>
    <w:rsid w:val="001F236A"/>
    <w:rsid w:val="001F2C4F"/>
    <w:rsid w:val="001F3249"/>
    <w:rsid w:val="001F3F0E"/>
    <w:rsid w:val="001F42D7"/>
    <w:rsid w:val="001F43A7"/>
    <w:rsid w:val="001F4FBE"/>
    <w:rsid w:val="001F5396"/>
    <w:rsid w:val="001F57B0"/>
    <w:rsid w:val="001F6A00"/>
    <w:rsid w:val="001F7097"/>
    <w:rsid w:val="001F78AB"/>
    <w:rsid w:val="0020016C"/>
    <w:rsid w:val="00200238"/>
    <w:rsid w:val="00201071"/>
    <w:rsid w:val="00201623"/>
    <w:rsid w:val="002027E8"/>
    <w:rsid w:val="002029C5"/>
    <w:rsid w:val="002030EA"/>
    <w:rsid w:val="0020428D"/>
    <w:rsid w:val="00204746"/>
    <w:rsid w:val="00204FDB"/>
    <w:rsid w:val="00205A07"/>
    <w:rsid w:val="00205AD8"/>
    <w:rsid w:val="00206B08"/>
    <w:rsid w:val="00207A71"/>
    <w:rsid w:val="00207B47"/>
    <w:rsid w:val="00210B5B"/>
    <w:rsid w:val="00211922"/>
    <w:rsid w:val="002119FD"/>
    <w:rsid w:val="002122EA"/>
    <w:rsid w:val="00212482"/>
    <w:rsid w:val="00212AA5"/>
    <w:rsid w:val="0021300B"/>
    <w:rsid w:val="002138CD"/>
    <w:rsid w:val="00215095"/>
    <w:rsid w:val="0021532F"/>
    <w:rsid w:val="00215557"/>
    <w:rsid w:val="002156E8"/>
    <w:rsid w:val="0021600E"/>
    <w:rsid w:val="00216AC0"/>
    <w:rsid w:val="00216FA0"/>
    <w:rsid w:val="00216FF2"/>
    <w:rsid w:val="00217172"/>
    <w:rsid w:val="0021759A"/>
    <w:rsid w:val="00220337"/>
    <w:rsid w:val="00221267"/>
    <w:rsid w:val="002216D5"/>
    <w:rsid w:val="00221E85"/>
    <w:rsid w:val="00222041"/>
    <w:rsid w:val="0022207B"/>
    <w:rsid w:val="002220A6"/>
    <w:rsid w:val="0022249F"/>
    <w:rsid w:val="002227B3"/>
    <w:rsid w:val="00222BD9"/>
    <w:rsid w:val="00223282"/>
    <w:rsid w:val="00223649"/>
    <w:rsid w:val="0022441E"/>
    <w:rsid w:val="002246E6"/>
    <w:rsid w:val="0022479B"/>
    <w:rsid w:val="002250A6"/>
    <w:rsid w:val="002254E0"/>
    <w:rsid w:val="002258D1"/>
    <w:rsid w:val="00226BEC"/>
    <w:rsid w:val="00226CEA"/>
    <w:rsid w:val="0022766C"/>
    <w:rsid w:val="00227E99"/>
    <w:rsid w:val="0023027F"/>
    <w:rsid w:val="002303EA"/>
    <w:rsid w:val="002310EF"/>
    <w:rsid w:val="00231229"/>
    <w:rsid w:val="002314A8"/>
    <w:rsid w:val="002318AD"/>
    <w:rsid w:val="002319BF"/>
    <w:rsid w:val="00231E42"/>
    <w:rsid w:val="00232A10"/>
    <w:rsid w:val="00232D55"/>
    <w:rsid w:val="00234816"/>
    <w:rsid w:val="00234CEF"/>
    <w:rsid w:val="00235024"/>
    <w:rsid w:val="002352FD"/>
    <w:rsid w:val="00235A5A"/>
    <w:rsid w:val="00235F17"/>
    <w:rsid w:val="002361BE"/>
    <w:rsid w:val="00236462"/>
    <w:rsid w:val="00236F27"/>
    <w:rsid w:val="00236F5D"/>
    <w:rsid w:val="00237517"/>
    <w:rsid w:val="00237572"/>
    <w:rsid w:val="00240AE3"/>
    <w:rsid w:val="0024115A"/>
    <w:rsid w:val="002413E1"/>
    <w:rsid w:val="00241B92"/>
    <w:rsid w:val="00241C3F"/>
    <w:rsid w:val="00242079"/>
    <w:rsid w:val="002422B4"/>
    <w:rsid w:val="00242301"/>
    <w:rsid w:val="002430B9"/>
    <w:rsid w:val="002449B1"/>
    <w:rsid w:val="002449E2"/>
    <w:rsid w:val="00244C1F"/>
    <w:rsid w:val="00245F10"/>
    <w:rsid w:val="00250A54"/>
    <w:rsid w:val="00251D30"/>
    <w:rsid w:val="00251F2B"/>
    <w:rsid w:val="00251F3B"/>
    <w:rsid w:val="00252116"/>
    <w:rsid w:val="00252544"/>
    <w:rsid w:val="00252825"/>
    <w:rsid w:val="0025300F"/>
    <w:rsid w:val="00253F03"/>
    <w:rsid w:val="00254F78"/>
    <w:rsid w:val="00255C35"/>
    <w:rsid w:val="00256344"/>
    <w:rsid w:val="00256FD0"/>
    <w:rsid w:val="00257535"/>
    <w:rsid w:val="002575ED"/>
    <w:rsid w:val="002576D3"/>
    <w:rsid w:val="00257B2A"/>
    <w:rsid w:val="00257CDF"/>
    <w:rsid w:val="00257F5C"/>
    <w:rsid w:val="00260937"/>
    <w:rsid w:val="0026099D"/>
    <w:rsid w:val="00260BA0"/>
    <w:rsid w:val="00261ECF"/>
    <w:rsid w:val="002627CA"/>
    <w:rsid w:val="00262C01"/>
    <w:rsid w:val="00262CEA"/>
    <w:rsid w:val="00262F9F"/>
    <w:rsid w:val="00263033"/>
    <w:rsid w:val="002635EE"/>
    <w:rsid w:val="00263E65"/>
    <w:rsid w:val="00263EDA"/>
    <w:rsid w:val="002646B3"/>
    <w:rsid w:val="00264774"/>
    <w:rsid w:val="00264843"/>
    <w:rsid w:val="0026561C"/>
    <w:rsid w:val="00265929"/>
    <w:rsid w:val="00265957"/>
    <w:rsid w:val="00266071"/>
    <w:rsid w:val="00266229"/>
    <w:rsid w:val="0026628A"/>
    <w:rsid w:val="002663F2"/>
    <w:rsid w:val="00266E81"/>
    <w:rsid w:val="00266F50"/>
    <w:rsid w:val="002673A4"/>
    <w:rsid w:val="002674CB"/>
    <w:rsid w:val="00267AD5"/>
    <w:rsid w:val="002713AE"/>
    <w:rsid w:val="0027164C"/>
    <w:rsid w:val="002716F9"/>
    <w:rsid w:val="00271E1D"/>
    <w:rsid w:val="00272D86"/>
    <w:rsid w:val="002731F9"/>
    <w:rsid w:val="002735DE"/>
    <w:rsid w:val="00273ABD"/>
    <w:rsid w:val="002752D4"/>
    <w:rsid w:val="002759D9"/>
    <w:rsid w:val="00275A4C"/>
    <w:rsid w:val="00275A74"/>
    <w:rsid w:val="00275FE1"/>
    <w:rsid w:val="00277605"/>
    <w:rsid w:val="002779C8"/>
    <w:rsid w:val="00277B85"/>
    <w:rsid w:val="00280CBF"/>
    <w:rsid w:val="00281507"/>
    <w:rsid w:val="002819B1"/>
    <w:rsid w:val="00281C60"/>
    <w:rsid w:val="00281E23"/>
    <w:rsid w:val="00281F14"/>
    <w:rsid w:val="00283089"/>
    <w:rsid w:val="002834AE"/>
    <w:rsid w:val="00283E9E"/>
    <w:rsid w:val="002845D7"/>
    <w:rsid w:val="002861B2"/>
    <w:rsid w:val="00286284"/>
    <w:rsid w:val="002864A3"/>
    <w:rsid w:val="00286927"/>
    <w:rsid w:val="0028705F"/>
    <w:rsid w:val="002878F3"/>
    <w:rsid w:val="00291501"/>
    <w:rsid w:val="00292FFC"/>
    <w:rsid w:val="002934A6"/>
    <w:rsid w:val="00293636"/>
    <w:rsid w:val="002940B2"/>
    <w:rsid w:val="00294E07"/>
    <w:rsid w:val="002952FB"/>
    <w:rsid w:val="0029552C"/>
    <w:rsid w:val="00295D33"/>
    <w:rsid w:val="00295DC3"/>
    <w:rsid w:val="0029629C"/>
    <w:rsid w:val="002963E3"/>
    <w:rsid w:val="00296AA8"/>
    <w:rsid w:val="00296D16"/>
    <w:rsid w:val="00297107"/>
    <w:rsid w:val="00297A79"/>
    <w:rsid w:val="00297BBB"/>
    <w:rsid w:val="002A005C"/>
    <w:rsid w:val="002A0E4B"/>
    <w:rsid w:val="002A2019"/>
    <w:rsid w:val="002A22E3"/>
    <w:rsid w:val="002A322E"/>
    <w:rsid w:val="002A3A4A"/>
    <w:rsid w:val="002A4087"/>
    <w:rsid w:val="002A4803"/>
    <w:rsid w:val="002A4AF4"/>
    <w:rsid w:val="002A4C70"/>
    <w:rsid w:val="002A5999"/>
    <w:rsid w:val="002A60D9"/>
    <w:rsid w:val="002A63A1"/>
    <w:rsid w:val="002A65DA"/>
    <w:rsid w:val="002A678B"/>
    <w:rsid w:val="002A67EA"/>
    <w:rsid w:val="002A70E2"/>
    <w:rsid w:val="002B02EA"/>
    <w:rsid w:val="002B1CAE"/>
    <w:rsid w:val="002B1F38"/>
    <w:rsid w:val="002B1F39"/>
    <w:rsid w:val="002B2707"/>
    <w:rsid w:val="002B2814"/>
    <w:rsid w:val="002B2969"/>
    <w:rsid w:val="002B2E86"/>
    <w:rsid w:val="002B3F82"/>
    <w:rsid w:val="002B42C6"/>
    <w:rsid w:val="002B43AB"/>
    <w:rsid w:val="002B4725"/>
    <w:rsid w:val="002B4F8F"/>
    <w:rsid w:val="002B53B0"/>
    <w:rsid w:val="002B59B0"/>
    <w:rsid w:val="002B6834"/>
    <w:rsid w:val="002B72AD"/>
    <w:rsid w:val="002B7800"/>
    <w:rsid w:val="002B7FEF"/>
    <w:rsid w:val="002C10B8"/>
    <w:rsid w:val="002C1356"/>
    <w:rsid w:val="002C14AD"/>
    <w:rsid w:val="002C2219"/>
    <w:rsid w:val="002C3CCC"/>
    <w:rsid w:val="002C42FB"/>
    <w:rsid w:val="002C5085"/>
    <w:rsid w:val="002C56A2"/>
    <w:rsid w:val="002C5D36"/>
    <w:rsid w:val="002C608E"/>
    <w:rsid w:val="002C66CE"/>
    <w:rsid w:val="002C784E"/>
    <w:rsid w:val="002D0B71"/>
    <w:rsid w:val="002D1B88"/>
    <w:rsid w:val="002D240E"/>
    <w:rsid w:val="002D4216"/>
    <w:rsid w:val="002D460E"/>
    <w:rsid w:val="002D4CE6"/>
    <w:rsid w:val="002D5068"/>
    <w:rsid w:val="002D62F4"/>
    <w:rsid w:val="002D673A"/>
    <w:rsid w:val="002D68B9"/>
    <w:rsid w:val="002D770A"/>
    <w:rsid w:val="002D7A7B"/>
    <w:rsid w:val="002E0358"/>
    <w:rsid w:val="002E0F50"/>
    <w:rsid w:val="002E1029"/>
    <w:rsid w:val="002E2397"/>
    <w:rsid w:val="002E26D5"/>
    <w:rsid w:val="002E27F0"/>
    <w:rsid w:val="002E4224"/>
    <w:rsid w:val="002E4C2C"/>
    <w:rsid w:val="002E5A26"/>
    <w:rsid w:val="002E7179"/>
    <w:rsid w:val="002E7864"/>
    <w:rsid w:val="002E793E"/>
    <w:rsid w:val="002F021A"/>
    <w:rsid w:val="002F02CE"/>
    <w:rsid w:val="002F04F8"/>
    <w:rsid w:val="002F0CD0"/>
    <w:rsid w:val="002F11D5"/>
    <w:rsid w:val="002F1512"/>
    <w:rsid w:val="002F17CA"/>
    <w:rsid w:val="002F250C"/>
    <w:rsid w:val="002F2683"/>
    <w:rsid w:val="002F26F9"/>
    <w:rsid w:val="002F28B2"/>
    <w:rsid w:val="002F2A65"/>
    <w:rsid w:val="002F2E84"/>
    <w:rsid w:val="002F33DA"/>
    <w:rsid w:val="002F369D"/>
    <w:rsid w:val="002F3BA7"/>
    <w:rsid w:val="002F4D70"/>
    <w:rsid w:val="002F4E35"/>
    <w:rsid w:val="002F5328"/>
    <w:rsid w:val="002F55D0"/>
    <w:rsid w:val="002F598D"/>
    <w:rsid w:val="002F6B4C"/>
    <w:rsid w:val="002F7648"/>
    <w:rsid w:val="002F7704"/>
    <w:rsid w:val="002F7B2C"/>
    <w:rsid w:val="002F7E10"/>
    <w:rsid w:val="002F7FE1"/>
    <w:rsid w:val="0030012D"/>
    <w:rsid w:val="00300B05"/>
    <w:rsid w:val="003011D2"/>
    <w:rsid w:val="00301CB1"/>
    <w:rsid w:val="00302172"/>
    <w:rsid w:val="00303645"/>
    <w:rsid w:val="00303729"/>
    <w:rsid w:val="00303837"/>
    <w:rsid w:val="00303E86"/>
    <w:rsid w:val="00305450"/>
    <w:rsid w:val="0030591A"/>
    <w:rsid w:val="003063EC"/>
    <w:rsid w:val="003074BB"/>
    <w:rsid w:val="00307EE1"/>
    <w:rsid w:val="00310362"/>
    <w:rsid w:val="00310473"/>
    <w:rsid w:val="003110E4"/>
    <w:rsid w:val="0031145E"/>
    <w:rsid w:val="0031261F"/>
    <w:rsid w:val="0031279B"/>
    <w:rsid w:val="003127BF"/>
    <w:rsid w:val="00313387"/>
    <w:rsid w:val="00313FAA"/>
    <w:rsid w:val="003142E5"/>
    <w:rsid w:val="003144AD"/>
    <w:rsid w:val="003147C4"/>
    <w:rsid w:val="0031546A"/>
    <w:rsid w:val="00316118"/>
    <w:rsid w:val="003163A6"/>
    <w:rsid w:val="00316B44"/>
    <w:rsid w:val="00316DE6"/>
    <w:rsid w:val="0032026F"/>
    <w:rsid w:val="003204D7"/>
    <w:rsid w:val="00320CC3"/>
    <w:rsid w:val="0032190D"/>
    <w:rsid w:val="00321D14"/>
    <w:rsid w:val="00321FE1"/>
    <w:rsid w:val="00322583"/>
    <w:rsid w:val="003226B8"/>
    <w:rsid w:val="00322DD1"/>
    <w:rsid w:val="00323927"/>
    <w:rsid w:val="00323D5E"/>
    <w:rsid w:val="003241DF"/>
    <w:rsid w:val="003245BA"/>
    <w:rsid w:val="00324CE8"/>
    <w:rsid w:val="0032549F"/>
    <w:rsid w:val="00325FD0"/>
    <w:rsid w:val="003262C5"/>
    <w:rsid w:val="00326B26"/>
    <w:rsid w:val="00326D36"/>
    <w:rsid w:val="003270FC"/>
    <w:rsid w:val="003272F7"/>
    <w:rsid w:val="003275E8"/>
    <w:rsid w:val="00330D96"/>
    <w:rsid w:val="00330FFA"/>
    <w:rsid w:val="00331034"/>
    <w:rsid w:val="00331432"/>
    <w:rsid w:val="003316C4"/>
    <w:rsid w:val="0033224B"/>
    <w:rsid w:val="003337A6"/>
    <w:rsid w:val="00334754"/>
    <w:rsid w:val="00334C7A"/>
    <w:rsid w:val="0033751F"/>
    <w:rsid w:val="00340940"/>
    <w:rsid w:val="00340FE0"/>
    <w:rsid w:val="00341037"/>
    <w:rsid w:val="0034103F"/>
    <w:rsid w:val="003414FF"/>
    <w:rsid w:val="0034214A"/>
    <w:rsid w:val="00342BF3"/>
    <w:rsid w:val="00342C32"/>
    <w:rsid w:val="00342CC7"/>
    <w:rsid w:val="0034367E"/>
    <w:rsid w:val="00343A6B"/>
    <w:rsid w:val="00343A89"/>
    <w:rsid w:val="0034411B"/>
    <w:rsid w:val="003441DB"/>
    <w:rsid w:val="003447F6"/>
    <w:rsid w:val="003449BF"/>
    <w:rsid w:val="00345396"/>
    <w:rsid w:val="00346C22"/>
    <w:rsid w:val="00346DD4"/>
    <w:rsid w:val="00347334"/>
    <w:rsid w:val="00347BDD"/>
    <w:rsid w:val="003507A1"/>
    <w:rsid w:val="00351241"/>
    <w:rsid w:val="00351792"/>
    <w:rsid w:val="00351D24"/>
    <w:rsid w:val="00351EC0"/>
    <w:rsid w:val="003521AD"/>
    <w:rsid w:val="00352589"/>
    <w:rsid w:val="00352DF6"/>
    <w:rsid w:val="003531D9"/>
    <w:rsid w:val="00353389"/>
    <w:rsid w:val="00353C65"/>
    <w:rsid w:val="00353DAD"/>
    <w:rsid w:val="00353ECF"/>
    <w:rsid w:val="00354004"/>
    <w:rsid w:val="00354022"/>
    <w:rsid w:val="00354772"/>
    <w:rsid w:val="00354A70"/>
    <w:rsid w:val="00354D54"/>
    <w:rsid w:val="003557EC"/>
    <w:rsid w:val="00356D68"/>
    <w:rsid w:val="00361233"/>
    <w:rsid w:val="00362052"/>
    <w:rsid w:val="00362783"/>
    <w:rsid w:val="003628C9"/>
    <w:rsid w:val="0036314A"/>
    <w:rsid w:val="0036327C"/>
    <w:rsid w:val="003637A0"/>
    <w:rsid w:val="00363982"/>
    <w:rsid w:val="00364A26"/>
    <w:rsid w:val="00364C48"/>
    <w:rsid w:val="003652B8"/>
    <w:rsid w:val="00366204"/>
    <w:rsid w:val="003666D6"/>
    <w:rsid w:val="00370BAE"/>
    <w:rsid w:val="00371D4A"/>
    <w:rsid w:val="003726FF"/>
    <w:rsid w:val="0037284C"/>
    <w:rsid w:val="00373DC1"/>
    <w:rsid w:val="00373E01"/>
    <w:rsid w:val="00374359"/>
    <w:rsid w:val="003744B5"/>
    <w:rsid w:val="003747F8"/>
    <w:rsid w:val="00374B33"/>
    <w:rsid w:val="003754FD"/>
    <w:rsid w:val="00375947"/>
    <w:rsid w:val="00376254"/>
    <w:rsid w:val="00376A00"/>
    <w:rsid w:val="00377493"/>
    <w:rsid w:val="00377E5C"/>
    <w:rsid w:val="00380176"/>
    <w:rsid w:val="003801B4"/>
    <w:rsid w:val="003802A4"/>
    <w:rsid w:val="003809BD"/>
    <w:rsid w:val="0038126A"/>
    <w:rsid w:val="0038160E"/>
    <w:rsid w:val="00381C75"/>
    <w:rsid w:val="00381E81"/>
    <w:rsid w:val="00382938"/>
    <w:rsid w:val="003832F8"/>
    <w:rsid w:val="003839F0"/>
    <w:rsid w:val="00383A90"/>
    <w:rsid w:val="00383D90"/>
    <w:rsid w:val="00383F22"/>
    <w:rsid w:val="003840A2"/>
    <w:rsid w:val="003847C6"/>
    <w:rsid w:val="00384B86"/>
    <w:rsid w:val="00384D0C"/>
    <w:rsid w:val="00385068"/>
    <w:rsid w:val="00386824"/>
    <w:rsid w:val="003907A5"/>
    <w:rsid w:val="00390D97"/>
    <w:rsid w:val="003915B7"/>
    <w:rsid w:val="003919C9"/>
    <w:rsid w:val="003922E7"/>
    <w:rsid w:val="00392981"/>
    <w:rsid w:val="00392D3D"/>
    <w:rsid w:val="00393A19"/>
    <w:rsid w:val="00394779"/>
    <w:rsid w:val="00395172"/>
    <w:rsid w:val="003957D0"/>
    <w:rsid w:val="00395890"/>
    <w:rsid w:val="0039600F"/>
    <w:rsid w:val="00396565"/>
    <w:rsid w:val="003966D5"/>
    <w:rsid w:val="00396F9E"/>
    <w:rsid w:val="00397BA3"/>
    <w:rsid w:val="00397D3F"/>
    <w:rsid w:val="003A0284"/>
    <w:rsid w:val="003A0317"/>
    <w:rsid w:val="003A0EAA"/>
    <w:rsid w:val="003A321B"/>
    <w:rsid w:val="003A44FA"/>
    <w:rsid w:val="003A46CC"/>
    <w:rsid w:val="003A47C1"/>
    <w:rsid w:val="003A4E23"/>
    <w:rsid w:val="003A508A"/>
    <w:rsid w:val="003A555B"/>
    <w:rsid w:val="003A55E6"/>
    <w:rsid w:val="003A57C3"/>
    <w:rsid w:val="003A62B7"/>
    <w:rsid w:val="003A7529"/>
    <w:rsid w:val="003A7537"/>
    <w:rsid w:val="003A76F8"/>
    <w:rsid w:val="003A7919"/>
    <w:rsid w:val="003A7C57"/>
    <w:rsid w:val="003A7C78"/>
    <w:rsid w:val="003B0722"/>
    <w:rsid w:val="003B1676"/>
    <w:rsid w:val="003B1FD8"/>
    <w:rsid w:val="003B213C"/>
    <w:rsid w:val="003B310E"/>
    <w:rsid w:val="003B3538"/>
    <w:rsid w:val="003B39D6"/>
    <w:rsid w:val="003B3B61"/>
    <w:rsid w:val="003B3C03"/>
    <w:rsid w:val="003B3F42"/>
    <w:rsid w:val="003B4CDF"/>
    <w:rsid w:val="003B4FBD"/>
    <w:rsid w:val="003B5219"/>
    <w:rsid w:val="003B5500"/>
    <w:rsid w:val="003B56CB"/>
    <w:rsid w:val="003B56F1"/>
    <w:rsid w:val="003B5DDE"/>
    <w:rsid w:val="003B6A8F"/>
    <w:rsid w:val="003B6E80"/>
    <w:rsid w:val="003B78D5"/>
    <w:rsid w:val="003B7DDD"/>
    <w:rsid w:val="003C0529"/>
    <w:rsid w:val="003C1570"/>
    <w:rsid w:val="003C2400"/>
    <w:rsid w:val="003C5572"/>
    <w:rsid w:val="003C5DD0"/>
    <w:rsid w:val="003C6422"/>
    <w:rsid w:val="003C6E8D"/>
    <w:rsid w:val="003C763C"/>
    <w:rsid w:val="003D0DE5"/>
    <w:rsid w:val="003D16DA"/>
    <w:rsid w:val="003D2880"/>
    <w:rsid w:val="003D28C6"/>
    <w:rsid w:val="003D2A40"/>
    <w:rsid w:val="003D3AFA"/>
    <w:rsid w:val="003D4250"/>
    <w:rsid w:val="003D4A54"/>
    <w:rsid w:val="003D4FB8"/>
    <w:rsid w:val="003D4FFE"/>
    <w:rsid w:val="003D5449"/>
    <w:rsid w:val="003D5457"/>
    <w:rsid w:val="003D5D7B"/>
    <w:rsid w:val="003D6B3A"/>
    <w:rsid w:val="003D6E17"/>
    <w:rsid w:val="003D731C"/>
    <w:rsid w:val="003D75D4"/>
    <w:rsid w:val="003E067A"/>
    <w:rsid w:val="003E1E09"/>
    <w:rsid w:val="003E22D8"/>
    <w:rsid w:val="003E33C1"/>
    <w:rsid w:val="003E35D5"/>
    <w:rsid w:val="003E3658"/>
    <w:rsid w:val="003E3706"/>
    <w:rsid w:val="003E380C"/>
    <w:rsid w:val="003E3EEA"/>
    <w:rsid w:val="003E4ECC"/>
    <w:rsid w:val="003E555C"/>
    <w:rsid w:val="003E590A"/>
    <w:rsid w:val="003E5AF4"/>
    <w:rsid w:val="003E6666"/>
    <w:rsid w:val="003E6E34"/>
    <w:rsid w:val="003E6EA9"/>
    <w:rsid w:val="003E749B"/>
    <w:rsid w:val="003E75FE"/>
    <w:rsid w:val="003F07DD"/>
    <w:rsid w:val="003F0B5F"/>
    <w:rsid w:val="003F0C83"/>
    <w:rsid w:val="003F11CE"/>
    <w:rsid w:val="003F129E"/>
    <w:rsid w:val="003F3A3A"/>
    <w:rsid w:val="003F3F1C"/>
    <w:rsid w:val="003F4025"/>
    <w:rsid w:val="003F51A7"/>
    <w:rsid w:val="003F51C3"/>
    <w:rsid w:val="003F5245"/>
    <w:rsid w:val="003F56EE"/>
    <w:rsid w:val="003F5D8B"/>
    <w:rsid w:val="003F5F52"/>
    <w:rsid w:val="003F61B2"/>
    <w:rsid w:val="003F6442"/>
    <w:rsid w:val="003F664E"/>
    <w:rsid w:val="003F6A8A"/>
    <w:rsid w:val="003F6F57"/>
    <w:rsid w:val="003F7279"/>
    <w:rsid w:val="003F7DFE"/>
    <w:rsid w:val="003F7EBC"/>
    <w:rsid w:val="004010B2"/>
    <w:rsid w:val="00401BF3"/>
    <w:rsid w:val="00402AF7"/>
    <w:rsid w:val="00403585"/>
    <w:rsid w:val="00403801"/>
    <w:rsid w:val="00403B02"/>
    <w:rsid w:val="0040404A"/>
    <w:rsid w:val="004044F5"/>
    <w:rsid w:val="00404923"/>
    <w:rsid w:val="00404CDB"/>
    <w:rsid w:val="00405713"/>
    <w:rsid w:val="0040577C"/>
    <w:rsid w:val="0040605A"/>
    <w:rsid w:val="00406150"/>
    <w:rsid w:val="004061B8"/>
    <w:rsid w:val="00406B67"/>
    <w:rsid w:val="00406BCF"/>
    <w:rsid w:val="0040718B"/>
    <w:rsid w:val="00407406"/>
    <w:rsid w:val="004106BA"/>
    <w:rsid w:val="00410EB9"/>
    <w:rsid w:val="004118AA"/>
    <w:rsid w:val="004124BB"/>
    <w:rsid w:val="00412A63"/>
    <w:rsid w:val="00412AC9"/>
    <w:rsid w:val="00412D52"/>
    <w:rsid w:val="00412F66"/>
    <w:rsid w:val="00413266"/>
    <w:rsid w:val="00414A4C"/>
    <w:rsid w:val="0041621F"/>
    <w:rsid w:val="0041669E"/>
    <w:rsid w:val="00416709"/>
    <w:rsid w:val="00416AB1"/>
    <w:rsid w:val="004173BA"/>
    <w:rsid w:val="004176CE"/>
    <w:rsid w:val="00417AEB"/>
    <w:rsid w:val="00417C1D"/>
    <w:rsid w:val="00421BA2"/>
    <w:rsid w:val="0042271C"/>
    <w:rsid w:val="00422FBB"/>
    <w:rsid w:val="004230C9"/>
    <w:rsid w:val="004234D6"/>
    <w:rsid w:val="004244C8"/>
    <w:rsid w:val="00424EF2"/>
    <w:rsid w:val="00424FE5"/>
    <w:rsid w:val="00425030"/>
    <w:rsid w:val="00425DEA"/>
    <w:rsid w:val="00425EA7"/>
    <w:rsid w:val="00426E46"/>
    <w:rsid w:val="004275FC"/>
    <w:rsid w:val="0042784E"/>
    <w:rsid w:val="004300C0"/>
    <w:rsid w:val="00433DB1"/>
    <w:rsid w:val="00433ECF"/>
    <w:rsid w:val="00434148"/>
    <w:rsid w:val="004344DA"/>
    <w:rsid w:val="0043499A"/>
    <w:rsid w:val="00434D05"/>
    <w:rsid w:val="00435450"/>
    <w:rsid w:val="00435471"/>
    <w:rsid w:val="00435E7C"/>
    <w:rsid w:val="0043612D"/>
    <w:rsid w:val="00436CF7"/>
    <w:rsid w:val="004376B5"/>
    <w:rsid w:val="00437709"/>
    <w:rsid w:val="00437CB5"/>
    <w:rsid w:val="00440328"/>
    <w:rsid w:val="00440BF5"/>
    <w:rsid w:val="004410E5"/>
    <w:rsid w:val="0044180C"/>
    <w:rsid w:val="00441967"/>
    <w:rsid w:val="00442BEC"/>
    <w:rsid w:val="00442C15"/>
    <w:rsid w:val="004435F8"/>
    <w:rsid w:val="00443D90"/>
    <w:rsid w:val="00443EF6"/>
    <w:rsid w:val="004440CA"/>
    <w:rsid w:val="004447EE"/>
    <w:rsid w:val="00444DD9"/>
    <w:rsid w:val="00444E61"/>
    <w:rsid w:val="0044536E"/>
    <w:rsid w:val="00446065"/>
    <w:rsid w:val="00446099"/>
    <w:rsid w:val="004461D9"/>
    <w:rsid w:val="0044659A"/>
    <w:rsid w:val="00446D97"/>
    <w:rsid w:val="00446F02"/>
    <w:rsid w:val="0044717B"/>
    <w:rsid w:val="004477BA"/>
    <w:rsid w:val="00447F3D"/>
    <w:rsid w:val="0045089F"/>
    <w:rsid w:val="00450AB0"/>
    <w:rsid w:val="00450E7D"/>
    <w:rsid w:val="00450F3A"/>
    <w:rsid w:val="00450FA9"/>
    <w:rsid w:val="004510AC"/>
    <w:rsid w:val="004511BA"/>
    <w:rsid w:val="00451543"/>
    <w:rsid w:val="00451EB7"/>
    <w:rsid w:val="0045234E"/>
    <w:rsid w:val="00452422"/>
    <w:rsid w:val="00452637"/>
    <w:rsid w:val="00452940"/>
    <w:rsid w:val="004543C1"/>
    <w:rsid w:val="00455910"/>
    <w:rsid w:val="0045597C"/>
    <w:rsid w:val="00456A4B"/>
    <w:rsid w:val="00457251"/>
    <w:rsid w:val="00457CE6"/>
    <w:rsid w:val="00460C70"/>
    <w:rsid w:val="00460CDD"/>
    <w:rsid w:val="004611B6"/>
    <w:rsid w:val="00461250"/>
    <w:rsid w:val="004613A1"/>
    <w:rsid w:val="00461567"/>
    <w:rsid w:val="00461690"/>
    <w:rsid w:val="004616D8"/>
    <w:rsid w:val="00461A51"/>
    <w:rsid w:val="004627B0"/>
    <w:rsid w:val="00462C23"/>
    <w:rsid w:val="00462CCF"/>
    <w:rsid w:val="00462D6C"/>
    <w:rsid w:val="00463449"/>
    <w:rsid w:val="0046421D"/>
    <w:rsid w:val="0046460E"/>
    <w:rsid w:val="004654F4"/>
    <w:rsid w:val="00465B7A"/>
    <w:rsid w:val="00465B99"/>
    <w:rsid w:val="004661D1"/>
    <w:rsid w:val="00466B30"/>
    <w:rsid w:val="00467A52"/>
    <w:rsid w:val="00467B90"/>
    <w:rsid w:val="00470A65"/>
    <w:rsid w:val="00470EDA"/>
    <w:rsid w:val="00470FF7"/>
    <w:rsid w:val="00471062"/>
    <w:rsid w:val="00471282"/>
    <w:rsid w:val="0047150A"/>
    <w:rsid w:val="00471970"/>
    <w:rsid w:val="00471DCB"/>
    <w:rsid w:val="00472DA8"/>
    <w:rsid w:val="0047302E"/>
    <w:rsid w:val="0047367A"/>
    <w:rsid w:val="00474B5A"/>
    <w:rsid w:val="004754F1"/>
    <w:rsid w:val="00475D33"/>
    <w:rsid w:val="00475F7E"/>
    <w:rsid w:val="004760A9"/>
    <w:rsid w:val="00476349"/>
    <w:rsid w:val="00476D19"/>
    <w:rsid w:val="00476F84"/>
    <w:rsid w:val="00477020"/>
    <w:rsid w:val="004774F7"/>
    <w:rsid w:val="00480BB6"/>
    <w:rsid w:val="00481D3F"/>
    <w:rsid w:val="00481E7F"/>
    <w:rsid w:val="0048205B"/>
    <w:rsid w:val="004824ED"/>
    <w:rsid w:val="00482DAD"/>
    <w:rsid w:val="00483087"/>
    <w:rsid w:val="004831EE"/>
    <w:rsid w:val="004832EF"/>
    <w:rsid w:val="004834DF"/>
    <w:rsid w:val="00483B15"/>
    <w:rsid w:val="00483BC5"/>
    <w:rsid w:val="00483E51"/>
    <w:rsid w:val="00484498"/>
    <w:rsid w:val="00484602"/>
    <w:rsid w:val="00487157"/>
    <w:rsid w:val="004871A8"/>
    <w:rsid w:val="00487219"/>
    <w:rsid w:val="004875E5"/>
    <w:rsid w:val="00487BD9"/>
    <w:rsid w:val="0049096C"/>
    <w:rsid w:val="00491724"/>
    <w:rsid w:val="0049172C"/>
    <w:rsid w:val="00491956"/>
    <w:rsid w:val="0049268E"/>
    <w:rsid w:val="00492DE9"/>
    <w:rsid w:val="004949D1"/>
    <w:rsid w:val="004954F6"/>
    <w:rsid w:val="004958D7"/>
    <w:rsid w:val="00496105"/>
    <w:rsid w:val="00496460"/>
    <w:rsid w:val="00496CC3"/>
    <w:rsid w:val="00497072"/>
    <w:rsid w:val="004975EA"/>
    <w:rsid w:val="00497951"/>
    <w:rsid w:val="004A03CC"/>
    <w:rsid w:val="004A0B5B"/>
    <w:rsid w:val="004A14ED"/>
    <w:rsid w:val="004A1728"/>
    <w:rsid w:val="004A1D1A"/>
    <w:rsid w:val="004A2483"/>
    <w:rsid w:val="004A2FEA"/>
    <w:rsid w:val="004A3566"/>
    <w:rsid w:val="004A3BA2"/>
    <w:rsid w:val="004A3DDF"/>
    <w:rsid w:val="004A3E9F"/>
    <w:rsid w:val="004A465D"/>
    <w:rsid w:val="004A4ACA"/>
    <w:rsid w:val="004A4BE8"/>
    <w:rsid w:val="004A4E77"/>
    <w:rsid w:val="004A511A"/>
    <w:rsid w:val="004A53C6"/>
    <w:rsid w:val="004A57D9"/>
    <w:rsid w:val="004A6211"/>
    <w:rsid w:val="004A7E2D"/>
    <w:rsid w:val="004B0187"/>
    <w:rsid w:val="004B2173"/>
    <w:rsid w:val="004B24E5"/>
    <w:rsid w:val="004B2B81"/>
    <w:rsid w:val="004B2C57"/>
    <w:rsid w:val="004B31BF"/>
    <w:rsid w:val="004B3525"/>
    <w:rsid w:val="004B35ED"/>
    <w:rsid w:val="004B3C24"/>
    <w:rsid w:val="004B54B5"/>
    <w:rsid w:val="004B54C6"/>
    <w:rsid w:val="004B5B24"/>
    <w:rsid w:val="004B704D"/>
    <w:rsid w:val="004B74E7"/>
    <w:rsid w:val="004B7B66"/>
    <w:rsid w:val="004C0382"/>
    <w:rsid w:val="004C044D"/>
    <w:rsid w:val="004C0464"/>
    <w:rsid w:val="004C0DF6"/>
    <w:rsid w:val="004C0E24"/>
    <w:rsid w:val="004C1334"/>
    <w:rsid w:val="004C1643"/>
    <w:rsid w:val="004C1BE2"/>
    <w:rsid w:val="004C1C4A"/>
    <w:rsid w:val="004C2A6A"/>
    <w:rsid w:val="004C2EBE"/>
    <w:rsid w:val="004C31ED"/>
    <w:rsid w:val="004C3443"/>
    <w:rsid w:val="004C3D59"/>
    <w:rsid w:val="004C4806"/>
    <w:rsid w:val="004C4C59"/>
    <w:rsid w:val="004C50A3"/>
    <w:rsid w:val="004C5294"/>
    <w:rsid w:val="004C5E8D"/>
    <w:rsid w:val="004C7282"/>
    <w:rsid w:val="004D0062"/>
    <w:rsid w:val="004D0418"/>
    <w:rsid w:val="004D1FC9"/>
    <w:rsid w:val="004D20A2"/>
    <w:rsid w:val="004D2B77"/>
    <w:rsid w:val="004D373F"/>
    <w:rsid w:val="004D387F"/>
    <w:rsid w:val="004D455E"/>
    <w:rsid w:val="004D51B2"/>
    <w:rsid w:val="004D5BAF"/>
    <w:rsid w:val="004D5DAB"/>
    <w:rsid w:val="004D67AB"/>
    <w:rsid w:val="004D723F"/>
    <w:rsid w:val="004E0669"/>
    <w:rsid w:val="004E1260"/>
    <w:rsid w:val="004E1688"/>
    <w:rsid w:val="004E1985"/>
    <w:rsid w:val="004E1D82"/>
    <w:rsid w:val="004E1F11"/>
    <w:rsid w:val="004E21C9"/>
    <w:rsid w:val="004E254D"/>
    <w:rsid w:val="004E2CC2"/>
    <w:rsid w:val="004E39ED"/>
    <w:rsid w:val="004E3A9C"/>
    <w:rsid w:val="004E3C91"/>
    <w:rsid w:val="004E41D9"/>
    <w:rsid w:val="004E42B2"/>
    <w:rsid w:val="004E519E"/>
    <w:rsid w:val="004E797C"/>
    <w:rsid w:val="004E7E69"/>
    <w:rsid w:val="004F00C4"/>
    <w:rsid w:val="004F025D"/>
    <w:rsid w:val="004F0D25"/>
    <w:rsid w:val="004F17B5"/>
    <w:rsid w:val="004F190E"/>
    <w:rsid w:val="004F1D89"/>
    <w:rsid w:val="004F1EA7"/>
    <w:rsid w:val="004F2751"/>
    <w:rsid w:val="004F323F"/>
    <w:rsid w:val="004F3780"/>
    <w:rsid w:val="004F45E1"/>
    <w:rsid w:val="004F46C1"/>
    <w:rsid w:val="004F4943"/>
    <w:rsid w:val="004F4AA1"/>
    <w:rsid w:val="004F4C6E"/>
    <w:rsid w:val="004F4DD4"/>
    <w:rsid w:val="004F5414"/>
    <w:rsid w:val="004F6379"/>
    <w:rsid w:val="004F7108"/>
    <w:rsid w:val="004F755B"/>
    <w:rsid w:val="004F7D32"/>
    <w:rsid w:val="004F7E86"/>
    <w:rsid w:val="005006A5"/>
    <w:rsid w:val="00500F6A"/>
    <w:rsid w:val="00502071"/>
    <w:rsid w:val="0050267F"/>
    <w:rsid w:val="00502C56"/>
    <w:rsid w:val="00502D15"/>
    <w:rsid w:val="005033AE"/>
    <w:rsid w:val="00503ECB"/>
    <w:rsid w:val="005042C4"/>
    <w:rsid w:val="00504FD8"/>
    <w:rsid w:val="0050798C"/>
    <w:rsid w:val="00507AF9"/>
    <w:rsid w:val="00507CEE"/>
    <w:rsid w:val="0051041D"/>
    <w:rsid w:val="005109A4"/>
    <w:rsid w:val="00510F8A"/>
    <w:rsid w:val="00511627"/>
    <w:rsid w:val="0051164C"/>
    <w:rsid w:val="00511760"/>
    <w:rsid w:val="005120E1"/>
    <w:rsid w:val="00512142"/>
    <w:rsid w:val="00512997"/>
    <w:rsid w:val="00512C41"/>
    <w:rsid w:val="00512D8D"/>
    <w:rsid w:val="005139B7"/>
    <w:rsid w:val="00514B7E"/>
    <w:rsid w:val="005162DC"/>
    <w:rsid w:val="005163C3"/>
    <w:rsid w:val="005169BE"/>
    <w:rsid w:val="00516D60"/>
    <w:rsid w:val="00516F61"/>
    <w:rsid w:val="00516F71"/>
    <w:rsid w:val="00521458"/>
    <w:rsid w:val="0052196D"/>
    <w:rsid w:val="005219EB"/>
    <w:rsid w:val="00521C36"/>
    <w:rsid w:val="00522D97"/>
    <w:rsid w:val="0052306A"/>
    <w:rsid w:val="00523640"/>
    <w:rsid w:val="00523F2F"/>
    <w:rsid w:val="00524420"/>
    <w:rsid w:val="005248D1"/>
    <w:rsid w:val="0052536B"/>
    <w:rsid w:val="0052745B"/>
    <w:rsid w:val="0053029A"/>
    <w:rsid w:val="00530CFC"/>
    <w:rsid w:val="00531599"/>
    <w:rsid w:val="00531978"/>
    <w:rsid w:val="0053286D"/>
    <w:rsid w:val="00532AC7"/>
    <w:rsid w:val="0053373C"/>
    <w:rsid w:val="00533817"/>
    <w:rsid w:val="00533A97"/>
    <w:rsid w:val="00533D9E"/>
    <w:rsid w:val="00534B40"/>
    <w:rsid w:val="00534C67"/>
    <w:rsid w:val="00535262"/>
    <w:rsid w:val="00535419"/>
    <w:rsid w:val="00535CF3"/>
    <w:rsid w:val="00536312"/>
    <w:rsid w:val="00536F14"/>
    <w:rsid w:val="00540023"/>
    <w:rsid w:val="00540567"/>
    <w:rsid w:val="0054189D"/>
    <w:rsid w:val="00541CEA"/>
    <w:rsid w:val="005421D6"/>
    <w:rsid w:val="00542BE9"/>
    <w:rsid w:val="005437D4"/>
    <w:rsid w:val="00543CAE"/>
    <w:rsid w:val="00544D64"/>
    <w:rsid w:val="00545805"/>
    <w:rsid w:val="00545C4E"/>
    <w:rsid w:val="0054682F"/>
    <w:rsid w:val="00547125"/>
    <w:rsid w:val="00547CBE"/>
    <w:rsid w:val="0055008D"/>
    <w:rsid w:val="005512DC"/>
    <w:rsid w:val="005516A4"/>
    <w:rsid w:val="0055181F"/>
    <w:rsid w:val="00552B59"/>
    <w:rsid w:val="00552DE8"/>
    <w:rsid w:val="005535DE"/>
    <w:rsid w:val="00553A37"/>
    <w:rsid w:val="00553CC2"/>
    <w:rsid w:val="00553F79"/>
    <w:rsid w:val="00554AB7"/>
    <w:rsid w:val="00555793"/>
    <w:rsid w:val="005557A5"/>
    <w:rsid w:val="00555AB8"/>
    <w:rsid w:val="00555B22"/>
    <w:rsid w:val="00555E42"/>
    <w:rsid w:val="00556646"/>
    <w:rsid w:val="00556DC7"/>
    <w:rsid w:val="00556E6D"/>
    <w:rsid w:val="00557CB6"/>
    <w:rsid w:val="00560038"/>
    <w:rsid w:val="0056030F"/>
    <w:rsid w:val="0056061F"/>
    <w:rsid w:val="00560C3F"/>
    <w:rsid w:val="00561312"/>
    <w:rsid w:val="005615D1"/>
    <w:rsid w:val="00561A12"/>
    <w:rsid w:val="00562C53"/>
    <w:rsid w:val="00562EE7"/>
    <w:rsid w:val="00563424"/>
    <w:rsid w:val="00563E5F"/>
    <w:rsid w:val="005643FC"/>
    <w:rsid w:val="00564FE2"/>
    <w:rsid w:val="005651D9"/>
    <w:rsid w:val="00566981"/>
    <w:rsid w:val="00571640"/>
    <w:rsid w:val="00571CB8"/>
    <w:rsid w:val="0057459D"/>
    <w:rsid w:val="00574769"/>
    <w:rsid w:val="005748E9"/>
    <w:rsid w:val="00575635"/>
    <w:rsid w:val="00575AD9"/>
    <w:rsid w:val="0057674A"/>
    <w:rsid w:val="00576D4F"/>
    <w:rsid w:val="005777A9"/>
    <w:rsid w:val="00580775"/>
    <w:rsid w:val="005807A1"/>
    <w:rsid w:val="0058129F"/>
    <w:rsid w:val="005816D9"/>
    <w:rsid w:val="00583D4D"/>
    <w:rsid w:val="00583F8A"/>
    <w:rsid w:val="005841B6"/>
    <w:rsid w:val="0058487A"/>
    <w:rsid w:val="00584B00"/>
    <w:rsid w:val="00584FDB"/>
    <w:rsid w:val="00586A75"/>
    <w:rsid w:val="00587A5C"/>
    <w:rsid w:val="00587B18"/>
    <w:rsid w:val="00592917"/>
    <w:rsid w:val="00593078"/>
    <w:rsid w:val="005931C6"/>
    <w:rsid w:val="00593370"/>
    <w:rsid w:val="005937A9"/>
    <w:rsid w:val="00593CD1"/>
    <w:rsid w:val="0059540B"/>
    <w:rsid w:val="005954D0"/>
    <w:rsid w:val="0059583E"/>
    <w:rsid w:val="0059695E"/>
    <w:rsid w:val="00597745"/>
    <w:rsid w:val="00597D76"/>
    <w:rsid w:val="005A01D8"/>
    <w:rsid w:val="005A0951"/>
    <w:rsid w:val="005A2D4D"/>
    <w:rsid w:val="005A2FD0"/>
    <w:rsid w:val="005A30E3"/>
    <w:rsid w:val="005A3225"/>
    <w:rsid w:val="005A3F31"/>
    <w:rsid w:val="005A4A26"/>
    <w:rsid w:val="005A4AA2"/>
    <w:rsid w:val="005A4AC2"/>
    <w:rsid w:val="005A4F59"/>
    <w:rsid w:val="005A5CE5"/>
    <w:rsid w:val="005A5F6C"/>
    <w:rsid w:val="005A6186"/>
    <w:rsid w:val="005A63AD"/>
    <w:rsid w:val="005A6E9D"/>
    <w:rsid w:val="005A7023"/>
    <w:rsid w:val="005A7956"/>
    <w:rsid w:val="005A7FA3"/>
    <w:rsid w:val="005B0276"/>
    <w:rsid w:val="005B0AE9"/>
    <w:rsid w:val="005B0F92"/>
    <w:rsid w:val="005B1381"/>
    <w:rsid w:val="005B149B"/>
    <w:rsid w:val="005B2C82"/>
    <w:rsid w:val="005B3153"/>
    <w:rsid w:val="005B4E13"/>
    <w:rsid w:val="005B5DA6"/>
    <w:rsid w:val="005B6132"/>
    <w:rsid w:val="005B70D9"/>
    <w:rsid w:val="005B7CAB"/>
    <w:rsid w:val="005C0B5B"/>
    <w:rsid w:val="005C0C57"/>
    <w:rsid w:val="005C1F16"/>
    <w:rsid w:val="005C2753"/>
    <w:rsid w:val="005C2CB2"/>
    <w:rsid w:val="005C3695"/>
    <w:rsid w:val="005C4010"/>
    <w:rsid w:val="005C419A"/>
    <w:rsid w:val="005C46C5"/>
    <w:rsid w:val="005C4C96"/>
    <w:rsid w:val="005C4D9C"/>
    <w:rsid w:val="005C4DF1"/>
    <w:rsid w:val="005C59B4"/>
    <w:rsid w:val="005C5B0F"/>
    <w:rsid w:val="005C5DA8"/>
    <w:rsid w:val="005C66C1"/>
    <w:rsid w:val="005C6847"/>
    <w:rsid w:val="005C6D82"/>
    <w:rsid w:val="005D03E6"/>
    <w:rsid w:val="005D12EE"/>
    <w:rsid w:val="005D2978"/>
    <w:rsid w:val="005D3807"/>
    <w:rsid w:val="005D4542"/>
    <w:rsid w:val="005D4659"/>
    <w:rsid w:val="005D5680"/>
    <w:rsid w:val="005D651F"/>
    <w:rsid w:val="005D66BE"/>
    <w:rsid w:val="005D684B"/>
    <w:rsid w:val="005D68FC"/>
    <w:rsid w:val="005D6C61"/>
    <w:rsid w:val="005D6D19"/>
    <w:rsid w:val="005D6E21"/>
    <w:rsid w:val="005D7989"/>
    <w:rsid w:val="005D79EC"/>
    <w:rsid w:val="005D7C96"/>
    <w:rsid w:val="005E07C6"/>
    <w:rsid w:val="005E0DEE"/>
    <w:rsid w:val="005E11FF"/>
    <w:rsid w:val="005E13D8"/>
    <w:rsid w:val="005E1428"/>
    <w:rsid w:val="005E1648"/>
    <w:rsid w:val="005E175C"/>
    <w:rsid w:val="005E27B0"/>
    <w:rsid w:val="005E2F0B"/>
    <w:rsid w:val="005E30F2"/>
    <w:rsid w:val="005E3347"/>
    <w:rsid w:val="005E3F92"/>
    <w:rsid w:val="005E521F"/>
    <w:rsid w:val="005E52BF"/>
    <w:rsid w:val="005E5906"/>
    <w:rsid w:val="005E6726"/>
    <w:rsid w:val="005E70B2"/>
    <w:rsid w:val="005E7F83"/>
    <w:rsid w:val="005F0088"/>
    <w:rsid w:val="005F14FC"/>
    <w:rsid w:val="005F1E86"/>
    <w:rsid w:val="005F3137"/>
    <w:rsid w:val="005F3582"/>
    <w:rsid w:val="005F38B5"/>
    <w:rsid w:val="005F4353"/>
    <w:rsid w:val="005F4576"/>
    <w:rsid w:val="005F4AD9"/>
    <w:rsid w:val="005F60F2"/>
    <w:rsid w:val="005F682D"/>
    <w:rsid w:val="005F6B3E"/>
    <w:rsid w:val="005F77EA"/>
    <w:rsid w:val="006004C9"/>
    <w:rsid w:val="00600F8C"/>
    <w:rsid w:val="00601536"/>
    <w:rsid w:val="006015C7"/>
    <w:rsid w:val="00601C9B"/>
    <w:rsid w:val="0060334C"/>
    <w:rsid w:val="006034C7"/>
    <w:rsid w:val="00603706"/>
    <w:rsid w:val="006043ED"/>
    <w:rsid w:val="00604D3F"/>
    <w:rsid w:val="00605130"/>
    <w:rsid w:val="0060697E"/>
    <w:rsid w:val="006071BA"/>
    <w:rsid w:val="0060753A"/>
    <w:rsid w:val="00607858"/>
    <w:rsid w:val="00607E92"/>
    <w:rsid w:val="00610C48"/>
    <w:rsid w:val="006125D9"/>
    <w:rsid w:val="00612FF5"/>
    <w:rsid w:val="0061322E"/>
    <w:rsid w:val="00614D11"/>
    <w:rsid w:val="0061509A"/>
    <w:rsid w:val="006155B0"/>
    <w:rsid w:val="00617D7B"/>
    <w:rsid w:val="0062024A"/>
    <w:rsid w:val="00620500"/>
    <w:rsid w:val="00620610"/>
    <w:rsid w:val="00620A91"/>
    <w:rsid w:val="00620CA8"/>
    <w:rsid w:val="00620E0C"/>
    <w:rsid w:val="00621E14"/>
    <w:rsid w:val="00623171"/>
    <w:rsid w:val="00623543"/>
    <w:rsid w:val="00623DCC"/>
    <w:rsid w:val="00624705"/>
    <w:rsid w:val="00624EF4"/>
    <w:rsid w:val="00625C4B"/>
    <w:rsid w:val="00625C50"/>
    <w:rsid w:val="00625EDF"/>
    <w:rsid w:val="006262B6"/>
    <w:rsid w:val="006266C1"/>
    <w:rsid w:val="00626D87"/>
    <w:rsid w:val="00627942"/>
    <w:rsid w:val="00627E3E"/>
    <w:rsid w:val="006304E8"/>
    <w:rsid w:val="006308AA"/>
    <w:rsid w:val="00630DBD"/>
    <w:rsid w:val="00630F22"/>
    <w:rsid w:val="00630F4F"/>
    <w:rsid w:val="00631601"/>
    <w:rsid w:val="006327CA"/>
    <w:rsid w:val="006328D4"/>
    <w:rsid w:val="006329FA"/>
    <w:rsid w:val="00632CEB"/>
    <w:rsid w:val="00633802"/>
    <w:rsid w:val="00633A34"/>
    <w:rsid w:val="00633B32"/>
    <w:rsid w:val="0063405F"/>
    <w:rsid w:val="00634931"/>
    <w:rsid w:val="00634FE7"/>
    <w:rsid w:val="00635583"/>
    <w:rsid w:val="00635C3D"/>
    <w:rsid w:val="00635D1C"/>
    <w:rsid w:val="00635F25"/>
    <w:rsid w:val="006360AC"/>
    <w:rsid w:val="00636835"/>
    <w:rsid w:val="00637248"/>
    <w:rsid w:val="006400E3"/>
    <w:rsid w:val="00640B19"/>
    <w:rsid w:val="00640E1A"/>
    <w:rsid w:val="00640E31"/>
    <w:rsid w:val="00641114"/>
    <w:rsid w:val="006413F3"/>
    <w:rsid w:val="00642201"/>
    <w:rsid w:val="00642294"/>
    <w:rsid w:val="00642E26"/>
    <w:rsid w:val="006431F2"/>
    <w:rsid w:val="0064477C"/>
    <w:rsid w:val="00644A0A"/>
    <w:rsid w:val="00645ADA"/>
    <w:rsid w:val="00645F0E"/>
    <w:rsid w:val="00646013"/>
    <w:rsid w:val="00646B80"/>
    <w:rsid w:val="006477E9"/>
    <w:rsid w:val="00647DDA"/>
    <w:rsid w:val="00651092"/>
    <w:rsid w:val="00651876"/>
    <w:rsid w:val="006523F4"/>
    <w:rsid w:val="00652B23"/>
    <w:rsid w:val="0065340B"/>
    <w:rsid w:val="00653DC6"/>
    <w:rsid w:val="00653E83"/>
    <w:rsid w:val="0065418C"/>
    <w:rsid w:val="0065792B"/>
    <w:rsid w:val="00660410"/>
    <w:rsid w:val="00660DCC"/>
    <w:rsid w:val="00661847"/>
    <w:rsid w:val="00661FA8"/>
    <w:rsid w:val="006620D7"/>
    <w:rsid w:val="0066211C"/>
    <w:rsid w:val="006623D0"/>
    <w:rsid w:val="00662C1F"/>
    <w:rsid w:val="00663369"/>
    <w:rsid w:val="00663A0D"/>
    <w:rsid w:val="00663A23"/>
    <w:rsid w:val="00663D7F"/>
    <w:rsid w:val="00664F1A"/>
    <w:rsid w:val="00665542"/>
    <w:rsid w:val="00666077"/>
    <w:rsid w:val="00666219"/>
    <w:rsid w:val="00666C2C"/>
    <w:rsid w:val="00667194"/>
    <w:rsid w:val="00667A09"/>
    <w:rsid w:val="00667ABD"/>
    <w:rsid w:val="0067008B"/>
    <w:rsid w:val="0067059B"/>
    <w:rsid w:val="0067163F"/>
    <w:rsid w:val="00672632"/>
    <w:rsid w:val="006726C7"/>
    <w:rsid w:val="00672B8B"/>
    <w:rsid w:val="006745C4"/>
    <w:rsid w:val="00674998"/>
    <w:rsid w:val="00674F59"/>
    <w:rsid w:val="006750E9"/>
    <w:rsid w:val="00675C08"/>
    <w:rsid w:val="0067664B"/>
    <w:rsid w:val="00676AA6"/>
    <w:rsid w:val="00676FA5"/>
    <w:rsid w:val="006770B7"/>
    <w:rsid w:val="00677174"/>
    <w:rsid w:val="006772A3"/>
    <w:rsid w:val="00677B02"/>
    <w:rsid w:val="00677D85"/>
    <w:rsid w:val="00677EEB"/>
    <w:rsid w:val="00680B26"/>
    <w:rsid w:val="00680EE9"/>
    <w:rsid w:val="00681855"/>
    <w:rsid w:val="0068185E"/>
    <w:rsid w:val="0068197C"/>
    <w:rsid w:val="00681F6A"/>
    <w:rsid w:val="00682951"/>
    <w:rsid w:val="00682B0C"/>
    <w:rsid w:val="00682B35"/>
    <w:rsid w:val="00682CC4"/>
    <w:rsid w:val="0068345E"/>
    <w:rsid w:val="00683B74"/>
    <w:rsid w:val="00683BBF"/>
    <w:rsid w:val="00683E07"/>
    <w:rsid w:val="00684302"/>
    <w:rsid w:val="00684C7F"/>
    <w:rsid w:val="00685741"/>
    <w:rsid w:val="00685C0D"/>
    <w:rsid w:val="006862CA"/>
    <w:rsid w:val="0068675B"/>
    <w:rsid w:val="0068714A"/>
    <w:rsid w:val="0068734B"/>
    <w:rsid w:val="00687ED3"/>
    <w:rsid w:val="006901B0"/>
    <w:rsid w:val="006905B1"/>
    <w:rsid w:val="0069180D"/>
    <w:rsid w:val="006919F5"/>
    <w:rsid w:val="00692244"/>
    <w:rsid w:val="00692A0F"/>
    <w:rsid w:val="006930E7"/>
    <w:rsid w:val="006934E9"/>
    <w:rsid w:val="00693C5D"/>
    <w:rsid w:val="00693C81"/>
    <w:rsid w:val="00694051"/>
    <w:rsid w:val="00695B41"/>
    <w:rsid w:val="0069602E"/>
    <w:rsid w:val="0069652F"/>
    <w:rsid w:val="006969B3"/>
    <w:rsid w:val="00696F47"/>
    <w:rsid w:val="00697311"/>
    <w:rsid w:val="00697F46"/>
    <w:rsid w:val="006A0648"/>
    <w:rsid w:val="006A0E56"/>
    <w:rsid w:val="006A0E92"/>
    <w:rsid w:val="006A17FF"/>
    <w:rsid w:val="006A1D9D"/>
    <w:rsid w:val="006A2230"/>
    <w:rsid w:val="006A2498"/>
    <w:rsid w:val="006A2987"/>
    <w:rsid w:val="006A36C7"/>
    <w:rsid w:val="006A3864"/>
    <w:rsid w:val="006A43DE"/>
    <w:rsid w:val="006A458F"/>
    <w:rsid w:val="006A4DF8"/>
    <w:rsid w:val="006A5513"/>
    <w:rsid w:val="006A624A"/>
    <w:rsid w:val="006A6BFB"/>
    <w:rsid w:val="006A6D73"/>
    <w:rsid w:val="006A6F62"/>
    <w:rsid w:val="006B0D8A"/>
    <w:rsid w:val="006B0F0A"/>
    <w:rsid w:val="006B0F1B"/>
    <w:rsid w:val="006B1A8B"/>
    <w:rsid w:val="006B1C56"/>
    <w:rsid w:val="006B1E85"/>
    <w:rsid w:val="006B2058"/>
    <w:rsid w:val="006B2208"/>
    <w:rsid w:val="006B27BC"/>
    <w:rsid w:val="006B338A"/>
    <w:rsid w:val="006B36B3"/>
    <w:rsid w:val="006B50ED"/>
    <w:rsid w:val="006B54B2"/>
    <w:rsid w:val="006B5AD1"/>
    <w:rsid w:val="006B5DB4"/>
    <w:rsid w:val="006B76DC"/>
    <w:rsid w:val="006C08C5"/>
    <w:rsid w:val="006C0C5C"/>
    <w:rsid w:val="006C0CE0"/>
    <w:rsid w:val="006C12F3"/>
    <w:rsid w:val="006C13C4"/>
    <w:rsid w:val="006C1C2D"/>
    <w:rsid w:val="006C1DB6"/>
    <w:rsid w:val="006C1DF9"/>
    <w:rsid w:val="006C2141"/>
    <w:rsid w:val="006C231A"/>
    <w:rsid w:val="006C240D"/>
    <w:rsid w:val="006C35A1"/>
    <w:rsid w:val="006C41F6"/>
    <w:rsid w:val="006C44A2"/>
    <w:rsid w:val="006C4996"/>
    <w:rsid w:val="006C5817"/>
    <w:rsid w:val="006C5C65"/>
    <w:rsid w:val="006C5E57"/>
    <w:rsid w:val="006C5E62"/>
    <w:rsid w:val="006C6711"/>
    <w:rsid w:val="006C69A1"/>
    <w:rsid w:val="006C6BE8"/>
    <w:rsid w:val="006C6E96"/>
    <w:rsid w:val="006C7156"/>
    <w:rsid w:val="006C723C"/>
    <w:rsid w:val="006C73F8"/>
    <w:rsid w:val="006C7713"/>
    <w:rsid w:val="006C7CCD"/>
    <w:rsid w:val="006D1888"/>
    <w:rsid w:val="006D4743"/>
    <w:rsid w:val="006D4798"/>
    <w:rsid w:val="006D48D4"/>
    <w:rsid w:val="006D56C1"/>
    <w:rsid w:val="006D576D"/>
    <w:rsid w:val="006D63E2"/>
    <w:rsid w:val="006D6574"/>
    <w:rsid w:val="006D69BB"/>
    <w:rsid w:val="006D6E14"/>
    <w:rsid w:val="006D71E8"/>
    <w:rsid w:val="006D76B7"/>
    <w:rsid w:val="006D7764"/>
    <w:rsid w:val="006D7808"/>
    <w:rsid w:val="006D7DC7"/>
    <w:rsid w:val="006E00A1"/>
    <w:rsid w:val="006E08F2"/>
    <w:rsid w:val="006E0981"/>
    <w:rsid w:val="006E0DAA"/>
    <w:rsid w:val="006E163A"/>
    <w:rsid w:val="006E1E11"/>
    <w:rsid w:val="006E210E"/>
    <w:rsid w:val="006E2233"/>
    <w:rsid w:val="006E2FB1"/>
    <w:rsid w:val="006E30D5"/>
    <w:rsid w:val="006E3A17"/>
    <w:rsid w:val="006E4106"/>
    <w:rsid w:val="006E4CE2"/>
    <w:rsid w:val="006E5064"/>
    <w:rsid w:val="006E57F7"/>
    <w:rsid w:val="006E5902"/>
    <w:rsid w:val="006E65D3"/>
    <w:rsid w:val="006E67A6"/>
    <w:rsid w:val="006E6B21"/>
    <w:rsid w:val="006E6D1E"/>
    <w:rsid w:val="006E6DF2"/>
    <w:rsid w:val="006E725E"/>
    <w:rsid w:val="006F022E"/>
    <w:rsid w:val="006F02B4"/>
    <w:rsid w:val="006F0E7E"/>
    <w:rsid w:val="006F1008"/>
    <w:rsid w:val="006F136F"/>
    <w:rsid w:val="006F1CDA"/>
    <w:rsid w:val="006F34BD"/>
    <w:rsid w:val="006F3B6B"/>
    <w:rsid w:val="006F4169"/>
    <w:rsid w:val="006F48F3"/>
    <w:rsid w:val="006F65C1"/>
    <w:rsid w:val="006F7646"/>
    <w:rsid w:val="00700BA0"/>
    <w:rsid w:val="00700BD5"/>
    <w:rsid w:val="0070122F"/>
    <w:rsid w:val="00702DB2"/>
    <w:rsid w:val="00703818"/>
    <w:rsid w:val="007039CF"/>
    <w:rsid w:val="00703D7C"/>
    <w:rsid w:val="00704E7C"/>
    <w:rsid w:val="00705141"/>
    <w:rsid w:val="007054AF"/>
    <w:rsid w:val="00705FF9"/>
    <w:rsid w:val="00706AE0"/>
    <w:rsid w:val="00706C89"/>
    <w:rsid w:val="00707EBC"/>
    <w:rsid w:val="007108EC"/>
    <w:rsid w:val="00711390"/>
    <w:rsid w:val="00711986"/>
    <w:rsid w:val="007120B0"/>
    <w:rsid w:val="00712930"/>
    <w:rsid w:val="0071351A"/>
    <w:rsid w:val="00713D53"/>
    <w:rsid w:val="0071408B"/>
    <w:rsid w:val="007149E5"/>
    <w:rsid w:val="00714EA6"/>
    <w:rsid w:val="00715DC1"/>
    <w:rsid w:val="00716383"/>
    <w:rsid w:val="00716DA0"/>
    <w:rsid w:val="0071743C"/>
    <w:rsid w:val="00717FA4"/>
    <w:rsid w:val="0072000F"/>
    <w:rsid w:val="00720692"/>
    <w:rsid w:val="00720F50"/>
    <w:rsid w:val="00721C0B"/>
    <w:rsid w:val="00721C31"/>
    <w:rsid w:val="00722008"/>
    <w:rsid w:val="00722E19"/>
    <w:rsid w:val="0072373B"/>
    <w:rsid w:val="00724036"/>
    <w:rsid w:val="00724225"/>
    <w:rsid w:val="0072458D"/>
    <w:rsid w:val="0072515E"/>
    <w:rsid w:val="007261E9"/>
    <w:rsid w:val="007262AF"/>
    <w:rsid w:val="0072630E"/>
    <w:rsid w:val="007264FE"/>
    <w:rsid w:val="00726B8A"/>
    <w:rsid w:val="00726F12"/>
    <w:rsid w:val="007300D0"/>
    <w:rsid w:val="0073188E"/>
    <w:rsid w:val="00732FCF"/>
    <w:rsid w:val="00733214"/>
    <w:rsid w:val="00733482"/>
    <w:rsid w:val="0073371F"/>
    <w:rsid w:val="007341CC"/>
    <w:rsid w:val="007347F3"/>
    <w:rsid w:val="007359F0"/>
    <w:rsid w:val="00735BF8"/>
    <w:rsid w:val="0073636A"/>
    <w:rsid w:val="00737B8D"/>
    <w:rsid w:val="0074056D"/>
    <w:rsid w:val="00740E5F"/>
    <w:rsid w:val="00741598"/>
    <w:rsid w:val="007416E1"/>
    <w:rsid w:val="007447EF"/>
    <w:rsid w:val="007464BD"/>
    <w:rsid w:val="00746830"/>
    <w:rsid w:val="007477AF"/>
    <w:rsid w:val="00747ABC"/>
    <w:rsid w:val="00747B63"/>
    <w:rsid w:val="00747E33"/>
    <w:rsid w:val="00747E71"/>
    <w:rsid w:val="00747EA9"/>
    <w:rsid w:val="00750D07"/>
    <w:rsid w:val="00750DCE"/>
    <w:rsid w:val="00751051"/>
    <w:rsid w:val="00751D20"/>
    <w:rsid w:val="00751E57"/>
    <w:rsid w:val="00751F21"/>
    <w:rsid w:val="00752EEC"/>
    <w:rsid w:val="00754023"/>
    <w:rsid w:val="007579DC"/>
    <w:rsid w:val="00757B7D"/>
    <w:rsid w:val="00757BC6"/>
    <w:rsid w:val="007609DF"/>
    <w:rsid w:val="00760DB7"/>
    <w:rsid w:val="007613FA"/>
    <w:rsid w:val="00762433"/>
    <w:rsid w:val="00762D87"/>
    <w:rsid w:val="00763C0C"/>
    <w:rsid w:val="00764D27"/>
    <w:rsid w:val="00764E94"/>
    <w:rsid w:val="00765E78"/>
    <w:rsid w:val="00766290"/>
    <w:rsid w:val="00767550"/>
    <w:rsid w:val="00767BA1"/>
    <w:rsid w:val="00771D03"/>
    <w:rsid w:val="00771D13"/>
    <w:rsid w:val="0077227E"/>
    <w:rsid w:val="0077237A"/>
    <w:rsid w:val="00772FDD"/>
    <w:rsid w:val="0077406B"/>
    <w:rsid w:val="00775379"/>
    <w:rsid w:val="00775C34"/>
    <w:rsid w:val="0077699A"/>
    <w:rsid w:val="00777F7A"/>
    <w:rsid w:val="00781CE7"/>
    <w:rsid w:val="007826C9"/>
    <w:rsid w:val="00782EEC"/>
    <w:rsid w:val="00784A59"/>
    <w:rsid w:val="007854BF"/>
    <w:rsid w:val="007855FA"/>
    <w:rsid w:val="00785E00"/>
    <w:rsid w:val="00785E70"/>
    <w:rsid w:val="0078649C"/>
    <w:rsid w:val="00787E4A"/>
    <w:rsid w:val="007901F3"/>
    <w:rsid w:val="00790307"/>
    <w:rsid w:val="007909ED"/>
    <w:rsid w:val="00790E64"/>
    <w:rsid w:val="00790EC8"/>
    <w:rsid w:val="007910B6"/>
    <w:rsid w:val="0079117F"/>
    <w:rsid w:val="007914DC"/>
    <w:rsid w:val="007916A8"/>
    <w:rsid w:val="0079223B"/>
    <w:rsid w:val="007936CD"/>
    <w:rsid w:val="007938EF"/>
    <w:rsid w:val="00793FA5"/>
    <w:rsid w:val="00794250"/>
    <w:rsid w:val="007949C1"/>
    <w:rsid w:val="00794FC6"/>
    <w:rsid w:val="007956E8"/>
    <w:rsid w:val="00795900"/>
    <w:rsid w:val="00795C8C"/>
    <w:rsid w:val="00795CE8"/>
    <w:rsid w:val="007962E3"/>
    <w:rsid w:val="00796F61"/>
    <w:rsid w:val="00797D0E"/>
    <w:rsid w:val="007A0349"/>
    <w:rsid w:val="007A04AE"/>
    <w:rsid w:val="007A09CA"/>
    <w:rsid w:val="007A0E76"/>
    <w:rsid w:val="007A1843"/>
    <w:rsid w:val="007A1C61"/>
    <w:rsid w:val="007A26EF"/>
    <w:rsid w:val="007A2EFA"/>
    <w:rsid w:val="007A3D3A"/>
    <w:rsid w:val="007A416F"/>
    <w:rsid w:val="007A4385"/>
    <w:rsid w:val="007A460B"/>
    <w:rsid w:val="007A4BEE"/>
    <w:rsid w:val="007A4D90"/>
    <w:rsid w:val="007A58AF"/>
    <w:rsid w:val="007A6911"/>
    <w:rsid w:val="007B0037"/>
    <w:rsid w:val="007B103B"/>
    <w:rsid w:val="007B134C"/>
    <w:rsid w:val="007B15F7"/>
    <w:rsid w:val="007B17AE"/>
    <w:rsid w:val="007B1BDD"/>
    <w:rsid w:val="007B1D4D"/>
    <w:rsid w:val="007B30B4"/>
    <w:rsid w:val="007B337B"/>
    <w:rsid w:val="007B34FA"/>
    <w:rsid w:val="007B3C39"/>
    <w:rsid w:val="007B3F93"/>
    <w:rsid w:val="007B4520"/>
    <w:rsid w:val="007B4DBA"/>
    <w:rsid w:val="007B51DE"/>
    <w:rsid w:val="007B5E88"/>
    <w:rsid w:val="007C0254"/>
    <w:rsid w:val="007C1A88"/>
    <w:rsid w:val="007C2F87"/>
    <w:rsid w:val="007C3744"/>
    <w:rsid w:val="007C3FB7"/>
    <w:rsid w:val="007C43A9"/>
    <w:rsid w:val="007C5007"/>
    <w:rsid w:val="007C5ED3"/>
    <w:rsid w:val="007C6232"/>
    <w:rsid w:val="007C6987"/>
    <w:rsid w:val="007C69DB"/>
    <w:rsid w:val="007C6A73"/>
    <w:rsid w:val="007C6E99"/>
    <w:rsid w:val="007C6F3C"/>
    <w:rsid w:val="007C7399"/>
    <w:rsid w:val="007C74FA"/>
    <w:rsid w:val="007C76DD"/>
    <w:rsid w:val="007D0671"/>
    <w:rsid w:val="007D0BA1"/>
    <w:rsid w:val="007D0D1D"/>
    <w:rsid w:val="007D2117"/>
    <w:rsid w:val="007D261A"/>
    <w:rsid w:val="007D27E9"/>
    <w:rsid w:val="007D34A4"/>
    <w:rsid w:val="007D37B1"/>
    <w:rsid w:val="007D38F3"/>
    <w:rsid w:val="007D4314"/>
    <w:rsid w:val="007D45AF"/>
    <w:rsid w:val="007D47E1"/>
    <w:rsid w:val="007D4A04"/>
    <w:rsid w:val="007D5092"/>
    <w:rsid w:val="007D666B"/>
    <w:rsid w:val="007D6F4D"/>
    <w:rsid w:val="007D7182"/>
    <w:rsid w:val="007D7AAA"/>
    <w:rsid w:val="007E059F"/>
    <w:rsid w:val="007E1122"/>
    <w:rsid w:val="007E1C43"/>
    <w:rsid w:val="007E23E1"/>
    <w:rsid w:val="007E381C"/>
    <w:rsid w:val="007E4665"/>
    <w:rsid w:val="007E4E20"/>
    <w:rsid w:val="007E52B6"/>
    <w:rsid w:val="007E6030"/>
    <w:rsid w:val="007E6B79"/>
    <w:rsid w:val="007F0BF8"/>
    <w:rsid w:val="007F12DB"/>
    <w:rsid w:val="007F1E6A"/>
    <w:rsid w:val="007F23C6"/>
    <w:rsid w:val="007F598F"/>
    <w:rsid w:val="007F5AFC"/>
    <w:rsid w:val="007F6EAC"/>
    <w:rsid w:val="008008C9"/>
    <w:rsid w:val="0080135E"/>
    <w:rsid w:val="008018C7"/>
    <w:rsid w:val="008018DC"/>
    <w:rsid w:val="00801B2E"/>
    <w:rsid w:val="00804BDA"/>
    <w:rsid w:val="00804FB5"/>
    <w:rsid w:val="00805498"/>
    <w:rsid w:val="00805CE7"/>
    <w:rsid w:val="0080608A"/>
    <w:rsid w:val="008067FB"/>
    <w:rsid w:val="0080785F"/>
    <w:rsid w:val="008102FC"/>
    <w:rsid w:val="008106BA"/>
    <w:rsid w:val="00810FA5"/>
    <w:rsid w:val="008116D3"/>
    <w:rsid w:val="008125C0"/>
    <w:rsid w:val="008125E9"/>
    <w:rsid w:val="00813A07"/>
    <w:rsid w:val="00813A13"/>
    <w:rsid w:val="00813B3D"/>
    <w:rsid w:val="0081447D"/>
    <w:rsid w:val="0081495E"/>
    <w:rsid w:val="0081606D"/>
    <w:rsid w:val="008218AB"/>
    <w:rsid w:val="00821BA1"/>
    <w:rsid w:val="00821BB9"/>
    <w:rsid w:val="00822D8F"/>
    <w:rsid w:val="00823F40"/>
    <w:rsid w:val="00824272"/>
    <w:rsid w:val="0082517C"/>
    <w:rsid w:val="008253D1"/>
    <w:rsid w:val="00825BFD"/>
    <w:rsid w:val="008260B8"/>
    <w:rsid w:val="008269CC"/>
    <w:rsid w:val="00826DE1"/>
    <w:rsid w:val="00827122"/>
    <w:rsid w:val="008274A1"/>
    <w:rsid w:val="0082751C"/>
    <w:rsid w:val="00827AB6"/>
    <w:rsid w:val="00830404"/>
    <w:rsid w:val="00830B54"/>
    <w:rsid w:val="00830D39"/>
    <w:rsid w:val="00830E40"/>
    <w:rsid w:val="00830FC2"/>
    <w:rsid w:val="0083114C"/>
    <w:rsid w:val="008314D5"/>
    <w:rsid w:val="00831A31"/>
    <w:rsid w:val="00831E3E"/>
    <w:rsid w:val="0083210D"/>
    <w:rsid w:val="008322D8"/>
    <w:rsid w:val="00832DDC"/>
    <w:rsid w:val="0083344D"/>
    <w:rsid w:val="00833530"/>
    <w:rsid w:val="008336EE"/>
    <w:rsid w:val="008339B9"/>
    <w:rsid w:val="0083401F"/>
    <w:rsid w:val="008341E9"/>
    <w:rsid w:val="008346F8"/>
    <w:rsid w:val="00834F68"/>
    <w:rsid w:val="008359CA"/>
    <w:rsid w:val="00836B9F"/>
    <w:rsid w:val="00836BB3"/>
    <w:rsid w:val="00836BC5"/>
    <w:rsid w:val="00837A46"/>
    <w:rsid w:val="00837C46"/>
    <w:rsid w:val="00840D1B"/>
    <w:rsid w:val="00841042"/>
    <w:rsid w:val="008416AE"/>
    <w:rsid w:val="00841C25"/>
    <w:rsid w:val="00841FF5"/>
    <w:rsid w:val="00842326"/>
    <w:rsid w:val="0084351C"/>
    <w:rsid w:val="00843617"/>
    <w:rsid w:val="00843ADB"/>
    <w:rsid w:val="00843B85"/>
    <w:rsid w:val="00843BC5"/>
    <w:rsid w:val="00843DFD"/>
    <w:rsid w:val="00844179"/>
    <w:rsid w:val="008443E3"/>
    <w:rsid w:val="0084614A"/>
    <w:rsid w:val="0084653A"/>
    <w:rsid w:val="00846A2A"/>
    <w:rsid w:val="00846AE6"/>
    <w:rsid w:val="00847279"/>
    <w:rsid w:val="008478DC"/>
    <w:rsid w:val="00847EEE"/>
    <w:rsid w:val="008506A9"/>
    <w:rsid w:val="00850CBB"/>
    <w:rsid w:val="00851B59"/>
    <w:rsid w:val="00852424"/>
    <w:rsid w:val="00853355"/>
    <w:rsid w:val="0085355F"/>
    <w:rsid w:val="0085373E"/>
    <w:rsid w:val="008541E6"/>
    <w:rsid w:val="00854E63"/>
    <w:rsid w:val="00855703"/>
    <w:rsid w:val="00855955"/>
    <w:rsid w:val="00856477"/>
    <w:rsid w:val="00856BD5"/>
    <w:rsid w:val="0085702C"/>
    <w:rsid w:val="00857E33"/>
    <w:rsid w:val="00857F58"/>
    <w:rsid w:val="00860470"/>
    <w:rsid w:val="008606DD"/>
    <w:rsid w:val="00860AAC"/>
    <w:rsid w:val="00860B6C"/>
    <w:rsid w:val="00860B8F"/>
    <w:rsid w:val="0086239F"/>
    <w:rsid w:val="00862784"/>
    <w:rsid w:val="0086319C"/>
    <w:rsid w:val="00863349"/>
    <w:rsid w:val="00863B2B"/>
    <w:rsid w:val="008641A2"/>
    <w:rsid w:val="00864D83"/>
    <w:rsid w:val="00865368"/>
    <w:rsid w:val="008655A8"/>
    <w:rsid w:val="00865745"/>
    <w:rsid w:val="0086588A"/>
    <w:rsid w:val="008662F9"/>
    <w:rsid w:val="0086637C"/>
    <w:rsid w:val="00866520"/>
    <w:rsid w:val="00866775"/>
    <w:rsid w:val="008667D6"/>
    <w:rsid w:val="00866DF9"/>
    <w:rsid w:val="00866FA5"/>
    <w:rsid w:val="008673A4"/>
    <w:rsid w:val="00867B90"/>
    <w:rsid w:val="00867BB4"/>
    <w:rsid w:val="00867CA6"/>
    <w:rsid w:val="00867CDC"/>
    <w:rsid w:val="00870339"/>
    <w:rsid w:val="008713EE"/>
    <w:rsid w:val="00871518"/>
    <w:rsid w:val="00871F91"/>
    <w:rsid w:val="00872343"/>
    <w:rsid w:val="00872458"/>
    <w:rsid w:val="008727FD"/>
    <w:rsid w:val="00873CE5"/>
    <w:rsid w:val="00874817"/>
    <w:rsid w:val="00874CE9"/>
    <w:rsid w:val="008762DB"/>
    <w:rsid w:val="008774CF"/>
    <w:rsid w:val="0087771F"/>
    <w:rsid w:val="00877A97"/>
    <w:rsid w:val="00880955"/>
    <w:rsid w:val="00880AD7"/>
    <w:rsid w:val="00880BEE"/>
    <w:rsid w:val="00880BFC"/>
    <w:rsid w:val="00881760"/>
    <w:rsid w:val="00881907"/>
    <w:rsid w:val="00881C75"/>
    <w:rsid w:val="008827CF"/>
    <w:rsid w:val="00882B0A"/>
    <w:rsid w:val="0088346A"/>
    <w:rsid w:val="008836A0"/>
    <w:rsid w:val="0088399C"/>
    <w:rsid w:val="00884489"/>
    <w:rsid w:val="00884D10"/>
    <w:rsid w:val="008850F5"/>
    <w:rsid w:val="0088649D"/>
    <w:rsid w:val="008870C5"/>
    <w:rsid w:val="00887173"/>
    <w:rsid w:val="00887265"/>
    <w:rsid w:val="00890145"/>
    <w:rsid w:val="0089072E"/>
    <w:rsid w:val="00890DFE"/>
    <w:rsid w:val="00891694"/>
    <w:rsid w:val="008917BF"/>
    <w:rsid w:val="008922B0"/>
    <w:rsid w:val="008939CF"/>
    <w:rsid w:val="00894371"/>
    <w:rsid w:val="008946CD"/>
    <w:rsid w:val="008946D5"/>
    <w:rsid w:val="00895614"/>
    <w:rsid w:val="00895659"/>
    <w:rsid w:val="008958FD"/>
    <w:rsid w:val="00895EDB"/>
    <w:rsid w:val="00896CED"/>
    <w:rsid w:val="00896EB4"/>
    <w:rsid w:val="0089701E"/>
    <w:rsid w:val="008977C3"/>
    <w:rsid w:val="00897C53"/>
    <w:rsid w:val="00897CD8"/>
    <w:rsid w:val="008A02F9"/>
    <w:rsid w:val="008A0579"/>
    <w:rsid w:val="008A07DD"/>
    <w:rsid w:val="008A0B4A"/>
    <w:rsid w:val="008A173C"/>
    <w:rsid w:val="008A1FC9"/>
    <w:rsid w:val="008A23AA"/>
    <w:rsid w:val="008A562B"/>
    <w:rsid w:val="008A57F0"/>
    <w:rsid w:val="008A5881"/>
    <w:rsid w:val="008A58B8"/>
    <w:rsid w:val="008A5B9A"/>
    <w:rsid w:val="008A63CC"/>
    <w:rsid w:val="008A78DB"/>
    <w:rsid w:val="008B00A7"/>
    <w:rsid w:val="008B01A6"/>
    <w:rsid w:val="008B0B93"/>
    <w:rsid w:val="008B13E1"/>
    <w:rsid w:val="008B13EC"/>
    <w:rsid w:val="008B1986"/>
    <w:rsid w:val="008B29BF"/>
    <w:rsid w:val="008B2E07"/>
    <w:rsid w:val="008B2E45"/>
    <w:rsid w:val="008B4EA2"/>
    <w:rsid w:val="008B4FCF"/>
    <w:rsid w:val="008B5324"/>
    <w:rsid w:val="008B57B0"/>
    <w:rsid w:val="008B634F"/>
    <w:rsid w:val="008B6637"/>
    <w:rsid w:val="008B6AB9"/>
    <w:rsid w:val="008B754F"/>
    <w:rsid w:val="008C0409"/>
    <w:rsid w:val="008C0CBA"/>
    <w:rsid w:val="008C18AF"/>
    <w:rsid w:val="008C2723"/>
    <w:rsid w:val="008C2B1B"/>
    <w:rsid w:val="008C36B6"/>
    <w:rsid w:val="008C3B6F"/>
    <w:rsid w:val="008C3BE6"/>
    <w:rsid w:val="008C3FCE"/>
    <w:rsid w:val="008C449C"/>
    <w:rsid w:val="008C617D"/>
    <w:rsid w:val="008C6BD3"/>
    <w:rsid w:val="008C7112"/>
    <w:rsid w:val="008C7479"/>
    <w:rsid w:val="008C7E02"/>
    <w:rsid w:val="008D06C6"/>
    <w:rsid w:val="008D0AB0"/>
    <w:rsid w:val="008D0DE5"/>
    <w:rsid w:val="008D11A7"/>
    <w:rsid w:val="008D174A"/>
    <w:rsid w:val="008D1D2D"/>
    <w:rsid w:val="008D2481"/>
    <w:rsid w:val="008D2F4E"/>
    <w:rsid w:val="008D387B"/>
    <w:rsid w:val="008D5F35"/>
    <w:rsid w:val="008D6631"/>
    <w:rsid w:val="008D6AC7"/>
    <w:rsid w:val="008D7146"/>
    <w:rsid w:val="008D77C0"/>
    <w:rsid w:val="008D7BA7"/>
    <w:rsid w:val="008E02E6"/>
    <w:rsid w:val="008E0C8C"/>
    <w:rsid w:val="008E16AA"/>
    <w:rsid w:val="008E1E56"/>
    <w:rsid w:val="008E324B"/>
    <w:rsid w:val="008E32E4"/>
    <w:rsid w:val="008E35F7"/>
    <w:rsid w:val="008E3C2E"/>
    <w:rsid w:val="008E45B5"/>
    <w:rsid w:val="008E4E18"/>
    <w:rsid w:val="008E5369"/>
    <w:rsid w:val="008E7472"/>
    <w:rsid w:val="008E74DC"/>
    <w:rsid w:val="008E7BA8"/>
    <w:rsid w:val="008E7DE1"/>
    <w:rsid w:val="008E7E27"/>
    <w:rsid w:val="008F01D1"/>
    <w:rsid w:val="008F0305"/>
    <w:rsid w:val="008F0392"/>
    <w:rsid w:val="008F0646"/>
    <w:rsid w:val="008F0E07"/>
    <w:rsid w:val="008F1DC6"/>
    <w:rsid w:val="008F253D"/>
    <w:rsid w:val="008F3452"/>
    <w:rsid w:val="008F3E22"/>
    <w:rsid w:val="008F4146"/>
    <w:rsid w:val="008F455F"/>
    <w:rsid w:val="008F4A49"/>
    <w:rsid w:val="008F6145"/>
    <w:rsid w:val="008F6663"/>
    <w:rsid w:val="008F6C36"/>
    <w:rsid w:val="008F6FF4"/>
    <w:rsid w:val="008F7FB1"/>
    <w:rsid w:val="0090009F"/>
    <w:rsid w:val="0090085A"/>
    <w:rsid w:val="0090117E"/>
    <w:rsid w:val="00901A23"/>
    <w:rsid w:val="00901A4B"/>
    <w:rsid w:val="0090218A"/>
    <w:rsid w:val="00904592"/>
    <w:rsid w:val="00904753"/>
    <w:rsid w:val="00904821"/>
    <w:rsid w:val="00904DD9"/>
    <w:rsid w:val="009052F7"/>
    <w:rsid w:val="00905AFA"/>
    <w:rsid w:val="00906550"/>
    <w:rsid w:val="00906918"/>
    <w:rsid w:val="009069B6"/>
    <w:rsid w:val="00906EA6"/>
    <w:rsid w:val="0090700F"/>
    <w:rsid w:val="00907D57"/>
    <w:rsid w:val="00910512"/>
    <w:rsid w:val="00910815"/>
    <w:rsid w:val="00911F50"/>
    <w:rsid w:val="00912A17"/>
    <w:rsid w:val="00912C28"/>
    <w:rsid w:val="0091318E"/>
    <w:rsid w:val="00913841"/>
    <w:rsid w:val="00913CE4"/>
    <w:rsid w:val="00913FA0"/>
    <w:rsid w:val="009141FA"/>
    <w:rsid w:val="009142B3"/>
    <w:rsid w:val="00914464"/>
    <w:rsid w:val="00914ABC"/>
    <w:rsid w:val="00914CA7"/>
    <w:rsid w:val="00914E19"/>
    <w:rsid w:val="009159F2"/>
    <w:rsid w:val="00915DE9"/>
    <w:rsid w:val="009163E8"/>
    <w:rsid w:val="00916ADC"/>
    <w:rsid w:val="00916E58"/>
    <w:rsid w:val="009172B6"/>
    <w:rsid w:val="00920F74"/>
    <w:rsid w:val="00921D7F"/>
    <w:rsid w:val="00922081"/>
    <w:rsid w:val="0092366C"/>
    <w:rsid w:val="0092412D"/>
    <w:rsid w:val="00924137"/>
    <w:rsid w:val="00924254"/>
    <w:rsid w:val="00924344"/>
    <w:rsid w:val="009246E1"/>
    <w:rsid w:val="009248D7"/>
    <w:rsid w:val="009251BC"/>
    <w:rsid w:val="009255A3"/>
    <w:rsid w:val="00925D8B"/>
    <w:rsid w:val="00926156"/>
    <w:rsid w:val="009266DB"/>
    <w:rsid w:val="009267A2"/>
    <w:rsid w:val="0092719A"/>
    <w:rsid w:val="00927776"/>
    <w:rsid w:val="00927DB1"/>
    <w:rsid w:val="00930510"/>
    <w:rsid w:val="009307ED"/>
    <w:rsid w:val="00930B05"/>
    <w:rsid w:val="00930B15"/>
    <w:rsid w:val="00931042"/>
    <w:rsid w:val="00931D41"/>
    <w:rsid w:val="00931D87"/>
    <w:rsid w:val="0093223E"/>
    <w:rsid w:val="00932FE8"/>
    <w:rsid w:val="0093306B"/>
    <w:rsid w:val="009334D7"/>
    <w:rsid w:val="00933F32"/>
    <w:rsid w:val="009344A9"/>
    <w:rsid w:val="009349F8"/>
    <w:rsid w:val="009352EA"/>
    <w:rsid w:val="00935508"/>
    <w:rsid w:val="00935534"/>
    <w:rsid w:val="00935D06"/>
    <w:rsid w:val="00937015"/>
    <w:rsid w:val="00937593"/>
    <w:rsid w:val="00937C76"/>
    <w:rsid w:val="00937D7D"/>
    <w:rsid w:val="0094092F"/>
    <w:rsid w:val="009415EE"/>
    <w:rsid w:val="00943258"/>
    <w:rsid w:val="00943A37"/>
    <w:rsid w:val="00944DFB"/>
    <w:rsid w:val="0094541F"/>
    <w:rsid w:val="00945988"/>
    <w:rsid w:val="00945A23"/>
    <w:rsid w:val="00946302"/>
    <w:rsid w:val="00946698"/>
    <w:rsid w:val="00947987"/>
    <w:rsid w:val="00947A16"/>
    <w:rsid w:val="0095000E"/>
    <w:rsid w:val="00950989"/>
    <w:rsid w:val="009517B5"/>
    <w:rsid w:val="00952F7B"/>
    <w:rsid w:val="009535C8"/>
    <w:rsid w:val="009540F3"/>
    <w:rsid w:val="009542EC"/>
    <w:rsid w:val="009546FE"/>
    <w:rsid w:val="009549B4"/>
    <w:rsid w:val="00954C2B"/>
    <w:rsid w:val="009577A2"/>
    <w:rsid w:val="00957FA5"/>
    <w:rsid w:val="00957FD5"/>
    <w:rsid w:val="00960319"/>
    <w:rsid w:val="0096057D"/>
    <w:rsid w:val="00960B15"/>
    <w:rsid w:val="009616B1"/>
    <w:rsid w:val="009618DB"/>
    <w:rsid w:val="00962A1D"/>
    <w:rsid w:val="00962BDF"/>
    <w:rsid w:val="00963938"/>
    <w:rsid w:val="0096417B"/>
    <w:rsid w:val="00964216"/>
    <w:rsid w:val="0096427F"/>
    <w:rsid w:val="009646D1"/>
    <w:rsid w:val="00964E6B"/>
    <w:rsid w:val="0096529C"/>
    <w:rsid w:val="009654CA"/>
    <w:rsid w:val="00966CBF"/>
    <w:rsid w:val="0097084E"/>
    <w:rsid w:val="00970C84"/>
    <w:rsid w:val="009710A5"/>
    <w:rsid w:val="0097119D"/>
    <w:rsid w:val="009715DA"/>
    <w:rsid w:val="0097168C"/>
    <w:rsid w:val="00971BEC"/>
    <w:rsid w:val="00972047"/>
    <w:rsid w:val="00972655"/>
    <w:rsid w:val="00972E24"/>
    <w:rsid w:val="0097301D"/>
    <w:rsid w:val="00974499"/>
    <w:rsid w:val="009749FF"/>
    <w:rsid w:val="00975C30"/>
    <w:rsid w:val="0097639E"/>
    <w:rsid w:val="00976992"/>
    <w:rsid w:val="009769DC"/>
    <w:rsid w:val="00977322"/>
    <w:rsid w:val="0097742F"/>
    <w:rsid w:val="009774A5"/>
    <w:rsid w:val="009778BF"/>
    <w:rsid w:val="00977AA8"/>
    <w:rsid w:val="00977E07"/>
    <w:rsid w:val="00977EBB"/>
    <w:rsid w:val="009802FE"/>
    <w:rsid w:val="00980687"/>
    <w:rsid w:val="00981300"/>
    <w:rsid w:val="009829FD"/>
    <w:rsid w:val="0098323B"/>
    <w:rsid w:val="00983BD6"/>
    <w:rsid w:val="00983D52"/>
    <w:rsid w:val="009846A1"/>
    <w:rsid w:val="00984705"/>
    <w:rsid w:val="00984FF8"/>
    <w:rsid w:val="009855FD"/>
    <w:rsid w:val="00985798"/>
    <w:rsid w:val="0098796B"/>
    <w:rsid w:val="0099034F"/>
    <w:rsid w:val="009903E2"/>
    <w:rsid w:val="0099093B"/>
    <w:rsid w:val="00990AE6"/>
    <w:rsid w:val="00990F48"/>
    <w:rsid w:val="009915D6"/>
    <w:rsid w:val="009918F9"/>
    <w:rsid w:val="0099208F"/>
    <w:rsid w:val="00992255"/>
    <w:rsid w:val="00992715"/>
    <w:rsid w:val="00992B07"/>
    <w:rsid w:val="00992B8D"/>
    <w:rsid w:val="00993964"/>
    <w:rsid w:val="009939B5"/>
    <w:rsid w:val="00993A07"/>
    <w:rsid w:val="00995E4A"/>
    <w:rsid w:val="00995E7D"/>
    <w:rsid w:val="009964E5"/>
    <w:rsid w:val="009967DD"/>
    <w:rsid w:val="00996C1B"/>
    <w:rsid w:val="00997438"/>
    <w:rsid w:val="00997D4E"/>
    <w:rsid w:val="00997FB3"/>
    <w:rsid w:val="009A0DAB"/>
    <w:rsid w:val="009A10F9"/>
    <w:rsid w:val="009A160B"/>
    <w:rsid w:val="009A1DFF"/>
    <w:rsid w:val="009A2290"/>
    <w:rsid w:val="009A2355"/>
    <w:rsid w:val="009A2E00"/>
    <w:rsid w:val="009A2F27"/>
    <w:rsid w:val="009A3CF5"/>
    <w:rsid w:val="009A416F"/>
    <w:rsid w:val="009A419F"/>
    <w:rsid w:val="009A42CE"/>
    <w:rsid w:val="009A4991"/>
    <w:rsid w:val="009A4DA0"/>
    <w:rsid w:val="009A563E"/>
    <w:rsid w:val="009A5B85"/>
    <w:rsid w:val="009A6063"/>
    <w:rsid w:val="009A69E7"/>
    <w:rsid w:val="009A7119"/>
    <w:rsid w:val="009B044E"/>
    <w:rsid w:val="009B097D"/>
    <w:rsid w:val="009B0B57"/>
    <w:rsid w:val="009B1296"/>
    <w:rsid w:val="009B2050"/>
    <w:rsid w:val="009B2550"/>
    <w:rsid w:val="009B30D4"/>
    <w:rsid w:val="009B3CCB"/>
    <w:rsid w:val="009B5D08"/>
    <w:rsid w:val="009B5D15"/>
    <w:rsid w:val="009B5F2D"/>
    <w:rsid w:val="009B6D64"/>
    <w:rsid w:val="009C0135"/>
    <w:rsid w:val="009C0422"/>
    <w:rsid w:val="009C0754"/>
    <w:rsid w:val="009C11A0"/>
    <w:rsid w:val="009C11AF"/>
    <w:rsid w:val="009C1DC6"/>
    <w:rsid w:val="009C27D6"/>
    <w:rsid w:val="009C338D"/>
    <w:rsid w:val="009C3C7F"/>
    <w:rsid w:val="009C40F2"/>
    <w:rsid w:val="009C5362"/>
    <w:rsid w:val="009C554F"/>
    <w:rsid w:val="009C5A7E"/>
    <w:rsid w:val="009C5AE4"/>
    <w:rsid w:val="009C61CD"/>
    <w:rsid w:val="009C6D91"/>
    <w:rsid w:val="009D01B1"/>
    <w:rsid w:val="009D0395"/>
    <w:rsid w:val="009D0E5A"/>
    <w:rsid w:val="009D151F"/>
    <w:rsid w:val="009D1AB5"/>
    <w:rsid w:val="009D2648"/>
    <w:rsid w:val="009D2738"/>
    <w:rsid w:val="009D2C31"/>
    <w:rsid w:val="009D2EA1"/>
    <w:rsid w:val="009D33F6"/>
    <w:rsid w:val="009D3924"/>
    <w:rsid w:val="009D3FEE"/>
    <w:rsid w:val="009D49C2"/>
    <w:rsid w:val="009D4BD0"/>
    <w:rsid w:val="009D548B"/>
    <w:rsid w:val="009D5C10"/>
    <w:rsid w:val="009D6891"/>
    <w:rsid w:val="009D69C6"/>
    <w:rsid w:val="009D6FFD"/>
    <w:rsid w:val="009D7092"/>
    <w:rsid w:val="009D7380"/>
    <w:rsid w:val="009D74D4"/>
    <w:rsid w:val="009D7CCB"/>
    <w:rsid w:val="009D7D2D"/>
    <w:rsid w:val="009E0794"/>
    <w:rsid w:val="009E1710"/>
    <w:rsid w:val="009E1CCB"/>
    <w:rsid w:val="009E25FC"/>
    <w:rsid w:val="009E3E5E"/>
    <w:rsid w:val="009E3F3D"/>
    <w:rsid w:val="009E42B0"/>
    <w:rsid w:val="009E5526"/>
    <w:rsid w:val="009E6271"/>
    <w:rsid w:val="009E6575"/>
    <w:rsid w:val="009E708D"/>
    <w:rsid w:val="009E738F"/>
    <w:rsid w:val="009E7CFA"/>
    <w:rsid w:val="009F062C"/>
    <w:rsid w:val="009F092D"/>
    <w:rsid w:val="009F21C8"/>
    <w:rsid w:val="009F293C"/>
    <w:rsid w:val="009F3227"/>
    <w:rsid w:val="009F35EE"/>
    <w:rsid w:val="009F3A3B"/>
    <w:rsid w:val="009F4405"/>
    <w:rsid w:val="009F6D2E"/>
    <w:rsid w:val="009F7555"/>
    <w:rsid w:val="00A00478"/>
    <w:rsid w:val="00A004CC"/>
    <w:rsid w:val="00A00510"/>
    <w:rsid w:val="00A00DF1"/>
    <w:rsid w:val="00A00E37"/>
    <w:rsid w:val="00A01AEF"/>
    <w:rsid w:val="00A021D7"/>
    <w:rsid w:val="00A037BD"/>
    <w:rsid w:val="00A03A4B"/>
    <w:rsid w:val="00A046A5"/>
    <w:rsid w:val="00A0482C"/>
    <w:rsid w:val="00A04B78"/>
    <w:rsid w:val="00A05DC7"/>
    <w:rsid w:val="00A060BD"/>
    <w:rsid w:val="00A0799B"/>
    <w:rsid w:val="00A07C88"/>
    <w:rsid w:val="00A07D3D"/>
    <w:rsid w:val="00A1000F"/>
    <w:rsid w:val="00A102A0"/>
    <w:rsid w:val="00A119A4"/>
    <w:rsid w:val="00A11D8B"/>
    <w:rsid w:val="00A1223B"/>
    <w:rsid w:val="00A12290"/>
    <w:rsid w:val="00A1239E"/>
    <w:rsid w:val="00A1276A"/>
    <w:rsid w:val="00A12949"/>
    <w:rsid w:val="00A12A9E"/>
    <w:rsid w:val="00A137BF"/>
    <w:rsid w:val="00A13B32"/>
    <w:rsid w:val="00A13EF2"/>
    <w:rsid w:val="00A1437D"/>
    <w:rsid w:val="00A1487C"/>
    <w:rsid w:val="00A148A8"/>
    <w:rsid w:val="00A14C42"/>
    <w:rsid w:val="00A15C9E"/>
    <w:rsid w:val="00A163D9"/>
    <w:rsid w:val="00A16424"/>
    <w:rsid w:val="00A177E6"/>
    <w:rsid w:val="00A17A53"/>
    <w:rsid w:val="00A17ABD"/>
    <w:rsid w:val="00A200C5"/>
    <w:rsid w:val="00A204A5"/>
    <w:rsid w:val="00A205E5"/>
    <w:rsid w:val="00A20D30"/>
    <w:rsid w:val="00A21421"/>
    <w:rsid w:val="00A21633"/>
    <w:rsid w:val="00A21689"/>
    <w:rsid w:val="00A21B83"/>
    <w:rsid w:val="00A22069"/>
    <w:rsid w:val="00A230D7"/>
    <w:rsid w:val="00A23551"/>
    <w:rsid w:val="00A241E4"/>
    <w:rsid w:val="00A24C21"/>
    <w:rsid w:val="00A257B3"/>
    <w:rsid w:val="00A257FA"/>
    <w:rsid w:val="00A25AFF"/>
    <w:rsid w:val="00A25CC5"/>
    <w:rsid w:val="00A25D3A"/>
    <w:rsid w:val="00A263F2"/>
    <w:rsid w:val="00A26E82"/>
    <w:rsid w:val="00A2717A"/>
    <w:rsid w:val="00A27B65"/>
    <w:rsid w:val="00A27C50"/>
    <w:rsid w:val="00A31A93"/>
    <w:rsid w:val="00A324B4"/>
    <w:rsid w:val="00A327A1"/>
    <w:rsid w:val="00A3357D"/>
    <w:rsid w:val="00A33A66"/>
    <w:rsid w:val="00A33E81"/>
    <w:rsid w:val="00A34451"/>
    <w:rsid w:val="00A34C2F"/>
    <w:rsid w:val="00A3509F"/>
    <w:rsid w:val="00A351BF"/>
    <w:rsid w:val="00A367DB"/>
    <w:rsid w:val="00A36AD9"/>
    <w:rsid w:val="00A375AE"/>
    <w:rsid w:val="00A37A4A"/>
    <w:rsid w:val="00A40A01"/>
    <w:rsid w:val="00A40E7F"/>
    <w:rsid w:val="00A41520"/>
    <w:rsid w:val="00A42E34"/>
    <w:rsid w:val="00A44CB3"/>
    <w:rsid w:val="00A44DFF"/>
    <w:rsid w:val="00A45386"/>
    <w:rsid w:val="00A45674"/>
    <w:rsid w:val="00A45D68"/>
    <w:rsid w:val="00A5049E"/>
    <w:rsid w:val="00A5099C"/>
    <w:rsid w:val="00A51001"/>
    <w:rsid w:val="00A5111C"/>
    <w:rsid w:val="00A51EF7"/>
    <w:rsid w:val="00A51FAA"/>
    <w:rsid w:val="00A5235D"/>
    <w:rsid w:val="00A525A6"/>
    <w:rsid w:val="00A52D2E"/>
    <w:rsid w:val="00A53821"/>
    <w:rsid w:val="00A541B0"/>
    <w:rsid w:val="00A54FCC"/>
    <w:rsid w:val="00A57661"/>
    <w:rsid w:val="00A6019B"/>
    <w:rsid w:val="00A60C48"/>
    <w:rsid w:val="00A611BB"/>
    <w:rsid w:val="00A612A3"/>
    <w:rsid w:val="00A6140D"/>
    <w:rsid w:val="00A6192B"/>
    <w:rsid w:val="00A62106"/>
    <w:rsid w:val="00A64C3F"/>
    <w:rsid w:val="00A6510F"/>
    <w:rsid w:val="00A65578"/>
    <w:rsid w:val="00A65C6E"/>
    <w:rsid w:val="00A6609E"/>
    <w:rsid w:val="00A668B8"/>
    <w:rsid w:val="00A67F59"/>
    <w:rsid w:val="00A703BB"/>
    <w:rsid w:val="00A7044C"/>
    <w:rsid w:val="00A70AEE"/>
    <w:rsid w:val="00A70FDE"/>
    <w:rsid w:val="00A72721"/>
    <w:rsid w:val="00A7360D"/>
    <w:rsid w:val="00A743A3"/>
    <w:rsid w:val="00A743FC"/>
    <w:rsid w:val="00A746D6"/>
    <w:rsid w:val="00A74961"/>
    <w:rsid w:val="00A75535"/>
    <w:rsid w:val="00A75954"/>
    <w:rsid w:val="00A75B97"/>
    <w:rsid w:val="00A75F0C"/>
    <w:rsid w:val="00A76EA7"/>
    <w:rsid w:val="00A7714C"/>
    <w:rsid w:val="00A80DDE"/>
    <w:rsid w:val="00A80F0D"/>
    <w:rsid w:val="00A8128D"/>
    <w:rsid w:val="00A813F0"/>
    <w:rsid w:val="00A826D7"/>
    <w:rsid w:val="00A82B10"/>
    <w:rsid w:val="00A82ECF"/>
    <w:rsid w:val="00A83985"/>
    <w:rsid w:val="00A83E59"/>
    <w:rsid w:val="00A843D8"/>
    <w:rsid w:val="00A846E6"/>
    <w:rsid w:val="00A84A5A"/>
    <w:rsid w:val="00A84FB1"/>
    <w:rsid w:val="00A866C6"/>
    <w:rsid w:val="00A87430"/>
    <w:rsid w:val="00A876C8"/>
    <w:rsid w:val="00A87C77"/>
    <w:rsid w:val="00A907D5"/>
    <w:rsid w:val="00A93705"/>
    <w:rsid w:val="00A9373A"/>
    <w:rsid w:val="00A93DCE"/>
    <w:rsid w:val="00A94EE5"/>
    <w:rsid w:val="00A95144"/>
    <w:rsid w:val="00A96383"/>
    <w:rsid w:val="00A96ECC"/>
    <w:rsid w:val="00A97625"/>
    <w:rsid w:val="00A979F4"/>
    <w:rsid w:val="00A97FB0"/>
    <w:rsid w:val="00AA0062"/>
    <w:rsid w:val="00AA06A5"/>
    <w:rsid w:val="00AA1438"/>
    <w:rsid w:val="00AA1442"/>
    <w:rsid w:val="00AA2497"/>
    <w:rsid w:val="00AA2D31"/>
    <w:rsid w:val="00AA33AC"/>
    <w:rsid w:val="00AA3676"/>
    <w:rsid w:val="00AA3CC8"/>
    <w:rsid w:val="00AA3FBD"/>
    <w:rsid w:val="00AA4599"/>
    <w:rsid w:val="00AA465C"/>
    <w:rsid w:val="00AA4905"/>
    <w:rsid w:val="00AA54DC"/>
    <w:rsid w:val="00AA5CFF"/>
    <w:rsid w:val="00AA617E"/>
    <w:rsid w:val="00AA6269"/>
    <w:rsid w:val="00AA7E6B"/>
    <w:rsid w:val="00AA7FD4"/>
    <w:rsid w:val="00AB01D2"/>
    <w:rsid w:val="00AB0496"/>
    <w:rsid w:val="00AB11B5"/>
    <w:rsid w:val="00AB143A"/>
    <w:rsid w:val="00AB1B07"/>
    <w:rsid w:val="00AB1FA8"/>
    <w:rsid w:val="00AB2A82"/>
    <w:rsid w:val="00AB2D33"/>
    <w:rsid w:val="00AB2D62"/>
    <w:rsid w:val="00AB4578"/>
    <w:rsid w:val="00AB4C34"/>
    <w:rsid w:val="00AB4CA9"/>
    <w:rsid w:val="00AB4F1D"/>
    <w:rsid w:val="00AB70A9"/>
    <w:rsid w:val="00AB7275"/>
    <w:rsid w:val="00AC06C2"/>
    <w:rsid w:val="00AC06F3"/>
    <w:rsid w:val="00AC06F9"/>
    <w:rsid w:val="00AC075F"/>
    <w:rsid w:val="00AC0940"/>
    <w:rsid w:val="00AC10A4"/>
    <w:rsid w:val="00AC165D"/>
    <w:rsid w:val="00AC18A4"/>
    <w:rsid w:val="00AC2F5A"/>
    <w:rsid w:val="00AC4226"/>
    <w:rsid w:val="00AC4FD4"/>
    <w:rsid w:val="00AC6675"/>
    <w:rsid w:val="00AC671A"/>
    <w:rsid w:val="00AC680C"/>
    <w:rsid w:val="00AC6C8A"/>
    <w:rsid w:val="00AC722F"/>
    <w:rsid w:val="00AC728F"/>
    <w:rsid w:val="00AD0668"/>
    <w:rsid w:val="00AD0EB5"/>
    <w:rsid w:val="00AD1C33"/>
    <w:rsid w:val="00AD1F20"/>
    <w:rsid w:val="00AD2BB8"/>
    <w:rsid w:val="00AD3BE2"/>
    <w:rsid w:val="00AD3E77"/>
    <w:rsid w:val="00AD40B7"/>
    <w:rsid w:val="00AD4974"/>
    <w:rsid w:val="00AD5345"/>
    <w:rsid w:val="00AD5D89"/>
    <w:rsid w:val="00AD5F51"/>
    <w:rsid w:val="00AD6A37"/>
    <w:rsid w:val="00AD7DF6"/>
    <w:rsid w:val="00AE00C8"/>
    <w:rsid w:val="00AE1404"/>
    <w:rsid w:val="00AE18CC"/>
    <w:rsid w:val="00AE1CCD"/>
    <w:rsid w:val="00AE2636"/>
    <w:rsid w:val="00AE26C6"/>
    <w:rsid w:val="00AE2950"/>
    <w:rsid w:val="00AE2A2D"/>
    <w:rsid w:val="00AE313A"/>
    <w:rsid w:val="00AE315C"/>
    <w:rsid w:val="00AE3281"/>
    <w:rsid w:val="00AE34E2"/>
    <w:rsid w:val="00AE3C39"/>
    <w:rsid w:val="00AE54DE"/>
    <w:rsid w:val="00AE64B9"/>
    <w:rsid w:val="00AE6DE3"/>
    <w:rsid w:val="00AE7208"/>
    <w:rsid w:val="00AE7FCF"/>
    <w:rsid w:val="00AF03AB"/>
    <w:rsid w:val="00AF0818"/>
    <w:rsid w:val="00AF170D"/>
    <w:rsid w:val="00AF1876"/>
    <w:rsid w:val="00AF1C14"/>
    <w:rsid w:val="00AF25B8"/>
    <w:rsid w:val="00AF25D9"/>
    <w:rsid w:val="00AF2738"/>
    <w:rsid w:val="00AF29B4"/>
    <w:rsid w:val="00AF3310"/>
    <w:rsid w:val="00AF39D7"/>
    <w:rsid w:val="00AF43A8"/>
    <w:rsid w:val="00AF49C1"/>
    <w:rsid w:val="00AF4D45"/>
    <w:rsid w:val="00AF5460"/>
    <w:rsid w:val="00AF628C"/>
    <w:rsid w:val="00AF6AF4"/>
    <w:rsid w:val="00AF7196"/>
    <w:rsid w:val="00AF7B64"/>
    <w:rsid w:val="00B00C17"/>
    <w:rsid w:val="00B0176A"/>
    <w:rsid w:val="00B020F8"/>
    <w:rsid w:val="00B02EE3"/>
    <w:rsid w:val="00B02EF1"/>
    <w:rsid w:val="00B044F0"/>
    <w:rsid w:val="00B04636"/>
    <w:rsid w:val="00B04F68"/>
    <w:rsid w:val="00B04FAE"/>
    <w:rsid w:val="00B05135"/>
    <w:rsid w:val="00B05D6F"/>
    <w:rsid w:val="00B05E62"/>
    <w:rsid w:val="00B0675D"/>
    <w:rsid w:val="00B06886"/>
    <w:rsid w:val="00B069ED"/>
    <w:rsid w:val="00B073EF"/>
    <w:rsid w:val="00B10DE0"/>
    <w:rsid w:val="00B114DC"/>
    <w:rsid w:val="00B12337"/>
    <w:rsid w:val="00B130A4"/>
    <w:rsid w:val="00B13780"/>
    <w:rsid w:val="00B137A0"/>
    <w:rsid w:val="00B148EC"/>
    <w:rsid w:val="00B14FB4"/>
    <w:rsid w:val="00B15D32"/>
    <w:rsid w:val="00B17A0D"/>
    <w:rsid w:val="00B17A6A"/>
    <w:rsid w:val="00B17E53"/>
    <w:rsid w:val="00B217AD"/>
    <w:rsid w:val="00B21E4C"/>
    <w:rsid w:val="00B22202"/>
    <w:rsid w:val="00B227DE"/>
    <w:rsid w:val="00B2306F"/>
    <w:rsid w:val="00B23D1D"/>
    <w:rsid w:val="00B252B3"/>
    <w:rsid w:val="00B256F5"/>
    <w:rsid w:val="00B25761"/>
    <w:rsid w:val="00B25A86"/>
    <w:rsid w:val="00B2678C"/>
    <w:rsid w:val="00B26899"/>
    <w:rsid w:val="00B26B0B"/>
    <w:rsid w:val="00B271A6"/>
    <w:rsid w:val="00B274FF"/>
    <w:rsid w:val="00B2790D"/>
    <w:rsid w:val="00B3073D"/>
    <w:rsid w:val="00B30AF8"/>
    <w:rsid w:val="00B30B47"/>
    <w:rsid w:val="00B312A4"/>
    <w:rsid w:val="00B31621"/>
    <w:rsid w:val="00B316AE"/>
    <w:rsid w:val="00B31F99"/>
    <w:rsid w:val="00B33167"/>
    <w:rsid w:val="00B338CE"/>
    <w:rsid w:val="00B33D32"/>
    <w:rsid w:val="00B34B6E"/>
    <w:rsid w:val="00B3544A"/>
    <w:rsid w:val="00B3549F"/>
    <w:rsid w:val="00B357DF"/>
    <w:rsid w:val="00B35ACD"/>
    <w:rsid w:val="00B360F2"/>
    <w:rsid w:val="00B3628E"/>
    <w:rsid w:val="00B3664A"/>
    <w:rsid w:val="00B36A06"/>
    <w:rsid w:val="00B37335"/>
    <w:rsid w:val="00B37493"/>
    <w:rsid w:val="00B37904"/>
    <w:rsid w:val="00B3795E"/>
    <w:rsid w:val="00B40223"/>
    <w:rsid w:val="00B40AEB"/>
    <w:rsid w:val="00B416BC"/>
    <w:rsid w:val="00B41763"/>
    <w:rsid w:val="00B41B09"/>
    <w:rsid w:val="00B426D9"/>
    <w:rsid w:val="00B42E39"/>
    <w:rsid w:val="00B438B2"/>
    <w:rsid w:val="00B43B08"/>
    <w:rsid w:val="00B43D7B"/>
    <w:rsid w:val="00B4415D"/>
    <w:rsid w:val="00B44DF9"/>
    <w:rsid w:val="00B44EBB"/>
    <w:rsid w:val="00B45CC5"/>
    <w:rsid w:val="00B45F1D"/>
    <w:rsid w:val="00B4731E"/>
    <w:rsid w:val="00B474F3"/>
    <w:rsid w:val="00B47E17"/>
    <w:rsid w:val="00B47FA2"/>
    <w:rsid w:val="00B5024D"/>
    <w:rsid w:val="00B504A8"/>
    <w:rsid w:val="00B512C2"/>
    <w:rsid w:val="00B52459"/>
    <w:rsid w:val="00B526B6"/>
    <w:rsid w:val="00B541EB"/>
    <w:rsid w:val="00B54689"/>
    <w:rsid w:val="00B5495C"/>
    <w:rsid w:val="00B558D6"/>
    <w:rsid w:val="00B55BFF"/>
    <w:rsid w:val="00B55DA7"/>
    <w:rsid w:val="00B56661"/>
    <w:rsid w:val="00B57155"/>
    <w:rsid w:val="00B5722E"/>
    <w:rsid w:val="00B576BB"/>
    <w:rsid w:val="00B603DB"/>
    <w:rsid w:val="00B60A70"/>
    <w:rsid w:val="00B60C92"/>
    <w:rsid w:val="00B6113C"/>
    <w:rsid w:val="00B61304"/>
    <w:rsid w:val="00B6269E"/>
    <w:rsid w:val="00B6305C"/>
    <w:rsid w:val="00B6368F"/>
    <w:rsid w:val="00B6474E"/>
    <w:rsid w:val="00B64DD7"/>
    <w:rsid w:val="00B6542B"/>
    <w:rsid w:val="00B65AFF"/>
    <w:rsid w:val="00B65C7C"/>
    <w:rsid w:val="00B65F4A"/>
    <w:rsid w:val="00B65F56"/>
    <w:rsid w:val="00B66019"/>
    <w:rsid w:val="00B662E1"/>
    <w:rsid w:val="00B66926"/>
    <w:rsid w:val="00B672FE"/>
    <w:rsid w:val="00B67758"/>
    <w:rsid w:val="00B679F7"/>
    <w:rsid w:val="00B67CB3"/>
    <w:rsid w:val="00B67E15"/>
    <w:rsid w:val="00B70154"/>
    <w:rsid w:val="00B70247"/>
    <w:rsid w:val="00B70954"/>
    <w:rsid w:val="00B71994"/>
    <w:rsid w:val="00B722EE"/>
    <w:rsid w:val="00B729CF"/>
    <w:rsid w:val="00B736FD"/>
    <w:rsid w:val="00B73753"/>
    <w:rsid w:val="00B73AF4"/>
    <w:rsid w:val="00B73CCD"/>
    <w:rsid w:val="00B73DD8"/>
    <w:rsid w:val="00B74687"/>
    <w:rsid w:val="00B749C3"/>
    <w:rsid w:val="00B756A4"/>
    <w:rsid w:val="00B757B9"/>
    <w:rsid w:val="00B773A8"/>
    <w:rsid w:val="00B773D6"/>
    <w:rsid w:val="00B77CCA"/>
    <w:rsid w:val="00B77D0E"/>
    <w:rsid w:val="00B807B6"/>
    <w:rsid w:val="00B81DCB"/>
    <w:rsid w:val="00B827E2"/>
    <w:rsid w:val="00B8287D"/>
    <w:rsid w:val="00B83138"/>
    <w:rsid w:val="00B837FA"/>
    <w:rsid w:val="00B839DB"/>
    <w:rsid w:val="00B83C40"/>
    <w:rsid w:val="00B84705"/>
    <w:rsid w:val="00B84993"/>
    <w:rsid w:val="00B84DF0"/>
    <w:rsid w:val="00B852F1"/>
    <w:rsid w:val="00B85C24"/>
    <w:rsid w:val="00B860FC"/>
    <w:rsid w:val="00B86556"/>
    <w:rsid w:val="00B8663A"/>
    <w:rsid w:val="00B86F8B"/>
    <w:rsid w:val="00B87966"/>
    <w:rsid w:val="00B904C7"/>
    <w:rsid w:val="00B90C54"/>
    <w:rsid w:val="00B919E5"/>
    <w:rsid w:val="00B92079"/>
    <w:rsid w:val="00B92359"/>
    <w:rsid w:val="00B923A7"/>
    <w:rsid w:val="00B92615"/>
    <w:rsid w:val="00B926BC"/>
    <w:rsid w:val="00B92B85"/>
    <w:rsid w:val="00B92CA6"/>
    <w:rsid w:val="00B93343"/>
    <w:rsid w:val="00B93359"/>
    <w:rsid w:val="00B9429B"/>
    <w:rsid w:val="00B9432A"/>
    <w:rsid w:val="00B9578D"/>
    <w:rsid w:val="00B95D54"/>
    <w:rsid w:val="00B95F07"/>
    <w:rsid w:val="00B969B4"/>
    <w:rsid w:val="00B97B5D"/>
    <w:rsid w:val="00B97C5E"/>
    <w:rsid w:val="00BA035C"/>
    <w:rsid w:val="00BA0471"/>
    <w:rsid w:val="00BA05A7"/>
    <w:rsid w:val="00BA0602"/>
    <w:rsid w:val="00BA069C"/>
    <w:rsid w:val="00BA092F"/>
    <w:rsid w:val="00BA0BF2"/>
    <w:rsid w:val="00BA0D61"/>
    <w:rsid w:val="00BA1093"/>
    <w:rsid w:val="00BA10E5"/>
    <w:rsid w:val="00BA1CF9"/>
    <w:rsid w:val="00BA1E41"/>
    <w:rsid w:val="00BA28C3"/>
    <w:rsid w:val="00BA35E2"/>
    <w:rsid w:val="00BA3E11"/>
    <w:rsid w:val="00BA3EE8"/>
    <w:rsid w:val="00BA46D2"/>
    <w:rsid w:val="00BA4A3D"/>
    <w:rsid w:val="00BA57EB"/>
    <w:rsid w:val="00BA5AEB"/>
    <w:rsid w:val="00BA6558"/>
    <w:rsid w:val="00BA6ABC"/>
    <w:rsid w:val="00BA6CF8"/>
    <w:rsid w:val="00BA7487"/>
    <w:rsid w:val="00BA7716"/>
    <w:rsid w:val="00BA78B9"/>
    <w:rsid w:val="00BA7B5B"/>
    <w:rsid w:val="00BA7E31"/>
    <w:rsid w:val="00BB1A38"/>
    <w:rsid w:val="00BB378B"/>
    <w:rsid w:val="00BB453C"/>
    <w:rsid w:val="00BB475E"/>
    <w:rsid w:val="00BB4F2A"/>
    <w:rsid w:val="00BB5C99"/>
    <w:rsid w:val="00BB6821"/>
    <w:rsid w:val="00BB6BE0"/>
    <w:rsid w:val="00BB6E3A"/>
    <w:rsid w:val="00BB7505"/>
    <w:rsid w:val="00BB7551"/>
    <w:rsid w:val="00BB7CA2"/>
    <w:rsid w:val="00BC0017"/>
    <w:rsid w:val="00BC049F"/>
    <w:rsid w:val="00BC0551"/>
    <w:rsid w:val="00BC147C"/>
    <w:rsid w:val="00BC18B4"/>
    <w:rsid w:val="00BC1AB8"/>
    <w:rsid w:val="00BC239E"/>
    <w:rsid w:val="00BC2BB2"/>
    <w:rsid w:val="00BC31C5"/>
    <w:rsid w:val="00BC3B30"/>
    <w:rsid w:val="00BC3FF2"/>
    <w:rsid w:val="00BC5056"/>
    <w:rsid w:val="00BC624C"/>
    <w:rsid w:val="00BD055D"/>
    <w:rsid w:val="00BD05E2"/>
    <w:rsid w:val="00BD1281"/>
    <w:rsid w:val="00BD12E7"/>
    <w:rsid w:val="00BD138A"/>
    <w:rsid w:val="00BD1BA9"/>
    <w:rsid w:val="00BD1D05"/>
    <w:rsid w:val="00BD1E47"/>
    <w:rsid w:val="00BD32C0"/>
    <w:rsid w:val="00BD4ADB"/>
    <w:rsid w:val="00BD5840"/>
    <w:rsid w:val="00BD664A"/>
    <w:rsid w:val="00BD6946"/>
    <w:rsid w:val="00BD7420"/>
    <w:rsid w:val="00BE1528"/>
    <w:rsid w:val="00BE1ED7"/>
    <w:rsid w:val="00BE2F27"/>
    <w:rsid w:val="00BE317D"/>
    <w:rsid w:val="00BE3509"/>
    <w:rsid w:val="00BE3B2F"/>
    <w:rsid w:val="00BE5C4E"/>
    <w:rsid w:val="00BE5D1E"/>
    <w:rsid w:val="00BE5E39"/>
    <w:rsid w:val="00BE5E58"/>
    <w:rsid w:val="00BE610D"/>
    <w:rsid w:val="00BE69A0"/>
    <w:rsid w:val="00BE7024"/>
    <w:rsid w:val="00BE73E0"/>
    <w:rsid w:val="00BE7682"/>
    <w:rsid w:val="00BE7832"/>
    <w:rsid w:val="00BF01CB"/>
    <w:rsid w:val="00BF0483"/>
    <w:rsid w:val="00BF0862"/>
    <w:rsid w:val="00BF1980"/>
    <w:rsid w:val="00BF1E0D"/>
    <w:rsid w:val="00BF2B5C"/>
    <w:rsid w:val="00BF2CC0"/>
    <w:rsid w:val="00BF32F1"/>
    <w:rsid w:val="00BF389B"/>
    <w:rsid w:val="00BF39FD"/>
    <w:rsid w:val="00BF3EF9"/>
    <w:rsid w:val="00BF441D"/>
    <w:rsid w:val="00BF4F8E"/>
    <w:rsid w:val="00BF544A"/>
    <w:rsid w:val="00BF5F58"/>
    <w:rsid w:val="00BF6A55"/>
    <w:rsid w:val="00BF6B42"/>
    <w:rsid w:val="00BF7DE3"/>
    <w:rsid w:val="00C0025F"/>
    <w:rsid w:val="00C002EC"/>
    <w:rsid w:val="00C00AE5"/>
    <w:rsid w:val="00C00DD7"/>
    <w:rsid w:val="00C011FE"/>
    <w:rsid w:val="00C01608"/>
    <w:rsid w:val="00C016C9"/>
    <w:rsid w:val="00C0197B"/>
    <w:rsid w:val="00C025AA"/>
    <w:rsid w:val="00C02A6D"/>
    <w:rsid w:val="00C02CBA"/>
    <w:rsid w:val="00C02D5A"/>
    <w:rsid w:val="00C02DF0"/>
    <w:rsid w:val="00C03186"/>
    <w:rsid w:val="00C031C0"/>
    <w:rsid w:val="00C0355A"/>
    <w:rsid w:val="00C03B55"/>
    <w:rsid w:val="00C046FF"/>
    <w:rsid w:val="00C06725"/>
    <w:rsid w:val="00C10FBE"/>
    <w:rsid w:val="00C110B3"/>
    <w:rsid w:val="00C1130E"/>
    <w:rsid w:val="00C1280F"/>
    <w:rsid w:val="00C12A76"/>
    <w:rsid w:val="00C133F1"/>
    <w:rsid w:val="00C138DE"/>
    <w:rsid w:val="00C1412E"/>
    <w:rsid w:val="00C1506C"/>
    <w:rsid w:val="00C1545A"/>
    <w:rsid w:val="00C168F8"/>
    <w:rsid w:val="00C170F9"/>
    <w:rsid w:val="00C1710D"/>
    <w:rsid w:val="00C1771C"/>
    <w:rsid w:val="00C20565"/>
    <w:rsid w:val="00C2056C"/>
    <w:rsid w:val="00C20655"/>
    <w:rsid w:val="00C20F5F"/>
    <w:rsid w:val="00C210E0"/>
    <w:rsid w:val="00C21482"/>
    <w:rsid w:val="00C21657"/>
    <w:rsid w:val="00C216D1"/>
    <w:rsid w:val="00C22110"/>
    <w:rsid w:val="00C22393"/>
    <w:rsid w:val="00C225F4"/>
    <w:rsid w:val="00C2278F"/>
    <w:rsid w:val="00C24934"/>
    <w:rsid w:val="00C2518F"/>
    <w:rsid w:val="00C25375"/>
    <w:rsid w:val="00C253F7"/>
    <w:rsid w:val="00C2551A"/>
    <w:rsid w:val="00C26F15"/>
    <w:rsid w:val="00C26F5F"/>
    <w:rsid w:val="00C272AB"/>
    <w:rsid w:val="00C276A8"/>
    <w:rsid w:val="00C27BB8"/>
    <w:rsid w:val="00C27E8B"/>
    <w:rsid w:val="00C30CFD"/>
    <w:rsid w:val="00C3196C"/>
    <w:rsid w:val="00C31DFA"/>
    <w:rsid w:val="00C323FB"/>
    <w:rsid w:val="00C3277F"/>
    <w:rsid w:val="00C33295"/>
    <w:rsid w:val="00C33C92"/>
    <w:rsid w:val="00C34FBF"/>
    <w:rsid w:val="00C3533E"/>
    <w:rsid w:val="00C3576E"/>
    <w:rsid w:val="00C35778"/>
    <w:rsid w:val="00C35A04"/>
    <w:rsid w:val="00C35C5C"/>
    <w:rsid w:val="00C36765"/>
    <w:rsid w:val="00C3743F"/>
    <w:rsid w:val="00C41054"/>
    <w:rsid w:val="00C41FA9"/>
    <w:rsid w:val="00C42596"/>
    <w:rsid w:val="00C42A6B"/>
    <w:rsid w:val="00C43EDB"/>
    <w:rsid w:val="00C445DD"/>
    <w:rsid w:val="00C449BC"/>
    <w:rsid w:val="00C44F27"/>
    <w:rsid w:val="00C44F57"/>
    <w:rsid w:val="00C45902"/>
    <w:rsid w:val="00C45BCE"/>
    <w:rsid w:val="00C465DA"/>
    <w:rsid w:val="00C466E2"/>
    <w:rsid w:val="00C4708F"/>
    <w:rsid w:val="00C47580"/>
    <w:rsid w:val="00C47D46"/>
    <w:rsid w:val="00C507AE"/>
    <w:rsid w:val="00C50B0B"/>
    <w:rsid w:val="00C50CD9"/>
    <w:rsid w:val="00C511D5"/>
    <w:rsid w:val="00C51566"/>
    <w:rsid w:val="00C51E19"/>
    <w:rsid w:val="00C520D0"/>
    <w:rsid w:val="00C52576"/>
    <w:rsid w:val="00C5305A"/>
    <w:rsid w:val="00C53701"/>
    <w:rsid w:val="00C54B6D"/>
    <w:rsid w:val="00C54D47"/>
    <w:rsid w:val="00C54D8B"/>
    <w:rsid w:val="00C551FE"/>
    <w:rsid w:val="00C55A28"/>
    <w:rsid w:val="00C55F8D"/>
    <w:rsid w:val="00C56645"/>
    <w:rsid w:val="00C56C36"/>
    <w:rsid w:val="00C57D11"/>
    <w:rsid w:val="00C6011E"/>
    <w:rsid w:val="00C60775"/>
    <w:rsid w:val="00C60DE5"/>
    <w:rsid w:val="00C611E2"/>
    <w:rsid w:val="00C6135E"/>
    <w:rsid w:val="00C613A7"/>
    <w:rsid w:val="00C61CDA"/>
    <w:rsid w:val="00C6333D"/>
    <w:rsid w:val="00C6343D"/>
    <w:rsid w:val="00C6358E"/>
    <w:rsid w:val="00C63E13"/>
    <w:rsid w:val="00C63FED"/>
    <w:rsid w:val="00C642BE"/>
    <w:rsid w:val="00C6450E"/>
    <w:rsid w:val="00C64BAB"/>
    <w:rsid w:val="00C654F7"/>
    <w:rsid w:val="00C65695"/>
    <w:rsid w:val="00C656F8"/>
    <w:rsid w:val="00C65B22"/>
    <w:rsid w:val="00C65E1E"/>
    <w:rsid w:val="00C6616F"/>
    <w:rsid w:val="00C6675F"/>
    <w:rsid w:val="00C6736A"/>
    <w:rsid w:val="00C67B08"/>
    <w:rsid w:val="00C713C1"/>
    <w:rsid w:val="00C7154F"/>
    <w:rsid w:val="00C71BF9"/>
    <w:rsid w:val="00C72540"/>
    <w:rsid w:val="00C73011"/>
    <w:rsid w:val="00C7441E"/>
    <w:rsid w:val="00C7452A"/>
    <w:rsid w:val="00C76A6E"/>
    <w:rsid w:val="00C770C4"/>
    <w:rsid w:val="00C770C6"/>
    <w:rsid w:val="00C77B9D"/>
    <w:rsid w:val="00C77C1B"/>
    <w:rsid w:val="00C80319"/>
    <w:rsid w:val="00C80546"/>
    <w:rsid w:val="00C8064C"/>
    <w:rsid w:val="00C80681"/>
    <w:rsid w:val="00C82124"/>
    <w:rsid w:val="00C825AF"/>
    <w:rsid w:val="00C826DE"/>
    <w:rsid w:val="00C82878"/>
    <w:rsid w:val="00C82CCF"/>
    <w:rsid w:val="00C82E78"/>
    <w:rsid w:val="00C8331B"/>
    <w:rsid w:val="00C83368"/>
    <w:rsid w:val="00C833BC"/>
    <w:rsid w:val="00C83AD4"/>
    <w:rsid w:val="00C84A73"/>
    <w:rsid w:val="00C84FE3"/>
    <w:rsid w:val="00C85060"/>
    <w:rsid w:val="00C85560"/>
    <w:rsid w:val="00C85C73"/>
    <w:rsid w:val="00C86A8E"/>
    <w:rsid w:val="00C87236"/>
    <w:rsid w:val="00C876DF"/>
    <w:rsid w:val="00C87B83"/>
    <w:rsid w:val="00C90007"/>
    <w:rsid w:val="00C901EE"/>
    <w:rsid w:val="00C90627"/>
    <w:rsid w:val="00C9135A"/>
    <w:rsid w:val="00C91EDB"/>
    <w:rsid w:val="00C92A72"/>
    <w:rsid w:val="00C92AFC"/>
    <w:rsid w:val="00C955A9"/>
    <w:rsid w:val="00C957B6"/>
    <w:rsid w:val="00C95A02"/>
    <w:rsid w:val="00C95B88"/>
    <w:rsid w:val="00C95C7A"/>
    <w:rsid w:val="00C96E21"/>
    <w:rsid w:val="00C97462"/>
    <w:rsid w:val="00C97B38"/>
    <w:rsid w:val="00C97D47"/>
    <w:rsid w:val="00CA01E7"/>
    <w:rsid w:val="00CA0316"/>
    <w:rsid w:val="00CA0E5B"/>
    <w:rsid w:val="00CA1155"/>
    <w:rsid w:val="00CA11DD"/>
    <w:rsid w:val="00CA2250"/>
    <w:rsid w:val="00CA2526"/>
    <w:rsid w:val="00CA2EAF"/>
    <w:rsid w:val="00CA349A"/>
    <w:rsid w:val="00CA3730"/>
    <w:rsid w:val="00CA38D1"/>
    <w:rsid w:val="00CA3CC9"/>
    <w:rsid w:val="00CA4196"/>
    <w:rsid w:val="00CA4DE7"/>
    <w:rsid w:val="00CA53A0"/>
    <w:rsid w:val="00CA5CE1"/>
    <w:rsid w:val="00CA5E32"/>
    <w:rsid w:val="00CA626A"/>
    <w:rsid w:val="00CA6EF8"/>
    <w:rsid w:val="00CA750A"/>
    <w:rsid w:val="00CA7810"/>
    <w:rsid w:val="00CA7F2E"/>
    <w:rsid w:val="00CB05EA"/>
    <w:rsid w:val="00CB0A98"/>
    <w:rsid w:val="00CB124D"/>
    <w:rsid w:val="00CB1324"/>
    <w:rsid w:val="00CB13FD"/>
    <w:rsid w:val="00CB15E8"/>
    <w:rsid w:val="00CB1B3B"/>
    <w:rsid w:val="00CB2354"/>
    <w:rsid w:val="00CB27E7"/>
    <w:rsid w:val="00CB2AFE"/>
    <w:rsid w:val="00CB38C9"/>
    <w:rsid w:val="00CB3B0A"/>
    <w:rsid w:val="00CB4261"/>
    <w:rsid w:val="00CB49B9"/>
    <w:rsid w:val="00CB4E43"/>
    <w:rsid w:val="00CB52EB"/>
    <w:rsid w:val="00CB569F"/>
    <w:rsid w:val="00CB6090"/>
    <w:rsid w:val="00CB62BC"/>
    <w:rsid w:val="00CB6476"/>
    <w:rsid w:val="00CB6E25"/>
    <w:rsid w:val="00CB7B49"/>
    <w:rsid w:val="00CB7F02"/>
    <w:rsid w:val="00CC0002"/>
    <w:rsid w:val="00CC01D3"/>
    <w:rsid w:val="00CC0345"/>
    <w:rsid w:val="00CC0DAB"/>
    <w:rsid w:val="00CC185F"/>
    <w:rsid w:val="00CC186D"/>
    <w:rsid w:val="00CC25C3"/>
    <w:rsid w:val="00CC26C3"/>
    <w:rsid w:val="00CC2AAC"/>
    <w:rsid w:val="00CC2FDC"/>
    <w:rsid w:val="00CC3190"/>
    <w:rsid w:val="00CC3ADB"/>
    <w:rsid w:val="00CC3F66"/>
    <w:rsid w:val="00CC40ED"/>
    <w:rsid w:val="00CC466C"/>
    <w:rsid w:val="00CC5B2A"/>
    <w:rsid w:val="00CD064E"/>
    <w:rsid w:val="00CD09DF"/>
    <w:rsid w:val="00CD2617"/>
    <w:rsid w:val="00CD3810"/>
    <w:rsid w:val="00CD3C38"/>
    <w:rsid w:val="00CD4048"/>
    <w:rsid w:val="00CD406F"/>
    <w:rsid w:val="00CD421D"/>
    <w:rsid w:val="00CD42E0"/>
    <w:rsid w:val="00CD5795"/>
    <w:rsid w:val="00CD5EF7"/>
    <w:rsid w:val="00CD6254"/>
    <w:rsid w:val="00CD7BBB"/>
    <w:rsid w:val="00CE02EA"/>
    <w:rsid w:val="00CE0837"/>
    <w:rsid w:val="00CE0B35"/>
    <w:rsid w:val="00CE1156"/>
    <w:rsid w:val="00CE2AB0"/>
    <w:rsid w:val="00CE304E"/>
    <w:rsid w:val="00CE34BC"/>
    <w:rsid w:val="00CE3A4C"/>
    <w:rsid w:val="00CE53AB"/>
    <w:rsid w:val="00CE5A59"/>
    <w:rsid w:val="00CE5C39"/>
    <w:rsid w:val="00CE5E1C"/>
    <w:rsid w:val="00CE6979"/>
    <w:rsid w:val="00CE6D3A"/>
    <w:rsid w:val="00CE75AA"/>
    <w:rsid w:val="00CE7997"/>
    <w:rsid w:val="00CE7DC4"/>
    <w:rsid w:val="00CF001E"/>
    <w:rsid w:val="00CF01BB"/>
    <w:rsid w:val="00CF146F"/>
    <w:rsid w:val="00CF1855"/>
    <w:rsid w:val="00CF210C"/>
    <w:rsid w:val="00CF21BE"/>
    <w:rsid w:val="00CF268B"/>
    <w:rsid w:val="00CF2814"/>
    <w:rsid w:val="00CF2C69"/>
    <w:rsid w:val="00CF3204"/>
    <w:rsid w:val="00CF3301"/>
    <w:rsid w:val="00CF3B5A"/>
    <w:rsid w:val="00CF43C5"/>
    <w:rsid w:val="00CF45E0"/>
    <w:rsid w:val="00CF4AEF"/>
    <w:rsid w:val="00CF56F4"/>
    <w:rsid w:val="00CF5CE7"/>
    <w:rsid w:val="00CF61C2"/>
    <w:rsid w:val="00CF6336"/>
    <w:rsid w:val="00CF7786"/>
    <w:rsid w:val="00D0063B"/>
    <w:rsid w:val="00D008CB"/>
    <w:rsid w:val="00D01FE9"/>
    <w:rsid w:val="00D0461F"/>
    <w:rsid w:val="00D0470C"/>
    <w:rsid w:val="00D04EC9"/>
    <w:rsid w:val="00D05778"/>
    <w:rsid w:val="00D064FF"/>
    <w:rsid w:val="00D0796C"/>
    <w:rsid w:val="00D11FAF"/>
    <w:rsid w:val="00D133F8"/>
    <w:rsid w:val="00D13E5E"/>
    <w:rsid w:val="00D14417"/>
    <w:rsid w:val="00D147BD"/>
    <w:rsid w:val="00D14C85"/>
    <w:rsid w:val="00D14F10"/>
    <w:rsid w:val="00D150E7"/>
    <w:rsid w:val="00D15763"/>
    <w:rsid w:val="00D15D5F"/>
    <w:rsid w:val="00D16141"/>
    <w:rsid w:val="00D16250"/>
    <w:rsid w:val="00D16492"/>
    <w:rsid w:val="00D16CE5"/>
    <w:rsid w:val="00D16DB0"/>
    <w:rsid w:val="00D16EED"/>
    <w:rsid w:val="00D170D6"/>
    <w:rsid w:val="00D17E13"/>
    <w:rsid w:val="00D20FB3"/>
    <w:rsid w:val="00D212BE"/>
    <w:rsid w:val="00D21443"/>
    <w:rsid w:val="00D21A67"/>
    <w:rsid w:val="00D21BB9"/>
    <w:rsid w:val="00D21EE9"/>
    <w:rsid w:val="00D220FF"/>
    <w:rsid w:val="00D22180"/>
    <w:rsid w:val="00D2255B"/>
    <w:rsid w:val="00D22624"/>
    <w:rsid w:val="00D2416C"/>
    <w:rsid w:val="00D25BBD"/>
    <w:rsid w:val="00D25C11"/>
    <w:rsid w:val="00D25EBC"/>
    <w:rsid w:val="00D276BD"/>
    <w:rsid w:val="00D27BB6"/>
    <w:rsid w:val="00D30078"/>
    <w:rsid w:val="00D30311"/>
    <w:rsid w:val="00D30866"/>
    <w:rsid w:val="00D3141E"/>
    <w:rsid w:val="00D31E5B"/>
    <w:rsid w:val="00D3206E"/>
    <w:rsid w:val="00D32A4F"/>
    <w:rsid w:val="00D33787"/>
    <w:rsid w:val="00D346F7"/>
    <w:rsid w:val="00D34983"/>
    <w:rsid w:val="00D35FFC"/>
    <w:rsid w:val="00D3689A"/>
    <w:rsid w:val="00D40529"/>
    <w:rsid w:val="00D40565"/>
    <w:rsid w:val="00D40B03"/>
    <w:rsid w:val="00D40CF0"/>
    <w:rsid w:val="00D4126D"/>
    <w:rsid w:val="00D422FA"/>
    <w:rsid w:val="00D4268D"/>
    <w:rsid w:val="00D438AF"/>
    <w:rsid w:val="00D43BF1"/>
    <w:rsid w:val="00D43CDA"/>
    <w:rsid w:val="00D441FF"/>
    <w:rsid w:val="00D45008"/>
    <w:rsid w:val="00D4719D"/>
    <w:rsid w:val="00D475BC"/>
    <w:rsid w:val="00D50687"/>
    <w:rsid w:val="00D50FB4"/>
    <w:rsid w:val="00D53BAF"/>
    <w:rsid w:val="00D5590D"/>
    <w:rsid w:val="00D55AAA"/>
    <w:rsid w:val="00D55C57"/>
    <w:rsid w:val="00D55E7F"/>
    <w:rsid w:val="00D56052"/>
    <w:rsid w:val="00D575C1"/>
    <w:rsid w:val="00D5786B"/>
    <w:rsid w:val="00D5793F"/>
    <w:rsid w:val="00D57E4E"/>
    <w:rsid w:val="00D61031"/>
    <w:rsid w:val="00D61116"/>
    <w:rsid w:val="00D611EA"/>
    <w:rsid w:val="00D612E0"/>
    <w:rsid w:val="00D6200D"/>
    <w:rsid w:val="00D622D0"/>
    <w:rsid w:val="00D62420"/>
    <w:rsid w:val="00D62563"/>
    <w:rsid w:val="00D62C55"/>
    <w:rsid w:val="00D6306A"/>
    <w:rsid w:val="00D63435"/>
    <w:rsid w:val="00D63FB8"/>
    <w:rsid w:val="00D65994"/>
    <w:rsid w:val="00D67C11"/>
    <w:rsid w:val="00D67D0A"/>
    <w:rsid w:val="00D67FE3"/>
    <w:rsid w:val="00D7023C"/>
    <w:rsid w:val="00D7098A"/>
    <w:rsid w:val="00D71190"/>
    <w:rsid w:val="00D71230"/>
    <w:rsid w:val="00D723E7"/>
    <w:rsid w:val="00D733B7"/>
    <w:rsid w:val="00D73B0E"/>
    <w:rsid w:val="00D747A6"/>
    <w:rsid w:val="00D74A18"/>
    <w:rsid w:val="00D75E21"/>
    <w:rsid w:val="00D765E5"/>
    <w:rsid w:val="00D77112"/>
    <w:rsid w:val="00D77DD2"/>
    <w:rsid w:val="00D80E8F"/>
    <w:rsid w:val="00D81024"/>
    <w:rsid w:val="00D81831"/>
    <w:rsid w:val="00D81B1F"/>
    <w:rsid w:val="00D820DD"/>
    <w:rsid w:val="00D82987"/>
    <w:rsid w:val="00D832EF"/>
    <w:rsid w:val="00D835B6"/>
    <w:rsid w:val="00D83A53"/>
    <w:rsid w:val="00D8465C"/>
    <w:rsid w:val="00D8486F"/>
    <w:rsid w:val="00D84EF9"/>
    <w:rsid w:val="00D85464"/>
    <w:rsid w:val="00D85E23"/>
    <w:rsid w:val="00D87145"/>
    <w:rsid w:val="00D900A0"/>
    <w:rsid w:val="00D9092E"/>
    <w:rsid w:val="00D90C92"/>
    <w:rsid w:val="00D92AE9"/>
    <w:rsid w:val="00D9301C"/>
    <w:rsid w:val="00D9334E"/>
    <w:rsid w:val="00D93A9B"/>
    <w:rsid w:val="00D93CDB"/>
    <w:rsid w:val="00D94385"/>
    <w:rsid w:val="00D94C64"/>
    <w:rsid w:val="00D95427"/>
    <w:rsid w:val="00D959D7"/>
    <w:rsid w:val="00D95D08"/>
    <w:rsid w:val="00D95F7D"/>
    <w:rsid w:val="00D96049"/>
    <w:rsid w:val="00D961A6"/>
    <w:rsid w:val="00D964D6"/>
    <w:rsid w:val="00D96AFA"/>
    <w:rsid w:val="00D97923"/>
    <w:rsid w:val="00D979BE"/>
    <w:rsid w:val="00D97E7F"/>
    <w:rsid w:val="00DA2CEA"/>
    <w:rsid w:val="00DA2D00"/>
    <w:rsid w:val="00DA322B"/>
    <w:rsid w:val="00DA3D64"/>
    <w:rsid w:val="00DA3DA8"/>
    <w:rsid w:val="00DA44D8"/>
    <w:rsid w:val="00DA46DC"/>
    <w:rsid w:val="00DA4E48"/>
    <w:rsid w:val="00DA4FE0"/>
    <w:rsid w:val="00DA55FE"/>
    <w:rsid w:val="00DA68C2"/>
    <w:rsid w:val="00DA77CC"/>
    <w:rsid w:val="00DA7D47"/>
    <w:rsid w:val="00DB0568"/>
    <w:rsid w:val="00DB05B8"/>
    <w:rsid w:val="00DB0965"/>
    <w:rsid w:val="00DB107B"/>
    <w:rsid w:val="00DB201F"/>
    <w:rsid w:val="00DB234E"/>
    <w:rsid w:val="00DB2844"/>
    <w:rsid w:val="00DB34D4"/>
    <w:rsid w:val="00DB445B"/>
    <w:rsid w:val="00DB48B2"/>
    <w:rsid w:val="00DB499D"/>
    <w:rsid w:val="00DB4ACE"/>
    <w:rsid w:val="00DB5057"/>
    <w:rsid w:val="00DB5CD1"/>
    <w:rsid w:val="00DB5E40"/>
    <w:rsid w:val="00DB6885"/>
    <w:rsid w:val="00DB6E5E"/>
    <w:rsid w:val="00DC0810"/>
    <w:rsid w:val="00DC0C20"/>
    <w:rsid w:val="00DC0D09"/>
    <w:rsid w:val="00DC108B"/>
    <w:rsid w:val="00DC17D5"/>
    <w:rsid w:val="00DC1B67"/>
    <w:rsid w:val="00DC2110"/>
    <w:rsid w:val="00DC33BE"/>
    <w:rsid w:val="00DC3808"/>
    <w:rsid w:val="00DC44CF"/>
    <w:rsid w:val="00DC5105"/>
    <w:rsid w:val="00DC57C8"/>
    <w:rsid w:val="00DC6404"/>
    <w:rsid w:val="00DC6D2F"/>
    <w:rsid w:val="00DC6E22"/>
    <w:rsid w:val="00DC7043"/>
    <w:rsid w:val="00DC720B"/>
    <w:rsid w:val="00DC72AB"/>
    <w:rsid w:val="00DC7A46"/>
    <w:rsid w:val="00DC7FB8"/>
    <w:rsid w:val="00DD08D9"/>
    <w:rsid w:val="00DD0962"/>
    <w:rsid w:val="00DD0D72"/>
    <w:rsid w:val="00DD1770"/>
    <w:rsid w:val="00DD1D00"/>
    <w:rsid w:val="00DD1DED"/>
    <w:rsid w:val="00DD203C"/>
    <w:rsid w:val="00DD2295"/>
    <w:rsid w:val="00DD26E5"/>
    <w:rsid w:val="00DD29A1"/>
    <w:rsid w:val="00DD2C06"/>
    <w:rsid w:val="00DD34B2"/>
    <w:rsid w:val="00DD37BC"/>
    <w:rsid w:val="00DD3CF6"/>
    <w:rsid w:val="00DD43F6"/>
    <w:rsid w:val="00DD443B"/>
    <w:rsid w:val="00DD60B2"/>
    <w:rsid w:val="00DD72A2"/>
    <w:rsid w:val="00DD7F7D"/>
    <w:rsid w:val="00DE024E"/>
    <w:rsid w:val="00DE065F"/>
    <w:rsid w:val="00DE0C12"/>
    <w:rsid w:val="00DE133F"/>
    <w:rsid w:val="00DE176F"/>
    <w:rsid w:val="00DE188E"/>
    <w:rsid w:val="00DE2340"/>
    <w:rsid w:val="00DE274E"/>
    <w:rsid w:val="00DE2C19"/>
    <w:rsid w:val="00DE2D2A"/>
    <w:rsid w:val="00DE31D5"/>
    <w:rsid w:val="00DE37D5"/>
    <w:rsid w:val="00DE392A"/>
    <w:rsid w:val="00DE392D"/>
    <w:rsid w:val="00DE425A"/>
    <w:rsid w:val="00DE43D2"/>
    <w:rsid w:val="00DE473D"/>
    <w:rsid w:val="00DE4F41"/>
    <w:rsid w:val="00DE5BEC"/>
    <w:rsid w:val="00DE5D67"/>
    <w:rsid w:val="00DE6553"/>
    <w:rsid w:val="00DE65F3"/>
    <w:rsid w:val="00DE6636"/>
    <w:rsid w:val="00DE6B94"/>
    <w:rsid w:val="00DE6BF0"/>
    <w:rsid w:val="00DE70B3"/>
    <w:rsid w:val="00DE78C6"/>
    <w:rsid w:val="00DE7A75"/>
    <w:rsid w:val="00DE7B01"/>
    <w:rsid w:val="00DF0B56"/>
    <w:rsid w:val="00DF1141"/>
    <w:rsid w:val="00DF136E"/>
    <w:rsid w:val="00DF1C05"/>
    <w:rsid w:val="00DF223E"/>
    <w:rsid w:val="00DF3AD4"/>
    <w:rsid w:val="00DF3D09"/>
    <w:rsid w:val="00DF4248"/>
    <w:rsid w:val="00DF46AA"/>
    <w:rsid w:val="00DF47D3"/>
    <w:rsid w:val="00DF4D0B"/>
    <w:rsid w:val="00DF4D56"/>
    <w:rsid w:val="00DF61CC"/>
    <w:rsid w:val="00DF644D"/>
    <w:rsid w:val="00DF7381"/>
    <w:rsid w:val="00DF73F4"/>
    <w:rsid w:val="00DF75CF"/>
    <w:rsid w:val="00DF7673"/>
    <w:rsid w:val="00DF771C"/>
    <w:rsid w:val="00E002E7"/>
    <w:rsid w:val="00E010E3"/>
    <w:rsid w:val="00E01632"/>
    <w:rsid w:val="00E01672"/>
    <w:rsid w:val="00E019D8"/>
    <w:rsid w:val="00E028BB"/>
    <w:rsid w:val="00E03B25"/>
    <w:rsid w:val="00E03F1F"/>
    <w:rsid w:val="00E0443D"/>
    <w:rsid w:val="00E0498F"/>
    <w:rsid w:val="00E0525E"/>
    <w:rsid w:val="00E0576D"/>
    <w:rsid w:val="00E058F2"/>
    <w:rsid w:val="00E05EC3"/>
    <w:rsid w:val="00E06774"/>
    <w:rsid w:val="00E06A1A"/>
    <w:rsid w:val="00E06E21"/>
    <w:rsid w:val="00E06E79"/>
    <w:rsid w:val="00E079DD"/>
    <w:rsid w:val="00E07A88"/>
    <w:rsid w:val="00E10E9E"/>
    <w:rsid w:val="00E11500"/>
    <w:rsid w:val="00E11B9C"/>
    <w:rsid w:val="00E12A06"/>
    <w:rsid w:val="00E14509"/>
    <w:rsid w:val="00E1458B"/>
    <w:rsid w:val="00E14B42"/>
    <w:rsid w:val="00E14FD1"/>
    <w:rsid w:val="00E151CE"/>
    <w:rsid w:val="00E153D5"/>
    <w:rsid w:val="00E16AA8"/>
    <w:rsid w:val="00E16C7B"/>
    <w:rsid w:val="00E1703B"/>
    <w:rsid w:val="00E175A6"/>
    <w:rsid w:val="00E2161A"/>
    <w:rsid w:val="00E224DB"/>
    <w:rsid w:val="00E23A97"/>
    <w:rsid w:val="00E23FD4"/>
    <w:rsid w:val="00E2555C"/>
    <w:rsid w:val="00E257C9"/>
    <w:rsid w:val="00E25848"/>
    <w:rsid w:val="00E26563"/>
    <w:rsid w:val="00E265C5"/>
    <w:rsid w:val="00E26889"/>
    <w:rsid w:val="00E26AC5"/>
    <w:rsid w:val="00E272DF"/>
    <w:rsid w:val="00E279AE"/>
    <w:rsid w:val="00E27F3D"/>
    <w:rsid w:val="00E30890"/>
    <w:rsid w:val="00E30AAA"/>
    <w:rsid w:val="00E30D2E"/>
    <w:rsid w:val="00E31352"/>
    <w:rsid w:val="00E31356"/>
    <w:rsid w:val="00E316FC"/>
    <w:rsid w:val="00E32217"/>
    <w:rsid w:val="00E3261E"/>
    <w:rsid w:val="00E32F66"/>
    <w:rsid w:val="00E331B1"/>
    <w:rsid w:val="00E3410A"/>
    <w:rsid w:val="00E347DC"/>
    <w:rsid w:val="00E3530A"/>
    <w:rsid w:val="00E35B36"/>
    <w:rsid w:val="00E36B9C"/>
    <w:rsid w:val="00E3777C"/>
    <w:rsid w:val="00E37A13"/>
    <w:rsid w:val="00E37FD6"/>
    <w:rsid w:val="00E40C86"/>
    <w:rsid w:val="00E40F65"/>
    <w:rsid w:val="00E41D46"/>
    <w:rsid w:val="00E41EEE"/>
    <w:rsid w:val="00E4206E"/>
    <w:rsid w:val="00E430C1"/>
    <w:rsid w:val="00E43C88"/>
    <w:rsid w:val="00E43ECF"/>
    <w:rsid w:val="00E44280"/>
    <w:rsid w:val="00E4434D"/>
    <w:rsid w:val="00E445D0"/>
    <w:rsid w:val="00E45681"/>
    <w:rsid w:val="00E45890"/>
    <w:rsid w:val="00E4615D"/>
    <w:rsid w:val="00E4684F"/>
    <w:rsid w:val="00E469EF"/>
    <w:rsid w:val="00E4762D"/>
    <w:rsid w:val="00E47DE8"/>
    <w:rsid w:val="00E47F62"/>
    <w:rsid w:val="00E516AF"/>
    <w:rsid w:val="00E51B5D"/>
    <w:rsid w:val="00E5262B"/>
    <w:rsid w:val="00E53EAB"/>
    <w:rsid w:val="00E54F47"/>
    <w:rsid w:val="00E557F4"/>
    <w:rsid w:val="00E55C75"/>
    <w:rsid w:val="00E56071"/>
    <w:rsid w:val="00E56238"/>
    <w:rsid w:val="00E565E0"/>
    <w:rsid w:val="00E567BE"/>
    <w:rsid w:val="00E570A5"/>
    <w:rsid w:val="00E57336"/>
    <w:rsid w:val="00E574F9"/>
    <w:rsid w:val="00E57850"/>
    <w:rsid w:val="00E60EDD"/>
    <w:rsid w:val="00E617F4"/>
    <w:rsid w:val="00E61980"/>
    <w:rsid w:val="00E61C0A"/>
    <w:rsid w:val="00E621AC"/>
    <w:rsid w:val="00E6270F"/>
    <w:rsid w:val="00E632EF"/>
    <w:rsid w:val="00E6384D"/>
    <w:rsid w:val="00E638C0"/>
    <w:rsid w:val="00E639C6"/>
    <w:rsid w:val="00E641F2"/>
    <w:rsid w:val="00E6465B"/>
    <w:rsid w:val="00E64665"/>
    <w:rsid w:val="00E64DFD"/>
    <w:rsid w:val="00E64FCE"/>
    <w:rsid w:val="00E65991"/>
    <w:rsid w:val="00E65FB0"/>
    <w:rsid w:val="00E663F0"/>
    <w:rsid w:val="00E671D8"/>
    <w:rsid w:val="00E6776D"/>
    <w:rsid w:val="00E67B3F"/>
    <w:rsid w:val="00E67D64"/>
    <w:rsid w:val="00E700B6"/>
    <w:rsid w:val="00E707A2"/>
    <w:rsid w:val="00E7188C"/>
    <w:rsid w:val="00E72061"/>
    <w:rsid w:val="00E720A5"/>
    <w:rsid w:val="00E72129"/>
    <w:rsid w:val="00E72839"/>
    <w:rsid w:val="00E72A33"/>
    <w:rsid w:val="00E72C11"/>
    <w:rsid w:val="00E738A7"/>
    <w:rsid w:val="00E73C3C"/>
    <w:rsid w:val="00E73DE7"/>
    <w:rsid w:val="00E740AD"/>
    <w:rsid w:val="00E740C7"/>
    <w:rsid w:val="00E75355"/>
    <w:rsid w:val="00E76C97"/>
    <w:rsid w:val="00E77AB6"/>
    <w:rsid w:val="00E81140"/>
    <w:rsid w:val="00E813C4"/>
    <w:rsid w:val="00E8173F"/>
    <w:rsid w:val="00E8256E"/>
    <w:rsid w:val="00E828B3"/>
    <w:rsid w:val="00E8392E"/>
    <w:rsid w:val="00E83D39"/>
    <w:rsid w:val="00E83F09"/>
    <w:rsid w:val="00E849A0"/>
    <w:rsid w:val="00E84C85"/>
    <w:rsid w:val="00E85152"/>
    <w:rsid w:val="00E85337"/>
    <w:rsid w:val="00E85D53"/>
    <w:rsid w:val="00E86EA7"/>
    <w:rsid w:val="00E8740E"/>
    <w:rsid w:val="00E87572"/>
    <w:rsid w:val="00E87E2C"/>
    <w:rsid w:val="00E905B6"/>
    <w:rsid w:val="00E9106D"/>
    <w:rsid w:val="00E914FC"/>
    <w:rsid w:val="00E918C6"/>
    <w:rsid w:val="00E9234D"/>
    <w:rsid w:val="00E92F72"/>
    <w:rsid w:val="00E93455"/>
    <w:rsid w:val="00E93F3D"/>
    <w:rsid w:val="00E94289"/>
    <w:rsid w:val="00E94E68"/>
    <w:rsid w:val="00E9500E"/>
    <w:rsid w:val="00E95658"/>
    <w:rsid w:val="00E96077"/>
    <w:rsid w:val="00E96635"/>
    <w:rsid w:val="00E967BF"/>
    <w:rsid w:val="00E973DA"/>
    <w:rsid w:val="00E97524"/>
    <w:rsid w:val="00E97562"/>
    <w:rsid w:val="00E9787C"/>
    <w:rsid w:val="00EA0076"/>
    <w:rsid w:val="00EA0673"/>
    <w:rsid w:val="00EA06FD"/>
    <w:rsid w:val="00EA076B"/>
    <w:rsid w:val="00EA0EF3"/>
    <w:rsid w:val="00EA18F5"/>
    <w:rsid w:val="00EA25D9"/>
    <w:rsid w:val="00EA2F6D"/>
    <w:rsid w:val="00EA3494"/>
    <w:rsid w:val="00EA36B6"/>
    <w:rsid w:val="00EA41F0"/>
    <w:rsid w:val="00EA49F6"/>
    <w:rsid w:val="00EA56C1"/>
    <w:rsid w:val="00EA5C42"/>
    <w:rsid w:val="00EA5CA6"/>
    <w:rsid w:val="00EA5FC4"/>
    <w:rsid w:val="00EA6028"/>
    <w:rsid w:val="00EA6179"/>
    <w:rsid w:val="00EA713F"/>
    <w:rsid w:val="00EA7405"/>
    <w:rsid w:val="00EB07BF"/>
    <w:rsid w:val="00EB0B08"/>
    <w:rsid w:val="00EB0B3C"/>
    <w:rsid w:val="00EB10D8"/>
    <w:rsid w:val="00EB1254"/>
    <w:rsid w:val="00EB142D"/>
    <w:rsid w:val="00EB1589"/>
    <w:rsid w:val="00EB1CC4"/>
    <w:rsid w:val="00EB3AEC"/>
    <w:rsid w:val="00EB49C7"/>
    <w:rsid w:val="00EB5518"/>
    <w:rsid w:val="00EB6051"/>
    <w:rsid w:val="00EB613B"/>
    <w:rsid w:val="00EB6496"/>
    <w:rsid w:val="00EB72E7"/>
    <w:rsid w:val="00EB7476"/>
    <w:rsid w:val="00EB7569"/>
    <w:rsid w:val="00EB796D"/>
    <w:rsid w:val="00EC06C6"/>
    <w:rsid w:val="00EC0FF4"/>
    <w:rsid w:val="00EC107E"/>
    <w:rsid w:val="00EC11FE"/>
    <w:rsid w:val="00EC148A"/>
    <w:rsid w:val="00EC1803"/>
    <w:rsid w:val="00EC2803"/>
    <w:rsid w:val="00EC3202"/>
    <w:rsid w:val="00EC390C"/>
    <w:rsid w:val="00EC4944"/>
    <w:rsid w:val="00EC71E0"/>
    <w:rsid w:val="00ED0C4D"/>
    <w:rsid w:val="00ED111B"/>
    <w:rsid w:val="00ED1786"/>
    <w:rsid w:val="00ED244E"/>
    <w:rsid w:val="00ED2C8D"/>
    <w:rsid w:val="00ED2D74"/>
    <w:rsid w:val="00ED2EEF"/>
    <w:rsid w:val="00ED3910"/>
    <w:rsid w:val="00ED3B2C"/>
    <w:rsid w:val="00ED3C8C"/>
    <w:rsid w:val="00ED3ED7"/>
    <w:rsid w:val="00ED3EEB"/>
    <w:rsid w:val="00ED414A"/>
    <w:rsid w:val="00ED4189"/>
    <w:rsid w:val="00ED4455"/>
    <w:rsid w:val="00ED457B"/>
    <w:rsid w:val="00ED5821"/>
    <w:rsid w:val="00ED64D9"/>
    <w:rsid w:val="00ED667C"/>
    <w:rsid w:val="00ED6F8E"/>
    <w:rsid w:val="00ED76CB"/>
    <w:rsid w:val="00ED79A9"/>
    <w:rsid w:val="00ED7AE1"/>
    <w:rsid w:val="00EE1126"/>
    <w:rsid w:val="00EE2042"/>
    <w:rsid w:val="00EE2F1E"/>
    <w:rsid w:val="00EE3279"/>
    <w:rsid w:val="00EE35B6"/>
    <w:rsid w:val="00EE3B25"/>
    <w:rsid w:val="00EE41F3"/>
    <w:rsid w:val="00EE4A69"/>
    <w:rsid w:val="00EE4B79"/>
    <w:rsid w:val="00EE4EF5"/>
    <w:rsid w:val="00EE553D"/>
    <w:rsid w:val="00EE59FF"/>
    <w:rsid w:val="00EE601D"/>
    <w:rsid w:val="00EE6249"/>
    <w:rsid w:val="00EE6B28"/>
    <w:rsid w:val="00EE7BDF"/>
    <w:rsid w:val="00EE7CC5"/>
    <w:rsid w:val="00EF05C0"/>
    <w:rsid w:val="00EF05FB"/>
    <w:rsid w:val="00EF06B7"/>
    <w:rsid w:val="00EF08FE"/>
    <w:rsid w:val="00EF1CD3"/>
    <w:rsid w:val="00EF3F4C"/>
    <w:rsid w:val="00EF4834"/>
    <w:rsid w:val="00EF5B8C"/>
    <w:rsid w:val="00EF5F5C"/>
    <w:rsid w:val="00EF6253"/>
    <w:rsid w:val="00EF62AC"/>
    <w:rsid w:val="00EF7B69"/>
    <w:rsid w:val="00F01241"/>
    <w:rsid w:val="00F01318"/>
    <w:rsid w:val="00F01418"/>
    <w:rsid w:val="00F0286A"/>
    <w:rsid w:val="00F0298D"/>
    <w:rsid w:val="00F02A5D"/>
    <w:rsid w:val="00F02F3A"/>
    <w:rsid w:val="00F030AF"/>
    <w:rsid w:val="00F033D8"/>
    <w:rsid w:val="00F0358F"/>
    <w:rsid w:val="00F0457F"/>
    <w:rsid w:val="00F047A8"/>
    <w:rsid w:val="00F04BBF"/>
    <w:rsid w:val="00F04F67"/>
    <w:rsid w:val="00F050B5"/>
    <w:rsid w:val="00F0594D"/>
    <w:rsid w:val="00F06684"/>
    <w:rsid w:val="00F06B7A"/>
    <w:rsid w:val="00F06B7B"/>
    <w:rsid w:val="00F0780C"/>
    <w:rsid w:val="00F11115"/>
    <w:rsid w:val="00F112F6"/>
    <w:rsid w:val="00F1135C"/>
    <w:rsid w:val="00F11A6D"/>
    <w:rsid w:val="00F11CCE"/>
    <w:rsid w:val="00F12A1F"/>
    <w:rsid w:val="00F12A44"/>
    <w:rsid w:val="00F12F2C"/>
    <w:rsid w:val="00F141D6"/>
    <w:rsid w:val="00F151E5"/>
    <w:rsid w:val="00F16616"/>
    <w:rsid w:val="00F167BD"/>
    <w:rsid w:val="00F17282"/>
    <w:rsid w:val="00F1779C"/>
    <w:rsid w:val="00F17983"/>
    <w:rsid w:val="00F20416"/>
    <w:rsid w:val="00F207D3"/>
    <w:rsid w:val="00F20A62"/>
    <w:rsid w:val="00F212BC"/>
    <w:rsid w:val="00F2262A"/>
    <w:rsid w:val="00F229BA"/>
    <w:rsid w:val="00F230E5"/>
    <w:rsid w:val="00F24081"/>
    <w:rsid w:val="00F2474A"/>
    <w:rsid w:val="00F24A39"/>
    <w:rsid w:val="00F24FAF"/>
    <w:rsid w:val="00F25616"/>
    <w:rsid w:val="00F257FA"/>
    <w:rsid w:val="00F25CEE"/>
    <w:rsid w:val="00F25F5F"/>
    <w:rsid w:val="00F26066"/>
    <w:rsid w:val="00F26180"/>
    <w:rsid w:val="00F2636C"/>
    <w:rsid w:val="00F266B0"/>
    <w:rsid w:val="00F27270"/>
    <w:rsid w:val="00F27672"/>
    <w:rsid w:val="00F30191"/>
    <w:rsid w:val="00F30FDF"/>
    <w:rsid w:val="00F315EA"/>
    <w:rsid w:val="00F316C8"/>
    <w:rsid w:val="00F31A65"/>
    <w:rsid w:val="00F32AF3"/>
    <w:rsid w:val="00F336F3"/>
    <w:rsid w:val="00F34A0D"/>
    <w:rsid w:val="00F34C8C"/>
    <w:rsid w:val="00F34FA0"/>
    <w:rsid w:val="00F352A7"/>
    <w:rsid w:val="00F3539C"/>
    <w:rsid w:val="00F37762"/>
    <w:rsid w:val="00F410C2"/>
    <w:rsid w:val="00F41AEF"/>
    <w:rsid w:val="00F41D23"/>
    <w:rsid w:val="00F42685"/>
    <w:rsid w:val="00F429E6"/>
    <w:rsid w:val="00F42A96"/>
    <w:rsid w:val="00F43D2E"/>
    <w:rsid w:val="00F4579B"/>
    <w:rsid w:val="00F45A50"/>
    <w:rsid w:val="00F45C67"/>
    <w:rsid w:val="00F46A17"/>
    <w:rsid w:val="00F4722E"/>
    <w:rsid w:val="00F47583"/>
    <w:rsid w:val="00F506DE"/>
    <w:rsid w:val="00F511E6"/>
    <w:rsid w:val="00F51235"/>
    <w:rsid w:val="00F52372"/>
    <w:rsid w:val="00F53FD3"/>
    <w:rsid w:val="00F55142"/>
    <w:rsid w:val="00F55215"/>
    <w:rsid w:val="00F55688"/>
    <w:rsid w:val="00F55C3B"/>
    <w:rsid w:val="00F55E44"/>
    <w:rsid w:val="00F5661C"/>
    <w:rsid w:val="00F56C3E"/>
    <w:rsid w:val="00F56F74"/>
    <w:rsid w:val="00F57C96"/>
    <w:rsid w:val="00F60692"/>
    <w:rsid w:val="00F60C14"/>
    <w:rsid w:val="00F60F8C"/>
    <w:rsid w:val="00F61BE2"/>
    <w:rsid w:val="00F61FE9"/>
    <w:rsid w:val="00F627CE"/>
    <w:rsid w:val="00F62A8E"/>
    <w:rsid w:val="00F62AF9"/>
    <w:rsid w:val="00F630D5"/>
    <w:rsid w:val="00F63243"/>
    <w:rsid w:val="00F63368"/>
    <w:rsid w:val="00F633FB"/>
    <w:rsid w:val="00F63F28"/>
    <w:rsid w:val="00F64881"/>
    <w:rsid w:val="00F6573E"/>
    <w:rsid w:val="00F65B84"/>
    <w:rsid w:val="00F660A4"/>
    <w:rsid w:val="00F66787"/>
    <w:rsid w:val="00F66ADA"/>
    <w:rsid w:val="00F670F9"/>
    <w:rsid w:val="00F673A9"/>
    <w:rsid w:val="00F70CBF"/>
    <w:rsid w:val="00F70E73"/>
    <w:rsid w:val="00F70FDD"/>
    <w:rsid w:val="00F71287"/>
    <w:rsid w:val="00F71813"/>
    <w:rsid w:val="00F718E8"/>
    <w:rsid w:val="00F7195E"/>
    <w:rsid w:val="00F719B5"/>
    <w:rsid w:val="00F7201C"/>
    <w:rsid w:val="00F72306"/>
    <w:rsid w:val="00F7261E"/>
    <w:rsid w:val="00F728E3"/>
    <w:rsid w:val="00F72BE4"/>
    <w:rsid w:val="00F72E97"/>
    <w:rsid w:val="00F73A60"/>
    <w:rsid w:val="00F74DE5"/>
    <w:rsid w:val="00F75019"/>
    <w:rsid w:val="00F7525E"/>
    <w:rsid w:val="00F7553E"/>
    <w:rsid w:val="00F75987"/>
    <w:rsid w:val="00F75E22"/>
    <w:rsid w:val="00F75ED1"/>
    <w:rsid w:val="00F75EE9"/>
    <w:rsid w:val="00F77377"/>
    <w:rsid w:val="00F80351"/>
    <w:rsid w:val="00F805F1"/>
    <w:rsid w:val="00F81207"/>
    <w:rsid w:val="00F817B8"/>
    <w:rsid w:val="00F818BB"/>
    <w:rsid w:val="00F821C8"/>
    <w:rsid w:val="00F82230"/>
    <w:rsid w:val="00F82AC5"/>
    <w:rsid w:val="00F83F0E"/>
    <w:rsid w:val="00F84463"/>
    <w:rsid w:val="00F855DC"/>
    <w:rsid w:val="00F858FA"/>
    <w:rsid w:val="00F85E2A"/>
    <w:rsid w:val="00F872B4"/>
    <w:rsid w:val="00F875E7"/>
    <w:rsid w:val="00F90728"/>
    <w:rsid w:val="00F90B0F"/>
    <w:rsid w:val="00F91EA4"/>
    <w:rsid w:val="00F9285B"/>
    <w:rsid w:val="00F92917"/>
    <w:rsid w:val="00F93567"/>
    <w:rsid w:val="00F93C68"/>
    <w:rsid w:val="00F94CFB"/>
    <w:rsid w:val="00F95BA8"/>
    <w:rsid w:val="00F96670"/>
    <w:rsid w:val="00F967D9"/>
    <w:rsid w:val="00F97782"/>
    <w:rsid w:val="00F97F70"/>
    <w:rsid w:val="00FA00FD"/>
    <w:rsid w:val="00FA09D0"/>
    <w:rsid w:val="00FA130F"/>
    <w:rsid w:val="00FA2391"/>
    <w:rsid w:val="00FA26F2"/>
    <w:rsid w:val="00FA2BBD"/>
    <w:rsid w:val="00FA2FFF"/>
    <w:rsid w:val="00FA34F2"/>
    <w:rsid w:val="00FA3C0A"/>
    <w:rsid w:val="00FA3CC5"/>
    <w:rsid w:val="00FA4377"/>
    <w:rsid w:val="00FA4EE4"/>
    <w:rsid w:val="00FA50E7"/>
    <w:rsid w:val="00FA560D"/>
    <w:rsid w:val="00FA5B0B"/>
    <w:rsid w:val="00FA6025"/>
    <w:rsid w:val="00FA626A"/>
    <w:rsid w:val="00FA6278"/>
    <w:rsid w:val="00FA6568"/>
    <w:rsid w:val="00FA723F"/>
    <w:rsid w:val="00FA7B95"/>
    <w:rsid w:val="00FB1257"/>
    <w:rsid w:val="00FB1861"/>
    <w:rsid w:val="00FB4858"/>
    <w:rsid w:val="00FB4B40"/>
    <w:rsid w:val="00FB5430"/>
    <w:rsid w:val="00FB66C9"/>
    <w:rsid w:val="00FB6728"/>
    <w:rsid w:val="00FB7610"/>
    <w:rsid w:val="00FC0B9B"/>
    <w:rsid w:val="00FC128F"/>
    <w:rsid w:val="00FC16E4"/>
    <w:rsid w:val="00FC1738"/>
    <w:rsid w:val="00FC1A4E"/>
    <w:rsid w:val="00FC2A3C"/>
    <w:rsid w:val="00FC3593"/>
    <w:rsid w:val="00FC37AF"/>
    <w:rsid w:val="00FC3C28"/>
    <w:rsid w:val="00FC448A"/>
    <w:rsid w:val="00FC59D2"/>
    <w:rsid w:val="00FC5F18"/>
    <w:rsid w:val="00FC6031"/>
    <w:rsid w:val="00FD086A"/>
    <w:rsid w:val="00FD11DC"/>
    <w:rsid w:val="00FD16F7"/>
    <w:rsid w:val="00FD1BB1"/>
    <w:rsid w:val="00FD210C"/>
    <w:rsid w:val="00FD2364"/>
    <w:rsid w:val="00FD3132"/>
    <w:rsid w:val="00FD338F"/>
    <w:rsid w:val="00FD33A1"/>
    <w:rsid w:val="00FD42E4"/>
    <w:rsid w:val="00FD466F"/>
    <w:rsid w:val="00FD4A3B"/>
    <w:rsid w:val="00FD4D1D"/>
    <w:rsid w:val="00FD5ABA"/>
    <w:rsid w:val="00FD5AC5"/>
    <w:rsid w:val="00FD6AC4"/>
    <w:rsid w:val="00FD7C4D"/>
    <w:rsid w:val="00FE012D"/>
    <w:rsid w:val="00FE04B9"/>
    <w:rsid w:val="00FE09A4"/>
    <w:rsid w:val="00FE0ECE"/>
    <w:rsid w:val="00FE0FE8"/>
    <w:rsid w:val="00FE1286"/>
    <w:rsid w:val="00FE1574"/>
    <w:rsid w:val="00FE190F"/>
    <w:rsid w:val="00FE1AC4"/>
    <w:rsid w:val="00FE1ACA"/>
    <w:rsid w:val="00FE233C"/>
    <w:rsid w:val="00FE3726"/>
    <w:rsid w:val="00FE412F"/>
    <w:rsid w:val="00FE4187"/>
    <w:rsid w:val="00FE42B1"/>
    <w:rsid w:val="00FE442A"/>
    <w:rsid w:val="00FE48B3"/>
    <w:rsid w:val="00FE5186"/>
    <w:rsid w:val="00FE5330"/>
    <w:rsid w:val="00FE6089"/>
    <w:rsid w:val="00FE6865"/>
    <w:rsid w:val="00FE6E70"/>
    <w:rsid w:val="00FE7276"/>
    <w:rsid w:val="00FE7F91"/>
    <w:rsid w:val="00FF0327"/>
    <w:rsid w:val="00FF1498"/>
    <w:rsid w:val="00FF2AE4"/>
    <w:rsid w:val="00FF2E42"/>
    <w:rsid w:val="00FF35DE"/>
    <w:rsid w:val="00FF461B"/>
    <w:rsid w:val="00FF4778"/>
    <w:rsid w:val="00FF499A"/>
    <w:rsid w:val="00FF5916"/>
    <w:rsid w:val="00FF62AB"/>
    <w:rsid w:val="00FF68DB"/>
    <w:rsid w:val="00FF6B54"/>
    <w:rsid w:val="00FF6E60"/>
    <w:rsid w:val="00FF7E78"/>
    <w:rsid w:val="012810B4"/>
    <w:rsid w:val="020973B2"/>
    <w:rsid w:val="02420ADE"/>
    <w:rsid w:val="0257431F"/>
    <w:rsid w:val="02996215"/>
    <w:rsid w:val="0355107A"/>
    <w:rsid w:val="03A07194"/>
    <w:rsid w:val="041C1CA5"/>
    <w:rsid w:val="04680E89"/>
    <w:rsid w:val="05C435DE"/>
    <w:rsid w:val="07171CDE"/>
    <w:rsid w:val="07867152"/>
    <w:rsid w:val="07AF2476"/>
    <w:rsid w:val="08D148FF"/>
    <w:rsid w:val="09734CFB"/>
    <w:rsid w:val="09AE70DF"/>
    <w:rsid w:val="09B00525"/>
    <w:rsid w:val="0B4A199E"/>
    <w:rsid w:val="0BE659E2"/>
    <w:rsid w:val="0C356192"/>
    <w:rsid w:val="0CC0612F"/>
    <w:rsid w:val="0CEC6797"/>
    <w:rsid w:val="0D3E69B6"/>
    <w:rsid w:val="0DB932A1"/>
    <w:rsid w:val="0E153A8D"/>
    <w:rsid w:val="0E22315D"/>
    <w:rsid w:val="0F396579"/>
    <w:rsid w:val="107A4B8C"/>
    <w:rsid w:val="10C75320"/>
    <w:rsid w:val="11124E54"/>
    <w:rsid w:val="116E0B85"/>
    <w:rsid w:val="128C27BE"/>
    <w:rsid w:val="12A8554F"/>
    <w:rsid w:val="12BC47BA"/>
    <w:rsid w:val="138864DF"/>
    <w:rsid w:val="13DA10E8"/>
    <w:rsid w:val="14332A8A"/>
    <w:rsid w:val="14784EEC"/>
    <w:rsid w:val="14BF4B42"/>
    <w:rsid w:val="1514773F"/>
    <w:rsid w:val="16575211"/>
    <w:rsid w:val="16B51CB8"/>
    <w:rsid w:val="171139DC"/>
    <w:rsid w:val="17D36360"/>
    <w:rsid w:val="19F91A8D"/>
    <w:rsid w:val="1AEE056F"/>
    <w:rsid w:val="1BD24850"/>
    <w:rsid w:val="1CFF67BA"/>
    <w:rsid w:val="1D026EB5"/>
    <w:rsid w:val="1D753EA5"/>
    <w:rsid w:val="1DF24184"/>
    <w:rsid w:val="1E5E1CC8"/>
    <w:rsid w:val="1EAA513A"/>
    <w:rsid w:val="1F307F51"/>
    <w:rsid w:val="1F343E8E"/>
    <w:rsid w:val="1F3B2AEE"/>
    <w:rsid w:val="1F4E2720"/>
    <w:rsid w:val="206B5000"/>
    <w:rsid w:val="20A978E5"/>
    <w:rsid w:val="20DE79C9"/>
    <w:rsid w:val="211C18D3"/>
    <w:rsid w:val="22890F9D"/>
    <w:rsid w:val="22D1393F"/>
    <w:rsid w:val="23CF40D2"/>
    <w:rsid w:val="25414991"/>
    <w:rsid w:val="2559365B"/>
    <w:rsid w:val="25893218"/>
    <w:rsid w:val="258B4285"/>
    <w:rsid w:val="264F594F"/>
    <w:rsid w:val="265E7050"/>
    <w:rsid w:val="27236D0A"/>
    <w:rsid w:val="278A1E8F"/>
    <w:rsid w:val="27CD68E9"/>
    <w:rsid w:val="28B07762"/>
    <w:rsid w:val="29104600"/>
    <w:rsid w:val="29B342C2"/>
    <w:rsid w:val="2B435391"/>
    <w:rsid w:val="2B9A2EEA"/>
    <w:rsid w:val="2C097DD5"/>
    <w:rsid w:val="2CA0786A"/>
    <w:rsid w:val="2CD33B74"/>
    <w:rsid w:val="2D3405D7"/>
    <w:rsid w:val="2D455DD5"/>
    <w:rsid w:val="2FED7B1D"/>
    <w:rsid w:val="30933893"/>
    <w:rsid w:val="31735D41"/>
    <w:rsid w:val="318D2A68"/>
    <w:rsid w:val="320539C1"/>
    <w:rsid w:val="33761C48"/>
    <w:rsid w:val="35282B84"/>
    <w:rsid w:val="35750805"/>
    <w:rsid w:val="3823070E"/>
    <w:rsid w:val="38764BBE"/>
    <w:rsid w:val="394100C2"/>
    <w:rsid w:val="39CB68B2"/>
    <w:rsid w:val="3A8B66F3"/>
    <w:rsid w:val="3A905DDD"/>
    <w:rsid w:val="3AB51F0F"/>
    <w:rsid w:val="3BFC3F31"/>
    <w:rsid w:val="3C504A40"/>
    <w:rsid w:val="3C983DC9"/>
    <w:rsid w:val="3D030CFF"/>
    <w:rsid w:val="3D4B4B03"/>
    <w:rsid w:val="3D5329A8"/>
    <w:rsid w:val="3E0C0E38"/>
    <w:rsid w:val="3E785CB5"/>
    <w:rsid w:val="3EA10992"/>
    <w:rsid w:val="3ECF4D3F"/>
    <w:rsid w:val="3EE00FB0"/>
    <w:rsid w:val="3F8755E2"/>
    <w:rsid w:val="423A1CFE"/>
    <w:rsid w:val="44472E5D"/>
    <w:rsid w:val="44817EF1"/>
    <w:rsid w:val="44A93802"/>
    <w:rsid w:val="44BA16A8"/>
    <w:rsid w:val="453E182A"/>
    <w:rsid w:val="461A38AB"/>
    <w:rsid w:val="47C13ECC"/>
    <w:rsid w:val="490376DA"/>
    <w:rsid w:val="4B792496"/>
    <w:rsid w:val="4D19055F"/>
    <w:rsid w:val="4F7108E5"/>
    <w:rsid w:val="50854D3E"/>
    <w:rsid w:val="518640A1"/>
    <w:rsid w:val="51A43D7F"/>
    <w:rsid w:val="51F20FF0"/>
    <w:rsid w:val="53A6604C"/>
    <w:rsid w:val="54EE5950"/>
    <w:rsid w:val="555E63A7"/>
    <w:rsid w:val="55933C4F"/>
    <w:rsid w:val="55AE42C6"/>
    <w:rsid w:val="569D67A6"/>
    <w:rsid w:val="572067E0"/>
    <w:rsid w:val="576065B6"/>
    <w:rsid w:val="58174B4E"/>
    <w:rsid w:val="5824402A"/>
    <w:rsid w:val="58284613"/>
    <w:rsid w:val="586918E0"/>
    <w:rsid w:val="58C87DC4"/>
    <w:rsid w:val="59007F06"/>
    <w:rsid w:val="59391628"/>
    <w:rsid w:val="5A193755"/>
    <w:rsid w:val="5A7C4A31"/>
    <w:rsid w:val="5BA74225"/>
    <w:rsid w:val="5C67342A"/>
    <w:rsid w:val="5D0D734F"/>
    <w:rsid w:val="5D2F7C3B"/>
    <w:rsid w:val="60214EAC"/>
    <w:rsid w:val="60BC4873"/>
    <w:rsid w:val="61B64987"/>
    <w:rsid w:val="61B92EF2"/>
    <w:rsid w:val="62B53C65"/>
    <w:rsid w:val="64036830"/>
    <w:rsid w:val="64084EDF"/>
    <w:rsid w:val="65334F3C"/>
    <w:rsid w:val="653E1E49"/>
    <w:rsid w:val="66405FB1"/>
    <w:rsid w:val="671949E3"/>
    <w:rsid w:val="677F1091"/>
    <w:rsid w:val="69717C33"/>
    <w:rsid w:val="6B117A57"/>
    <w:rsid w:val="6B381523"/>
    <w:rsid w:val="6D27682B"/>
    <w:rsid w:val="6D697D7D"/>
    <w:rsid w:val="6F362ABA"/>
    <w:rsid w:val="6F485B6C"/>
    <w:rsid w:val="71773EE0"/>
    <w:rsid w:val="71EB494C"/>
    <w:rsid w:val="726C5F50"/>
    <w:rsid w:val="742A6881"/>
    <w:rsid w:val="743A1094"/>
    <w:rsid w:val="74AD527D"/>
    <w:rsid w:val="74ED5D4A"/>
    <w:rsid w:val="756866FA"/>
    <w:rsid w:val="75DF67DE"/>
    <w:rsid w:val="76E56BC4"/>
    <w:rsid w:val="774B2922"/>
    <w:rsid w:val="77C60453"/>
    <w:rsid w:val="77E51C87"/>
    <w:rsid w:val="784E4F3F"/>
    <w:rsid w:val="78FA4A70"/>
    <w:rsid w:val="7940316B"/>
    <w:rsid w:val="79CA2533"/>
    <w:rsid w:val="7A4A432D"/>
    <w:rsid w:val="7A871524"/>
    <w:rsid w:val="7C9D00CF"/>
    <w:rsid w:val="7DED7549"/>
    <w:rsid w:val="7E612224"/>
    <w:rsid w:val="7F572F2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60" w:lineRule="exact"/>
      <w:ind w:firstLine="200" w:firstLineChars="200"/>
      <w:outlineLvl w:val="0"/>
    </w:pPr>
    <w:rPr>
      <w:b/>
      <w:bCs/>
      <w:kern w:val="44"/>
      <w:sz w:val="44"/>
      <w:szCs w:val="44"/>
    </w:rPr>
  </w:style>
  <w:style w:type="paragraph" w:styleId="4">
    <w:name w:val="heading 2"/>
    <w:basedOn w:val="1"/>
    <w:next w:val="1"/>
    <w:qFormat/>
    <w:uiPriority w:val="0"/>
    <w:pPr>
      <w:spacing w:before="260" w:after="260" w:line="415" w:lineRule="auto"/>
      <w:outlineLvl w:val="1"/>
    </w:pPr>
    <w:rPr>
      <w:rFonts w:ascii="Arial" w:hAnsi="Arial" w:eastAsia="黑体"/>
      <w:b/>
      <w:bCs/>
      <w:sz w:val="32"/>
      <w:szCs w:val="32"/>
    </w:rPr>
  </w:style>
  <w:style w:type="paragraph" w:styleId="5">
    <w:name w:val="heading 3"/>
    <w:basedOn w:val="1"/>
    <w:next w:val="1"/>
    <w:link w:val="44"/>
    <w:qFormat/>
    <w:uiPriority w:val="0"/>
    <w:pPr>
      <w:keepNext/>
      <w:keepLines/>
      <w:spacing w:before="260" w:beforeLines="0" w:after="260" w:afterLines="0" w:line="415" w:lineRule="auto"/>
      <w:outlineLvl w:val="2"/>
    </w:pPr>
    <w:rPr>
      <w:rFonts w:eastAsia="仿宋_GB2312"/>
      <w:bCs/>
      <w:sz w:val="28"/>
      <w:szCs w:val="32"/>
    </w:rPr>
  </w:style>
  <w:style w:type="paragraph" w:styleId="6">
    <w:name w:val="heading 4"/>
    <w:basedOn w:val="1"/>
    <w:next w:val="1"/>
    <w:qFormat/>
    <w:uiPriority w:val="0"/>
    <w:pPr>
      <w:keepNext/>
      <w:keepLines/>
      <w:spacing w:before="280" w:beforeLines="0" w:after="290" w:afterLines="0" w:line="374" w:lineRule="auto"/>
      <w:outlineLvl w:val="3"/>
    </w:pPr>
    <w:rPr>
      <w:rFonts w:ascii="Arial" w:hAnsi="Arial" w:eastAsia="黑体"/>
      <w:b/>
      <w:bCs/>
      <w:sz w:val="28"/>
      <w:szCs w:val="28"/>
    </w:rPr>
  </w:style>
  <w:style w:type="character" w:default="1" w:styleId="36">
    <w:name w:val="Default Paragraph Font"/>
    <w:qFormat/>
    <w:uiPriority w:val="0"/>
  </w:style>
  <w:style w:type="table" w:default="1" w:styleId="3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仿宋" w:cs="Calibri"/>
      <w:szCs w:val="21"/>
    </w:rPr>
  </w:style>
  <w:style w:type="paragraph" w:styleId="7">
    <w:name w:val="toc 7"/>
    <w:basedOn w:val="1"/>
    <w:next w:val="1"/>
    <w:unhideWhenUsed/>
    <w:qFormat/>
    <w:uiPriority w:val="39"/>
    <w:pPr>
      <w:ind w:left="2520" w:leftChars="1200"/>
    </w:pPr>
    <w:rPr>
      <w:rFonts w:ascii="Calibri" w:hAnsi="Calibri" w:eastAsia="宋体" w:cs="Times New Roman"/>
      <w:szCs w:val="22"/>
    </w:rPr>
  </w:style>
  <w:style w:type="paragraph" w:styleId="8">
    <w:name w:val="Normal Indent"/>
    <w:basedOn w:val="1"/>
    <w:link w:val="45"/>
    <w:qFormat/>
    <w:uiPriority w:val="0"/>
    <w:pPr>
      <w:ind w:firstLine="420" w:firstLineChars="200"/>
    </w:pPr>
    <w:rPr>
      <w:sz w:val="24"/>
    </w:rPr>
  </w:style>
  <w:style w:type="paragraph" w:styleId="9">
    <w:name w:val="Document Map"/>
    <w:basedOn w:val="1"/>
    <w:qFormat/>
    <w:uiPriority w:val="0"/>
    <w:pPr>
      <w:shd w:val="clear" w:color="auto" w:fill="000080"/>
    </w:pPr>
  </w:style>
  <w:style w:type="paragraph" w:styleId="10">
    <w:name w:val="annotation text"/>
    <w:basedOn w:val="1"/>
    <w:link w:val="46"/>
    <w:qFormat/>
    <w:uiPriority w:val="0"/>
    <w:pPr>
      <w:jc w:val="left"/>
    </w:pPr>
  </w:style>
  <w:style w:type="paragraph" w:styleId="11">
    <w:name w:val="Salutation"/>
    <w:basedOn w:val="1"/>
    <w:next w:val="1"/>
    <w:qFormat/>
    <w:uiPriority w:val="0"/>
  </w:style>
  <w:style w:type="paragraph" w:styleId="12">
    <w:name w:val="Body Text"/>
    <w:basedOn w:val="1"/>
    <w:link w:val="47"/>
    <w:qFormat/>
    <w:uiPriority w:val="0"/>
    <w:pPr>
      <w:spacing w:after="120"/>
    </w:pPr>
  </w:style>
  <w:style w:type="paragraph" w:styleId="13">
    <w:name w:val="Body Text Indent"/>
    <w:basedOn w:val="1"/>
    <w:link w:val="48"/>
    <w:qFormat/>
    <w:uiPriority w:val="0"/>
    <w:pPr>
      <w:spacing w:line="360" w:lineRule="auto"/>
    </w:pPr>
    <w:rPr>
      <w:b/>
      <w:sz w:val="28"/>
      <w:szCs w:val="28"/>
    </w:rPr>
  </w:style>
  <w:style w:type="paragraph" w:styleId="14">
    <w:name w:val="Block Text"/>
    <w:basedOn w:val="1"/>
    <w:unhideWhenUsed/>
    <w:qFormat/>
    <w:uiPriority w:val="99"/>
    <w:pPr>
      <w:spacing w:after="120"/>
      <w:ind w:left="1440" w:leftChars="700" w:right="1440" w:rightChars="700"/>
    </w:pPr>
    <w:rPr>
      <w:rFonts w:eastAsia="仿宋_GB2312"/>
      <w:sz w:val="32"/>
    </w:rPr>
  </w:style>
  <w:style w:type="paragraph" w:styleId="15">
    <w:name w:val="toc 5"/>
    <w:basedOn w:val="1"/>
    <w:next w:val="1"/>
    <w:unhideWhenUsed/>
    <w:qFormat/>
    <w:uiPriority w:val="39"/>
    <w:pPr>
      <w:ind w:left="1680" w:leftChars="800"/>
    </w:pPr>
    <w:rPr>
      <w:rFonts w:ascii="Calibri" w:hAnsi="Calibri" w:eastAsia="宋体" w:cs="Times New Roman"/>
      <w:szCs w:val="22"/>
    </w:rPr>
  </w:style>
  <w:style w:type="paragraph" w:styleId="16">
    <w:name w:val="toc 3"/>
    <w:basedOn w:val="1"/>
    <w:next w:val="1"/>
    <w:qFormat/>
    <w:uiPriority w:val="39"/>
    <w:pPr>
      <w:ind w:left="840" w:leftChars="400"/>
    </w:pPr>
  </w:style>
  <w:style w:type="paragraph" w:styleId="17">
    <w:name w:val="List Bullet 5"/>
    <w:basedOn w:val="1"/>
    <w:qFormat/>
    <w:uiPriority w:val="0"/>
    <w:pPr>
      <w:numPr>
        <w:ilvl w:val="0"/>
        <w:numId w:val="1"/>
      </w:numPr>
    </w:pPr>
  </w:style>
  <w:style w:type="paragraph" w:styleId="18">
    <w:name w:val="toc 8"/>
    <w:basedOn w:val="1"/>
    <w:next w:val="1"/>
    <w:unhideWhenUsed/>
    <w:qFormat/>
    <w:uiPriority w:val="39"/>
    <w:pPr>
      <w:ind w:left="2940" w:leftChars="1400"/>
    </w:pPr>
    <w:rPr>
      <w:rFonts w:ascii="Calibri" w:hAnsi="Calibri" w:eastAsia="宋体" w:cs="Times New Roman"/>
      <w:szCs w:val="22"/>
    </w:rPr>
  </w:style>
  <w:style w:type="paragraph" w:styleId="19">
    <w:name w:val="Body Text Indent 2"/>
    <w:basedOn w:val="1"/>
    <w:qFormat/>
    <w:uiPriority w:val="0"/>
    <w:pPr>
      <w:spacing w:after="120" w:afterLines="0" w:line="480" w:lineRule="auto"/>
      <w:ind w:left="420" w:leftChars="200"/>
    </w:pPr>
  </w:style>
  <w:style w:type="paragraph" w:styleId="20">
    <w:name w:val="Balloon Text"/>
    <w:basedOn w:val="1"/>
    <w:qFormat/>
    <w:uiPriority w:val="0"/>
    <w:rPr>
      <w:sz w:val="18"/>
      <w:szCs w:val="18"/>
    </w:rPr>
  </w:style>
  <w:style w:type="paragraph" w:styleId="21">
    <w:name w:val="footer"/>
    <w:basedOn w:val="1"/>
    <w:link w:val="49"/>
    <w:qFormat/>
    <w:uiPriority w:val="99"/>
    <w:pPr>
      <w:tabs>
        <w:tab w:val="center" w:pos="4153"/>
        <w:tab w:val="right" w:pos="8306"/>
      </w:tabs>
      <w:snapToGrid w:val="0"/>
      <w:jc w:val="left"/>
    </w:pPr>
    <w:rPr>
      <w:sz w:val="18"/>
      <w:szCs w:val="18"/>
    </w:rPr>
  </w:style>
  <w:style w:type="paragraph" w:styleId="22">
    <w:name w:val="header"/>
    <w:basedOn w:val="1"/>
    <w:link w:val="50"/>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style>
  <w:style w:type="paragraph" w:styleId="24">
    <w:name w:val="toc 4"/>
    <w:basedOn w:val="1"/>
    <w:next w:val="1"/>
    <w:unhideWhenUsed/>
    <w:qFormat/>
    <w:uiPriority w:val="39"/>
    <w:pPr>
      <w:ind w:left="1260" w:leftChars="600"/>
    </w:pPr>
    <w:rPr>
      <w:rFonts w:ascii="Calibri" w:hAnsi="Calibri" w:eastAsia="宋体" w:cs="Times New Roman"/>
      <w:szCs w:val="22"/>
    </w:rPr>
  </w:style>
  <w:style w:type="paragraph" w:styleId="25">
    <w:name w:val="footnote text"/>
    <w:basedOn w:val="1"/>
    <w:link w:val="51"/>
    <w:unhideWhenUsed/>
    <w:qFormat/>
    <w:uiPriority w:val="0"/>
    <w:pPr>
      <w:snapToGrid w:val="0"/>
      <w:jc w:val="left"/>
    </w:pPr>
    <w:rPr>
      <w:rFonts w:ascii="Calibri" w:hAnsi="Calibri"/>
      <w:sz w:val="18"/>
      <w:szCs w:val="18"/>
    </w:rPr>
  </w:style>
  <w:style w:type="paragraph" w:styleId="26">
    <w:name w:val="toc 6"/>
    <w:basedOn w:val="1"/>
    <w:next w:val="1"/>
    <w:unhideWhenUsed/>
    <w:qFormat/>
    <w:uiPriority w:val="39"/>
    <w:pPr>
      <w:ind w:left="2100" w:leftChars="1000"/>
    </w:pPr>
    <w:rPr>
      <w:rFonts w:ascii="Calibri" w:hAnsi="Calibri" w:eastAsia="宋体" w:cs="Times New Roman"/>
      <w:szCs w:val="22"/>
    </w:rPr>
  </w:style>
  <w:style w:type="paragraph" w:styleId="27">
    <w:name w:val="toc 2"/>
    <w:basedOn w:val="1"/>
    <w:next w:val="1"/>
    <w:qFormat/>
    <w:uiPriority w:val="39"/>
    <w:pPr>
      <w:ind w:left="420" w:leftChars="200"/>
    </w:pPr>
  </w:style>
  <w:style w:type="paragraph" w:styleId="28">
    <w:name w:val="toc 9"/>
    <w:basedOn w:val="1"/>
    <w:next w:val="1"/>
    <w:unhideWhenUsed/>
    <w:qFormat/>
    <w:uiPriority w:val="39"/>
    <w:pPr>
      <w:ind w:left="3360" w:leftChars="1600"/>
    </w:pPr>
    <w:rPr>
      <w:rFonts w:ascii="Calibri" w:hAnsi="Calibri" w:eastAsia="宋体" w:cs="Times New Roman"/>
      <w:szCs w:val="22"/>
    </w:rPr>
  </w:style>
  <w:style w:type="paragraph" w:styleId="29">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30">
    <w:name w:val="Title"/>
    <w:basedOn w:val="1"/>
    <w:next w:val="1"/>
    <w:link w:val="52"/>
    <w:qFormat/>
    <w:uiPriority w:val="0"/>
    <w:pPr>
      <w:spacing w:before="120" w:after="120" w:line="360" w:lineRule="auto"/>
      <w:ind w:firstLine="200" w:firstLineChars="200"/>
      <w:outlineLvl w:val="2"/>
    </w:pPr>
    <w:rPr>
      <w:rFonts w:ascii="Calibri Light" w:hAnsi="Calibri Light" w:eastAsia="仿宋_GB2312"/>
      <w:b/>
      <w:bCs/>
      <w:sz w:val="28"/>
      <w:szCs w:val="32"/>
    </w:rPr>
  </w:style>
  <w:style w:type="paragraph" w:styleId="31">
    <w:name w:val="annotation subject"/>
    <w:basedOn w:val="10"/>
    <w:next w:val="10"/>
    <w:qFormat/>
    <w:uiPriority w:val="0"/>
    <w:rPr>
      <w:b/>
      <w:bCs/>
    </w:rPr>
  </w:style>
  <w:style w:type="paragraph" w:styleId="32">
    <w:name w:val="Body Text First Indent"/>
    <w:basedOn w:val="12"/>
    <w:link w:val="53"/>
    <w:unhideWhenUsed/>
    <w:qFormat/>
    <w:uiPriority w:val="99"/>
    <w:pPr>
      <w:ind w:firstLine="420" w:firstLineChars="100"/>
    </w:pPr>
  </w:style>
  <w:style w:type="paragraph" w:styleId="33">
    <w:name w:val="Body Text First Indent 2"/>
    <w:basedOn w:val="13"/>
    <w:next w:val="1"/>
    <w:link w:val="54"/>
    <w:unhideWhenUsed/>
    <w:qFormat/>
    <w:uiPriority w:val="99"/>
    <w:pPr>
      <w:spacing w:after="120" w:line="240" w:lineRule="auto"/>
      <w:ind w:left="420" w:leftChars="200" w:firstLine="420" w:firstLineChars="200"/>
    </w:pPr>
    <w:rPr>
      <w:rFonts w:ascii="等线" w:hAnsi="等线"/>
      <w:sz w:val="21"/>
      <w:szCs w:val="24"/>
    </w:rPr>
  </w:style>
  <w:style w:type="table" w:styleId="35">
    <w:name w:val="Table Grid"/>
    <w:basedOn w:val="3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qFormat/>
    <w:uiPriority w:val="22"/>
    <w:rPr>
      <w:b/>
      <w:bCs/>
    </w:rPr>
  </w:style>
  <w:style w:type="character" w:styleId="38">
    <w:name w:val="page number"/>
    <w:qFormat/>
    <w:uiPriority w:val="0"/>
  </w:style>
  <w:style w:type="character" w:styleId="39">
    <w:name w:val="FollowedHyperlink"/>
    <w:unhideWhenUsed/>
    <w:qFormat/>
    <w:uiPriority w:val="99"/>
    <w:rPr>
      <w:color w:val="800080"/>
      <w:u w:val="single"/>
    </w:rPr>
  </w:style>
  <w:style w:type="character" w:styleId="40">
    <w:name w:val="Emphasis"/>
    <w:qFormat/>
    <w:uiPriority w:val="0"/>
    <w:rPr>
      <w:i/>
      <w:iCs/>
    </w:rPr>
  </w:style>
  <w:style w:type="character" w:styleId="41">
    <w:name w:val="Hyperlink"/>
    <w:qFormat/>
    <w:uiPriority w:val="99"/>
    <w:rPr>
      <w:color w:val="0000FF"/>
      <w:u w:val="single"/>
    </w:rPr>
  </w:style>
  <w:style w:type="character" w:styleId="42">
    <w:name w:val="annotation reference"/>
    <w:qFormat/>
    <w:uiPriority w:val="0"/>
    <w:rPr>
      <w:sz w:val="21"/>
      <w:szCs w:val="21"/>
    </w:rPr>
  </w:style>
  <w:style w:type="character" w:styleId="43">
    <w:name w:val="footnote reference"/>
    <w:unhideWhenUsed/>
    <w:qFormat/>
    <w:uiPriority w:val="0"/>
    <w:rPr>
      <w:vertAlign w:val="superscript"/>
    </w:rPr>
  </w:style>
  <w:style w:type="character" w:customStyle="1" w:styleId="44">
    <w:name w:val="标题 3 Char"/>
    <w:link w:val="5"/>
    <w:qFormat/>
    <w:uiPriority w:val="0"/>
    <w:rPr>
      <w:rFonts w:eastAsia="仿宋_GB2312"/>
      <w:bCs/>
      <w:kern w:val="2"/>
      <w:sz w:val="28"/>
      <w:szCs w:val="32"/>
    </w:rPr>
  </w:style>
  <w:style w:type="character" w:customStyle="1" w:styleId="45">
    <w:name w:val="正文缩进 Char"/>
    <w:link w:val="8"/>
    <w:qFormat/>
    <w:uiPriority w:val="0"/>
    <w:rPr>
      <w:rFonts w:eastAsia="宋体"/>
      <w:kern w:val="2"/>
      <w:sz w:val="24"/>
      <w:szCs w:val="24"/>
      <w:lang w:val="en-US" w:eastAsia="zh-CN" w:bidi="ar-SA"/>
    </w:rPr>
  </w:style>
  <w:style w:type="character" w:customStyle="1" w:styleId="46">
    <w:name w:val="批注文字 Char"/>
    <w:link w:val="10"/>
    <w:qFormat/>
    <w:uiPriority w:val="0"/>
    <w:rPr>
      <w:kern w:val="2"/>
      <w:sz w:val="21"/>
      <w:szCs w:val="24"/>
    </w:rPr>
  </w:style>
  <w:style w:type="character" w:customStyle="1" w:styleId="47">
    <w:name w:val="正文文本 Char"/>
    <w:link w:val="12"/>
    <w:qFormat/>
    <w:uiPriority w:val="0"/>
    <w:rPr>
      <w:kern w:val="2"/>
      <w:sz w:val="21"/>
      <w:szCs w:val="24"/>
    </w:rPr>
  </w:style>
  <w:style w:type="character" w:customStyle="1" w:styleId="48">
    <w:name w:val="正文文本缩进 Char"/>
    <w:link w:val="13"/>
    <w:qFormat/>
    <w:uiPriority w:val="0"/>
    <w:rPr>
      <w:b/>
      <w:kern w:val="2"/>
      <w:sz w:val="28"/>
      <w:szCs w:val="28"/>
    </w:rPr>
  </w:style>
  <w:style w:type="character" w:customStyle="1" w:styleId="49">
    <w:name w:val="页脚 Char"/>
    <w:link w:val="21"/>
    <w:qFormat/>
    <w:uiPriority w:val="99"/>
    <w:rPr>
      <w:kern w:val="2"/>
      <w:sz w:val="18"/>
      <w:szCs w:val="18"/>
    </w:rPr>
  </w:style>
  <w:style w:type="character" w:customStyle="1" w:styleId="50">
    <w:name w:val="页眉 Char"/>
    <w:link w:val="22"/>
    <w:qFormat/>
    <w:uiPriority w:val="0"/>
    <w:rPr>
      <w:kern w:val="2"/>
      <w:sz w:val="18"/>
      <w:szCs w:val="18"/>
    </w:rPr>
  </w:style>
  <w:style w:type="character" w:customStyle="1" w:styleId="51">
    <w:name w:val="脚注文本 Char"/>
    <w:link w:val="25"/>
    <w:qFormat/>
    <w:uiPriority w:val="0"/>
    <w:rPr>
      <w:rFonts w:ascii="Calibri" w:hAnsi="Calibri"/>
      <w:kern w:val="2"/>
      <w:sz w:val="18"/>
      <w:szCs w:val="18"/>
    </w:rPr>
  </w:style>
  <w:style w:type="character" w:customStyle="1" w:styleId="52">
    <w:name w:val="标题 Char"/>
    <w:link w:val="30"/>
    <w:qFormat/>
    <w:uiPriority w:val="0"/>
    <w:rPr>
      <w:rFonts w:ascii="Calibri Light" w:hAnsi="Calibri Light" w:eastAsia="仿宋_GB2312"/>
      <w:b/>
      <w:bCs/>
      <w:kern w:val="2"/>
      <w:sz w:val="28"/>
      <w:szCs w:val="32"/>
    </w:rPr>
  </w:style>
  <w:style w:type="character" w:customStyle="1" w:styleId="53">
    <w:name w:val="正文首行缩进 Char"/>
    <w:link w:val="32"/>
    <w:qFormat/>
    <w:uiPriority w:val="99"/>
  </w:style>
  <w:style w:type="character" w:customStyle="1" w:styleId="54">
    <w:name w:val="正文首行缩进 2 Char"/>
    <w:link w:val="33"/>
    <w:qFormat/>
    <w:uiPriority w:val="99"/>
    <w:rPr>
      <w:rFonts w:ascii="等线" w:hAnsi="等线"/>
      <w:b/>
      <w:kern w:val="2"/>
      <w:sz w:val="21"/>
      <w:szCs w:val="24"/>
    </w:rPr>
  </w:style>
  <w:style w:type="paragraph" w:customStyle="1" w:styleId="55">
    <w:name w:val="纯文本1"/>
    <w:basedOn w:val="1"/>
    <w:qFormat/>
    <w:uiPriority w:val="0"/>
    <w:rPr>
      <w:rFonts w:ascii="宋体" w:hAnsi="Courier New" w:cs="Courier New"/>
      <w:szCs w:val="21"/>
    </w:rPr>
  </w:style>
  <w:style w:type="character" w:customStyle="1" w:styleId="56">
    <w:name w:val="工信院正文 字符"/>
    <w:link w:val="57"/>
    <w:qFormat/>
    <w:uiPriority w:val="0"/>
    <w:rPr>
      <w:rFonts w:eastAsia="仿宋_GB2312"/>
      <w:kern w:val="2"/>
      <w:sz w:val="32"/>
      <w:szCs w:val="32"/>
    </w:rPr>
  </w:style>
  <w:style w:type="paragraph" w:customStyle="1" w:styleId="57">
    <w:name w:val="工信院正文"/>
    <w:basedOn w:val="1"/>
    <w:link w:val="56"/>
    <w:qFormat/>
    <w:uiPriority w:val="0"/>
    <w:pPr>
      <w:spacing w:line="600" w:lineRule="exact"/>
      <w:ind w:firstLine="643" w:firstLineChars="200"/>
    </w:pPr>
    <w:rPr>
      <w:rFonts w:eastAsia="仿宋_GB2312"/>
      <w:sz w:val="32"/>
      <w:szCs w:val="32"/>
    </w:rPr>
  </w:style>
  <w:style w:type="character" w:customStyle="1" w:styleId="58">
    <w:name w:val="apple-style-span"/>
    <w:qFormat/>
    <w:uiPriority w:val="0"/>
  </w:style>
  <w:style w:type="character" w:customStyle="1" w:styleId="59">
    <w:name w:val="大气处正文 Char"/>
    <w:link w:val="60"/>
    <w:qFormat/>
    <w:uiPriority w:val="0"/>
    <w:rPr>
      <w:rFonts w:ascii="仿宋" w:hAnsi="仿宋" w:eastAsia="仿宋"/>
      <w:bCs/>
      <w:szCs w:val="32"/>
    </w:rPr>
  </w:style>
  <w:style w:type="paragraph" w:customStyle="1" w:styleId="60">
    <w:name w:val="大气处正文"/>
    <w:basedOn w:val="1"/>
    <w:link w:val="59"/>
    <w:qFormat/>
    <w:uiPriority w:val="0"/>
    <w:pPr>
      <w:adjustRightInd w:val="0"/>
      <w:snapToGrid w:val="0"/>
      <w:spacing w:line="560" w:lineRule="exact"/>
      <w:ind w:firstLine="640" w:firstLineChars="200"/>
      <w:jc w:val="center"/>
    </w:pPr>
    <w:rPr>
      <w:rFonts w:ascii="仿宋" w:hAnsi="仿宋" w:eastAsia="仿宋"/>
      <w:bCs/>
      <w:kern w:val="0"/>
      <w:sz w:val="20"/>
      <w:szCs w:val="32"/>
    </w:rPr>
  </w:style>
  <w:style w:type="character" w:customStyle="1" w:styleId="61">
    <w:name w:val="样式1 字符"/>
    <w:link w:val="62"/>
    <w:qFormat/>
    <w:uiPriority w:val="0"/>
    <w:rPr>
      <w:rFonts w:ascii="楷体" w:hAnsi="楷体" w:eastAsia="楷体"/>
      <w:b/>
      <w:bCs/>
      <w:kern w:val="2"/>
      <w:sz w:val="30"/>
      <w:szCs w:val="32"/>
    </w:rPr>
  </w:style>
  <w:style w:type="paragraph" w:customStyle="1" w:styleId="62">
    <w:name w:val="样式1"/>
    <w:basedOn w:val="63"/>
    <w:link w:val="61"/>
    <w:qFormat/>
    <w:uiPriority w:val="0"/>
    <w:pPr>
      <w:spacing w:line="560" w:lineRule="exact"/>
      <w:ind w:firstLine="0" w:firstLineChars="0"/>
      <w:outlineLvl w:val="1"/>
    </w:pPr>
    <w:rPr>
      <w:rFonts w:ascii="楷体" w:hAnsi="楷体" w:eastAsia="楷体"/>
      <w:b/>
      <w:bCs/>
      <w:sz w:val="30"/>
      <w:szCs w:val="32"/>
    </w:rPr>
  </w:style>
  <w:style w:type="paragraph" w:styleId="63">
    <w:name w:val="List Paragraph"/>
    <w:basedOn w:val="1"/>
    <w:link w:val="64"/>
    <w:qFormat/>
    <w:uiPriority w:val="34"/>
    <w:pPr>
      <w:ind w:firstLine="420" w:firstLineChars="200"/>
    </w:pPr>
    <w:rPr>
      <w:rFonts w:ascii="Calibri" w:hAnsi="Calibri"/>
      <w:szCs w:val="22"/>
    </w:rPr>
  </w:style>
  <w:style w:type="character" w:customStyle="1" w:styleId="64">
    <w:name w:val="列出段落 Char"/>
    <w:link w:val="63"/>
    <w:qFormat/>
    <w:uiPriority w:val="34"/>
    <w:rPr>
      <w:rFonts w:ascii="Calibri" w:hAnsi="Calibri"/>
      <w:kern w:val="2"/>
      <w:sz w:val="21"/>
      <w:szCs w:val="22"/>
    </w:rPr>
  </w:style>
  <w:style w:type="character" w:customStyle="1" w:styleId="65">
    <w:name w:val="正文01 Char Char"/>
    <w:qFormat/>
    <w:uiPriority w:val="0"/>
    <w:rPr>
      <w:rFonts w:eastAsia="仿宋_GB2312"/>
      <w:kern w:val="2"/>
      <w:sz w:val="28"/>
      <w:lang w:val="en-US" w:eastAsia="zh-CN" w:bidi="ar-SA"/>
    </w:rPr>
  </w:style>
  <w:style w:type="character" w:customStyle="1" w:styleId="66">
    <w:name w:val="工经所3 Char"/>
    <w:link w:val="67"/>
    <w:qFormat/>
    <w:uiPriority w:val="0"/>
    <w:rPr>
      <w:rFonts w:eastAsia="仿宋_GB2312"/>
      <w:b/>
      <w:color w:val="0D0D0D"/>
      <w:kern w:val="2"/>
      <w:sz w:val="32"/>
      <w:szCs w:val="32"/>
    </w:rPr>
  </w:style>
  <w:style w:type="paragraph" w:customStyle="1" w:styleId="67">
    <w:name w:val="工经所3"/>
    <w:basedOn w:val="1"/>
    <w:link w:val="66"/>
    <w:qFormat/>
    <w:uiPriority w:val="0"/>
    <w:pPr>
      <w:tabs>
        <w:tab w:val="left" w:pos="3405"/>
      </w:tabs>
      <w:spacing w:line="560" w:lineRule="exact"/>
      <w:ind w:firstLine="643" w:firstLineChars="200"/>
      <w:outlineLvl w:val="2"/>
    </w:pPr>
    <w:rPr>
      <w:rFonts w:eastAsia="仿宋_GB2312"/>
      <w:b/>
      <w:color w:val="0D0D0D"/>
      <w:sz w:val="32"/>
      <w:szCs w:val="32"/>
    </w:rPr>
  </w:style>
  <w:style w:type="character" w:customStyle="1" w:styleId="68">
    <w:name w:val="正文01 Char"/>
    <w:link w:val="69"/>
    <w:qFormat/>
    <w:uiPriority w:val="99"/>
    <w:rPr>
      <w:rFonts w:eastAsia="仿宋_GB2312"/>
      <w:kern w:val="2"/>
      <w:sz w:val="28"/>
    </w:rPr>
  </w:style>
  <w:style w:type="paragraph" w:customStyle="1" w:styleId="69">
    <w:name w:val="正文01"/>
    <w:basedOn w:val="1"/>
    <w:link w:val="68"/>
    <w:qFormat/>
    <w:uiPriority w:val="99"/>
    <w:pPr>
      <w:spacing w:before="60" w:line="500" w:lineRule="exact"/>
      <w:ind w:firstLine="200" w:firstLineChars="200"/>
    </w:pPr>
    <w:rPr>
      <w:rFonts w:eastAsia="仿宋_GB2312"/>
      <w:sz w:val="28"/>
      <w:szCs w:val="20"/>
    </w:rPr>
  </w:style>
  <w:style w:type="character" w:customStyle="1" w:styleId="70">
    <w:name w:val="样式 (西文) 仿宋_GB2312 (中文) 仿宋_GB2312 Char"/>
    <w:link w:val="71"/>
    <w:qFormat/>
    <w:uiPriority w:val="0"/>
    <w:rPr>
      <w:rFonts w:ascii="仿宋_GB2312" w:eastAsia="仿宋_GB2312"/>
      <w:kern w:val="2"/>
      <w:sz w:val="28"/>
      <w:szCs w:val="30"/>
      <w:lang w:val="en-US" w:eastAsia="zh-CN" w:bidi="ar-SA"/>
    </w:rPr>
  </w:style>
  <w:style w:type="paragraph" w:customStyle="1" w:styleId="71">
    <w:name w:val="样式 (西文) 仿宋_GB2312 (中文) 仿宋_GB2312"/>
    <w:basedOn w:val="1"/>
    <w:link w:val="70"/>
    <w:qFormat/>
    <w:uiPriority w:val="0"/>
    <w:pPr>
      <w:adjustRightInd w:val="0"/>
      <w:snapToGrid w:val="0"/>
      <w:spacing w:after="312" w:afterLines="100" w:line="300" w:lineRule="auto"/>
      <w:ind w:firstLine="200" w:firstLineChars="200"/>
    </w:pPr>
    <w:rPr>
      <w:rFonts w:ascii="仿宋_GB2312" w:eastAsia="仿宋_GB2312"/>
      <w:sz w:val="28"/>
      <w:szCs w:val="30"/>
    </w:rPr>
  </w:style>
  <w:style w:type="paragraph" w:customStyle="1" w:styleId="72">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3">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74">
    <w:name w:val="xl159"/>
    <w:basedOn w:val="1"/>
    <w:qFormat/>
    <w:uiPriority w:val="0"/>
    <w:pPr>
      <w:widowControl/>
      <w:spacing w:before="100" w:beforeAutospacing="1" w:after="100" w:afterAutospacing="1"/>
      <w:jc w:val="center"/>
      <w:textAlignment w:val="center"/>
    </w:pPr>
    <w:rPr>
      <w:rFonts w:ascii="宋体" w:hAnsi="宋体" w:cs="宋体"/>
      <w:kern w:val="0"/>
      <w:sz w:val="20"/>
      <w:szCs w:val="20"/>
    </w:rPr>
  </w:style>
  <w:style w:type="paragraph" w:customStyle="1" w:styleId="75">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76">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77">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color w:val="000000"/>
      <w:kern w:val="0"/>
      <w:sz w:val="20"/>
      <w:szCs w:val="20"/>
    </w:rPr>
  </w:style>
  <w:style w:type="paragraph" w:customStyle="1" w:styleId="78">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7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80">
    <w:name w:val="Table Paragraph"/>
    <w:basedOn w:val="1"/>
    <w:qFormat/>
    <w:uiPriority w:val="1"/>
    <w:pPr>
      <w:jc w:val="left"/>
    </w:pPr>
    <w:rPr>
      <w:rFonts w:ascii="Calibri" w:hAnsi="Calibri" w:eastAsia="宋体" w:cs="Times New Roman"/>
      <w:kern w:val="0"/>
      <w:sz w:val="22"/>
      <w:szCs w:val="22"/>
      <w:lang w:eastAsia="en-US"/>
    </w:rPr>
  </w:style>
  <w:style w:type="paragraph" w:customStyle="1" w:styleId="81">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82">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3">
    <w:name w:val="列表编号7"/>
    <w:basedOn w:val="17"/>
    <w:qFormat/>
    <w:uiPriority w:val="0"/>
    <w:pPr>
      <w:numPr>
        <w:ilvl w:val="0"/>
        <w:numId w:val="0"/>
      </w:numPr>
      <w:jc w:val="center"/>
    </w:pPr>
    <w:rPr>
      <w:rFonts w:hAnsi="宋体"/>
      <w:sz w:val="28"/>
      <w:szCs w:val="28"/>
    </w:rPr>
  </w:style>
  <w:style w:type="paragraph" w:customStyle="1" w:styleId="84">
    <w:name w:val="xl149"/>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kern w:val="0"/>
      <w:sz w:val="20"/>
      <w:szCs w:val="20"/>
    </w:rPr>
  </w:style>
  <w:style w:type="paragraph" w:customStyle="1" w:styleId="85">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86">
    <w:name w:val="xl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20"/>
      <w:szCs w:val="20"/>
    </w:rPr>
  </w:style>
  <w:style w:type="paragraph" w:customStyle="1" w:styleId="87">
    <w:name w:val=" Char Char1"/>
    <w:basedOn w:val="1"/>
    <w:qFormat/>
    <w:uiPriority w:val="0"/>
    <w:pPr>
      <w:spacing w:line="360" w:lineRule="auto"/>
      <w:ind w:firstLine="200" w:firstLineChars="200"/>
    </w:pPr>
  </w:style>
  <w:style w:type="paragraph" w:customStyle="1" w:styleId="88">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89">
    <w:name w:val="cucd-0"/>
    <w:qFormat/>
    <w:uiPriority w:val="0"/>
    <w:pPr>
      <w:adjustRightInd w:val="0"/>
      <w:snapToGrid w:val="0"/>
      <w:spacing w:line="360" w:lineRule="auto"/>
      <w:ind w:firstLine="200" w:firstLineChars="200"/>
      <w:jc w:val="both"/>
    </w:pPr>
    <w:rPr>
      <w:rFonts w:ascii="Times New Roman" w:hAnsi="Times New Roman" w:eastAsia="仿宋" w:cs="Times New Roman"/>
      <w:kern w:val="2"/>
      <w:sz w:val="30"/>
      <w:szCs w:val="24"/>
      <w:lang w:val="en-US" w:eastAsia="zh-CN" w:bidi="ar-SA"/>
    </w:rPr>
  </w:style>
  <w:style w:type="paragraph" w:customStyle="1" w:styleId="90">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91">
    <w:name w:val="表格正文"/>
    <w:basedOn w:val="12"/>
    <w:qFormat/>
    <w:uiPriority w:val="0"/>
    <w:pPr>
      <w:spacing w:after="0" w:line="360" w:lineRule="auto"/>
      <w:ind w:firstLine="200" w:firstLineChars="200"/>
      <w:jc w:val="center"/>
    </w:pPr>
    <w:rPr>
      <w:rFonts w:eastAsia="仿宋" w:cs="黑体"/>
      <w:kern w:val="28"/>
      <w:sz w:val="28"/>
      <w:szCs w:val="20"/>
      <w:lang w:val="en-US" w:eastAsia="zh-CN"/>
    </w:rPr>
  </w:style>
  <w:style w:type="paragraph" w:customStyle="1" w:styleId="92">
    <w:name w:val="样式 样式 (西文) 仿宋_GB2312 (中文) 仿宋_GB2312 黑色 段前: 0.5 行 行距: 1.5 倍行距 首....."/>
    <w:basedOn w:val="1"/>
    <w:qFormat/>
    <w:uiPriority w:val="0"/>
    <w:pPr>
      <w:adjustRightInd w:val="0"/>
      <w:snapToGrid w:val="0"/>
      <w:spacing w:after="312" w:afterLines="100" w:line="300" w:lineRule="auto"/>
      <w:ind w:firstLine="200" w:firstLineChars="200"/>
    </w:pPr>
    <w:rPr>
      <w:rFonts w:eastAsia="仿宋_GB2312" w:cs="宋体"/>
      <w:color w:val="000000"/>
      <w:sz w:val="28"/>
      <w:szCs w:val="20"/>
    </w:rPr>
  </w:style>
  <w:style w:type="paragraph" w:customStyle="1" w:styleId="93">
    <w:name w:val="正文001"/>
    <w:basedOn w:val="1"/>
    <w:qFormat/>
    <w:uiPriority w:val="99"/>
    <w:pPr>
      <w:spacing w:before="60" w:line="460" w:lineRule="exact"/>
      <w:ind w:firstLine="482"/>
    </w:pPr>
    <w:rPr>
      <w:sz w:val="24"/>
      <w:szCs w:val="20"/>
    </w:rPr>
  </w:style>
  <w:style w:type="paragraph" w:customStyle="1" w:styleId="9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95">
    <w:name w:val="xl163"/>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b/>
      <w:bCs/>
      <w:color w:val="FF0000"/>
      <w:kern w:val="0"/>
      <w:sz w:val="20"/>
      <w:szCs w:val="20"/>
    </w:rPr>
  </w:style>
  <w:style w:type="paragraph" w:customStyle="1" w:styleId="9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9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98">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b/>
      <w:bCs/>
      <w:kern w:val="0"/>
      <w:sz w:val="20"/>
      <w:szCs w:val="20"/>
    </w:rPr>
  </w:style>
  <w:style w:type="paragraph" w:customStyle="1" w:styleId="99">
    <w:name w:val="简单回函地址"/>
    <w:basedOn w:val="1"/>
    <w:qFormat/>
    <w:uiPriority w:val="0"/>
    <w:rPr>
      <w:szCs w:val="20"/>
    </w:rPr>
  </w:style>
  <w:style w:type="paragraph" w:customStyle="1" w:styleId="100">
    <w:name w:val="xl16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b/>
      <w:bCs/>
      <w:color w:val="FF0000"/>
      <w:kern w:val="0"/>
      <w:sz w:val="20"/>
      <w:szCs w:val="20"/>
    </w:rPr>
  </w:style>
  <w:style w:type="paragraph" w:customStyle="1" w:styleId="101">
    <w:name w:val="xl1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color w:val="000000"/>
      <w:kern w:val="0"/>
      <w:sz w:val="20"/>
      <w:szCs w:val="20"/>
    </w:rPr>
  </w:style>
  <w:style w:type="paragraph" w:customStyle="1" w:styleId="102">
    <w:name w:val="样式2"/>
    <w:basedOn w:val="1"/>
    <w:qFormat/>
    <w:uiPriority w:val="0"/>
    <w:pPr>
      <w:spacing w:before="156" w:beforeLines="50" w:after="156" w:afterLines="50" w:line="360" w:lineRule="auto"/>
      <w:outlineLvl w:val="1"/>
    </w:pPr>
    <w:rPr>
      <w:rFonts w:eastAsia="仿宋_GB2312"/>
      <w:b/>
      <w:bCs/>
      <w:sz w:val="30"/>
      <w:szCs w:val="30"/>
    </w:rPr>
  </w:style>
  <w:style w:type="paragraph" w:customStyle="1" w:styleId="103">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left"/>
      <w:textAlignment w:val="center"/>
    </w:pPr>
    <w:rPr>
      <w:rFonts w:ascii="宋体" w:hAnsi="宋体" w:cs="宋体"/>
      <w:b/>
      <w:bCs/>
      <w:kern w:val="0"/>
      <w:sz w:val="20"/>
      <w:szCs w:val="20"/>
    </w:rPr>
  </w:style>
  <w:style w:type="paragraph" w:customStyle="1" w:styleId="104">
    <w:name w:val="xl85"/>
    <w:basedOn w:val="1"/>
    <w:qFormat/>
    <w:uiPriority w:val="0"/>
    <w:pPr>
      <w:widowControl/>
      <w:shd w:val="clear" w:color="000000" w:fill="C0C0C0"/>
      <w:spacing w:before="100" w:beforeAutospacing="1" w:after="100" w:afterAutospacing="1"/>
      <w:jc w:val="left"/>
      <w:textAlignment w:val="center"/>
    </w:pPr>
    <w:rPr>
      <w:rFonts w:ascii="宋体" w:hAnsi="宋体" w:cs="宋体"/>
      <w:b/>
      <w:bCs/>
      <w:kern w:val="0"/>
      <w:sz w:val="20"/>
      <w:szCs w:val="20"/>
    </w:rPr>
  </w:style>
  <w:style w:type="paragraph" w:customStyle="1" w:styleId="105">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20"/>
      <w:szCs w:val="20"/>
    </w:rPr>
  </w:style>
  <w:style w:type="paragraph" w:customStyle="1" w:styleId="106">
    <w:name w:val="xl160"/>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b/>
      <w:bCs/>
      <w:color w:val="FF0000"/>
      <w:kern w:val="0"/>
      <w:sz w:val="20"/>
      <w:szCs w:val="20"/>
    </w:rPr>
  </w:style>
  <w:style w:type="paragraph" w:customStyle="1" w:styleId="107">
    <w:name w:val="xl155"/>
    <w:basedOn w:val="1"/>
    <w:qFormat/>
    <w:uiPriority w:val="0"/>
    <w:pPr>
      <w:widowControl/>
      <w:shd w:val="clear" w:color="000000" w:fill="FFFF00"/>
      <w:spacing w:before="100" w:beforeAutospacing="1" w:after="100" w:afterAutospacing="1"/>
      <w:jc w:val="left"/>
      <w:textAlignment w:val="center"/>
    </w:pPr>
    <w:rPr>
      <w:rFonts w:ascii="宋体" w:hAnsi="宋体" w:cs="宋体"/>
      <w:kern w:val="0"/>
      <w:sz w:val="20"/>
      <w:szCs w:val="20"/>
    </w:rPr>
  </w:style>
  <w:style w:type="paragraph" w:customStyle="1" w:styleId="108">
    <w:name w:val="Char Char1 Char Char Char Char Char Char Char Char Char Char Char Char Char Char Char Char Char Char"/>
    <w:basedOn w:val="1"/>
    <w:qFormat/>
    <w:uiPriority w:val="0"/>
    <w:pPr>
      <w:spacing w:line="360" w:lineRule="auto"/>
      <w:ind w:firstLine="200" w:firstLineChars="200"/>
    </w:pPr>
    <w:rPr>
      <w:szCs w:val="20"/>
    </w:rPr>
  </w:style>
  <w:style w:type="paragraph" w:customStyle="1" w:styleId="109">
    <w:name w:val="xl1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20"/>
      <w:szCs w:val="20"/>
    </w:rPr>
  </w:style>
  <w:style w:type="paragraph" w:customStyle="1" w:styleId="110">
    <w:name w:val="Char2"/>
    <w:basedOn w:val="1"/>
    <w:qFormat/>
    <w:uiPriority w:val="0"/>
    <w:pPr>
      <w:widowControl/>
      <w:adjustRightInd w:val="0"/>
      <w:snapToGrid w:val="0"/>
      <w:spacing w:after="160" w:line="240" w:lineRule="exact"/>
      <w:ind w:firstLine="720" w:firstLineChars="200"/>
      <w:jc w:val="left"/>
    </w:pPr>
    <w:rPr>
      <w:rFonts w:eastAsia="仿宋"/>
      <w:kern w:val="0"/>
      <w:sz w:val="20"/>
      <w:szCs w:val="20"/>
      <w:lang w:eastAsia="en-US"/>
    </w:rPr>
  </w:style>
  <w:style w:type="paragraph" w:customStyle="1" w:styleId="111">
    <w:name w:val="xl1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color w:val="000000"/>
      <w:kern w:val="0"/>
      <w:sz w:val="20"/>
      <w:szCs w:val="20"/>
    </w:rPr>
  </w:style>
  <w:style w:type="paragraph" w:customStyle="1" w:styleId="112">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13">
    <w:name w:val="_Style 112"/>
    <w:semiHidden/>
    <w:qFormat/>
    <w:uiPriority w:val="99"/>
    <w:rPr>
      <w:rFonts w:ascii="Times New Roman" w:hAnsi="Times New Roman" w:eastAsia="宋体" w:cs="Times New Roman"/>
      <w:kern w:val="2"/>
      <w:sz w:val="21"/>
      <w:szCs w:val="24"/>
      <w:lang w:val="en-US" w:eastAsia="zh-CN" w:bidi="ar-SA"/>
    </w:rPr>
  </w:style>
  <w:style w:type="paragraph" w:customStyle="1" w:styleId="114">
    <w:name w:val="xl164"/>
    <w:basedOn w:val="1"/>
    <w:qFormat/>
    <w:uiPriority w:val="0"/>
    <w:pPr>
      <w:widowControl/>
      <w:shd w:val="clear" w:color="000000" w:fill="FFFF00"/>
      <w:spacing w:before="100" w:beforeAutospacing="1" w:after="100" w:afterAutospacing="1"/>
      <w:jc w:val="left"/>
      <w:textAlignment w:val="center"/>
    </w:pPr>
    <w:rPr>
      <w:rFonts w:ascii="宋体" w:hAnsi="宋体" w:cs="宋体"/>
      <w:b/>
      <w:bCs/>
      <w:color w:val="FF0000"/>
      <w:kern w:val="0"/>
      <w:sz w:val="20"/>
      <w:szCs w:val="20"/>
    </w:rPr>
  </w:style>
  <w:style w:type="paragraph" w:customStyle="1" w:styleId="115">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16">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left"/>
      <w:textAlignment w:val="center"/>
    </w:pPr>
    <w:rPr>
      <w:rFonts w:ascii="宋体" w:hAnsi="宋体" w:cs="宋体"/>
      <w:b/>
      <w:bCs/>
      <w:kern w:val="0"/>
      <w:sz w:val="20"/>
      <w:szCs w:val="20"/>
    </w:rPr>
  </w:style>
  <w:style w:type="paragraph" w:customStyle="1" w:styleId="117">
    <w:name w:val="xl14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20"/>
      <w:szCs w:val="20"/>
    </w:rPr>
  </w:style>
  <w:style w:type="paragraph" w:customStyle="1" w:styleId="118">
    <w:name w:val="xl13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19">
    <w:name w:val="cucd-4"/>
    <w:next w:val="1"/>
    <w:qFormat/>
    <w:uiPriority w:val="0"/>
    <w:pPr>
      <w:adjustRightInd w:val="0"/>
      <w:snapToGrid w:val="0"/>
      <w:spacing w:line="360" w:lineRule="auto"/>
      <w:outlineLvl w:val="3"/>
    </w:pPr>
    <w:rPr>
      <w:rFonts w:ascii="Times New Roman" w:hAnsi="Times New Roman" w:eastAsia="仿宋" w:cs="Times New Roman"/>
      <w:b/>
      <w:kern w:val="2"/>
      <w:sz w:val="30"/>
      <w:szCs w:val="24"/>
      <w:lang w:val="en-US" w:eastAsia="zh-CN" w:bidi="ar-SA"/>
    </w:rPr>
  </w:style>
  <w:style w:type="paragraph" w:customStyle="1" w:styleId="120">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kern w:val="0"/>
      <w:sz w:val="20"/>
      <w:szCs w:val="20"/>
    </w:rPr>
  </w:style>
  <w:style w:type="paragraph" w:customStyle="1" w:styleId="121">
    <w:name w:val="标准文字"/>
    <w:qFormat/>
    <w:uiPriority w:val="0"/>
    <w:pPr>
      <w:widowControl w:val="0"/>
      <w:spacing w:line="360" w:lineRule="auto"/>
      <w:ind w:firstLine="560" w:firstLineChars="200"/>
      <w:jc w:val="both"/>
    </w:pPr>
    <w:rPr>
      <w:rFonts w:ascii="Times New Roman" w:hAnsi="Times New Roman" w:eastAsia="仿宋_GB2312" w:cs="Times New Roman"/>
      <w:kern w:val="2"/>
      <w:sz w:val="28"/>
      <w:szCs w:val="28"/>
      <w:lang w:val="en-US" w:eastAsia="zh-CN" w:bidi="ar-SA"/>
    </w:rPr>
  </w:style>
  <w:style w:type="paragraph" w:customStyle="1" w:styleId="122">
    <w:name w:val="xl15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color w:val="000000"/>
      <w:kern w:val="0"/>
      <w:sz w:val="20"/>
      <w:szCs w:val="20"/>
    </w:rPr>
  </w:style>
  <w:style w:type="paragraph" w:customStyle="1" w:styleId="123">
    <w:name w:val="xl158"/>
    <w:basedOn w:val="1"/>
    <w:qFormat/>
    <w:uiPriority w:val="0"/>
    <w:pPr>
      <w:widowControl/>
      <w:spacing w:before="100" w:beforeAutospacing="1" w:after="100" w:afterAutospacing="1"/>
      <w:jc w:val="center"/>
      <w:textAlignment w:val="center"/>
    </w:pPr>
    <w:rPr>
      <w:rFonts w:ascii="宋体" w:hAnsi="宋体" w:cs="宋体"/>
      <w:color w:val="000000"/>
      <w:kern w:val="0"/>
      <w:sz w:val="20"/>
      <w:szCs w:val="20"/>
    </w:rPr>
  </w:style>
  <w:style w:type="paragraph" w:customStyle="1" w:styleId="124">
    <w:name w:val="居中正文"/>
    <w:basedOn w:val="32"/>
    <w:qFormat/>
    <w:uiPriority w:val="0"/>
    <w:pPr>
      <w:adjustRightInd w:val="0"/>
      <w:spacing w:before="120" w:after="0" w:line="360" w:lineRule="auto"/>
      <w:ind w:firstLine="0" w:firstLineChars="0"/>
      <w:jc w:val="center"/>
      <w:textAlignment w:val="baseline"/>
    </w:pPr>
    <w:rPr>
      <w:rFonts w:ascii="宋体"/>
      <w:kern w:val="28"/>
      <w:sz w:val="24"/>
      <w:szCs w:val="20"/>
    </w:rPr>
  </w:style>
  <w:style w:type="paragraph" w:customStyle="1" w:styleId="1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27">
    <w:name w:val="临海1.1.1"/>
    <w:basedOn w:val="1"/>
    <w:qFormat/>
    <w:uiPriority w:val="0"/>
    <w:pPr>
      <w:spacing w:line="360" w:lineRule="auto"/>
      <w:outlineLvl w:val="2"/>
    </w:pPr>
    <w:rPr>
      <w:b/>
      <w:sz w:val="28"/>
      <w:szCs w:val="28"/>
    </w:rPr>
  </w:style>
  <w:style w:type="paragraph" w:customStyle="1" w:styleId="128">
    <w:name w:val="xl161"/>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b/>
      <w:bCs/>
      <w:color w:val="FF0000"/>
      <w:kern w:val="0"/>
      <w:sz w:val="20"/>
      <w:szCs w:val="20"/>
    </w:rPr>
  </w:style>
  <w:style w:type="paragraph" w:customStyle="1" w:styleId="129">
    <w:name w:val="Char1"/>
    <w:basedOn w:val="1"/>
    <w:qFormat/>
    <w:uiPriority w:val="0"/>
    <w:rPr>
      <w:rFonts w:ascii="仿宋_GB2312" w:eastAsia="仿宋_GB2312"/>
      <w:b/>
      <w:sz w:val="32"/>
      <w:szCs w:val="32"/>
    </w:rPr>
  </w:style>
  <w:style w:type="paragraph" w:customStyle="1" w:styleId="130">
    <w:name w:val="xl136"/>
    <w:basedOn w:val="1"/>
    <w:qFormat/>
    <w:uiPriority w:val="0"/>
    <w:pPr>
      <w:widowControl/>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131">
    <w:name w:val="xl96"/>
    <w:basedOn w:val="1"/>
    <w:qFormat/>
    <w:uiPriority w:val="0"/>
    <w:pPr>
      <w:widowControl/>
      <w:spacing w:before="100" w:beforeAutospacing="1" w:after="100" w:afterAutospacing="1"/>
      <w:jc w:val="left"/>
      <w:textAlignment w:val="center"/>
    </w:pPr>
    <w:rPr>
      <w:rFonts w:ascii="宋体" w:hAnsi="宋体" w:cs="宋体"/>
      <w:color w:val="000000"/>
      <w:kern w:val="0"/>
      <w:sz w:val="20"/>
      <w:szCs w:val="20"/>
    </w:rPr>
  </w:style>
  <w:style w:type="paragraph" w:customStyle="1" w:styleId="132">
    <w:name w:val="xl153"/>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kern w:val="0"/>
      <w:sz w:val="20"/>
      <w:szCs w:val="20"/>
    </w:rPr>
  </w:style>
  <w:style w:type="paragraph" w:customStyle="1" w:styleId="133">
    <w:name w:val="xl70"/>
    <w:basedOn w:val="1"/>
    <w:qFormat/>
    <w:uiPriority w:val="0"/>
    <w:pPr>
      <w:widowControl/>
      <w:spacing w:before="100" w:beforeAutospacing="1" w:after="100" w:afterAutospacing="1"/>
      <w:jc w:val="left"/>
      <w:textAlignment w:val="center"/>
    </w:pPr>
    <w:rPr>
      <w:rFonts w:ascii="宋体" w:hAnsi="宋体" w:cs="宋体"/>
      <w:kern w:val="0"/>
      <w:sz w:val="20"/>
      <w:szCs w:val="20"/>
    </w:rPr>
  </w:style>
  <w:style w:type="paragraph" w:customStyle="1" w:styleId="134">
    <w:name w:val="三级标题"/>
    <w:basedOn w:val="5"/>
    <w:qFormat/>
    <w:uiPriority w:val="0"/>
    <w:pPr>
      <w:snapToGrid w:val="0"/>
      <w:spacing w:after="0" w:afterLines="0" w:line="500" w:lineRule="exact"/>
    </w:pPr>
    <w:rPr>
      <w:b/>
      <w:bCs w:val="0"/>
      <w:szCs w:val="20"/>
    </w:rPr>
  </w:style>
  <w:style w:type="paragraph" w:customStyle="1" w:styleId="135">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kern w:val="0"/>
      <w:sz w:val="20"/>
      <w:szCs w:val="20"/>
    </w:rPr>
  </w:style>
  <w:style w:type="paragraph" w:customStyle="1" w:styleId="136">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b/>
      <w:bCs/>
      <w:kern w:val="0"/>
      <w:sz w:val="20"/>
      <w:szCs w:val="20"/>
    </w:rPr>
  </w:style>
  <w:style w:type="paragraph" w:customStyle="1" w:styleId="137">
    <w:name w:val="xl151"/>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color w:val="000000"/>
      <w:kern w:val="0"/>
      <w:sz w:val="20"/>
      <w:szCs w:val="20"/>
    </w:rPr>
  </w:style>
  <w:style w:type="paragraph" w:customStyle="1" w:styleId="138">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textAlignment w:val="center"/>
    </w:pPr>
    <w:rPr>
      <w:rFonts w:ascii="宋体" w:hAnsi="宋体" w:cs="宋体"/>
      <w:b/>
      <w:bCs/>
      <w:kern w:val="0"/>
      <w:sz w:val="20"/>
      <w:szCs w:val="20"/>
    </w:rPr>
  </w:style>
  <w:style w:type="paragraph" w:customStyle="1" w:styleId="139">
    <w:name w:val="xl12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color w:val="000000"/>
      <w:kern w:val="0"/>
      <w:sz w:val="20"/>
      <w:szCs w:val="20"/>
    </w:rPr>
  </w:style>
  <w:style w:type="paragraph" w:customStyle="1" w:styleId="14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1">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42">
    <w:name w:val="xl74"/>
    <w:basedOn w:val="1"/>
    <w:qFormat/>
    <w:uiPriority w:val="0"/>
    <w:pPr>
      <w:widowControl/>
      <w:spacing w:before="100" w:beforeAutospacing="1" w:after="100" w:afterAutospacing="1"/>
      <w:jc w:val="center"/>
      <w:textAlignment w:val="center"/>
    </w:pPr>
    <w:rPr>
      <w:rFonts w:ascii="宋体" w:hAnsi="宋体" w:cs="宋体"/>
      <w:kern w:val="0"/>
      <w:sz w:val="20"/>
      <w:szCs w:val="20"/>
    </w:rPr>
  </w:style>
  <w:style w:type="paragraph" w:customStyle="1" w:styleId="143">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4">
    <w:name w:val="xl145"/>
    <w:basedOn w:val="1"/>
    <w:qFormat/>
    <w:uiPriority w:val="0"/>
    <w:pPr>
      <w:widowControl/>
      <w:spacing w:before="100" w:beforeAutospacing="1" w:after="100" w:afterAutospacing="1"/>
      <w:jc w:val="left"/>
      <w:textAlignment w:val="center"/>
    </w:pPr>
    <w:rPr>
      <w:rFonts w:ascii="宋体" w:hAnsi="宋体" w:cs="宋体"/>
      <w:color w:val="FF0000"/>
      <w:kern w:val="0"/>
      <w:sz w:val="20"/>
      <w:szCs w:val="20"/>
    </w:rPr>
  </w:style>
  <w:style w:type="paragraph" w:customStyle="1" w:styleId="145">
    <w:name w:val=" Char Char1 Char Char Char Char Char Char Char Char Char Char Char Char Char Char Char Char Char Char"/>
    <w:basedOn w:val="1"/>
    <w:qFormat/>
    <w:uiPriority w:val="0"/>
    <w:pPr>
      <w:spacing w:line="360" w:lineRule="auto"/>
      <w:ind w:firstLine="200" w:firstLineChars="200"/>
    </w:pPr>
    <w:rPr>
      <w:rFonts w:ascii="宋体" w:hAnsi="宋体" w:cs="宋体"/>
      <w:sz w:val="24"/>
    </w:rPr>
  </w:style>
  <w:style w:type="paragraph" w:customStyle="1" w:styleId="146">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47">
    <w:name w:val="xl79"/>
    <w:basedOn w:val="1"/>
    <w:qFormat/>
    <w:uiPriority w:val="0"/>
    <w:pPr>
      <w:widowControl/>
      <w:shd w:val="clear" w:color="000000" w:fill="FFFF00"/>
      <w:spacing w:before="100" w:beforeAutospacing="1" w:after="100" w:afterAutospacing="1"/>
      <w:jc w:val="left"/>
      <w:textAlignment w:val="center"/>
    </w:pPr>
    <w:rPr>
      <w:rFonts w:ascii="宋体" w:hAnsi="宋体" w:cs="宋体"/>
      <w:b/>
      <w:bCs/>
      <w:kern w:val="0"/>
      <w:sz w:val="20"/>
      <w:szCs w:val="20"/>
    </w:rPr>
  </w:style>
  <w:style w:type="paragraph" w:customStyle="1" w:styleId="148">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49">
    <w:name w:val="xl10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0">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1">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textAlignment w:val="center"/>
    </w:pPr>
    <w:rPr>
      <w:rFonts w:ascii="宋体" w:hAnsi="宋体" w:cs="宋体"/>
      <w:b/>
      <w:bCs/>
      <w:kern w:val="0"/>
      <w:sz w:val="20"/>
      <w:szCs w:val="20"/>
    </w:rPr>
  </w:style>
  <w:style w:type="paragraph" w:customStyle="1" w:styleId="152">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4">
    <w:name w:val="xl150"/>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kern w:val="0"/>
      <w:sz w:val="20"/>
      <w:szCs w:val="20"/>
    </w:rPr>
  </w:style>
  <w:style w:type="paragraph" w:customStyle="1" w:styleId="155">
    <w:name w:val="xl154"/>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color w:val="000000"/>
      <w:kern w:val="0"/>
      <w:sz w:val="20"/>
      <w:szCs w:val="20"/>
    </w:rPr>
  </w:style>
  <w:style w:type="paragraph" w:customStyle="1" w:styleId="156">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7">
    <w:name w:val="xl13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58">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59">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FF0000"/>
      <w:kern w:val="0"/>
      <w:sz w:val="20"/>
      <w:szCs w:val="20"/>
    </w:rPr>
  </w:style>
  <w:style w:type="paragraph" w:customStyle="1" w:styleId="160">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61">
    <w:name w:val="临海1.1"/>
    <w:basedOn w:val="1"/>
    <w:qFormat/>
    <w:uiPriority w:val="0"/>
    <w:pPr>
      <w:spacing w:before="260" w:beforeLines="0" w:after="260" w:afterLines="0" w:line="360" w:lineRule="auto"/>
      <w:outlineLvl w:val="1"/>
    </w:pPr>
    <w:rPr>
      <w:rFonts w:hAnsi="宋体"/>
      <w:b/>
      <w:sz w:val="30"/>
      <w:szCs w:val="30"/>
    </w:rPr>
  </w:style>
  <w:style w:type="paragraph" w:customStyle="1" w:styleId="162">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63">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64">
    <w:name w:val="xl1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color w:val="000000"/>
      <w:kern w:val="0"/>
      <w:sz w:val="20"/>
      <w:szCs w:val="20"/>
    </w:rPr>
  </w:style>
  <w:style w:type="paragraph" w:customStyle="1" w:styleId="165">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textAlignment w:val="center"/>
    </w:pPr>
    <w:rPr>
      <w:rFonts w:ascii="宋体" w:hAnsi="宋体" w:cs="宋体"/>
      <w:b/>
      <w:bCs/>
      <w:kern w:val="0"/>
      <w:sz w:val="20"/>
      <w:szCs w:val="20"/>
    </w:rPr>
  </w:style>
  <w:style w:type="paragraph" w:customStyle="1" w:styleId="166">
    <w:name w:val="xl112"/>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167">
    <w:name w:val="xl1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68">
    <w:name w:val=" Char"/>
    <w:basedOn w:val="1"/>
    <w:qFormat/>
    <w:uiPriority w:val="0"/>
    <w:rPr>
      <w:rFonts w:ascii="仿宋_GB2312" w:eastAsia="仿宋_GB2312"/>
      <w:b/>
      <w:sz w:val="32"/>
      <w:szCs w:val="32"/>
    </w:rPr>
  </w:style>
  <w:style w:type="paragraph" w:customStyle="1" w:styleId="169">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70">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71">
    <w:name w:val="xl126"/>
    <w:basedOn w:val="1"/>
    <w:qFormat/>
    <w:uiPriority w:val="0"/>
    <w:pPr>
      <w:widowControl/>
      <w:spacing w:before="100" w:beforeAutospacing="1" w:after="100" w:afterAutospacing="1"/>
      <w:jc w:val="left"/>
      <w:textAlignment w:val="center"/>
    </w:pPr>
    <w:rPr>
      <w:kern w:val="0"/>
      <w:sz w:val="24"/>
    </w:rPr>
  </w:style>
  <w:style w:type="paragraph" w:customStyle="1" w:styleId="172">
    <w:name w:val="xl12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color w:val="000000"/>
      <w:kern w:val="0"/>
      <w:sz w:val="20"/>
      <w:szCs w:val="20"/>
    </w:rPr>
  </w:style>
  <w:style w:type="paragraph" w:customStyle="1" w:styleId="173">
    <w:name w:val="xl1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74">
    <w:name w:val="xl1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75">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6">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77">
    <w:name w:val=" Char Char Char Char Char Char Char Char Char Char Char Char Char"/>
    <w:basedOn w:val="1"/>
    <w:qFormat/>
    <w:uiPriority w:val="0"/>
    <w:pPr>
      <w:tabs>
        <w:tab w:val="left" w:pos="432"/>
      </w:tabs>
      <w:ind w:left="432" w:hanging="432"/>
    </w:pPr>
    <w:rPr>
      <w:rFonts w:ascii="Tahoma" w:hAnsi="Tahoma"/>
      <w:sz w:val="24"/>
      <w:szCs w:val="20"/>
    </w:rPr>
  </w:style>
  <w:style w:type="paragraph" w:customStyle="1" w:styleId="178">
    <w:name w:val="xl1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20"/>
      <w:szCs w:val="20"/>
    </w:rPr>
  </w:style>
  <w:style w:type="paragraph" w:customStyle="1" w:styleId="179">
    <w:name w:val="xl132"/>
    <w:basedOn w:val="1"/>
    <w:qFormat/>
    <w:uiPriority w:val="0"/>
    <w:pPr>
      <w:widowControl/>
      <w:spacing w:before="100" w:beforeAutospacing="1" w:after="100" w:afterAutospacing="1"/>
      <w:jc w:val="left"/>
      <w:textAlignment w:val="center"/>
    </w:pPr>
    <w:rPr>
      <w:rFonts w:ascii="宋体" w:hAnsi="宋体" w:cs="宋体"/>
      <w:color w:val="FF0000"/>
      <w:kern w:val="0"/>
      <w:sz w:val="20"/>
      <w:szCs w:val="20"/>
    </w:rPr>
  </w:style>
  <w:style w:type="paragraph" w:customStyle="1" w:styleId="180">
    <w:name w:val="表格标题"/>
    <w:basedOn w:val="69"/>
    <w:qFormat/>
    <w:uiPriority w:val="0"/>
    <w:pPr>
      <w:ind w:firstLine="0" w:firstLineChars="0"/>
      <w:jc w:val="center"/>
    </w:pPr>
  </w:style>
  <w:style w:type="paragraph" w:customStyle="1" w:styleId="181">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b/>
      <w:bCs/>
      <w:kern w:val="0"/>
      <w:sz w:val="20"/>
      <w:szCs w:val="20"/>
    </w:rPr>
  </w:style>
  <w:style w:type="paragraph" w:customStyle="1" w:styleId="182">
    <w:name w:val="p0"/>
    <w:basedOn w:val="1"/>
    <w:qFormat/>
    <w:uiPriority w:val="0"/>
    <w:pPr>
      <w:widowControl/>
    </w:pPr>
    <w:rPr>
      <w:kern w:val="0"/>
      <w:sz w:val="32"/>
      <w:szCs w:val="32"/>
    </w:rPr>
  </w:style>
  <w:style w:type="paragraph" w:customStyle="1" w:styleId="183">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84">
    <w:name w:val="xl1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FF0000"/>
      <w:kern w:val="0"/>
      <w:sz w:val="20"/>
      <w:szCs w:val="20"/>
    </w:rPr>
  </w:style>
  <w:style w:type="paragraph" w:customStyle="1" w:styleId="185">
    <w:name w:val="xl165"/>
    <w:basedOn w:val="1"/>
    <w:qFormat/>
    <w:uiPriority w:val="0"/>
    <w:pPr>
      <w:widowControl/>
      <w:shd w:val="clear" w:color="000000" w:fill="FFFF00"/>
      <w:spacing w:before="100" w:beforeAutospacing="1" w:after="100" w:afterAutospacing="1"/>
      <w:jc w:val="center"/>
      <w:textAlignment w:val="center"/>
    </w:pPr>
    <w:rPr>
      <w:rFonts w:ascii="宋体" w:hAnsi="宋体" w:cs="宋体"/>
      <w:color w:val="FF0000"/>
      <w:kern w:val="0"/>
      <w:sz w:val="20"/>
      <w:szCs w:val="20"/>
    </w:rPr>
  </w:style>
  <w:style w:type="paragraph" w:customStyle="1" w:styleId="186">
    <w:name w:val="xl1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20"/>
      <w:szCs w:val="20"/>
    </w:rPr>
  </w:style>
  <w:style w:type="paragraph" w:customStyle="1" w:styleId="187">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b/>
      <w:bCs/>
      <w:kern w:val="0"/>
      <w:sz w:val="20"/>
      <w:szCs w:val="20"/>
    </w:rPr>
  </w:style>
  <w:style w:type="paragraph" w:customStyle="1" w:styleId="188">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89">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90">
    <w:name w:val="xl13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191">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FF0000"/>
      <w:kern w:val="0"/>
      <w:sz w:val="20"/>
      <w:szCs w:val="20"/>
    </w:rPr>
  </w:style>
  <w:style w:type="paragraph" w:customStyle="1" w:styleId="192">
    <w:name w:val="xl1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color w:val="000000"/>
      <w:kern w:val="0"/>
      <w:sz w:val="20"/>
      <w:szCs w:val="20"/>
    </w:rPr>
  </w:style>
  <w:style w:type="paragraph" w:customStyle="1" w:styleId="193">
    <w:name w:val="xl14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b/>
      <w:bCs/>
      <w:color w:val="FF0000"/>
      <w:kern w:val="0"/>
      <w:sz w:val="20"/>
      <w:szCs w:val="20"/>
    </w:rPr>
  </w:style>
  <w:style w:type="paragraph" w:customStyle="1" w:styleId="194">
    <w:name w:val="xl116"/>
    <w:basedOn w:val="1"/>
    <w:qFormat/>
    <w:uiPriority w:val="0"/>
    <w:pPr>
      <w:widowControl/>
      <w:spacing w:before="100" w:beforeAutospacing="1" w:after="100" w:afterAutospacing="1"/>
      <w:jc w:val="center"/>
      <w:textAlignment w:val="center"/>
    </w:pPr>
    <w:rPr>
      <w:rFonts w:ascii="宋体" w:hAnsi="宋体" w:cs="宋体"/>
      <w:kern w:val="0"/>
      <w:sz w:val="20"/>
      <w:szCs w:val="20"/>
    </w:rPr>
  </w:style>
  <w:style w:type="paragraph" w:customStyle="1" w:styleId="195">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FF0000"/>
      <w:kern w:val="0"/>
      <w:sz w:val="20"/>
      <w:szCs w:val="20"/>
    </w:rPr>
  </w:style>
  <w:style w:type="paragraph" w:customStyle="1" w:styleId="196">
    <w:name w:val="文本"/>
    <w:basedOn w:val="1"/>
    <w:qFormat/>
    <w:uiPriority w:val="0"/>
    <w:pPr>
      <w:adjustRightInd w:val="0"/>
      <w:snapToGrid w:val="0"/>
      <w:spacing w:line="312" w:lineRule="auto"/>
      <w:ind w:firstLine="200" w:firstLineChars="200"/>
    </w:pPr>
    <w:rPr>
      <w:rFonts w:eastAsia="仿宋"/>
      <w:sz w:val="30"/>
    </w:rPr>
  </w:style>
  <w:style w:type="table" w:customStyle="1" w:styleId="197">
    <w:name w:val="Table Normal"/>
    <w:unhideWhenUsed/>
    <w:qFormat/>
    <w:uiPriority w:val="2"/>
    <w:pPr>
      <w:widowControl w:val="0"/>
    </w:pPr>
    <w:rPr>
      <w:rFonts w:ascii="Calibri" w:hAnsi="Calibri"/>
      <w:sz w:val="22"/>
      <w:szCs w:val="22"/>
      <w:lang w:val="en-US" w:eastAsia="en-US" w:bidi="ar-SA"/>
    </w:rPr>
    <w:tblPr>
      <w:tblCellMar>
        <w:top w:w="0" w:type="dxa"/>
        <w:left w:w="0" w:type="dxa"/>
        <w:bottom w:w="0" w:type="dxa"/>
        <w:right w:w="0" w:type="dxa"/>
      </w:tblCellMar>
    </w:tblPr>
  </w:style>
  <w:style w:type="paragraph" w:customStyle="1" w:styleId="198">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character" w:customStyle="1" w:styleId="199">
    <w:name w:val="fontstyle01"/>
    <w:basedOn w:val="36"/>
    <w:qFormat/>
    <w:uiPriority w:val="0"/>
    <w:rPr>
      <w:rFonts w:ascii="宋体" w:hAnsi="宋体" w:eastAsia="宋体" w:cs="宋体"/>
      <w:color w:val="000000"/>
      <w:sz w:val="28"/>
      <w:szCs w:val="28"/>
    </w:rPr>
  </w:style>
  <w:style w:type="character" w:customStyle="1" w:styleId="200">
    <w:name w:val="fontstyle21"/>
    <w:basedOn w:val="36"/>
    <w:qFormat/>
    <w:uiPriority w:val="0"/>
    <w:rPr>
      <w:rFonts w:ascii="TimesNewRomanPSMT" w:hAnsi="TimesNewRomanPSMT" w:eastAsia="TimesNewRomanPSMT" w:cs="TimesNewRomanPSMT"/>
      <w:color w:val="000000"/>
      <w:sz w:val="28"/>
      <w:szCs w:val="28"/>
    </w:rPr>
  </w:style>
  <w:style w:type="paragraph" w:customStyle="1" w:styleId="201">
    <w:name w:val="表题"/>
    <w:basedOn w:val="202"/>
    <w:next w:val="1"/>
    <w:qFormat/>
    <w:uiPriority w:val="0"/>
    <w:pPr>
      <w:spacing w:after="0" w:afterLines="0"/>
    </w:pPr>
    <w:rPr>
      <w:rFonts w:eastAsia="黑体"/>
      <w:b w:val="0"/>
      <w:sz w:val="21"/>
    </w:rPr>
  </w:style>
  <w:style w:type="paragraph" w:customStyle="1" w:styleId="202">
    <w:name w:val="一级标题"/>
    <w:basedOn w:val="1"/>
    <w:qFormat/>
    <w:uiPriority w:val="0"/>
    <w:pPr>
      <w:spacing w:after="100" w:afterLines="100"/>
      <w:jc w:val="center"/>
    </w:pPr>
    <w:rPr>
      <w:b/>
      <w:sz w:val="30"/>
    </w:rPr>
  </w:style>
  <w:style w:type="paragraph" w:customStyle="1" w:styleId="203">
    <w:name w:val="表格内容"/>
    <w:next w:val="1"/>
    <w:qFormat/>
    <w:uiPriority w:val="0"/>
    <w:pPr>
      <w:jc w:val="center"/>
    </w:pPr>
    <w:rPr>
      <w:rFonts w:ascii="Times New Roman" w:hAnsi="Times New Roman" w:eastAsia="仿宋" w:cs="Times New Roman"/>
      <w:bCs/>
      <w:color w:val="000000"/>
      <w:kern w:val="44"/>
      <w:sz w:val="21"/>
      <w:szCs w:val="44"/>
      <w:lang w:val="en-US" w:eastAsia="zh-CN" w:bidi="ar-SA"/>
    </w:rPr>
  </w:style>
  <w:style w:type="character" w:customStyle="1" w:styleId="204">
    <w:name w:val="font01"/>
    <w:basedOn w:val="36"/>
    <w:qFormat/>
    <w:uiPriority w:val="0"/>
    <w:rPr>
      <w:rFonts w:hint="eastAsia" w:ascii="宋体" w:hAnsi="宋体" w:eastAsia="宋体" w:cs="宋体"/>
      <w:color w:val="000000"/>
      <w:sz w:val="22"/>
      <w:szCs w:val="22"/>
      <w:u w:val="none"/>
    </w:rPr>
  </w:style>
  <w:style w:type="character" w:customStyle="1" w:styleId="205">
    <w:name w:val="font21"/>
    <w:basedOn w:val="36"/>
    <w:qFormat/>
    <w:uiPriority w:val="0"/>
    <w:rPr>
      <w:rFonts w:hint="default" w:ascii="Times New Roman" w:hAnsi="Times New Roman" w:cs="Times New Roman"/>
      <w:color w:val="000000"/>
      <w:sz w:val="24"/>
      <w:szCs w:val="24"/>
      <w:u w:val="none"/>
    </w:rPr>
  </w:style>
  <w:style w:type="character" w:customStyle="1" w:styleId="206">
    <w:name w:val="font11"/>
    <w:basedOn w:val="36"/>
    <w:qFormat/>
    <w:uiPriority w:val="0"/>
    <w:rPr>
      <w:rFonts w:ascii="仿宋_GB2312" w:eastAsia="仿宋_GB2312" w:cs="仿宋_GB2312"/>
      <w:color w:val="000000"/>
      <w:sz w:val="24"/>
      <w:szCs w:val="24"/>
      <w:u w:val="none"/>
    </w:rPr>
  </w:style>
  <w:style w:type="character" w:customStyle="1" w:styleId="207">
    <w:name w:val="font51"/>
    <w:basedOn w:val="36"/>
    <w:qFormat/>
    <w:uiPriority w:val="0"/>
    <w:rPr>
      <w:rFonts w:hint="default" w:ascii="Times New Roman" w:hAnsi="Times New Roman" w:cs="Times New Roman"/>
      <w:color w:val="000000"/>
      <w:sz w:val="22"/>
      <w:szCs w:val="22"/>
      <w:u w:val="none"/>
    </w:rPr>
  </w:style>
  <w:style w:type="paragraph" w:customStyle="1" w:styleId="208">
    <w:name w:val="磷矿正文"/>
    <w:basedOn w:val="1"/>
    <w:qFormat/>
    <w:uiPriority w:val="0"/>
    <w:pPr>
      <w:autoSpaceDE w:val="0"/>
      <w:autoSpaceDN w:val="0"/>
      <w:adjustRightInd w:val="0"/>
      <w:ind w:firstLine="200" w:firstLineChars="200"/>
    </w:pPr>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5.png"/><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F:\111&#38182;&#32654;AAA\&#26106;&#33485;&#21439;&#30044;&#31165;&#20859;&#27542;&#21313;&#22235;&#20116;&#27745;&#26579;&#38450;&#27835;&#35268;&#21010;\&#30165;&#36857;\&#21021;&#31295;\&#26106;&#33485;&#21439;&#22825;&#26143;&#38215;&#30044;&#31165;&#20859;&#27542;&#29616;&#29366;&#35843;&#26597;&#34920;-all.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F:\111&#38182;&#32654;AAA\&#26106;&#33485;&#21439;&#30044;&#31165;&#20859;&#27542;&#21313;&#22235;&#20116;&#27745;&#26579;&#38450;&#27835;&#35268;&#21010;\&#30165;&#36857;\&#21021;&#31295;\&#26106;&#33485;&#21439;&#22825;&#26143;&#38215;&#30044;&#31165;&#20859;&#27542;&#29616;&#29366;&#35843;&#26597;&#34920;-all.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F:\111&#38182;&#32654;AAA\&#26106;&#33485;&#21439;&#30044;&#31165;&#20859;&#27542;&#21313;&#22235;&#20116;&#27745;&#26579;&#38450;&#27835;&#35268;&#21010;\&#30165;&#36857;\&#21021;&#31295;\&#26106;&#33485;&#21439;&#22825;&#26143;&#38215;&#30044;&#31165;&#20859;&#27542;&#29616;&#29366;&#35843;&#26597;&#34920;-all.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F:\111&#38182;&#32654;AAA\&#26106;&#33485;&#21439;&#30044;&#31165;&#20859;&#27542;&#21313;&#22235;&#20116;&#27745;&#26579;&#38450;&#27835;&#35268;&#21010;\&#30165;&#36857;\&#21021;&#31295;\&#26106;&#33485;&#21439;&#22825;&#26143;&#38215;&#30044;&#31165;&#20859;&#27542;&#29616;&#29366;&#35843;&#26597;&#34920;-all.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F:\111&#38182;&#32654;AAA\&#26106;&#33485;&#21439;&#30044;&#31165;&#20859;&#27542;&#21313;&#22235;&#20116;&#27745;&#26579;&#38450;&#27835;&#35268;&#21010;\&#30165;&#36857;\&#21021;&#31295;\&#26106;&#33485;&#21439;&#22825;&#26143;&#38215;&#30044;&#31165;&#20859;&#27542;&#29616;&#29366;&#35843;&#26597;&#34920;-all.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F:\111&#38182;&#32654;AAA\&#26106;&#33485;&#21439;&#30044;&#31165;&#20859;&#27542;&#21313;&#22235;&#20116;&#27745;&#26579;&#38450;&#27835;&#35268;&#21010;\&#30165;&#36857;\&#21021;&#31295;\&#26106;&#33485;&#21439;&#22825;&#26143;&#38215;&#30044;&#31165;&#20859;&#27542;&#29616;&#29366;&#35843;&#26597;&#34920;-al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tx>
            <c:strRef>
              <c:f>'[旺苍县天星镇畜禽养殖现状调查表-all.xlsx]Sheet1'!$C$134</c:f>
              <c:strCache>
                <c:ptCount val="1"/>
                <c:pt idx="0">
                  <c:v>养殖场</c:v>
                </c:pt>
              </c:strCache>
            </c:strRef>
          </c:tx>
          <c:spPr/>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Pt>
            <c:idx val="2"/>
            <c:bubble3D val="0"/>
            <c:spPr>
              <a:solidFill>
                <a:srgbClr val="9BBB59"/>
              </a:solidFill>
              <a:ln w="19050">
                <a:solidFill>
                  <a:srgbClr val="FFFFFF"/>
                </a:solidFill>
              </a:ln>
              <a:effectLst/>
            </c:spPr>
          </c:dPt>
          <c:dPt>
            <c:idx val="3"/>
            <c:bubble3D val="0"/>
            <c:spPr>
              <a:solidFill>
                <a:srgbClr val="8064A2"/>
              </a:solidFill>
              <a:ln w="19050">
                <a:solidFill>
                  <a:srgbClr val="FFFFFF"/>
                </a:solidFill>
              </a:ln>
              <a:effectLst/>
            </c:spPr>
          </c:dPt>
          <c:dPt>
            <c:idx val="4"/>
            <c:bubble3D val="0"/>
            <c:spPr>
              <a:solidFill>
                <a:srgbClr val="4BACC6"/>
              </a:solidFill>
              <a:ln w="19050">
                <a:solidFill>
                  <a:srgbClr val="FFFFFF"/>
                </a:solidFill>
              </a:ln>
              <a:effectLst/>
            </c:spPr>
          </c:dPt>
          <c:dPt>
            <c:idx val="5"/>
            <c:bubble3D val="0"/>
            <c:spPr>
              <a:solidFill>
                <a:srgbClr val="F79646"/>
              </a:solidFill>
              <a:ln w="19050">
                <a:solidFill>
                  <a:srgbClr val="FFFFFF"/>
                </a:solidFill>
              </a:ln>
              <a:effectLst/>
            </c:spPr>
          </c:dPt>
          <c:dPt>
            <c:idx val="6"/>
            <c:bubble3D val="0"/>
            <c:spPr>
              <a:solidFill>
                <a:srgbClr val="2C4D75">
                  <a:lumMod val="60000"/>
                </a:srgbClr>
              </a:solidFill>
              <a:ln w="19050">
                <a:solidFill>
                  <a:srgbClr val="FFFFFF"/>
                </a:solidFill>
              </a:ln>
              <a:effectLst/>
            </c:spPr>
          </c:dPt>
          <c:dLbls>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ysClr val="windowText" lastClr="000000"/>
                    </a:solidFill>
                    <a:latin typeface="+mn-lt"/>
                    <a:ea typeface="+mn-ea"/>
                    <a:cs typeface="+mn-cs"/>
                  </a:defRPr>
                </a:pPr>
              </a:p>
            </c:txPr>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'[旺苍县天星镇畜禽养殖现状调查表-all.xlsx]Sheet1'!$D$133:$J$133</c:f>
              <c:strCache>
                <c:ptCount val="7"/>
                <c:pt idx="0">
                  <c:v>垫草垫料</c:v>
                </c:pt>
                <c:pt idx="1">
                  <c:v>堆积</c:v>
                </c:pt>
                <c:pt idx="2">
                  <c:v>干清粪</c:v>
                </c:pt>
                <c:pt idx="3">
                  <c:v>水冲粪</c:v>
                </c:pt>
                <c:pt idx="4">
                  <c:v>水泡粪</c:v>
                </c:pt>
                <c:pt idx="5">
                  <c:v>发酵床</c:v>
                </c:pt>
                <c:pt idx="6">
                  <c:v>其它</c:v>
                </c:pt>
              </c:strCache>
            </c:strRef>
          </c:cat>
          <c:val>
            <c:numRef>
              <c:f>'[旺苍县天星镇畜禽养殖现状调查表-all.xlsx]Sheet1'!$D$134:$J$134</c:f>
              <c:numCache>
                <c:formatCode>General</c:formatCode>
                <c:ptCount val="7"/>
                <c:pt idx="0">
                  <c:v>3</c:v>
                </c:pt>
                <c:pt idx="1">
                  <c:v>0</c:v>
                </c:pt>
                <c:pt idx="2">
                  <c:v>41</c:v>
                </c:pt>
                <c:pt idx="3">
                  <c:v>12</c:v>
                </c:pt>
                <c:pt idx="4">
                  <c:v>6</c:v>
                </c:pt>
                <c:pt idx="5">
                  <c:v>1</c:v>
                </c:pt>
                <c:pt idx="6">
                  <c:v>0</c:v>
                </c:pt>
              </c:numCache>
            </c:numRef>
          </c:val>
        </c:ser>
        <c:dLbls>
          <c:showLegendKey val="0"/>
          <c:showVal val="0"/>
          <c:showCatName val="1"/>
          <c:showSerName val="0"/>
          <c:showPercent val="1"/>
          <c:showBubbleSize val="0"/>
          <c:showLeaderLines val="1"/>
        </c:dLbls>
        <c:firstSliceAng val="0"/>
        <c:holeSize val="50"/>
      </c:doughnutChart>
      <c:spPr>
        <a:noFill/>
        <a:ln>
          <a:noFill/>
        </a:ln>
        <a:effectLst/>
      </c:spPr>
    </c:plotArea>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sz="1200">
          <a:solidFill>
            <a:sysClr val="windowText" lastClr="000000"/>
          </a:solidFill>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tx>
            <c:strRef>
              <c:f>'[旺苍县天星镇畜禽养殖现状调查表-all.xlsx]Sheet1'!$C$135</c:f>
              <c:strCache>
                <c:ptCount val="1"/>
                <c:pt idx="0">
                  <c:v>养殖户</c:v>
                </c:pt>
              </c:strCache>
            </c:strRef>
          </c:tx>
          <c:spPr/>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Pt>
            <c:idx val="2"/>
            <c:bubble3D val="0"/>
            <c:spPr>
              <a:solidFill>
                <a:srgbClr val="9BBB59"/>
              </a:solidFill>
              <a:ln w="19050">
                <a:solidFill>
                  <a:srgbClr val="FFFFFF"/>
                </a:solidFill>
              </a:ln>
              <a:effectLst/>
            </c:spPr>
          </c:dPt>
          <c:dPt>
            <c:idx val="3"/>
            <c:bubble3D val="0"/>
            <c:spPr>
              <a:solidFill>
                <a:srgbClr val="8064A2"/>
              </a:solidFill>
              <a:ln w="19050">
                <a:solidFill>
                  <a:srgbClr val="FFFFFF"/>
                </a:solidFill>
              </a:ln>
              <a:effectLst/>
            </c:spPr>
          </c:dPt>
          <c:dPt>
            <c:idx val="4"/>
            <c:bubble3D val="0"/>
            <c:spPr>
              <a:solidFill>
                <a:srgbClr val="4BACC6"/>
              </a:solidFill>
              <a:ln w="19050">
                <a:solidFill>
                  <a:srgbClr val="FFFFFF"/>
                </a:solidFill>
              </a:ln>
              <a:effectLst/>
            </c:spPr>
          </c:dPt>
          <c:dPt>
            <c:idx val="5"/>
            <c:bubble3D val="0"/>
            <c:spPr>
              <a:solidFill>
                <a:srgbClr val="F79646"/>
              </a:solidFill>
              <a:ln w="19050">
                <a:solidFill>
                  <a:srgbClr val="FFFFFF"/>
                </a:solidFill>
              </a:ln>
              <a:effectLst/>
            </c:spPr>
          </c:dPt>
          <c:dPt>
            <c:idx val="6"/>
            <c:bubble3D val="0"/>
            <c:spPr>
              <a:solidFill>
                <a:srgbClr val="2C4D75">
                  <a:lumMod val="60000"/>
                </a:srgbClr>
              </a:solidFill>
              <a:ln w="19050">
                <a:solidFill>
                  <a:srgbClr val="FFFFFF"/>
                </a:solidFill>
              </a:ln>
              <a:effectLst/>
            </c:spPr>
          </c:dPt>
          <c:dLbls>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ysClr val="windowText" lastClr="000000"/>
                    </a:solidFill>
                    <a:latin typeface="+mn-lt"/>
                    <a:ea typeface="+mn-ea"/>
                    <a:cs typeface="+mn-cs"/>
                  </a:defRPr>
                </a:pPr>
              </a:p>
            </c:txPr>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'[旺苍县天星镇畜禽养殖现状调查表-all.xlsx]Sheet1'!$D$133:$J$133</c:f>
              <c:strCache>
                <c:ptCount val="7"/>
                <c:pt idx="0">
                  <c:v>垫草垫料</c:v>
                </c:pt>
                <c:pt idx="1">
                  <c:v>堆积</c:v>
                </c:pt>
                <c:pt idx="2">
                  <c:v>干清粪</c:v>
                </c:pt>
                <c:pt idx="3">
                  <c:v>水冲粪</c:v>
                </c:pt>
                <c:pt idx="4">
                  <c:v>水泡粪</c:v>
                </c:pt>
                <c:pt idx="5">
                  <c:v>发酵床</c:v>
                </c:pt>
                <c:pt idx="6">
                  <c:v>其它</c:v>
                </c:pt>
              </c:strCache>
            </c:strRef>
          </c:cat>
          <c:val>
            <c:numRef>
              <c:f>'[旺苍县天星镇畜禽养殖现状调查表-all.xlsx]Sheet1'!$D$135:$J$135</c:f>
              <c:numCache>
                <c:formatCode>General</c:formatCode>
                <c:ptCount val="7"/>
                <c:pt idx="0">
                  <c:v>2</c:v>
                </c:pt>
                <c:pt idx="1">
                  <c:v>1</c:v>
                </c:pt>
                <c:pt idx="2">
                  <c:v>105</c:v>
                </c:pt>
                <c:pt idx="3">
                  <c:v>22</c:v>
                </c:pt>
                <c:pt idx="4">
                  <c:v>8</c:v>
                </c:pt>
                <c:pt idx="5">
                  <c:v>0</c:v>
                </c:pt>
                <c:pt idx="6">
                  <c:v>4</c:v>
                </c:pt>
              </c:numCache>
            </c:numRef>
          </c:val>
        </c:ser>
        <c:dLbls>
          <c:showLegendKey val="0"/>
          <c:showVal val="0"/>
          <c:showCatName val="1"/>
          <c:showSerName val="0"/>
          <c:showPercent val="1"/>
          <c:showBubbleSize val="0"/>
          <c:showLeaderLines val="1"/>
        </c:dLbls>
        <c:firstSliceAng val="0"/>
        <c:holeSize val="50"/>
      </c:doughnutChart>
      <c:spPr>
        <a:noFill/>
        <a:ln>
          <a:noFill/>
        </a:ln>
        <a:effectLst/>
      </c:spPr>
    </c:plotArea>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sz="1800"/>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spPr/>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Pt>
            <c:idx val="2"/>
            <c:bubble3D val="0"/>
            <c:spPr>
              <a:solidFill>
                <a:srgbClr val="9BBB59"/>
              </a:solidFill>
              <a:ln w="19050">
                <a:solidFill>
                  <a:srgbClr val="FFFFFF"/>
                </a:solidFill>
              </a:ln>
              <a:effectLst/>
            </c:spPr>
          </c:dPt>
          <c:dPt>
            <c:idx val="3"/>
            <c:bubble3D val="0"/>
            <c:spPr>
              <a:solidFill>
                <a:srgbClr val="8064A2"/>
              </a:solidFill>
              <a:ln w="19050">
                <a:solidFill>
                  <a:srgbClr val="FFFFFF"/>
                </a:solidFill>
              </a:ln>
              <a:effectLst/>
            </c:spPr>
          </c:dPt>
          <c:dLbls>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ysClr val="windowText" lastClr="000000"/>
                    </a:solidFill>
                    <a:latin typeface="+mn-lt"/>
                    <a:ea typeface="+mn-ea"/>
                    <a:cs typeface="+mn-cs"/>
                  </a:defRPr>
                </a:pPr>
              </a:p>
            </c:txPr>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'[旺苍县天星镇畜禽养殖现状调查表-all.xlsx]Sheet1'!$D$138:$G$138</c:f>
              <c:strCache>
                <c:ptCount val="4"/>
                <c:pt idx="0">
                  <c:v>沼气池</c:v>
                </c:pt>
                <c:pt idx="1">
                  <c:v>储液池</c:v>
                </c:pt>
                <c:pt idx="2">
                  <c:v>化粪池</c:v>
                </c:pt>
                <c:pt idx="3">
                  <c:v>污水处理设施</c:v>
                </c:pt>
              </c:strCache>
            </c:strRef>
          </c:cat>
          <c:val>
            <c:numRef>
              <c:f>'[旺苍县天星镇畜禽养殖现状调查表-all.xlsx]Sheet1'!$D$141:$G$141</c:f>
              <c:numCache>
                <c:formatCode>General</c:formatCode>
                <c:ptCount val="4"/>
                <c:pt idx="0">
                  <c:v>57</c:v>
                </c:pt>
                <c:pt idx="1">
                  <c:v>33</c:v>
                </c:pt>
                <c:pt idx="2">
                  <c:v>113</c:v>
                </c:pt>
                <c:pt idx="3">
                  <c:v>2</c:v>
                </c:pt>
              </c:numCache>
            </c:numRef>
          </c:val>
        </c:ser>
        <c:dLbls>
          <c:showLegendKey val="0"/>
          <c:showVal val="0"/>
          <c:showCatName val="1"/>
          <c:showSerName val="0"/>
          <c:showPercent val="1"/>
          <c:showBubbleSize val="0"/>
          <c:showLeaderLines val="1"/>
        </c:dLbls>
        <c:firstSliceAng val="0"/>
        <c:holeSize val="50"/>
      </c:doughnutChart>
      <c:spPr>
        <a:noFill/>
        <a:ln>
          <a:noFill/>
        </a:ln>
        <a:effectLst/>
      </c:spPr>
    </c:plotArea>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sz="1200">
          <a:solidFill>
            <a:sysClr val="windowText" lastClr="000000"/>
          </a:solidFill>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spPr/>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Pt>
            <c:idx val="2"/>
            <c:bubble3D val="0"/>
            <c:spPr>
              <a:solidFill>
                <a:srgbClr val="9BBB59"/>
              </a:solidFill>
              <a:ln w="19050">
                <a:solidFill>
                  <a:srgbClr val="FFFFFF"/>
                </a:solidFill>
              </a:ln>
              <a:effectLst/>
            </c:spPr>
          </c:dPt>
          <c:dPt>
            <c:idx val="3"/>
            <c:bubble3D val="0"/>
            <c:spPr>
              <a:solidFill>
                <a:srgbClr val="8064A2"/>
              </a:solidFill>
              <a:ln w="19050">
                <a:solidFill>
                  <a:srgbClr val="FFFFFF"/>
                </a:solidFill>
              </a:ln>
              <a:effectLst/>
            </c:spPr>
          </c:dPt>
          <c:dPt>
            <c:idx val="4"/>
            <c:bubble3D val="0"/>
            <c:spPr>
              <a:solidFill>
                <a:srgbClr val="4BACC6"/>
              </a:solidFill>
              <a:ln w="19050">
                <a:solidFill>
                  <a:srgbClr val="FFFFFF"/>
                </a:solidFill>
              </a:ln>
              <a:effectLst/>
            </c:spPr>
          </c:dPt>
          <c:dLbls>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ysClr val="windowText" lastClr="000000"/>
                    </a:solidFill>
                    <a:latin typeface="+mn-lt"/>
                    <a:ea typeface="+mn-ea"/>
                    <a:cs typeface="+mn-cs"/>
                  </a:defRPr>
                </a:pPr>
              </a:p>
            </c:txPr>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'[旺苍县天星镇畜禽养殖现状调查表-all.xlsx]Sheet1'!$D$147:$H$147</c:f>
              <c:strCache>
                <c:ptCount val="5"/>
                <c:pt idx="0">
                  <c:v>排气扇</c:v>
                </c:pt>
                <c:pt idx="1">
                  <c:v>添加益生菌</c:v>
                </c:pt>
                <c:pt idx="2">
                  <c:v>消毒</c:v>
                </c:pt>
                <c:pt idx="3">
                  <c:v>植树造林</c:v>
                </c:pt>
                <c:pt idx="4">
                  <c:v>密封、烧碱</c:v>
                </c:pt>
              </c:strCache>
            </c:strRef>
          </c:cat>
          <c:val>
            <c:numRef>
              <c:f>'[旺苍县天星镇畜禽养殖现状调查表-all.xlsx]Sheet1'!$D$150:$H$150</c:f>
              <c:numCache>
                <c:formatCode>General</c:formatCode>
                <c:ptCount val="5"/>
                <c:pt idx="0">
                  <c:v>138</c:v>
                </c:pt>
                <c:pt idx="1">
                  <c:v>4</c:v>
                </c:pt>
                <c:pt idx="2">
                  <c:v>55</c:v>
                </c:pt>
                <c:pt idx="3">
                  <c:v>7</c:v>
                </c:pt>
                <c:pt idx="4">
                  <c:v>1</c:v>
                </c:pt>
              </c:numCache>
            </c:numRef>
          </c:val>
        </c:ser>
        <c:dLbls>
          <c:showLegendKey val="0"/>
          <c:showVal val="0"/>
          <c:showCatName val="1"/>
          <c:showSerName val="0"/>
          <c:showPercent val="1"/>
          <c:showBubbleSize val="0"/>
          <c:showLeaderLines val="1"/>
        </c:dLbls>
        <c:firstSliceAng val="0"/>
        <c:holeSize val="50"/>
      </c:doughnutChart>
      <c:spPr>
        <a:noFill/>
        <a:ln>
          <a:noFill/>
        </a:ln>
        <a:effectLst/>
      </c:spPr>
    </c:plotArea>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sz="1200">
          <a:solidFill>
            <a:sysClr val="windowText" lastClr="000000"/>
          </a:solidFill>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spPr/>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Pt>
            <c:idx val="2"/>
            <c:bubble3D val="0"/>
            <c:spPr>
              <a:solidFill>
                <a:srgbClr val="9BBB59"/>
              </a:solidFill>
              <a:ln w="19050">
                <a:solidFill>
                  <a:srgbClr val="FFFFFF"/>
                </a:solidFill>
              </a:ln>
              <a:effectLst/>
            </c:spPr>
          </c:dPt>
          <c:dLbls>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mn-lt"/>
                    <a:ea typeface="+mn-ea"/>
                    <a:cs typeface="+mn-cs"/>
                  </a:defRPr>
                </a:pPr>
              </a:p>
            </c:txPr>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'[旺苍县天星镇畜禽养殖现状调查表-all.xlsx]Sheet1'!$D$147:$F$147</c:f>
              <c:strCache>
                <c:ptCount val="3"/>
                <c:pt idx="0">
                  <c:v>化尸池</c:v>
                </c:pt>
                <c:pt idx="1">
                  <c:v>消毒深埋</c:v>
                </c:pt>
                <c:pt idx="2">
                  <c:v>无害化处理池</c:v>
                </c:pt>
              </c:strCache>
            </c:strRef>
          </c:cat>
          <c:val>
            <c:numRef>
              <c:f>'[旺苍县天星镇畜禽养殖现状调查表-all.xlsx]Sheet1'!$D$150:$F$150</c:f>
              <c:numCache>
                <c:formatCode>General</c:formatCode>
                <c:ptCount val="3"/>
                <c:pt idx="0">
                  <c:v>18</c:v>
                </c:pt>
                <c:pt idx="1">
                  <c:v>175</c:v>
                </c:pt>
                <c:pt idx="2">
                  <c:v>12</c:v>
                </c:pt>
              </c:numCache>
            </c:numRef>
          </c:val>
        </c:ser>
        <c:dLbls>
          <c:showLegendKey val="0"/>
          <c:showVal val="0"/>
          <c:showCatName val="1"/>
          <c:showSerName val="0"/>
          <c:showPercent val="1"/>
          <c:showBubbleSize val="0"/>
          <c:showLeaderLines val="1"/>
        </c:dLbls>
        <c:firstSliceAng val="0"/>
        <c:holeSize val="50"/>
      </c:doughnutChart>
      <c:spPr>
        <a:noFill/>
        <a:ln>
          <a:noFill/>
        </a:ln>
        <a:effectLst/>
      </c:spPr>
    </c:plotArea>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sz="1800">
          <a:solidFill>
            <a:srgbClr val="000000"/>
          </a:solidFill>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spPr/>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Pt>
            <c:idx val="2"/>
            <c:bubble3D val="0"/>
            <c:spPr>
              <a:solidFill>
                <a:srgbClr val="9BBB59"/>
              </a:solidFill>
              <a:ln w="19050">
                <a:solidFill>
                  <a:srgbClr val="FFFFFF"/>
                </a:solidFill>
              </a:ln>
              <a:effectLst/>
            </c:spPr>
          </c:dPt>
          <c:dLbls>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mn-lt"/>
                    <a:ea typeface="+mn-ea"/>
                    <a:cs typeface="+mn-cs"/>
                  </a:defRPr>
                </a:pPr>
              </a:p>
            </c:txPr>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'[旺苍县天星镇畜禽养殖现状调查表-all.xlsx]Sheet1'!$D$151:$F$151</c:f>
              <c:strCache>
                <c:ptCount val="3"/>
                <c:pt idx="0">
                  <c:v>未建沼气池</c:v>
                </c:pt>
                <c:pt idx="1">
                  <c:v>已建沼气池已利用</c:v>
                </c:pt>
                <c:pt idx="2">
                  <c:v>已建沼气池未利用</c:v>
                </c:pt>
              </c:strCache>
            </c:strRef>
          </c:cat>
          <c:val>
            <c:numRef>
              <c:f>'[旺苍县天星镇畜禽养殖现状调查表-all.xlsx]Sheet1'!$D$154:$F$154</c:f>
              <c:numCache>
                <c:formatCode>General</c:formatCode>
                <c:ptCount val="3"/>
                <c:pt idx="0">
                  <c:v>128</c:v>
                </c:pt>
                <c:pt idx="1">
                  <c:v>66</c:v>
                </c:pt>
                <c:pt idx="2">
                  <c:v>11</c:v>
                </c:pt>
              </c:numCache>
            </c:numRef>
          </c:val>
        </c:ser>
        <c:dLbls>
          <c:showLegendKey val="0"/>
          <c:showVal val="0"/>
          <c:showCatName val="1"/>
          <c:showSerName val="0"/>
          <c:showPercent val="1"/>
          <c:showBubbleSize val="0"/>
          <c:showLeaderLines val="1"/>
        </c:dLbls>
        <c:firstSliceAng val="0"/>
        <c:holeSize val="50"/>
      </c:doughnutChart>
      <c:spPr>
        <a:noFill/>
        <a:ln>
          <a:noFill/>
        </a:ln>
        <a:effectLst/>
      </c:spPr>
    </c:plotArea>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sz="1200">
          <a:solidFill>
            <a:srgbClr val="000000"/>
          </a:solidFill>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3">
  <cs:axisTitle>
    <cs:lnRef idx="0"/>
    <cs:fillRef idx="0"/>
    <cs:effectRef idx="0"/>
    <cs:fontRef idx="minor">
      <a:srgbClr val="595959">
        <a:lumMod val="65000"/>
        <a:lumOff val="35000"/>
      </a:srgbClr>
    </cs:fontRef>
    <cs:defRPr sz="9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595959">
        <a:lumMod val="65000"/>
        <a:lumOff val="3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808080">
            <a:lumMod val="50000"/>
            <a:lumOff val="50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rgbClr val="000000"/>
    </cs:fontRef>
    <cs:spPr>
      <a:solidFill>
        <a:srgbClr val="FFFFFF"/>
      </a:solidFill>
      <a:ln w="19050">
        <a:solidFill>
          <a:srgbClr val="FFFFFF"/>
        </a:solidFill>
      </a:ln>
    </cs:spPr>
  </cs:dataPoint>
  <cs:dataPoint3D>
    <cs:lnRef idx="0"/>
    <cs:fillRef idx="0">
      <cs:styleClr val="auto"/>
    </cs:fillRef>
    <cs:effectRef idx="0"/>
    <cs:fontRef idx="minor">
      <a:srgbClr val="000000"/>
    </cs:fontRef>
    <cs:spPr>
      <a:solidFill>
        <a:srgbClr val="FFFFFF"/>
      </a:solidFill>
      <a:ln w="1905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fillRef idx="0">
      <cs:styleClr val="auto"/>
    </cs:fillRef>
    <cs:effectRef idx="0"/>
    <cs:fontRef idx="minor">
      <a:srgbClr val="000000"/>
    </cs:fontRef>
    <cs:spPr>
      <a:solidFill>
        <a:srgbClr val="FFFFFF"/>
      </a:solidFill>
      <a:ln w="9525">
        <a:solidFill>
          <a:srgbClr val="FFFFFF"/>
        </a:solidFill>
      </a:ln>
    </cs:spPr>
  </cs:dataPointMarker>
  <cs:dataPointMarkerLayout symbol="circle" size="6"/>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40" b="0" kern="1200" spc="0" baseline="0"/>
  </cs:title>
  <cs:trendline>
    <cs:lnRef idx="0">
      <cs:styleClr val="auto"/>
    </cs:lnRef>
    <cs:fillRef idx="0"/>
    <cs:effectRef idx="0"/>
    <cs:fontRef idx="minor">
      <a:srgbClr val="000000"/>
    </cs:fontRef>
    <cs:spPr>
      <a:ln w="19050" cap="rnd">
        <a:solidFill>
          <a:srgbClr val="FFFFFF"/>
        </a:solidFill>
        <a:prstDash val="sysDash"/>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2.xml><?xml version="1.0" encoding="utf-8"?>
<cs:chartStyle xmlns:cs="http://schemas.microsoft.com/office/drawing/2012/chartStyle" xmlns:a="http://schemas.openxmlformats.org/drawingml/2006/main" id="333">
  <cs:axisTitle>
    <cs:lnRef idx="0"/>
    <cs:fillRef idx="0"/>
    <cs:effectRef idx="0"/>
    <cs:fontRef idx="minor">
      <a:srgbClr val="595959">
        <a:lumMod val="65000"/>
        <a:lumOff val="35000"/>
      </a:srgbClr>
    </cs:fontRef>
    <cs:defRPr sz="9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595959">
        <a:lumMod val="65000"/>
        <a:lumOff val="3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808080">
            <a:lumMod val="50000"/>
            <a:lumOff val="50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rgbClr val="000000"/>
    </cs:fontRef>
    <cs:spPr>
      <a:solidFill>
        <a:srgbClr val="FFFFFF"/>
      </a:solidFill>
      <a:ln w="19050">
        <a:solidFill>
          <a:srgbClr val="FFFFFF"/>
        </a:solidFill>
      </a:ln>
    </cs:spPr>
  </cs:dataPoint>
  <cs:dataPoint3D>
    <cs:lnRef idx="0"/>
    <cs:fillRef idx="0">
      <cs:styleClr val="auto"/>
    </cs:fillRef>
    <cs:effectRef idx="0"/>
    <cs:fontRef idx="minor">
      <a:srgbClr val="000000"/>
    </cs:fontRef>
    <cs:spPr>
      <a:solidFill>
        <a:srgbClr val="FFFFFF"/>
      </a:solidFill>
      <a:ln w="1905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fillRef idx="0">
      <cs:styleClr val="auto"/>
    </cs:fillRef>
    <cs:effectRef idx="0"/>
    <cs:fontRef idx="minor">
      <a:srgbClr val="000000"/>
    </cs:fontRef>
    <cs:spPr>
      <a:solidFill>
        <a:srgbClr val="FFFFFF"/>
      </a:solidFill>
      <a:ln w="9525">
        <a:solidFill>
          <a:srgbClr val="FFFFFF"/>
        </a:solidFill>
      </a:ln>
    </cs:spPr>
  </cs:dataPointMarker>
  <cs:dataPointMarkerLayout symbol="circle" size="6"/>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40" b="0" kern="1200" spc="0" baseline="0"/>
  </cs:title>
  <cs:trendline>
    <cs:lnRef idx="0">
      <cs:styleClr val="auto"/>
    </cs:lnRef>
    <cs:fillRef idx="0"/>
    <cs:effectRef idx="0"/>
    <cs:fontRef idx="minor">
      <a:srgbClr val="000000"/>
    </cs:fontRef>
    <cs:spPr>
      <a:ln w="19050" cap="rnd">
        <a:solidFill>
          <a:srgbClr val="FFFFFF"/>
        </a:solidFill>
        <a:prstDash val="sysDash"/>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3.xml><?xml version="1.0" encoding="utf-8"?>
<cs:chartStyle xmlns:cs="http://schemas.microsoft.com/office/drawing/2012/chartStyle" xmlns:a="http://schemas.openxmlformats.org/drawingml/2006/main" id="333">
  <cs:axisTitle>
    <cs:lnRef idx="0"/>
    <cs:fillRef idx="0"/>
    <cs:effectRef idx="0"/>
    <cs:fontRef idx="minor">
      <a:srgbClr val="595959">
        <a:lumMod val="65000"/>
        <a:lumOff val="35000"/>
      </a:srgbClr>
    </cs:fontRef>
    <cs:defRPr sz="9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595959">
        <a:lumMod val="65000"/>
        <a:lumOff val="3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808080">
            <a:lumMod val="50000"/>
            <a:lumOff val="50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rgbClr val="000000"/>
    </cs:fontRef>
    <cs:spPr>
      <a:solidFill>
        <a:srgbClr val="FFFFFF"/>
      </a:solidFill>
      <a:ln w="19050">
        <a:solidFill>
          <a:srgbClr val="FFFFFF"/>
        </a:solidFill>
      </a:ln>
    </cs:spPr>
  </cs:dataPoint>
  <cs:dataPoint3D>
    <cs:lnRef idx="0"/>
    <cs:fillRef idx="0">
      <cs:styleClr val="auto"/>
    </cs:fillRef>
    <cs:effectRef idx="0"/>
    <cs:fontRef idx="minor">
      <a:srgbClr val="000000"/>
    </cs:fontRef>
    <cs:spPr>
      <a:solidFill>
        <a:srgbClr val="FFFFFF"/>
      </a:solidFill>
      <a:ln w="1905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fillRef idx="0">
      <cs:styleClr val="auto"/>
    </cs:fillRef>
    <cs:effectRef idx="0"/>
    <cs:fontRef idx="minor">
      <a:srgbClr val="000000"/>
    </cs:fontRef>
    <cs:spPr>
      <a:solidFill>
        <a:srgbClr val="FFFFFF"/>
      </a:solidFill>
      <a:ln w="9525">
        <a:solidFill>
          <a:srgbClr val="FFFFFF"/>
        </a:solidFill>
      </a:ln>
    </cs:spPr>
  </cs:dataPointMarker>
  <cs:dataPointMarkerLayout symbol="circle" size="6"/>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40" b="0" kern="1200" spc="0" baseline="0"/>
  </cs:title>
  <cs:trendline>
    <cs:lnRef idx="0">
      <cs:styleClr val="auto"/>
    </cs:lnRef>
    <cs:fillRef idx="0"/>
    <cs:effectRef idx="0"/>
    <cs:fontRef idx="minor">
      <a:srgbClr val="000000"/>
    </cs:fontRef>
    <cs:spPr>
      <a:ln w="19050" cap="rnd">
        <a:solidFill>
          <a:srgbClr val="FFFFFF"/>
        </a:solidFill>
        <a:prstDash val="sysDash"/>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4.xml><?xml version="1.0" encoding="utf-8"?>
<cs:chartStyle xmlns:cs="http://schemas.microsoft.com/office/drawing/2012/chartStyle" xmlns:a="http://schemas.openxmlformats.org/drawingml/2006/main" id="333">
  <cs:axisTitle>
    <cs:lnRef idx="0"/>
    <cs:fillRef idx="0"/>
    <cs:effectRef idx="0"/>
    <cs:fontRef idx="minor">
      <a:srgbClr val="595959">
        <a:lumMod val="65000"/>
        <a:lumOff val="35000"/>
      </a:srgbClr>
    </cs:fontRef>
    <cs:defRPr sz="9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595959">
        <a:lumMod val="65000"/>
        <a:lumOff val="3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808080">
            <a:lumMod val="50000"/>
            <a:lumOff val="50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rgbClr val="000000"/>
    </cs:fontRef>
    <cs:spPr>
      <a:solidFill>
        <a:srgbClr val="FFFFFF"/>
      </a:solidFill>
      <a:ln w="19050">
        <a:solidFill>
          <a:srgbClr val="FFFFFF"/>
        </a:solidFill>
      </a:ln>
    </cs:spPr>
  </cs:dataPoint>
  <cs:dataPoint3D>
    <cs:lnRef idx="0"/>
    <cs:fillRef idx="0">
      <cs:styleClr val="auto"/>
    </cs:fillRef>
    <cs:effectRef idx="0"/>
    <cs:fontRef idx="minor">
      <a:srgbClr val="000000"/>
    </cs:fontRef>
    <cs:spPr>
      <a:solidFill>
        <a:srgbClr val="FFFFFF"/>
      </a:solidFill>
      <a:ln w="1905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fillRef idx="0">
      <cs:styleClr val="auto"/>
    </cs:fillRef>
    <cs:effectRef idx="0"/>
    <cs:fontRef idx="minor">
      <a:srgbClr val="000000"/>
    </cs:fontRef>
    <cs:spPr>
      <a:solidFill>
        <a:srgbClr val="FFFFFF"/>
      </a:solidFill>
      <a:ln w="9525">
        <a:solidFill>
          <a:srgbClr val="FFFFFF"/>
        </a:solidFill>
      </a:ln>
    </cs:spPr>
  </cs:dataPointMarker>
  <cs:dataPointMarkerLayout symbol="circle" size="6"/>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40" b="0" kern="1200" spc="0" baseline="0"/>
  </cs:title>
  <cs:trendline>
    <cs:lnRef idx="0">
      <cs:styleClr val="auto"/>
    </cs:lnRef>
    <cs:fillRef idx="0"/>
    <cs:effectRef idx="0"/>
    <cs:fontRef idx="minor">
      <a:srgbClr val="000000"/>
    </cs:fontRef>
    <cs:spPr>
      <a:ln w="19050" cap="rnd">
        <a:solidFill>
          <a:srgbClr val="FFFFFF"/>
        </a:solidFill>
        <a:prstDash val="sysDash"/>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5.xml><?xml version="1.0" encoding="utf-8"?>
<cs:chartStyle xmlns:cs="http://schemas.microsoft.com/office/drawing/2012/chartStyle" xmlns:a="http://schemas.openxmlformats.org/drawingml/2006/main" id="333">
  <cs:axisTitle>
    <cs:lnRef idx="0"/>
    <cs:fillRef idx="0"/>
    <cs:effectRef idx="0"/>
    <cs:fontRef idx="minor">
      <a:srgbClr val="595959">
        <a:lumMod val="65000"/>
        <a:lumOff val="35000"/>
      </a:srgbClr>
    </cs:fontRef>
    <cs:defRPr sz="9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595959">
        <a:lumMod val="65000"/>
        <a:lumOff val="3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808080">
            <a:lumMod val="50000"/>
            <a:lumOff val="50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rgbClr val="000000"/>
    </cs:fontRef>
    <cs:spPr>
      <a:solidFill>
        <a:srgbClr val="FFFFFF"/>
      </a:solidFill>
      <a:ln w="19050">
        <a:solidFill>
          <a:srgbClr val="FFFFFF"/>
        </a:solidFill>
      </a:ln>
    </cs:spPr>
  </cs:dataPoint>
  <cs:dataPoint3D>
    <cs:lnRef idx="0"/>
    <cs:fillRef idx="0">
      <cs:styleClr val="auto"/>
    </cs:fillRef>
    <cs:effectRef idx="0"/>
    <cs:fontRef idx="minor">
      <a:srgbClr val="000000"/>
    </cs:fontRef>
    <cs:spPr>
      <a:solidFill>
        <a:srgbClr val="FFFFFF"/>
      </a:solidFill>
      <a:ln w="1905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fillRef idx="0">
      <cs:styleClr val="auto"/>
    </cs:fillRef>
    <cs:effectRef idx="0"/>
    <cs:fontRef idx="minor">
      <a:srgbClr val="000000"/>
    </cs:fontRef>
    <cs:spPr>
      <a:solidFill>
        <a:srgbClr val="FFFFFF"/>
      </a:solidFill>
      <a:ln w="9525">
        <a:solidFill>
          <a:srgbClr val="FFFFFF"/>
        </a:solidFill>
      </a:ln>
    </cs:spPr>
  </cs:dataPointMarker>
  <cs:dataPointMarkerLayout symbol="circle" size="6"/>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40" b="0" kern="1200" spc="0" baseline="0"/>
  </cs:title>
  <cs:trendline>
    <cs:lnRef idx="0">
      <cs:styleClr val="auto"/>
    </cs:lnRef>
    <cs:fillRef idx="0"/>
    <cs:effectRef idx="0"/>
    <cs:fontRef idx="minor">
      <a:srgbClr val="000000"/>
    </cs:fontRef>
    <cs:spPr>
      <a:ln w="19050" cap="rnd">
        <a:solidFill>
          <a:srgbClr val="FFFFFF"/>
        </a:solidFill>
        <a:prstDash val="sysDash"/>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6.xml><?xml version="1.0" encoding="utf-8"?>
<cs:chartStyle xmlns:cs="http://schemas.microsoft.com/office/drawing/2012/chartStyle" xmlns:a="http://schemas.openxmlformats.org/drawingml/2006/main" id="333">
  <cs:axisTitle>
    <cs:lnRef idx="0"/>
    <cs:fillRef idx="0"/>
    <cs:effectRef idx="0"/>
    <cs:fontRef idx="minor">
      <a:srgbClr val="595959">
        <a:lumMod val="65000"/>
        <a:lumOff val="35000"/>
      </a:srgbClr>
    </cs:fontRef>
    <cs:defRPr sz="9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595959">
        <a:lumMod val="65000"/>
        <a:lumOff val="3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808080">
            <a:lumMod val="50000"/>
            <a:lumOff val="50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rgbClr val="000000"/>
    </cs:fontRef>
    <cs:spPr>
      <a:solidFill>
        <a:srgbClr val="FFFFFF"/>
      </a:solidFill>
      <a:ln w="19050">
        <a:solidFill>
          <a:srgbClr val="FFFFFF"/>
        </a:solidFill>
      </a:ln>
    </cs:spPr>
  </cs:dataPoint>
  <cs:dataPoint3D>
    <cs:lnRef idx="0"/>
    <cs:fillRef idx="0">
      <cs:styleClr val="auto"/>
    </cs:fillRef>
    <cs:effectRef idx="0"/>
    <cs:fontRef idx="minor">
      <a:srgbClr val="000000"/>
    </cs:fontRef>
    <cs:spPr>
      <a:solidFill>
        <a:srgbClr val="FFFFFF"/>
      </a:solidFill>
      <a:ln w="1905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fillRef idx="0">
      <cs:styleClr val="auto"/>
    </cs:fillRef>
    <cs:effectRef idx="0"/>
    <cs:fontRef idx="minor">
      <a:srgbClr val="000000"/>
    </cs:fontRef>
    <cs:spPr>
      <a:solidFill>
        <a:srgbClr val="FFFFFF"/>
      </a:solidFill>
      <a:ln w="9525">
        <a:solidFill>
          <a:srgbClr val="FFFFFF"/>
        </a:solidFill>
      </a:ln>
    </cs:spPr>
  </cs:dataPointMarker>
  <cs:dataPointMarkerLayout symbol="circle" size="6"/>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40" b="0" kern="1200" spc="0" baseline="0"/>
  </cs:title>
  <cs:trendline>
    <cs:lnRef idx="0">
      <cs:styleClr val="auto"/>
    </cs:lnRef>
    <cs:fillRef idx="0"/>
    <cs:effectRef idx="0"/>
    <cs:fontRef idx="minor">
      <a:srgbClr val="000000"/>
    </cs:fontRef>
    <cs:spPr>
      <a:ln w="19050" cap="rnd">
        <a:solidFill>
          <a:srgbClr val="FFFFFF"/>
        </a:solidFill>
        <a:prstDash val="sysDash"/>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87</Pages>
  <Words>34986</Words>
  <Characters>38376</Characters>
  <Lines>92</Lines>
  <Paragraphs>26</Paragraphs>
  <TotalTime>2</TotalTime>
  <ScaleCrop>false</ScaleCrop>
  <LinksUpToDate>false</LinksUpToDate>
  <CharactersWithSpaces>39239</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2021-05-12T09:32:00Z</dcterms:created>
  <dc:creator>岳俊奎</dc:creator>
  <cp:lastModifiedBy>Q</cp:lastModifiedBy>
  <cp:lastPrinted>2020-12-07T02:20:00Z</cp:lastPrinted>
  <dcterms:modified xsi:type="dcterms:W3CDTF">2025-01-03T02:16:47Z</dcterms:modified>
  <dc:title>临海市“十二五”环境保护规划</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32EF41DADF1D46838626491E2AFEAEEC</vt:lpwstr>
  </property>
  <property fmtid="{D5CDD505-2E9C-101B-9397-08002B2CF9AE}" pid="4" name="commondata">
    <vt:lpwstr>eyJoZGlkIjoiOTY4MmJiNWI4MTM0Yjg1MzRkZjQ2NzA4ODQwMzVkNGQifQ==</vt:lpwstr>
  </property>
</Properties>
</file>