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旺苍县</w:t>
      </w:r>
      <w:r>
        <w:rPr>
          <w:rFonts w:hint="eastAsia" w:ascii="方正小标宋简体" w:eastAsia="方正小标宋简体"/>
          <w:b/>
          <w:sz w:val="44"/>
          <w:szCs w:val="44"/>
        </w:rPr>
        <w:t>公开引进</w:t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（招聘）</w:t>
      </w:r>
      <w:r>
        <w:rPr>
          <w:rFonts w:hint="eastAsia" w:ascii="方正小标宋简体" w:eastAsia="方正小标宋简体"/>
          <w:b/>
          <w:sz w:val="44"/>
          <w:szCs w:val="44"/>
        </w:rPr>
        <w:t>高层次人才岗位设置一览表</w:t>
      </w:r>
    </w:p>
    <w:p>
      <w:pPr>
        <w:spacing w:line="300" w:lineRule="exact"/>
        <w:rPr>
          <w:rFonts w:hint="eastAsia" w:ascii="宋体" w:hAnsi="宋体"/>
          <w:szCs w:val="21"/>
        </w:rPr>
      </w:pPr>
    </w:p>
    <w:p>
      <w:pPr>
        <w:spacing w:line="400" w:lineRule="exact"/>
        <w:jc w:val="center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</w:t>
      </w:r>
      <w:r>
        <w:rPr>
          <w:rFonts w:hint="eastAsia" w:ascii="楷体_GB2312" w:hAnsi="宋体" w:eastAsia="楷体_GB2312"/>
          <w:color w:val="000000"/>
          <w:sz w:val="28"/>
          <w:szCs w:val="28"/>
        </w:rPr>
        <w:t>共</w:t>
      </w:r>
      <w:r>
        <w:rPr>
          <w:rFonts w:hint="eastAsia" w:ascii="楷体_GB2312" w:hAnsi="宋体" w:eastAsia="楷体_GB2312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楷体_GB2312" w:hAnsi="宋体" w:eastAsia="楷体_GB2312"/>
          <w:color w:val="000000"/>
          <w:sz w:val="28"/>
          <w:szCs w:val="28"/>
        </w:rPr>
        <w:t>名</w:t>
      </w:r>
      <w:r>
        <w:rPr>
          <w:rFonts w:hint="eastAsia" w:ascii="楷体_GB2312" w:hAnsi="宋体" w:eastAsia="楷体_GB2312"/>
          <w:sz w:val="28"/>
          <w:szCs w:val="28"/>
        </w:rPr>
        <w:t>）</w:t>
      </w:r>
    </w:p>
    <w:tbl>
      <w:tblPr>
        <w:tblStyle w:val="5"/>
        <w:tblpPr w:leftFromText="180" w:rightFromText="180" w:vertAnchor="text" w:horzAnchor="page" w:tblpX="493" w:tblpY="210"/>
        <w:tblOverlap w:val="never"/>
        <w:tblW w:w="15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402"/>
        <w:gridCol w:w="1335"/>
        <w:gridCol w:w="690"/>
        <w:gridCol w:w="1260"/>
        <w:gridCol w:w="2850"/>
        <w:gridCol w:w="690"/>
        <w:gridCol w:w="1020"/>
        <w:gridCol w:w="945"/>
        <w:gridCol w:w="930"/>
        <w:gridCol w:w="258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tblHeader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位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历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 称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中共旺苍县委宣传部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融媒体中心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20203001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文艺学/语言学及应用语言学/汉语言文字学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/广播影视文艺学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硕士研究生35周岁及以下，博士研究生45周岁及以下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中共旺苍县委宣传部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融媒体中心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20203002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新闻学/传播学/新闻与传播/编辑出版学/国际新闻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硕士研究生35周岁及以下，博士研究生45周岁及以下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旺苍县经济信息化和科学技术局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旺苍县民营经济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发展中心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20203004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产业经济学/经济信息管理学/经济管理统计/经济统计与分析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硕士研究生35周岁及以下，博士研究生45周岁及以下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旺苍县林业局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旺苍县米仓山自然保护区事务中心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20203005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生态学/森林保护学/植物学/植物生态学/野生动植物保护与利用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硕士研究生35周岁及以下，博士研究生45周岁及以下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旺苍县农业农村局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旺苍县茶产业发展中心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20203006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茶学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硕士研究生35周岁及以下，博士研究生45周岁及以下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位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历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 称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旺苍县自然资源局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旺苍县国土空间规划事务中心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20203007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城乡规划学/城市规划/城市规划与设计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硕士研究生35周岁及以下，博士研究生45周岁及以下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旺苍县教育局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四川省旺苍中学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20203008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中国语言文学类/学科教学（语文）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硕士研究生35周岁及以下，博士研究生45周岁及以下</w:t>
            </w:r>
          </w:p>
        </w:tc>
        <w:tc>
          <w:tcPr>
            <w:tcW w:w="15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师范专业毕业生应具备相应高级中学教师资格，非师范专业毕业生高级中学教师资格暂不做要求，但须在签订合同后两年内取得相应高级中学教师资格。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旺苍县教育局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旺苍职业中学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20203011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硕士研究生35周岁及以下，博士研究生45周岁及以下</w:t>
            </w:r>
          </w:p>
        </w:tc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旺苍县教育局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旺苍职业中学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20203012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硕士研究生35周岁及以下，博士研究生45周岁及以下</w:t>
            </w:r>
          </w:p>
        </w:tc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旺苍县卫生健康局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旺苍县疾病预防控制中心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20203015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流行病与卫生统计学</w:t>
            </w:r>
            <w:r>
              <w:rPr>
                <w:rFonts w:hint="eastAsia" w:ascii="宋体" w:hAnsi="宋体" w:cs="宋体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/公共卫生/劳动卫生与环境卫生学/营养与食品卫生学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或取得副高级及以上职称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硕士研究生35周岁及以下，博士研究生45周岁及以下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旺苍县财政局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财政投资评审中心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20203016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市政工程/建筑与土木工程/建筑与土木工程领域/政府审计理论与实务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硕士研究生35周岁及以下，博士研究生45周岁及以下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</w:tbl>
    <w:p>
      <w:pPr>
        <w:rPr>
          <w:rFonts w:hint="eastAsia" w:ascii="仿宋_GB2312" w:hAnsi="宋体" w:eastAsia="仿宋_GB2312"/>
          <w:szCs w:val="21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587" w:right="1587" w:bottom="1587" w:left="1587" w:header="851" w:footer="1474" w:gutter="0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52F99"/>
    <w:rsid w:val="54C52F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2020-12-04T07:53:00Z</dcterms:created>
  <dc:creator>Administrator</dc:creator>
  <cp:lastModifiedBy>Administrator</cp:lastModifiedBy>
  <dcterms:modified xsi:type="dcterms:W3CDTF">2020-12-04T07:54:53Z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