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7425"/>
      <w:bookmarkStart w:id="1" w:name="_Toc15396475"/>
      <w:bookmarkStart w:id="2" w:name="_Toc15378441"/>
      <w:bookmarkStart w:id="3" w:name="_Toc15396597"/>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auto"/>
          <w:sz w:val="72"/>
          <w:szCs w:val="72"/>
          <w:highlight w:val="none"/>
        </w:rPr>
      </w:pPr>
      <w:r>
        <w:rPr>
          <w:rFonts w:hint="eastAsia" w:ascii="方正小标宋简体" w:hAnsi="方正小标宋简体" w:eastAsia="方正小标宋简体" w:cs="方正小标宋简体"/>
          <w:b w:val="0"/>
          <w:bCs w:val="0"/>
          <w:color w:val="auto"/>
          <w:sz w:val="72"/>
          <w:szCs w:val="72"/>
          <w:highlight w:val="none"/>
        </w:rPr>
        <w:t>20</w:t>
      </w:r>
      <w:r>
        <w:rPr>
          <w:rFonts w:hint="eastAsia" w:ascii="方正小标宋简体" w:hAnsi="方正小标宋简体" w:eastAsia="方正小标宋简体" w:cs="方正小标宋简体"/>
          <w:b w:val="0"/>
          <w:bCs w:val="0"/>
          <w:color w:val="auto"/>
          <w:sz w:val="72"/>
          <w:szCs w:val="72"/>
          <w:highlight w:val="none"/>
          <w:lang w:val="en-US" w:eastAsia="zh-CN"/>
        </w:rPr>
        <w:t>22</w:t>
      </w:r>
      <w:r>
        <w:rPr>
          <w:rFonts w:hint="eastAsia" w:ascii="方正小标宋简体" w:hAnsi="方正小标宋简体" w:eastAsia="方正小标宋简体" w:cs="方正小标宋简体"/>
          <w:b w:val="0"/>
          <w:bCs w:val="0"/>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auto"/>
          <w:sz w:val="72"/>
          <w:szCs w:val="72"/>
          <w:highlight w:val="none"/>
        </w:rPr>
      </w:pPr>
      <w:bookmarkStart w:id="6" w:name="_Toc15396598"/>
      <w:bookmarkStart w:id="7" w:name="_Toc15378442"/>
      <w:bookmarkStart w:id="8" w:name="_Toc15377426"/>
      <w:bookmarkStart w:id="9" w:name="_Toc15396476"/>
      <w:bookmarkStart w:id="10" w:name="_Toc15377194"/>
      <w:r>
        <w:rPr>
          <w:rFonts w:hint="eastAsia" w:ascii="方正小标宋简体" w:hAnsi="方正小标宋简体" w:eastAsia="方正小标宋简体" w:cs="方正小标宋简体"/>
          <w:b w:val="0"/>
          <w:bCs w:val="0"/>
          <w:color w:val="auto"/>
          <w:sz w:val="72"/>
          <w:szCs w:val="72"/>
          <w:highlight w:val="none"/>
          <w:lang w:val="en-US" w:eastAsia="zh-CN"/>
        </w:rPr>
        <w:t>旺苍县</w:t>
      </w:r>
      <w:bookmarkEnd w:id="5"/>
      <w:bookmarkStart w:id="11" w:name="_Toc15306268"/>
      <w:r>
        <w:rPr>
          <w:rFonts w:hint="eastAsia" w:ascii="方正小标宋简体" w:hAnsi="方正小标宋简体" w:eastAsia="方正小标宋简体" w:cs="方正小标宋简体"/>
          <w:b w:val="0"/>
          <w:bCs w:val="0"/>
          <w:color w:val="auto"/>
          <w:sz w:val="72"/>
          <w:szCs w:val="72"/>
          <w:highlight w:val="none"/>
          <w:lang w:eastAsia="zh-CN"/>
        </w:rPr>
        <w:t>木门镇中心幼儿园</w:t>
      </w:r>
      <w:r>
        <w:rPr>
          <w:rFonts w:hint="eastAsia" w:ascii="方正小标宋简体" w:hAnsi="方正小标宋简体" w:eastAsia="方正小标宋简体" w:cs="方正小标宋简体"/>
          <w:b w:val="0"/>
          <w:bCs w:val="0"/>
          <w:color w:val="auto"/>
          <w:sz w:val="72"/>
          <w:szCs w:val="72"/>
          <w:highlight w:val="none"/>
        </w:rPr>
        <w:t>部门决算</w:t>
      </w:r>
      <w:bookmarkEnd w:id="6"/>
      <w:bookmarkEnd w:id="7"/>
      <w:bookmarkEnd w:id="8"/>
      <w:bookmarkEnd w:id="9"/>
      <w:bookmarkEnd w:id="10"/>
      <w:bookmarkEnd w:id="11"/>
      <w:r>
        <w:rPr>
          <w:rFonts w:hint="eastAsia" w:ascii="方正小标宋简体" w:hAnsi="方正小标宋简体" w:eastAsia="方正小标宋简体" w:cs="方正小标宋简体"/>
          <w:b/>
          <w:bCs/>
          <w:color w:val="auto"/>
          <w:sz w:val="72"/>
          <w:szCs w:val="72"/>
          <w:highlight w:val="none"/>
          <w:lang w:eastAsia="zh-CN"/>
        </w:rPr>
        <w:t>编制说明</w:t>
      </w:r>
    </w:p>
    <w:p>
      <w:pPr>
        <w:widowControl/>
        <w:jc w:val="center"/>
        <w:rPr>
          <w:rFonts w:hint="eastAsia"/>
          <w:color w:val="auto"/>
          <w:sz w:val="28"/>
          <w:szCs w:val="36"/>
          <w:highlight w:val="none"/>
        </w:rPr>
      </w:pPr>
    </w:p>
    <w:p>
      <w:pPr>
        <w:widowControl/>
        <w:jc w:val="center"/>
        <w:rPr>
          <w:rFonts w:hint="eastAsia"/>
          <w:color w:val="auto"/>
          <w:sz w:val="28"/>
          <w:szCs w:val="36"/>
          <w:highlight w:val="none"/>
        </w:rPr>
      </w:pPr>
    </w:p>
    <w:p>
      <w:pPr>
        <w:widowControl/>
        <w:jc w:val="center"/>
        <w:rPr>
          <w:rFonts w:hint="eastAsia"/>
          <w:color w:val="auto"/>
          <w:sz w:val="28"/>
          <w:szCs w:val="36"/>
          <w:highlight w:val="none"/>
        </w:rPr>
      </w:pPr>
    </w:p>
    <w:p>
      <w:pPr>
        <w:widowControl/>
        <w:jc w:val="center"/>
        <w:rPr>
          <w:rFonts w:hint="eastAsia"/>
          <w:color w:val="auto"/>
          <w:sz w:val="28"/>
          <w:szCs w:val="36"/>
          <w:highlight w:val="none"/>
        </w:rPr>
      </w:pPr>
    </w:p>
    <w:p>
      <w:pPr>
        <w:widowControl/>
        <w:jc w:val="center"/>
        <w:rPr>
          <w:rFonts w:hint="eastAsia"/>
          <w:color w:val="auto"/>
          <w:sz w:val="28"/>
          <w:szCs w:val="36"/>
          <w:highlight w:val="none"/>
        </w:rPr>
      </w:pPr>
    </w:p>
    <w:p>
      <w:pPr>
        <w:widowControl/>
        <w:jc w:val="center"/>
        <w:rPr>
          <w:rFonts w:hint="eastAsia"/>
          <w:color w:val="auto"/>
          <w:sz w:val="28"/>
          <w:szCs w:val="36"/>
          <w:highlight w:val="none"/>
        </w:rPr>
      </w:pPr>
    </w:p>
    <w:p>
      <w:pPr>
        <w:widowControl/>
        <w:jc w:val="center"/>
        <w:rPr>
          <w:rFonts w:hint="eastAsia"/>
          <w:color w:val="auto"/>
          <w:sz w:val="28"/>
          <w:szCs w:val="36"/>
          <w:highlight w:val="none"/>
        </w:rPr>
      </w:pPr>
    </w:p>
    <w:p>
      <w:pPr>
        <w:widowControl/>
        <w:jc w:val="center"/>
        <w:rPr>
          <w:rFonts w:hint="eastAsia"/>
          <w:color w:val="auto"/>
          <w:sz w:val="28"/>
          <w:szCs w:val="36"/>
          <w:highlight w:val="none"/>
        </w:rPr>
      </w:pPr>
    </w:p>
    <w:p>
      <w:pPr>
        <w:widowControl/>
        <w:jc w:val="center"/>
        <w:rPr>
          <w:rFonts w:hint="eastAsia" w:ascii="黑体" w:hAnsi="黑体" w:eastAsia="黑体"/>
          <w:color w:val="auto"/>
          <w:sz w:val="48"/>
          <w:szCs w:val="48"/>
          <w:highlight w:val="none"/>
        </w:rPr>
        <w:sectPr>
          <w:pgSz w:w="11906" w:h="16838"/>
          <w:pgMar w:top="1440" w:right="1800" w:bottom="1440" w:left="1800" w:header="851" w:footer="992" w:gutter="0"/>
          <w:pgNumType w:fmt="decimal" w:start="1"/>
          <w:cols w:space="425" w:num="1"/>
          <w:docGrid w:type="lines" w:linePitch="312" w:charSpace="0"/>
        </w:sectPr>
      </w:pPr>
    </w:p>
    <w:p>
      <w:pPr>
        <w:widowControl/>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pPr>
        <w:keepNext w:val="0"/>
        <w:keepLines w:val="0"/>
        <w:pageBreakBefore w:val="0"/>
        <w:widowControl/>
        <w:kinsoku/>
        <w:wordWrap/>
        <w:overflowPunct/>
        <w:topLinePunct w:val="0"/>
        <w:autoSpaceDE/>
        <w:autoSpaceDN/>
        <w:bidi w:val="0"/>
        <w:spacing w:line="420" w:lineRule="exact"/>
        <w:jc w:val="center"/>
        <w:textAlignment w:val="auto"/>
        <w:rPr>
          <w:rFonts w:hint="eastAsia" w:ascii="黑体" w:hAnsi="黑体" w:eastAsia="黑体"/>
          <w:color w:val="auto"/>
          <w:sz w:val="48"/>
          <w:szCs w:val="48"/>
          <w:highlight w:val="none"/>
        </w:rPr>
      </w:pPr>
      <w:r>
        <w:rPr>
          <w:rFonts w:hint="eastAsia"/>
          <w:color w:val="auto"/>
          <w:sz w:val="28"/>
          <w:szCs w:val="36"/>
          <w:highlight w:val="none"/>
        </w:rPr>
        <w:t>公开时间：</w:t>
      </w:r>
      <w:r>
        <w:rPr>
          <w:rFonts w:hint="eastAsia"/>
          <w:color w:val="auto"/>
          <w:sz w:val="28"/>
          <w:szCs w:val="36"/>
          <w:highlight w:val="none"/>
          <w:lang w:eastAsia="zh-CN"/>
        </w:rPr>
        <w:t>2023年10月20日星期五</w:t>
      </w:r>
      <w:r>
        <w:rPr>
          <w:rFonts w:hint="eastAsia"/>
          <w:color w:val="auto"/>
          <w:sz w:val="28"/>
          <w:szCs w:val="36"/>
          <w:highlight w:val="none"/>
        </w:rPr>
        <w:t>月</w:t>
      </w:r>
      <w:r>
        <w:rPr>
          <w:rFonts w:hint="eastAsia"/>
          <w:color w:val="auto"/>
          <w:sz w:val="28"/>
          <w:szCs w:val="36"/>
          <w:highlight w:val="none"/>
          <w:lang w:val="en-US" w:eastAsia="zh-CN"/>
        </w:rPr>
        <w:t>20</w:t>
      </w:r>
      <w:r>
        <w:rPr>
          <w:rFonts w:hint="eastAsia"/>
          <w:color w:val="auto"/>
          <w:sz w:val="28"/>
          <w:szCs w:val="36"/>
          <w:highlight w:val="none"/>
        </w:rPr>
        <w:t>日</w:t>
      </w:r>
    </w:p>
    <w:p>
      <w:pPr>
        <w:pStyle w:val="11"/>
        <w:keepNext w:val="0"/>
        <w:keepLines w:val="0"/>
        <w:pageBreakBefore w:val="0"/>
        <w:kinsoku/>
        <w:wordWrap/>
        <w:overflowPunct/>
        <w:topLinePunct w:val="0"/>
        <w:autoSpaceDE/>
        <w:autoSpaceDN/>
        <w:bidi w:val="0"/>
        <w:adjustRightInd w:val="0"/>
        <w:snapToGrid w:val="0"/>
        <w:spacing w:before="0" w:line="42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第一部分 部门概况</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3</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ab/>
      </w:r>
      <w:r>
        <w:rPr>
          <w:rFonts w:hint="eastAsia"/>
          <w:color w:val="auto"/>
          <w:sz w:val="24"/>
          <w:highlight w:val="none"/>
          <w:lang w:val="en-US" w:eastAsia="zh-CN"/>
        </w:rPr>
        <w:t>3</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ascii="仿宋" w:hAnsi="仿宋" w:eastAsia="仿宋" w:cstheme="minorBidi"/>
          <w:color w:val="auto"/>
          <w:sz w:val="24"/>
          <w:highlight w:val="none"/>
          <w:lang w:val="en-US"/>
        </w:rPr>
      </w:pPr>
      <w:r>
        <w:rPr>
          <w:rFonts w:hint="eastAsia"/>
          <w:color w:val="auto"/>
          <w:sz w:val="24"/>
          <w:highlight w:val="none"/>
        </w:rPr>
        <w:t>二、机构设置</w:t>
      </w:r>
      <w:r>
        <w:rPr>
          <w:rFonts w:hint="eastAsia"/>
          <w:color w:val="auto"/>
          <w:sz w:val="24"/>
          <w:highlight w:val="none"/>
          <w:lang w:val="en-US" w:eastAsia="zh-CN"/>
        </w:rPr>
        <w:tab/>
      </w:r>
      <w:r>
        <w:rPr>
          <w:rFonts w:hint="eastAsia"/>
          <w:color w:val="auto"/>
          <w:sz w:val="24"/>
          <w:highlight w:val="none"/>
          <w:lang w:val="en-US" w:eastAsia="zh-CN"/>
        </w:rPr>
        <w:t>4</w:t>
      </w:r>
    </w:p>
    <w:p>
      <w:pPr>
        <w:pStyle w:val="11"/>
        <w:keepNext w:val="0"/>
        <w:keepLines w:val="0"/>
        <w:pageBreakBefore w:val="0"/>
        <w:kinsoku/>
        <w:wordWrap/>
        <w:overflowPunct/>
        <w:topLinePunct w:val="0"/>
        <w:autoSpaceDE/>
        <w:autoSpaceDN/>
        <w:bidi w:val="0"/>
        <w:adjustRightInd w:val="0"/>
        <w:snapToGrid w:val="0"/>
        <w:spacing w:before="0" w:line="42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第二部分 2022年度部门决算情况说明</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5</w:t>
      </w:r>
    </w:p>
    <w:p>
      <w:pPr>
        <w:pStyle w:val="11"/>
        <w:keepNext w:val="0"/>
        <w:keepLines w:val="0"/>
        <w:pageBreakBefore w:val="0"/>
        <w:kinsoku/>
        <w:wordWrap/>
        <w:overflowPunct/>
        <w:topLinePunct w:val="0"/>
        <w:autoSpaceDE/>
        <w:autoSpaceDN/>
        <w:bidi w:val="0"/>
        <w:adjustRightInd w:val="0"/>
        <w:snapToGrid w:val="0"/>
        <w:spacing w:before="0" w:line="420" w:lineRule="exact"/>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一、收入支出决算总体情况说明</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二、收入决算情况说明</w:t>
      </w:r>
      <w:r>
        <w:rPr>
          <w:rFonts w:hint="eastAsia" w:cs="Times New Roman"/>
          <w:color w:val="auto"/>
          <w:kern w:val="2"/>
          <w:sz w:val="24"/>
          <w:szCs w:val="24"/>
          <w:highlight w:val="none"/>
          <w:lang w:val="en-US" w:eastAsia="zh-CN" w:bidi="ar-SA"/>
        </w:rPr>
        <w:tab/>
      </w:r>
      <w:r>
        <w:rPr>
          <w:rFonts w:hint="eastAsia" w:cs="Times New Roman"/>
          <w:color w:val="auto"/>
          <w:kern w:val="2"/>
          <w:sz w:val="24"/>
          <w:szCs w:val="24"/>
          <w:highlight w:val="none"/>
          <w:lang w:val="en-US" w:eastAsia="zh-CN" w:bidi="ar-SA"/>
        </w:rPr>
        <w:t>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eastAsia"/>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r>
      <w:r>
        <w:rPr>
          <w:rFonts w:hint="eastAsia"/>
          <w:color w:val="auto"/>
          <w:sz w:val="24"/>
          <w:highlight w:val="none"/>
          <w:lang w:val="en-US" w:eastAsia="zh-CN"/>
        </w:rPr>
        <w:t>6</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t>6</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eastAsia"/>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t>6</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eastAsia"/>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t>10</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10</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Style w:val="19"/>
          <w:rFonts w:hint="eastAsia" w:asciiTheme="minorEastAsia" w:hAnsiTheme="minorEastAsia" w:eastAsiaTheme="minorEastAsia" w:cstheme="minorEastAsia"/>
          <w:color w:val="auto"/>
          <w:sz w:val="24"/>
          <w:highlight w:val="none"/>
          <w:u w:val="none"/>
          <w:lang w:eastAsia="zh-CN"/>
        </w:rPr>
        <w:t>十</w:t>
      </w:r>
      <w:r>
        <w:rPr>
          <w:rStyle w:val="19"/>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kern w:val="2"/>
          <w:sz w:val="24"/>
          <w:szCs w:val="24"/>
          <w:highlight w:val="none"/>
          <w:lang w:val="en-US" w:eastAsia="zh-CN" w:bidi="ar-SA"/>
        </w:rPr>
        <w:t>其他重要事项的情况</w:t>
      </w:r>
      <w:r>
        <w:rPr>
          <w:rFonts w:hint="eastAsia" w:asciiTheme="minorEastAsia" w:hAnsiTheme="minorEastAsia" w:eastAsiaTheme="minorEastAsia" w:cstheme="minorEastAsia"/>
          <w:color w:val="auto"/>
          <w:sz w:val="24"/>
          <w:highlight w:val="none"/>
        </w:rPr>
        <w:t>说明</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10</w:t>
      </w:r>
    </w:p>
    <w:p>
      <w:pPr>
        <w:pStyle w:val="11"/>
        <w:keepNext w:val="0"/>
        <w:keepLines w:val="0"/>
        <w:pageBreakBefore w:val="0"/>
        <w:kinsoku/>
        <w:wordWrap/>
        <w:overflowPunct/>
        <w:topLinePunct w:val="0"/>
        <w:autoSpaceDE/>
        <w:autoSpaceDN/>
        <w:bidi w:val="0"/>
        <w:adjustRightInd w:val="0"/>
        <w:snapToGrid w:val="0"/>
        <w:spacing w:before="0" w:line="42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第三部分 名词解释</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12</w:t>
      </w:r>
    </w:p>
    <w:p>
      <w:pPr>
        <w:pStyle w:val="11"/>
        <w:keepNext w:val="0"/>
        <w:keepLines w:val="0"/>
        <w:pageBreakBefore w:val="0"/>
        <w:kinsoku/>
        <w:wordWrap/>
        <w:overflowPunct/>
        <w:topLinePunct w:val="0"/>
        <w:autoSpaceDE/>
        <w:autoSpaceDN/>
        <w:bidi w:val="0"/>
        <w:adjustRightInd w:val="0"/>
        <w:snapToGrid w:val="0"/>
        <w:spacing w:before="0" w:line="42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第四部分 附件</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16</w:t>
      </w:r>
    </w:p>
    <w:p>
      <w:pPr>
        <w:pStyle w:val="11"/>
        <w:keepNext w:val="0"/>
        <w:keepLines w:val="0"/>
        <w:pageBreakBefore w:val="0"/>
        <w:kinsoku/>
        <w:wordWrap/>
        <w:overflowPunct/>
        <w:topLinePunct w:val="0"/>
        <w:autoSpaceDE/>
        <w:autoSpaceDN/>
        <w:bidi w:val="0"/>
        <w:adjustRightInd w:val="0"/>
        <w:snapToGrid w:val="0"/>
        <w:spacing w:before="0" w:line="42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第五部分 附表</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ab/>
      </w:r>
      <w:bookmarkStart w:id="67" w:name="_GoBack"/>
      <w:bookmarkEnd w:id="67"/>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color w:val="auto"/>
          <w:sz w:val="24"/>
          <w:highlight w:val="none"/>
          <w:lang w:val="en-US" w:eastAsia="zh-CN"/>
        </w:rPr>
        <w:tab/>
      </w:r>
      <w:r>
        <w:rPr>
          <w:rFonts w:hint="eastAsia"/>
          <w:color w:val="auto"/>
          <w:sz w:val="24"/>
          <w:highlight w:val="none"/>
          <w:lang w:val="en-US" w:eastAsia="zh-CN"/>
        </w:rPr>
        <w:t>25</w:t>
      </w:r>
    </w:p>
    <w:p>
      <w:pPr>
        <w:pStyle w:val="13"/>
        <w:keepNext w:val="0"/>
        <w:keepLines w:val="0"/>
        <w:pageBreakBefore w:val="0"/>
        <w:kinsoku/>
        <w:wordWrap/>
        <w:overflowPunct/>
        <w:topLinePunct w:val="0"/>
        <w:autoSpaceDE/>
        <w:autoSpaceDN/>
        <w:bidi w:val="0"/>
        <w:adjustRightInd w:val="0"/>
        <w:snapToGrid w:val="0"/>
        <w:spacing w:line="420" w:lineRule="exact"/>
        <w:jc w:val="left"/>
        <w:textAlignment w:val="auto"/>
        <w:rPr>
          <w:rFonts w:hint="default" w:eastAsia="宋体" w:asciiTheme="minorEastAsia" w:hAnsiTheme="minorEastAsia" w:cstheme="minorEastAsia"/>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ab/>
      </w:r>
      <w:r>
        <w:rPr>
          <w:rFonts w:hint="eastAsia"/>
          <w:color w:val="auto"/>
          <w:sz w:val="24"/>
          <w:highlight w:val="none"/>
          <w:lang w:val="en-US" w:eastAsia="zh-CN"/>
        </w:rPr>
        <w:t>25</w:t>
      </w:r>
    </w:p>
    <w:p>
      <w:pPr>
        <w:pStyle w:val="2"/>
        <w:jc w:val="center"/>
        <w:rPr>
          <w:rFonts w:ascii="黑体" w:eastAsia="黑体"/>
          <w:color w:val="auto"/>
          <w:sz w:val="32"/>
          <w:szCs w:val="32"/>
          <w:highlight w:val="none"/>
        </w:rPr>
      </w:pPr>
      <w:bookmarkStart w:id="12" w:name="_Toc15396599"/>
      <w:bookmarkStart w:id="13" w:name="_Toc15377196"/>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2"/>
      <w:bookmarkEnd w:id="13"/>
    </w:p>
    <w:p>
      <w:pPr>
        <w:pStyle w:val="3"/>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bookmarkStart w:id="14" w:name="_Toc15396601"/>
      <w:bookmarkStart w:id="15" w:name="_Toc15377200"/>
      <w:r>
        <w:rPr>
          <w:rFonts w:hint="eastAsia" w:ascii="仿宋" w:hAnsi="仿宋" w:eastAsia="仿宋" w:cs="仿宋"/>
          <w:sz w:val="32"/>
          <w:szCs w:val="32"/>
          <w:lang w:val="en-US" w:eastAsia="zh-CN"/>
        </w:rPr>
        <w:t>1.主</w:t>
      </w:r>
      <w:r>
        <w:rPr>
          <w:rFonts w:hint="eastAsia" w:ascii="仿宋" w:hAnsi="仿宋" w:eastAsia="仿宋" w:cs="仿宋"/>
          <w:sz w:val="32"/>
          <w:szCs w:val="32"/>
        </w:rPr>
        <w:t>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（一）贯彻执行党和国家有关幼儿教育的方针、政策以及教育法规、规章，坚持民主管理，依法办园，坚持正确的办园方向，执行上级主管部门的指示和决定。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（二）组织制定幼儿园发展的远景规划、近期目标、学年和学期各项工作计划以及各项工作指标并组织实施．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加强幼儿园科学管理，施行托育、保育和教育相结合，对幼儿实施体、智、德、美诸方面全面发展的教育，促进其身心和谐发展。制定和健全各项规章制度，规范办学行为，实施管理决策的民主化、方法的定量化和手段的科学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（四）尊重儿童的人格尊严和基本权利，尊重儿童身心发展的特点和规律，为儿童提供健康、丰富的生活和活动环境。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（五）组织实施校园人文环境建设，严格执行幼儿园安全、卫生保健制度，保证幼儿身心健康和生命安全。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坚持教书育人、管理育人、服务育人，致力于学校、社会，家庭三结合教育，充分利用幼儿和社区的资源优势，面向家长开展多种形式的早期教育宣传、指导等服务，促进幼儿家庭教育质量的不断提高，努力形成良好的育人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（七）贯彻幼儿教育法规、传播科学教育理念、开展教育科学研究、培训师资，发挥县示范性幼儿园的示范、辐射作用。</w:t>
      </w:r>
    </w:p>
    <w:p>
      <w:pPr>
        <w:pStyle w:val="3"/>
        <w:rPr>
          <w:rStyle w:val="30"/>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4"/>
      <w:bookmarkEnd w:id="1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_GB2312" w:hAnsi="仿宋" w:eastAsia="仿宋_GB2312" w:cs="Times New Roman"/>
          <w:sz w:val="32"/>
          <w:szCs w:val="32"/>
          <w:lang w:val="en-US" w:eastAsia="zh-CN"/>
        </w:rPr>
        <w:t>旺苍县木门镇中心幼儿园是旺苍县教育局下属二级预算单位,为</w:t>
      </w:r>
      <w:r>
        <w:rPr>
          <w:rFonts w:hint="eastAsia" w:ascii="仿宋" w:hAnsi="仿宋" w:eastAsia="仿宋" w:cs="仿宋"/>
          <w:sz w:val="32"/>
          <w:szCs w:val="32"/>
        </w:rPr>
        <w:t>2021年新增公立幼儿园，设置5个职能部门</w:t>
      </w:r>
      <w:r>
        <w:rPr>
          <w:rFonts w:hint="eastAsia" w:ascii="仿宋" w:hAnsi="仿宋" w:eastAsia="仿宋" w:cs="仿宋"/>
          <w:sz w:val="32"/>
          <w:szCs w:val="32"/>
          <w:lang w:eastAsia="zh-CN"/>
        </w:rPr>
        <w:t>：</w:t>
      </w:r>
      <w:r>
        <w:rPr>
          <w:rFonts w:hint="eastAsia" w:ascii="仿宋" w:hAnsi="仿宋" w:eastAsia="仿宋" w:cs="仿宋"/>
          <w:sz w:val="32"/>
          <w:szCs w:val="32"/>
        </w:rPr>
        <w:t>办公室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党支部办）</w:t>
      </w:r>
      <w:r>
        <w:rPr>
          <w:rFonts w:hint="eastAsia" w:ascii="仿宋" w:hAnsi="仿宋" w:eastAsia="仿宋" w:cs="仿宋"/>
          <w:sz w:val="32"/>
          <w:szCs w:val="32"/>
        </w:rPr>
        <w:t>、保教处、</w:t>
      </w:r>
      <w:r>
        <w:rPr>
          <w:rFonts w:hint="eastAsia" w:ascii="仿宋" w:hAnsi="仿宋" w:eastAsia="仿宋" w:cs="仿宋"/>
          <w:sz w:val="32"/>
          <w:szCs w:val="32"/>
          <w:lang w:val="en-US" w:eastAsia="zh-CN"/>
        </w:rPr>
        <w:t>教科室、总务安全处</w:t>
      </w:r>
      <w:r>
        <w:rPr>
          <w:rFonts w:hint="eastAsia" w:ascii="仿宋" w:hAnsi="仿宋" w:eastAsia="仿宋" w:cs="仿宋"/>
          <w:sz w:val="32"/>
          <w:szCs w:val="32"/>
        </w:rPr>
        <w:t>、</w:t>
      </w:r>
      <w:r>
        <w:rPr>
          <w:rFonts w:hint="eastAsia" w:ascii="仿宋" w:hAnsi="仿宋" w:eastAsia="仿宋" w:cs="仿宋"/>
          <w:sz w:val="32"/>
          <w:szCs w:val="32"/>
          <w:lang w:val="en-US" w:eastAsia="zh-CN"/>
        </w:rPr>
        <w:t>信息化处</w:t>
      </w:r>
      <w:r>
        <w:rPr>
          <w:rFonts w:hint="eastAsia" w:ascii="仿宋" w:hAnsi="仿宋" w:eastAsia="仿宋" w:cs="仿宋"/>
          <w:sz w:val="32"/>
          <w:szCs w:val="32"/>
        </w:rPr>
        <w:t>。</w:t>
      </w:r>
    </w:p>
    <w:p>
      <w:pPr>
        <w:snapToGrid w:val="0"/>
        <w:spacing w:line="520" w:lineRule="exact"/>
        <w:ind w:firstLine="640" w:firstLineChars="200"/>
        <w:rPr>
          <w:rFonts w:hint="eastAsia" w:ascii="仿宋_GB2312" w:hAnsi="仿宋" w:eastAsia="仿宋_GB2312"/>
          <w:color w:val="auto"/>
          <w:sz w:val="32"/>
          <w:szCs w:val="32"/>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2"/>
        <w:ind w:right="440"/>
        <w:jc w:val="center"/>
        <w:rPr>
          <w:rStyle w:val="29"/>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16"/>
      <w:bookmarkEnd w:id="17"/>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18"/>
      <w:bookmarkEnd w:id="19"/>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本年收入、支出</w:t>
      </w:r>
      <w:r>
        <w:rPr>
          <w:rFonts w:hint="eastAsia" w:ascii="仿宋_GB2312" w:hAnsi="仿宋" w:eastAsia="仿宋_GB2312"/>
          <w:sz w:val="32"/>
          <w:szCs w:val="32"/>
          <w:lang w:val="en-US" w:eastAsia="zh-CN"/>
        </w:rPr>
        <w:t xml:space="preserve"> 349.77万元，年初预算109.47万元；上年收入0万元，本年较上年收入、支出各增加349.77万元，增加100%。增加的主要原因为本单位为当年新增。</w:t>
      </w:r>
    </w:p>
    <w:p>
      <w:pPr>
        <w:pStyle w:val="5"/>
        <w:jc w:val="center"/>
        <w:rPr>
          <w:rFonts w:ascii="宋体" w:hAnsi="宋体" w:eastAsia="宋体" w:cs="宋体"/>
          <w:kern w:val="0"/>
          <w:sz w:val="24"/>
          <w:szCs w:val="24"/>
          <w:lang w:val="en-US" w:eastAsia="zh-CN" w:bidi="ar"/>
        </w:rPr>
      </w:pPr>
      <w:r>
        <w:drawing>
          <wp:inline distT="0" distB="0" distL="114300" distR="114300">
            <wp:extent cx="4483100" cy="2352675"/>
            <wp:effectExtent l="4445" t="5080" r="8255" b="4445"/>
            <wp:docPr id="2150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hint="eastAsia" w:ascii="仿宋_GB2312" w:hAnsi="仿宋" w:eastAsia="仿宋_GB2312"/>
          <w:sz w:val="32"/>
          <w:szCs w:val="32"/>
          <w:lang w:val="en-US" w:eastAsia="zh-CN"/>
        </w:rPr>
      </w:pPr>
      <w:r>
        <w:rPr>
          <w:rFonts w:hint="eastAsia" w:ascii="仿宋" w:hAnsi="仿宋" w:eastAsia="仿宋"/>
          <w:color w:val="auto"/>
          <w:sz w:val="32"/>
          <w:szCs w:val="32"/>
          <w:highlight w:val="none"/>
        </w:rPr>
        <w:t>收、支决算总计变动情况图</w:t>
      </w:r>
    </w:p>
    <w:p>
      <w:pPr>
        <w:pStyle w:val="28"/>
        <w:numPr>
          <w:ilvl w:val="0"/>
          <w:numId w:val="0"/>
        </w:numPr>
        <w:spacing w:line="600" w:lineRule="exact"/>
        <w:outlineLvl w:val="1"/>
        <w:rPr>
          <w:rStyle w:val="30"/>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349.77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349.77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240" w:lineRule="auto"/>
        <w:ind w:firstLine="0" w:firstLineChars="0"/>
        <w:outlineLvl w:val="1"/>
        <w:rPr>
          <w:rFonts w:hint="default" w:ascii="仿宋" w:hAnsi="仿宋" w:eastAsia="仿宋"/>
          <w:color w:val="auto"/>
          <w:sz w:val="32"/>
          <w:szCs w:val="32"/>
          <w:highlight w:val="none"/>
          <w:lang w:val="en-US" w:eastAsia="zh-CN"/>
        </w:rPr>
      </w:pPr>
      <w:r>
        <w:drawing>
          <wp:inline distT="0" distB="0" distL="114300" distR="114300">
            <wp:extent cx="4407535" cy="2286000"/>
            <wp:effectExtent l="4445" t="4445" r="7620" b="14605"/>
            <wp:docPr id="2253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7"/>
        <w:ind w:left="0" w:leftChars="0" w:firstLine="0" w:firstLineChars="0"/>
        <w:jc w:val="center"/>
        <w:rPr>
          <w:rStyle w:val="30"/>
          <w:rFonts w:ascii="黑体" w:hAnsi="黑体" w:eastAsia="黑体"/>
          <w:b w:val="0"/>
          <w:color w:val="auto"/>
          <w:highlight w:val="none"/>
        </w:rPr>
      </w:pPr>
      <w:bookmarkStart w:id="22" w:name="_Toc15377207"/>
      <w:bookmarkStart w:id="23" w:name="_Toc15396605"/>
      <w:r>
        <w:rPr>
          <w:rFonts w:hint="eastAsia" w:ascii="仿宋" w:hAnsi="仿宋" w:eastAsia="仿宋"/>
          <w:color w:val="000000" w:themeColor="text1"/>
          <w:sz w:val="32"/>
          <w:szCs w:val="32"/>
          <w14:textFill>
            <w14:solidFill>
              <w14:schemeClr w14:val="tx1"/>
            </w14:solidFill>
          </w14:textFill>
        </w:rPr>
        <w:t>收入决算结构图（单位：万元）</w:t>
      </w:r>
    </w:p>
    <w:p>
      <w:pPr>
        <w:pStyle w:val="28"/>
        <w:numPr>
          <w:ilvl w:val="0"/>
          <w:numId w:val="0"/>
        </w:numPr>
        <w:spacing w:line="600" w:lineRule="exact"/>
        <w:ind w:left="640" w:leftChars="0"/>
        <w:outlineLvl w:val="1"/>
        <w:rPr>
          <w:rStyle w:val="30"/>
          <w:rFonts w:ascii="黑体" w:hAnsi="黑体" w:eastAsia="黑体"/>
          <w:b w:val="0"/>
          <w:color w:val="auto"/>
          <w:highlight w:val="none"/>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349.77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66.91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19.13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282.86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80.87%</w:t>
      </w:r>
      <w:r>
        <w:rPr>
          <w:rFonts w:hint="eastAsia" w:ascii="仿宋" w:hAnsi="仿宋" w:eastAsia="仿宋"/>
          <w:color w:val="auto"/>
          <w:sz w:val="32"/>
          <w:szCs w:val="32"/>
          <w:highlight w:val="none"/>
        </w:rPr>
        <w:t>。</w:t>
      </w:r>
    </w:p>
    <w:p>
      <w:pPr>
        <w:pStyle w:val="5"/>
        <w:jc w:val="center"/>
        <w:rPr>
          <w:rFonts w:ascii="仿宋_GB2312" w:eastAsia="仿宋_GB2312"/>
          <w:color w:val="auto"/>
          <w:sz w:val="32"/>
          <w:szCs w:val="32"/>
          <w:highlight w:val="none"/>
        </w:rPr>
      </w:pPr>
      <w:r>
        <w:drawing>
          <wp:inline distT="0" distB="0" distL="114300" distR="114300">
            <wp:extent cx="4628515" cy="2162810"/>
            <wp:effectExtent l="4445" t="4445" r="15240" b="23495"/>
            <wp:docPr id="614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auto"/>
          <w:sz w:val="32"/>
          <w:szCs w:val="32"/>
          <w:highlight w:val="none"/>
        </w:rPr>
      </w:pPr>
      <w:bookmarkStart w:id="24" w:name="_Toc15396606"/>
      <w:bookmarkStart w:id="25" w:name="_Toc15377208"/>
      <w:r>
        <w:rPr>
          <w:rFonts w:hint="eastAsia" w:ascii="仿宋" w:hAnsi="仿宋" w:eastAsia="仿宋"/>
          <w:color w:val="auto"/>
          <w:sz w:val="32"/>
          <w:szCs w:val="32"/>
          <w:highlight w:val="none"/>
        </w:rPr>
        <w:t>支出决算结构图</w:t>
      </w:r>
    </w:p>
    <w:p>
      <w:pPr>
        <w:spacing w:line="600" w:lineRule="exact"/>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24"/>
      <w:bookmarkEnd w:id="25"/>
    </w:p>
    <w:p>
      <w:pPr>
        <w:snapToGrid w:val="0"/>
        <w:spacing w:line="520" w:lineRule="exact"/>
        <w:ind w:firstLine="640" w:firstLineChars="200"/>
        <w:rPr>
          <w:rFonts w:hint="eastAsia" w:ascii="仿宋_GB2312" w:hAnsi="仿宋" w:eastAsia="仿宋_GB2312"/>
          <w:sz w:val="32"/>
          <w:szCs w:val="32"/>
          <w:lang w:val="en-US" w:eastAsia="zh-CN"/>
        </w:rPr>
      </w:pPr>
      <w:bookmarkStart w:id="26" w:name="_Toc15377209"/>
      <w:bookmarkStart w:id="27" w:name="_Toc15396607"/>
      <w:r>
        <w:rPr>
          <w:rFonts w:hint="eastAsia" w:ascii="仿宋_GB2312" w:hAnsi="仿宋" w:eastAsia="仿宋_GB2312"/>
          <w:sz w:val="32"/>
          <w:szCs w:val="32"/>
          <w:lang w:eastAsia="zh-CN"/>
        </w:rPr>
        <w:t>本年收入、支出</w:t>
      </w:r>
      <w:r>
        <w:rPr>
          <w:rFonts w:hint="eastAsia" w:ascii="仿宋_GB2312" w:hAnsi="仿宋" w:eastAsia="仿宋_GB2312"/>
          <w:sz w:val="32"/>
          <w:szCs w:val="32"/>
          <w:lang w:val="en-US" w:eastAsia="zh-CN"/>
        </w:rPr>
        <w:t xml:space="preserve"> 349.77万元，年初预算109.47万元；上年收入0万元，本年较上年收入、支出各增加349.77万元，增加100%。增加的主要原因为本单位为当年新增。</w:t>
      </w:r>
    </w:p>
    <w:p>
      <w:pPr>
        <w:snapToGrid w:val="0"/>
        <w:spacing w:line="240" w:lineRule="auto"/>
        <w:ind w:firstLine="0" w:firstLineChars="0"/>
        <w:jc w:val="center"/>
        <w:rPr>
          <w:rFonts w:hint="eastAsia" w:ascii="仿宋_GB2312" w:hAnsi="仿宋" w:eastAsia="仿宋_GB2312"/>
          <w:sz w:val="32"/>
          <w:szCs w:val="32"/>
          <w:lang w:val="en-US" w:eastAsia="zh-CN"/>
        </w:rPr>
      </w:pPr>
      <w:r>
        <w:drawing>
          <wp:inline distT="0" distB="0" distL="114300" distR="114300">
            <wp:extent cx="4549775" cy="2200275"/>
            <wp:effectExtent l="4445" t="4445" r="17780" b="5080"/>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_GB2312" w:hAnsi="仿宋" w:eastAsia="仿宋_GB2312"/>
          <w:sz w:val="32"/>
          <w:szCs w:val="32"/>
          <w:lang w:val="en-US" w:eastAsia="zh-CN"/>
        </w:rPr>
      </w:pPr>
      <w:r>
        <w:rPr>
          <w:rFonts w:hint="eastAsia" w:ascii="仿宋" w:hAnsi="仿宋" w:eastAsia="仿宋"/>
          <w:color w:val="auto"/>
          <w:sz w:val="32"/>
          <w:szCs w:val="32"/>
          <w:highlight w:val="none"/>
        </w:rPr>
        <w:t>收、支决算总计变动情况图</w:t>
      </w:r>
    </w:p>
    <w:p>
      <w:pPr>
        <w:pStyle w:val="5"/>
        <w:rPr>
          <w:rStyle w:val="3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napToGrid w:val="0"/>
        <w:spacing w:line="520" w:lineRule="exact"/>
        <w:ind w:firstLine="640" w:firstLineChars="200"/>
        <w:rPr>
          <w:rFonts w:hint="eastAsia" w:ascii="仿宋_GB2312" w:hAnsi="仿宋" w:eastAsia="仿宋_GB2312"/>
          <w:sz w:val="32"/>
          <w:szCs w:val="32"/>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349.77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w:t>
      </w:r>
      <w:r>
        <w:rPr>
          <w:rFonts w:hint="eastAsia" w:ascii="仿宋_GB2312" w:hAnsi="仿宋" w:eastAsia="仿宋_GB2312"/>
          <w:sz w:val="32"/>
          <w:szCs w:val="32"/>
          <w:lang w:val="en-US" w:eastAsia="zh-CN"/>
        </w:rPr>
        <w:t>本年较上年支出增加349.77万元，增加100%。增加原因为本单位为当年新增。</w:t>
      </w:r>
    </w:p>
    <w:p>
      <w:pPr>
        <w:snapToGrid w:val="0"/>
        <w:spacing w:line="240" w:lineRule="auto"/>
        <w:ind w:firstLine="0" w:firstLineChars="0"/>
        <w:jc w:val="center"/>
        <w:rPr>
          <w:rFonts w:hint="eastAsia" w:ascii="仿宋_GB2312" w:hAnsi="仿宋" w:eastAsia="仿宋_GB2312"/>
          <w:sz w:val="32"/>
          <w:szCs w:val="32"/>
          <w:lang w:val="en-US" w:eastAsia="zh-CN"/>
        </w:rPr>
      </w:pPr>
      <w:r>
        <w:drawing>
          <wp:inline distT="0" distB="0" distL="114300" distR="114300">
            <wp:extent cx="4206875" cy="2400300"/>
            <wp:effectExtent l="4445" t="4445" r="17780" b="14605"/>
            <wp:docPr id="184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仿宋" w:hAnsi="仿宋" w:eastAsia="仿宋"/>
          <w:color w:val="auto"/>
          <w:sz w:val="32"/>
          <w:szCs w:val="32"/>
          <w:highlight w:val="none"/>
          <w:lang w:val="en-US" w:eastAsia="zh-CN"/>
        </w:rPr>
      </w:pPr>
      <w:r>
        <w:rPr>
          <w:rFonts w:hint="eastAsia" w:ascii="仿宋" w:hAnsi="仿宋" w:eastAsia="仿宋"/>
          <w:color w:val="000000" w:themeColor="text1"/>
          <w:sz w:val="28"/>
          <w:szCs w:val="28"/>
          <w14:textFill>
            <w14:solidFill>
              <w14:schemeClr w14:val="tx1"/>
            </w14:solidFill>
          </w14:textFill>
        </w:rPr>
        <w:t>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lang w:eastAsia="zh-CN"/>
        </w:rPr>
        <w:t>年一般公共预算财政拨款支出</w:t>
      </w:r>
      <w:r>
        <w:rPr>
          <w:rFonts w:hint="eastAsia" w:ascii="仿宋" w:hAnsi="仿宋" w:eastAsia="仿宋"/>
          <w:color w:val="auto"/>
          <w:sz w:val="32"/>
          <w:szCs w:val="32"/>
          <w:highlight w:val="none"/>
          <w:lang w:val="en-US" w:eastAsia="zh-CN"/>
        </w:rPr>
        <w:t>349.77</w:t>
      </w:r>
      <w:r>
        <w:rPr>
          <w:rFonts w:hint="eastAsia" w:ascii="仿宋" w:hAnsi="仿宋" w:eastAsia="仿宋"/>
          <w:color w:val="auto"/>
          <w:sz w:val="32"/>
          <w:szCs w:val="32"/>
          <w:highlight w:val="none"/>
          <w:lang w:eastAsia="zh-CN"/>
        </w:rPr>
        <w:t>万元，主要用于以下方面:</w:t>
      </w:r>
      <w:r>
        <w:rPr>
          <w:rFonts w:hint="eastAsia" w:ascii="仿宋" w:hAnsi="仿宋" w:eastAsia="仿宋"/>
          <w:color w:val="auto"/>
          <w:sz w:val="32"/>
          <w:szCs w:val="32"/>
          <w:highlight w:val="none"/>
          <w:lang w:eastAsia="zh-CN"/>
        </w:rPr>
        <w:t>学前教育支出</w:t>
      </w:r>
      <w:r>
        <w:rPr>
          <w:rFonts w:hint="eastAsia" w:ascii="仿宋" w:hAnsi="仿宋" w:eastAsia="仿宋"/>
          <w:color w:val="auto"/>
          <w:sz w:val="32"/>
          <w:szCs w:val="32"/>
          <w:highlight w:val="none"/>
          <w:lang w:val="en-US" w:eastAsia="zh-CN"/>
        </w:rPr>
        <w:t>348.07</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99.51</w:t>
      </w:r>
      <w:r>
        <w:rPr>
          <w:rFonts w:hint="eastAsia" w:ascii="仿宋" w:hAnsi="仿宋" w:eastAsia="仿宋"/>
          <w:color w:val="auto"/>
          <w:sz w:val="32"/>
          <w:szCs w:val="32"/>
          <w:highlight w:val="none"/>
          <w:lang w:eastAsia="zh-CN"/>
        </w:rPr>
        <w:t>%；社会保障和就业支出</w:t>
      </w:r>
      <w:r>
        <w:rPr>
          <w:rFonts w:hint="eastAsia" w:ascii="仿宋" w:hAnsi="仿宋" w:eastAsia="仿宋"/>
          <w:color w:val="auto"/>
          <w:sz w:val="32"/>
          <w:szCs w:val="32"/>
          <w:highlight w:val="none"/>
          <w:lang w:val="en-US" w:eastAsia="zh-CN"/>
        </w:rPr>
        <w:t>0.35</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lang w:eastAsia="zh-CN"/>
        </w:rPr>
        <w:t>%；卫生健康支出</w:t>
      </w:r>
      <w:r>
        <w:rPr>
          <w:rFonts w:hint="eastAsia" w:ascii="仿宋" w:hAnsi="仿宋" w:eastAsia="仿宋"/>
          <w:color w:val="auto"/>
          <w:sz w:val="32"/>
          <w:szCs w:val="32"/>
          <w:highlight w:val="none"/>
          <w:lang w:val="en-US" w:eastAsia="zh-CN"/>
        </w:rPr>
        <w:t>0.44</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lang w:eastAsia="zh-CN"/>
        </w:rPr>
        <w:t>%；住房保障支出</w:t>
      </w:r>
      <w:r>
        <w:rPr>
          <w:rFonts w:hint="eastAsia" w:ascii="仿宋" w:hAnsi="仿宋" w:eastAsia="仿宋"/>
          <w:color w:val="auto"/>
          <w:sz w:val="32"/>
          <w:szCs w:val="32"/>
          <w:highlight w:val="none"/>
          <w:lang w:val="en-US" w:eastAsia="zh-CN"/>
        </w:rPr>
        <w:t>0.9</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0.26</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eastAsia="zh-CN"/>
        </w:rPr>
        <w:t>。</w:t>
      </w:r>
    </w:p>
    <w:p>
      <w:pPr>
        <w:pStyle w:val="5"/>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"C:\\Users\\Administrator\\AppData\\Roaming\\Tencent\\Users\\294123650\\QQ\\WinTemp\\RichOle\\G~S0%M6J2WITOP}EZY[5B)V.png"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3946525" cy="1901825"/>
            <wp:effectExtent l="0" t="0" r="1587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3946525" cy="1901825"/>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pPr>
        <w:pStyle w:val="5"/>
        <w:jc w:val="center"/>
        <w:rPr>
          <w:rFonts w:hint="eastAsia" w:ascii="宋体" w:hAnsi="宋体" w:eastAsia="宋体" w:cs="宋体"/>
          <w:b w:val="0"/>
          <w:bCs/>
          <w:kern w:val="0"/>
          <w:sz w:val="24"/>
          <w:szCs w:val="24"/>
          <w:lang w:val="en-US" w:eastAsia="zh-CN" w:bidi="ar"/>
        </w:rPr>
      </w:pPr>
      <w:r>
        <w:rPr>
          <w:rFonts w:hint="eastAsia" w:ascii="仿宋" w:hAnsi="仿宋" w:eastAsia="仿宋"/>
          <w:b w:val="0"/>
          <w:bCs/>
          <w:color w:val="auto"/>
          <w:sz w:val="32"/>
          <w:szCs w:val="32"/>
          <w:highlight w:val="none"/>
          <w:lang w:eastAsia="zh-CN"/>
        </w:rPr>
        <w:t>公共预算财政拨款支出图</w:t>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444"/>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349.77万元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31"/>
      <w:bookmarkEnd w:id="32"/>
      <w:bookmarkEnd w:id="33"/>
    </w:p>
    <w:p>
      <w:pPr>
        <w:numPr>
          <w:ilvl w:val="0"/>
          <w:numId w:val="3"/>
        </w:numPr>
        <w:spacing w:line="600" w:lineRule="exact"/>
        <w:ind w:firstLine="643" w:firstLineChars="200"/>
        <w:rPr>
          <w:rStyle w:val="18"/>
          <w:rFonts w:ascii="仿宋" w:hAnsi="仿宋" w:eastAsia="仿宋" w:cstheme="minorBidi"/>
          <w:b w:val="0"/>
          <w:bCs/>
          <w:color w:val="auto"/>
          <w:sz w:val="32"/>
          <w:szCs w:val="32"/>
          <w:highlight w:val="none"/>
        </w:rPr>
      </w:pPr>
      <w:r>
        <w:rPr>
          <w:rFonts w:hint="eastAsia" w:ascii="仿宋" w:hAnsi="仿宋" w:eastAsia="仿宋"/>
          <w:b/>
          <w:bCs/>
          <w:color w:val="auto"/>
          <w:sz w:val="32"/>
          <w:szCs w:val="32"/>
          <w:highlight w:val="none"/>
        </w:rPr>
        <w:t>教育支出（类）普通教育（款）</w:t>
      </w:r>
      <w:r>
        <w:rPr>
          <w:rFonts w:hint="eastAsia" w:ascii="仿宋" w:hAnsi="仿宋" w:eastAsia="仿宋"/>
          <w:b/>
          <w:bCs/>
          <w:color w:val="auto"/>
          <w:sz w:val="32"/>
          <w:szCs w:val="32"/>
          <w:highlight w:val="none"/>
          <w:lang w:eastAsia="zh-CN"/>
        </w:rPr>
        <w:t>学前</w:t>
      </w:r>
      <w:r>
        <w:rPr>
          <w:rFonts w:hint="eastAsia" w:ascii="仿宋" w:hAnsi="仿宋" w:eastAsia="仿宋"/>
          <w:b/>
          <w:bCs/>
          <w:color w:val="auto"/>
          <w:sz w:val="32"/>
          <w:szCs w:val="32"/>
          <w:highlight w:val="none"/>
        </w:rPr>
        <w:t>教育（项）:</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348.07</w:t>
      </w:r>
      <w:r>
        <w:rPr>
          <w:rStyle w:val="18"/>
          <w:rFonts w:hint="eastAsia" w:ascii="仿宋" w:hAnsi="仿宋" w:eastAsia="仿宋"/>
          <w:b w:val="0"/>
          <w:bCs/>
          <w:color w:val="auto"/>
          <w:sz w:val="32"/>
          <w:szCs w:val="32"/>
          <w:highlight w:val="none"/>
        </w:rPr>
        <w:t>万元，</w:t>
      </w:r>
      <w:r>
        <w:rPr>
          <w:rStyle w:val="18"/>
          <w:rFonts w:hint="eastAsia" w:ascii="仿宋" w:hAnsi="仿宋" w:eastAsia="仿宋" w:cstheme="minorBidi"/>
          <w:b w:val="0"/>
          <w:bCs/>
          <w:color w:val="auto"/>
          <w:sz w:val="32"/>
          <w:szCs w:val="32"/>
          <w:highlight w:val="none"/>
        </w:rPr>
        <w:t>完成预算100</w:t>
      </w:r>
      <w:r>
        <w:rPr>
          <w:rStyle w:val="18"/>
          <w:rFonts w:ascii="仿宋" w:hAnsi="仿宋" w:eastAsia="仿宋" w:cstheme="minorBidi"/>
          <w:b w:val="0"/>
          <w:bCs/>
          <w:color w:val="auto"/>
          <w:sz w:val="32"/>
          <w:szCs w:val="32"/>
          <w:highlight w:val="none"/>
        </w:rPr>
        <w:t>%</w:t>
      </w:r>
      <w:r>
        <w:rPr>
          <w:rStyle w:val="18"/>
          <w:rFonts w:hint="eastAsia" w:ascii="仿宋" w:hAnsi="仿宋" w:eastAsia="仿宋" w:cstheme="minorBidi"/>
          <w:b w:val="0"/>
          <w:bCs/>
          <w:color w:val="auto"/>
          <w:sz w:val="32"/>
          <w:szCs w:val="32"/>
          <w:highlight w:val="none"/>
        </w:rPr>
        <w:t>，决算数与预算数一致。</w:t>
      </w:r>
    </w:p>
    <w:p>
      <w:pPr>
        <w:numPr>
          <w:ilvl w:val="0"/>
          <w:numId w:val="3"/>
        </w:numPr>
        <w:spacing w:line="600" w:lineRule="exact"/>
        <w:ind w:firstLine="643" w:firstLineChars="200"/>
        <w:rPr>
          <w:rStyle w:val="18"/>
          <w:rFonts w:hint="eastAsia" w:ascii="仿宋" w:hAnsi="仿宋" w:eastAsia="仿宋" w:cstheme="minorBidi"/>
          <w:b w:val="0"/>
          <w:bCs/>
          <w:color w:val="auto"/>
          <w:sz w:val="32"/>
          <w:szCs w:val="32"/>
          <w:highlight w:val="none"/>
        </w:rPr>
      </w:pPr>
      <w:r>
        <w:rPr>
          <w:rFonts w:hint="eastAsia" w:ascii="仿宋" w:hAnsi="仿宋" w:eastAsia="仿宋"/>
          <w:b/>
          <w:bCs/>
          <w:color w:val="auto"/>
          <w:sz w:val="32"/>
          <w:szCs w:val="32"/>
          <w:highlight w:val="none"/>
        </w:rPr>
        <w:t>社会保障和就业支出（类）行政事业单位离退休（款）机关事业单位基本养老保险缴费支出（项）</w:t>
      </w:r>
      <w:r>
        <w:rPr>
          <w:rFonts w:hint="eastAsia" w:ascii="仿宋" w:hAnsi="仿宋" w:eastAsia="仿宋"/>
          <w:b/>
          <w:bCs/>
          <w:color w:val="auto"/>
          <w:sz w:val="32"/>
          <w:szCs w:val="32"/>
          <w:highlight w:val="none"/>
          <w:lang w:eastAsia="zh-CN"/>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0.35</w:t>
      </w:r>
      <w:r>
        <w:rPr>
          <w:rStyle w:val="18"/>
          <w:rFonts w:hint="eastAsia" w:ascii="仿宋" w:hAnsi="仿宋" w:eastAsia="仿宋"/>
          <w:b w:val="0"/>
          <w:bCs/>
          <w:color w:val="auto"/>
          <w:sz w:val="32"/>
          <w:szCs w:val="32"/>
          <w:highlight w:val="none"/>
        </w:rPr>
        <w:t>万元，完</w:t>
      </w:r>
      <w:r>
        <w:rPr>
          <w:rStyle w:val="18"/>
          <w:rFonts w:hint="eastAsia" w:ascii="仿宋" w:hAnsi="仿宋" w:eastAsia="仿宋" w:cstheme="minorBidi"/>
          <w:b w:val="0"/>
          <w:bCs/>
          <w:color w:val="auto"/>
          <w:sz w:val="32"/>
          <w:szCs w:val="32"/>
          <w:highlight w:val="none"/>
        </w:rPr>
        <w:t>成预算</w:t>
      </w:r>
      <w:r>
        <w:rPr>
          <w:rStyle w:val="18"/>
          <w:rFonts w:hint="eastAsia" w:ascii="仿宋" w:hAnsi="仿宋" w:eastAsia="仿宋" w:cstheme="minorBidi"/>
          <w:b w:val="0"/>
          <w:bCs/>
          <w:color w:val="auto"/>
          <w:sz w:val="32"/>
          <w:szCs w:val="32"/>
          <w:highlight w:val="none"/>
          <w:lang w:val="en-US" w:eastAsia="zh-CN"/>
        </w:rPr>
        <w:t>100</w:t>
      </w:r>
      <w:r>
        <w:rPr>
          <w:rStyle w:val="18"/>
          <w:rFonts w:hint="eastAsia" w:ascii="仿宋" w:hAnsi="仿宋" w:eastAsia="仿宋" w:cstheme="minorBidi"/>
          <w:b w:val="0"/>
          <w:bCs/>
          <w:color w:val="auto"/>
          <w:sz w:val="32"/>
          <w:szCs w:val="32"/>
          <w:highlight w:val="none"/>
        </w:rPr>
        <w:t>%</w:t>
      </w:r>
      <w:r>
        <w:rPr>
          <w:rStyle w:val="18"/>
          <w:rFonts w:hint="eastAsia" w:ascii="仿宋" w:hAnsi="仿宋" w:eastAsia="仿宋" w:cstheme="minorBidi"/>
          <w:b w:val="0"/>
          <w:bCs/>
          <w:color w:val="auto"/>
          <w:sz w:val="32"/>
          <w:szCs w:val="32"/>
          <w:highlight w:val="none"/>
          <w:lang w:eastAsia="zh-CN"/>
        </w:rPr>
        <w:t>，</w:t>
      </w:r>
      <w:r>
        <w:rPr>
          <w:rStyle w:val="18"/>
          <w:rFonts w:hint="eastAsia" w:ascii="仿宋" w:hAnsi="仿宋" w:eastAsia="仿宋" w:cstheme="minorBidi"/>
          <w:b w:val="0"/>
          <w:bCs/>
          <w:color w:val="auto"/>
          <w:sz w:val="32"/>
          <w:szCs w:val="32"/>
          <w:highlight w:val="none"/>
        </w:rPr>
        <w:t>决算数与预算数一致。</w:t>
      </w:r>
    </w:p>
    <w:p>
      <w:pPr>
        <w:numPr>
          <w:ilvl w:val="0"/>
          <w:numId w:val="0"/>
        </w:numPr>
        <w:spacing w:line="600" w:lineRule="exact"/>
        <w:ind w:firstLine="643" w:firstLineChars="200"/>
        <w:rPr>
          <w:rStyle w:val="18"/>
          <w:rFonts w:hint="eastAsia" w:ascii="仿宋" w:hAnsi="仿宋" w:eastAsia="仿宋" w:cstheme="minorBidi"/>
          <w:b w:val="0"/>
          <w:bCs/>
          <w:color w:val="auto"/>
          <w:sz w:val="32"/>
          <w:szCs w:val="32"/>
          <w:highlight w:val="none"/>
        </w:rPr>
      </w:pPr>
      <w:r>
        <w:rPr>
          <w:rFonts w:hint="eastAsia" w:ascii="仿宋" w:hAnsi="仿宋" w:eastAsia="仿宋"/>
          <w:b/>
          <w:bCs/>
          <w:color w:val="auto"/>
          <w:sz w:val="32"/>
          <w:szCs w:val="32"/>
          <w:highlight w:val="none"/>
          <w:lang w:val="en-US" w:eastAsia="zh-CN"/>
        </w:rPr>
        <w:t>3卫生健康</w:t>
      </w:r>
      <w:r>
        <w:rPr>
          <w:rFonts w:hint="eastAsia" w:ascii="仿宋" w:hAnsi="仿宋" w:eastAsia="仿宋"/>
          <w:b/>
          <w:bCs/>
          <w:color w:val="auto"/>
          <w:sz w:val="32"/>
          <w:szCs w:val="32"/>
          <w:highlight w:val="none"/>
        </w:rPr>
        <w:t>支出（类）行政事业单位医疗（款）事业单位医疗（项）: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0.44</w:t>
      </w:r>
      <w:r>
        <w:rPr>
          <w:rStyle w:val="18"/>
          <w:rFonts w:hint="eastAsia" w:ascii="仿宋" w:hAnsi="仿宋" w:eastAsia="仿宋"/>
          <w:b w:val="0"/>
          <w:bCs/>
          <w:color w:val="auto"/>
          <w:sz w:val="32"/>
          <w:szCs w:val="32"/>
          <w:highlight w:val="none"/>
        </w:rPr>
        <w:t>万元，</w:t>
      </w:r>
      <w:r>
        <w:rPr>
          <w:rStyle w:val="18"/>
          <w:rFonts w:hint="eastAsia" w:ascii="仿宋" w:hAnsi="仿宋" w:eastAsia="仿宋" w:cstheme="minorBidi"/>
          <w:b w:val="0"/>
          <w:bCs/>
          <w:color w:val="auto"/>
          <w:sz w:val="32"/>
          <w:szCs w:val="32"/>
          <w:highlight w:val="none"/>
        </w:rPr>
        <w:t>完成预算100%，决算数与预算数一致。</w:t>
      </w:r>
    </w:p>
    <w:p>
      <w:pPr>
        <w:spacing w:line="600" w:lineRule="exact"/>
        <w:ind w:firstLine="640"/>
        <w:rPr>
          <w:rFonts w:ascii="仿宋" w:hAnsi="仿宋" w:eastAsia="仿宋"/>
          <w:b/>
          <w:color w:val="auto"/>
          <w:sz w:val="32"/>
          <w:szCs w:val="32"/>
          <w:highlight w:val="none"/>
        </w:rPr>
      </w:pPr>
      <w:r>
        <w:rPr>
          <w:rFonts w:hint="eastAsia" w:ascii="仿宋" w:hAnsi="仿宋" w:eastAsia="仿宋"/>
          <w:b/>
          <w:bCs/>
          <w:color w:val="auto"/>
          <w:sz w:val="32"/>
          <w:szCs w:val="32"/>
          <w:highlight w:val="none"/>
          <w:lang w:val="en-US" w:eastAsia="zh-CN"/>
        </w:rPr>
        <w:t>4住房保障支出（类）住房改革支出（款）住房公积金（项）:</w:t>
      </w:r>
      <w:r>
        <w:rPr>
          <w:rStyle w:val="18"/>
          <w:rFonts w:hint="eastAsia" w:ascii="仿宋" w:hAnsi="仿宋" w:eastAsia="仿宋" w:cstheme="minorBidi"/>
          <w:b w:val="0"/>
          <w:bCs/>
          <w:color w:val="auto"/>
          <w:sz w:val="32"/>
          <w:szCs w:val="32"/>
          <w:highlight w:val="none"/>
          <w:lang w:val="en-US" w:eastAsia="zh-CN"/>
        </w:rPr>
        <w:t>支出决算为0.9万元，</w:t>
      </w:r>
      <w:r>
        <w:rPr>
          <w:rStyle w:val="18"/>
          <w:rFonts w:hint="eastAsia" w:ascii="仿宋" w:hAnsi="仿宋" w:eastAsia="仿宋" w:cstheme="minorBidi"/>
          <w:b w:val="0"/>
          <w:bCs/>
          <w:color w:val="auto"/>
          <w:sz w:val="32"/>
          <w:szCs w:val="32"/>
          <w:highlight w:val="none"/>
        </w:rPr>
        <w:t>完成预算100%，决算数与预算数一致。</w:t>
      </w:r>
    </w:p>
    <w:p>
      <w:pPr>
        <w:tabs>
          <w:tab w:val="right" w:pos="8306"/>
        </w:tabs>
        <w:spacing w:line="600" w:lineRule="exact"/>
        <w:ind w:firstLine="640"/>
        <w:outlineLvl w:val="1"/>
        <w:rPr>
          <w:rStyle w:val="30"/>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4"/>
      <w:bookmarkEnd w:id="35"/>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66.91</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16.68</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7.61万元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1.26万元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1.87万元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3.21万元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0.35万元</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1.04万元</w:t>
      </w:r>
      <w:r>
        <w:rPr>
          <w:rFonts w:hint="eastAsia" w:ascii="仿宋" w:hAnsi="仿宋" w:eastAsia="仿宋"/>
          <w:color w:val="auto"/>
          <w:sz w:val="32"/>
          <w:szCs w:val="32"/>
          <w:highlight w:val="none"/>
        </w:rPr>
        <w:t>、医疗费补助</w:t>
      </w:r>
      <w:r>
        <w:rPr>
          <w:rFonts w:hint="eastAsia" w:ascii="仿宋" w:hAnsi="仿宋" w:eastAsia="仿宋"/>
          <w:color w:val="auto"/>
          <w:sz w:val="32"/>
          <w:szCs w:val="32"/>
          <w:highlight w:val="none"/>
          <w:lang w:val="en-US" w:eastAsia="zh-CN"/>
        </w:rPr>
        <w:t>0.44万元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0.9万元</w:t>
      </w:r>
      <w:r>
        <w:rPr>
          <w:rFonts w:hint="eastAsia" w:ascii="仿宋" w:hAnsi="仿宋" w:eastAsia="仿宋"/>
          <w:color w:val="auto"/>
          <w:sz w:val="32"/>
          <w:szCs w:val="32"/>
          <w:highlight w:val="none"/>
        </w:rPr>
        <w:t>。</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50.23</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28.86万元</w:t>
      </w:r>
      <w:r>
        <w:rPr>
          <w:rFonts w:hint="eastAsia" w:ascii="仿宋" w:hAnsi="仿宋" w:eastAsia="仿宋"/>
          <w:color w:val="auto"/>
          <w:sz w:val="32"/>
          <w:szCs w:val="32"/>
          <w:highlight w:val="none"/>
        </w:rPr>
        <w:t>、印刷费</w:t>
      </w:r>
      <w:r>
        <w:rPr>
          <w:rFonts w:hint="eastAsia" w:ascii="仿宋" w:hAnsi="仿宋" w:eastAsia="仿宋"/>
          <w:color w:val="auto"/>
          <w:sz w:val="32"/>
          <w:szCs w:val="32"/>
          <w:highlight w:val="none"/>
          <w:lang w:val="en-US" w:eastAsia="zh-CN"/>
        </w:rPr>
        <w:t>0万元</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0万元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0.21万元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0万元</w:t>
      </w:r>
      <w:r>
        <w:rPr>
          <w:rFonts w:hint="eastAsia" w:ascii="仿宋" w:hAnsi="仿宋" w:eastAsia="仿宋"/>
          <w:color w:val="auto"/>
          <w:sz w:val="32"/>
          <w:szCs w:val="32"/>
          <w:highlight w:val="none"/>
        </w:rPr>
        <w:t>、物业管理费</w:t>
      </w:r>
      <w:r>
        <w:rPr>
          <w:rFonts w:hint="eastAsia" w:ascii="仿宋" w:hAnsi="仿宋" w:eastAsia="仿宋"/>
          <w:color w:val="auto"/>
          <w:sz w:val="32"/>
          <w:szCs w:val="32"/>
          <w:highlight w:val="none"/>
          <w:lang w:eastAsia="zh-CN"/>
        </w:rPr>
        <w:t>（校园绿化及安保费用）</w:t>
      </w:r>
      <w:r>
        <w:rPr>
          <w:rFonts w:hint="eastAsia" w:ascii="仿宋" w:hAnsi="仿宋" w:eastAsia="仿宋"/>
          <w:color w:val="auto"/>
          <w:sz w:val="32"/>
          <w:szCs w:val="32"/>
          <w:highlight w:val="none"/>
          <w:lang w:val="en-US" w:eastAsia="zh-CN"/>
        </w:rPr>
        <w:t>1.16万元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1.53万元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0.2万元</w:t>
      </w:r>
      <w:r>
        <w:rPr>
          <w:rFonts w:hint="eastAsia" w:ascii="仿宋" w:hAnsi="仿宋" w:eastAsia="仿宋"/>
          <w:color w:val="auto"/>
          <w:sz w:val="32"/>
          <w:szCs w:val="32"/>
          <w:highlight w:val="none"/>
        </w:rPr>
        <w:t>、培训费</w:t>
      </w:r>
      <w:r>
        <w:rPr>
          <w:rFonts w:hint="eastAsia" w:ascii="仿宋" w:hAnsi="仿宋" w:eastAsia="仿宋"/>
          <w:color w:val="auto"/>
          <w:sz w:val="32"/>
          <w:szCs w:val="32"/>
          <w:highlight w:val="none"/>
          <w:lang w:val="en-US" w:eastAsia="zh-CN"/>
        </w:rPr>
        <w:t>0.1万元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0万元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专用材料费（体育、音乐、美术等专用耗材支出）</w:t>
      </w:r>
      <w:r>
        <w:rPr>
          <w:rFonts w:hint="eastAsia" w:ascii="仿宋" w:hAnsi="仿宋" w:eastAsia="仿宋"/>
          <w:color w:val="auto"/>
          <w:sz w:val="32"/>
          <w:szCs w:val="32"/>
          <w:highlight w:val="none"/>
          <w:lang w:val="en-US" w:eastAsia="zh-CN"/>
        </w:rPr>
        <w:t>1.12万元、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16.21万元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0万元</w:t>
      </w:r>
      <w:r>
        <w:rPr>
          <w:rFonts w:hint="eastAsia" w:ascii="仿宋" w:hAnsi="仿宋" w:eastAsia="仿宋"/>
          <w:color w:val="auto"/>
          <w:sz w:val="32"/>
          <w:szCs w:val="32"/>
          <w:highlight w:val="none"/>
        </w:rPr>
        <w:t>、福利费</w:t>
      </w:r>
      <w:r>
        <w:rPr>
          <w:rFonts w:hint="eastAsia" w:ascii="仿宋" w:hAnsi="仿宋" w:eastAsia="仿宋"/>
          <w:color w:val="auto"/>
          <w:sz w:val="32"/>
          <w:szCs w:val="32"/>
          <w:highlight w:val="none"/>
          <w:lang w:val="en-US" w:eastAsia="zh-CN"/>
        </w:rPr>
        <w:t>0.84万元</w:t>
      </w:r>
      <w:r>
        <w:rPr>
          <w:rFonts w:hint="eastAsia" w:ascii="仿宋" w:hAnsi="仿宋" w:eastAsia="仿宋"/>
          <w:color w:val="auto"/>
          <w:sz w:val="32"/>
          <w:szCs w:val="32"/>
          <w:highlight w:val="none"/>
        </w:rPr>
        <w:t>。</w:t>
      </w:r>
    </w:p>
    <w:p>
      <w:pPr>
        <w:spacing w:line="600" w:lineRule="exact"/>
        <w:ind w:firstLine="640"/>
        <w:outlineLvl w:val="1"/>
        <w:rPr>
          <w:rStyle w:val="30"/>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减少0万元。主要原因是：本单位属于新设幼儿园。</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numPr>
          <w:ilvl w:val="0"/>
          <w:numId w:val="4"/>
        </w:num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因公出国（境）经费支出0万元，完成预算0%。因公出国（境）支出决算与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年</w:t>
      </w:r>
      <w:r>
        <w:rPr>
          <w:rFonts w:hint="eastAsia" w:ascii="仿宋" w:hAnsi="仿宋" w:eastAsia="仿宋"/>
          <w:color w:val="auto"/>
          <w:sz w:val="32"/>
          <w:szCs w:val="32"/>
          <w:highlight w:val="none"/>
        </w:rPr>
        <w:t>一致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原因是未</w:t>
      </w:r>
      <w:r>
        <w:rPr>
          <w:rFonts w:hint="eastAsia" w:ascii="仿宋" w:hAnsi="仿宋" w:eastAsia="仿宋"/>
          <w:color w:val="auto"/>
          <w:sz w:val="32"/>
          <w:szCs w:val="32"/>
          <w:highlight w:val="none"/>
        </w:rPr>
        <w:t>安排因公出国</w:t>
      </w:r>
      <w:r>
        <w:rPr>
          <w:rFonts w:hint="eastAsia" w:ascii="仿宋" w:hAnsi="仿宋" w:eastAsia="仿宋"/>
          <w:color w:val="auto"/>
          <w:sz w:val="32"/>
          <w:szCs w:val="32"/>
          <w:highlight w:val="none"/>
          <w:lang w:val="en-US" w:eastAsia="zh-CN"/>
        </w:rPr>
        <w:t>事项</w:t>
      </w:r>
      <w:r>
        <w:rPr>
          <w:rFonts w:hint="eastAsia" w:ascii="仿宋" w:hAnsi="仿宋" w:eastAsia="仿宋"/>
          <w:color w:val="auto"/>
          <w:sz w:val="32"/>
          <w:szCs w:val="32"/>
          <w:highlight w:val="none"/>
        </w:rPr>
        <w:t>。</w:t>
      </w:r>
    </w:p>
    <w:p>
      <w:pPr>
        <w:numPr>
          <w:ilvl w:val="0"/>
          <w:numId w:val="0"/>
        </w:num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2公务用车购置及运行维护费支出0万元,完成预算0%。公务用车购置及运行维护费支出决算与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年</w:t>
      </w:r>
      <w:r>
        <w:rPr>
          <w:rFonts w:hint="eastAsia" w:ascii="仿宋" w:hAnsi="仿宋" w:eastAsia="仿宋"/>
          <w:color w:val="auto"/>
          <w:sz w:val="32"/>
          <w:szCs w:val="32"/>
          <w:highlight w:val="none"/>
        </w:rPr>
        <w:t>一致。</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其中：公务用车购置支出0万元。全年按规定更新购置公务用车0辆，金额0元。截至</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年</w:t>
      </w:r>
      <w:r>
        <w:rPr>
          <w:rFonts w:hint="eastAsia" w:ascii="仿宋" w:hAnsi="仿宋" w:eastAsia="仿宋"/>
          <w:color w:val="auto"/>
          <w:sz w:val="32"/>
          <w:szCs w:val="32"/>
          <w:highlight w:val="none"/>
        </w:rPr>
        <w:t>12月底，单位共有公务用车0辆，其中：主要领导干部用车0辆、机要通信用车0辆、应急保障用车0辆、 执法执勤用车0辆</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公务用车运行维护费支出0万元。</w:t>
      </w:r>
    </w:p>
    <w:p>
      <w:pPr>
        <w:spacing w:line="600" w:lineRule="exact"/>
        <w:ind w:firstLine="643" w:firstLineChars="200"/>
        <w:rPr>
          <w:rFonts w:hint="eastAsia" w:ascii="仿宋_GB2312" w:eastAsia="仿宋"/>
          <w:color w:val="auto"/>
          <w:sz w:val="32"/>
          <w:szCs w:val="32"/>
          <w:highlight w:val="none"/>
          <w:lang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lang w:val="en-US" w:eastAsia="zh-CN"/>
        </w:rPr>
        <w:t>.</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，主要原因是：幼儿园为新增幼儿园，没有发生公务接待。</w:t>
      </w:r>
    </w:p>
    <w:p>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0</w:t>
      </w:r>
      <w:r>
        <w:rPr>
          <w:rFonts w:hint="eastAsia" w:ascii="仿宋_GB2312" w:eastAsia="仿宋_GB2312"/>
          <w:b/>
          <w:bCs/>
          <w:color w:val="auto"/>
          <w:sz w:val="32"/>
          <w:szCs w:val="32"/>
          <w:highlight w:val="none"/>
        </w:rPr>
        <w:t>万元</w:t>
      </w:r>
      <w:r>
        <w:rPr>
          <w:rFonts w:hint="eastAsia" w:ascii="仿宋_GB2312" w:eastAsia="仿宋_GB2312"/>
          <w:color w:val="auto"/>
          <w:sz w:val="32"/>
          <w:szCs w:val="32"/>
          <w:highlight w:val="none"/>
        </w:rPr>
        <w:t>，主要用于国内公务接待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元。</w:t>
      </w:r>
      <w:r>
        <w:rPr>
          <w:rFonts w:hint="eastAsia" w:ascii="仿宋_GB2312" w:eastAsia="仿宋_GB2312"/>
          <w:color w:val="auto"/>
          <w:sz w:val="32"/>
          <w:szCs w:val="32"/>
          <w:highlight w:val="none"/>
          <w:lang w:eastAsia="zh-CN"/>
        </w:rPr>
        <w:t>没有发生公务接待。</w:t>
      </w:r>
    </w:p>
    <w:p>
      <w:pPr>
        <w:spacing w:line="600" w:lineRule="exact"/>
        <w:ind w:firstLine="64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lang w:val="en-US" w:eastAsia="zh-CN"/>
        </w:rPr>
        <w:t>外事接待支出0万元</w:t>
      </w:r>
      <w:r>
        <w:rPr>
          <w:rFonts w:hint="eastAsia" w:ascii="仿宋_GB2312" w:eastAsia="仿宋_GB2312"/>
          <w:color w:val="auto"/>
          <w:sz w:val="32"/>
          <w:szCs w:val="32"/>
          <w:highlight w:val="none"/>
          <w:lang w:val="en-US" w:eastAsia="zh-CN"/>
        </w:rPr>
        <w:t>，没有发生外事接待。</w:t>
      </w:r>
    </w:p>
    <w:p>
      <w:pPr>
        <w:spacing w:line="600" w:lineRule="exact"/>
        <w:ind w:firstLine="640"/>
        <w:outlineLvl w:val="1"/>
        <w:rPr>
          <w:rStyle w:val="30"/>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30"/>
          <w:rFonts w:ascii="黑体" w:hAnsi="黑体" w:eastAsia="黑体"/>
          <w:b w:val="0"/>
          <w:color w:val="auto"/>
          <w:highlight w:val="none"/>
        </w:rPr>
      </w:pPr>
      <w:bookmarkStart w:id="42" w:name="_Toc15377219"/>
      <w:bookmarkStart w:id="43" w:name="_Toc15396611"/>
      <w:r>
        <w:rPr>
          <w:rStyle w:val="30"/>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30"/>
          <w:rFonts w:hint="eastAsia" w:ascii="黑体" w:hAnsi="黑体" w:eastAsia="黑体"/>
          <w:b w:val="0"/>
          <w:color w:val="auto"/>
          <w:highlight w:val="none"/>
        </w:rPr>
      </w:pPr>
      <w:bookmarkStart w:id="44" w:name="_Toc15377221"/>
      <w:bookmarkStart w:id="45" w:name="_Toc15396612"/>
      <w:r>
        <w:rPr>
          <w:rStyle w:val="30"/>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autoSpaceDE w:val="0"/>
        <w:autoSpaceDN w:val="0"/>
        <w:adjustRightInd w:val="0"/>
        <w:spacing w:line="600" w:lineRule="exact"/>
        <w:ind w:firstLine="640" w:firstLineChars="200"/>
        <w:jc w:val="left"/>
        <w:outlineLvl w:val="2"/>
        <w:rPr>
          <w:rFonts w:hint="default" w:ascii="仿宋_GB2312" w:eastAsia="仿宋_GB2312"/>
          <w:color w:val="auto"/>
          <w:sz w:val="32"/>
          <w:szCs w:val="32"/>
          <w:highlight w:val="none"/>
          <w:lang w:val="en-US" w:eastAsia="zh-CN"/>
        </w:rPr>
      </w:pPr>
      <w:bookmarkStart w:id="47" w:name="_Toc15377223"/>
      <w:r>
        <w:rPr>
          <w:rFonts w:hint="eastAsia" w:ascii="仿宋_GB2312" w:eastAsia="仿宋_GB2312"/>
          <w:color w:val="auto"/>
          <w:sz w:val="32"/>
          <w:szCs w:val="32"/>
          <w:highlight w:val="none"/>
          <w:lang w:val="en-US" w:eastAsia="zh-CN"/>
        </w:rPr>
        <w:t>2022年机关运行经费支出0万元。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47"/>
    </w:p>
    <w:p>
      <w:pPr>
        <w:autoSpaceDE w:val="0"/>
        <w:autoSpaceDN w:val="0"/>
        <w:adjustRightInd w:val="0"/>
        <w:spacing w:line="600" w:lineRule="exact"/>
        <w:ind w:firstLine="640" w:firstLineChars="200"/>
        <w:jc w:val="left"/>
        <w:outlineLvl w:val="2"/>
        <w:rPr>
          <w:rFonts w:hint="default" w:ascii="仿宋" w:hAnsi="仿宋" w:eastAsia="仿宋"/>
          <w:b/>
          <w:color w:val="auto"/>
          <w:sz w:val="32"/>
          <w:szCs w:val="32"/>
          <w:highlight w:val="none"/>
          <w:lang w:val="en-US"/>
        </w:rPr>
      </w:pPr>
      <w:r>
        <w:rPr>
          <w:rFonts w:hint="eastAsia" w:ascii="仿宋_GB2312" w:eastAsia="仿宋_GB2312"/>
          <w:color w:val="auto"/>
          <w:sz w:val="32"/>
          <w:szCs w:val="32"/>
          <w:highlight w:val="none"/>
          <w:lang w:val="en-US" w:eastAsia="zh-CN"/>
        </w:rPr>
        <w:t>2022年，教育系统政府采购支出总额0万元，其中：政府采购货物支出0万元、政府采购工程支出0万元、政府采购服务支出0万元。主要用于改善全县中小学办学条件。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截至2022年12月31日，单位共有车辆0辆，其中：主要领导干部用车0辆、机要通信用车0辆、应急保障用车0辆、其他用车0辆单价50万元以上通用设备0台（套），单价100万元以上专用设备0台（套）。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bidi w:val="0"/>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年度预算编制阶段，对</w:t>
      </w:r>
      <w:r>
        <w:rPr>
          <w:rFonts w:hint="eastAsia" w:ascii="仿宋_GB2312" w:hAnsi="仿宋_GB2312" w:eastAsia="仿宋_GB2312" w:cs="仿宋_GB2312"/>
          <w:color w:val="auto"/>
          <w:sz w:val="32"/>
          <w:szCs w:val="32"/>
          <w:highlight w:val="none"/>
          <w:lang w:val="en-US" w:eastAsia="zh-CN"/>
        </w:rPr>
        <w:t>2022年度单位预算进行了事前绩效评估，</w:t>
      </w:r>
      <w:r>
        <w:rPr>
          <w:rFonts w:hint="eastAsia" w:ascii="仿宋_GB2312" w:hAnsi="仿宋_GB2312" w:eastAsia="仿宋_GB2312" w:cs="仿宋_GB2312"/>
          <w:color w:val="auto"/>
          <w:sz w:val="32"/>
          <w:szCs w:val="32"/>
          <w:highlight w:val="none"/>
        </w:rPr>
        <w:t>预算执行过程中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对支持学前发展资金</w:t>
      </w:r>
      <w:r>
        <w:rPr>
          <w:rFonts w:hint="eastAsia" w:ascii="仿宋_GB2312" w:hAnsi="仿宋_GB2312" w:eastAsia="仿宋_GB2312" w:cs="仿宋_GB2312"/>
          <w:color w:val="auto"/>
          <w:sz w:val="32"/>
          <w:szCs w:val="32"/>
          <w:highlight w:val="none"/>
        </w:rPr>
        <w:t>项目展</w:t>
      </w:r>
      <w:r>
        <w:rPr>
          <w:rFonts w:hint="eastAsia" w:ascii="仿宋_GB2312" w:hAnsi="仿宋_GB2312" w:eastAsia="仿宋_GB2312" w:cs="仿宋_GB2312"/>
          <w:color w:val="auto"/>
          <w:sz w:val="32"/>
          <w:szCs w:val="32"/>
          <w:highlight w:val="none"/>
          <w:lang w:val="en-US" w:eastAsia="zh-CN"/>
        </w:rPr>
        <w:t>开了</w:t>
      </w:r>
      <w:r>
        <w:rPr>
          <w:rFonts w:hint="eastAsia" w:ascii="仿宋_GB2312" w:hAnsi="仿宋_GB2312" w:eastAsia="仿宋_GB2312" w:cs="仿宋_GB2312"/>
          <w:color w:val="auto"/>
          <w:sz w:val="32"/>
          <w:szCs w:val="32"/>
          <w:highlight w:val="none"/>
        </w:rPr>
        <w:t>绩效监控。</w:t>
      </w:r>
      <w:r>
        <w:rPr>
          <w:rFonts w:hint="eastAsia" w:ascii="仿宋_GB2312" w:hAnsi="仿宋_GB2312" w:eastAsia="仿宋_GB2312" w:cs="仿宋_GB2312"/>
          <w:color w:val="auto"/>
          <w:sz w:val="32"/>
          <w:szCs w:val="32"/>
          <w:highlight w:val="none"/>
          <w:lang w:val="en-US" w:eastAsia="zh-CN"/>
        </w:rPr>
        <w:t>年终</w:t>
      </w:r>
      <w:r>
        <w:rPr>
          <w:rFonts w:hint="eastAsia" w:ascii="仿宋_GB2312" w:hAnsi="仿宋_GB2312" w:eastAsia="仿宋_GB2312" w:cs="仿宋_GB2312"/>
          <w:color w:val="auto"/>
          <w:sz w:val="32"/>
          <w:szCs w:val="32"/>
          <w:highlight w:val="none"/>
        </w:rPr>
        <w:t>按要求对</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部门整体支出开展绩效自评，从评价情况来看，顺利完成了年初预定绩效目标，保证了财政资金的安全性，充分发挥了资金的使用效益。绩效自评报告详见附件。</w:t>
      </w: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widowControl/>
        <w:ind w:firstLine="640" w:firstLineChars="200"/>
        <w:jc w:val="left"/>
        <w:rPr>
          <w:rFonts w:hint="eastAsia" w:ascii="仿宋_GB2312" w:hAnsi="仿宋_GB2312" w:eastAsia="仿宋_GB2312" w:cs="仿宋_GB2312"/>
          <w:color w:val="auto"/>
          <w:sz w:val="32"/>
          <w:szCs w:val="32"/>
          <w:highlight w:val="none"/>
        </w:rPr>
      </w:pPr>
    </w:p>
    <w:p>
      <w:pPr>
        <w:numPr>
          <w:ilvl w:val="0"/>
          <w:numId w:val="6"/>
        </w:numPr>
        <w:spacing w:line="600" w:lineRule="exact"/>
        <w:ind w:firstLine="660" w:firstLineChars="150"/>
        <w:jc w:val="center"/>
        <w:outlineLvl w:val="0"/>
        <w:rPr>
          <w:rStyle w:val="29"/>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ind w:firstLine="640" w:firstLineChars="200"/>
        <w:rPr>
          <w:rFonts w:hint="eastAsia" w:ascii="仿宋_GB2312" w:eastAsia="仿宋_GB2312"/>
          <w:color w:val="auto"/>
          <w:sz w:val="32"/>
          <w:szCs w:val="32"/>
          <w:highlight w:val="none"/>
        </w:rPr>
      </w:pPr>
      <w:bookmarkStart w:id="51" w:name="_Toc15396614"/>
      <w:bookmarkStart w:id="52" w:name="_Toc15377226"/>
      <w:r>
        <w:rPr>
          <w:rFonts w:hint="eastAsia" w:ascii="仿宋_GB2312" w:eastAsia="仿宋_GB2312"/>
          <w:color w:val="auto"/>
          <w:sz w:val="32"/>
          <w:szCs w:val="32"/>
          <w:highlight w:val="none"/>
        </w:rPr>
        <w:t>1财政拨款收入：指单位从同级财政部门取得的财政预算资金。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2事业收入：指事业单位开展专业业务活动及辅助活动取得的收入。如</w:t>
      </w:r>
      <w:r>
        <w:rPr>
          <w:rFonts w:hint="eastAsia" w:ascii="仿宋_GB2312" w:eastAsia="仿宋_GB2312"/>
          <w:color w:val="auto"/>
          <w:sz w:val="32"/>
          <w:szCs w:val="32"/>
          <w:highlight w:val="none"/>
          <w:lang w:eastAsia="zh-CN"/>
        </w:rPr>
        <w:t>学龄前儿童保育费、高中</w:t>
      </w:r>
      <w:r>
        <w:rPr>
          <w:rFonts w:hint="eastAsia" w:ascii="仿宋_GB2312" w:eastAsia="仿宋_GB2312"/>
          <w:color w:val="auto"/>
          <w:sz w:val="32"/>
          <w:szCs w:val="32"/>
          <w:highlight w:val="none"/>
        </w:rPr>
        <w:t>阶段学校收取的住宿费</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3经营收入：指事业单位在专业业务活动及其辅助活动之外开展非独立核算经营活动取得的收入。</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4其他收入：指单位取得的除上述收入以外的各项收入。主要是利息收入等。</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6年初结转和结余：指以前年度尚未完成、结转到本年按有关规定继续使用的资金。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7结余分配：指事业单位按照事业单位会计制度的规定从非财政补助结余中分配的事业基金和职工福利基金等。</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8、年末结转和结余：指单位按有关规定结转到下年或以后年度继续使用的资金。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  教育支出（类）教育管理事务（款）行政运行（项）：指用于行政单位正常运行的基本支出。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 教育支出（类）教育管理事务（款）其他教育管理事务支出（项）：指</w:t>
      </w:r>
      <w:r>
        <w:rPr>
          <w:rFonts w:hint="eastAsia" w:ascii="仿宋_GB2312" w:eastAsia="仿宋_GB2312"/>
          <w:color w:val="auto"/>
          <w:sz w:val="32"/>
          <w:szCs w:val="32"/>
          <w:highlight w:val="none"/>
          <w:lang w:eastAsia="zh-CN"/>
        </w:rPr>
        <w:t>本</w:t>
      </w:r>
      <w:r>
        <w:rPr>
          <w:rFonts w:hint="eastAsia" w:ascii="仿宋_GB2312" w:eastAsia="仿宋_GB2312"/>
          <w:color w:val="auto"/>
          <w:sz w:val="32"/>
          <w:szCs w:val="32"/>
          <w:highlight w:val="none"/>
        </w:rPr>
        <w:t>单位的日常运行支出。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 教育支出（类）普通教育（款）学前教育（项）：指学前教育的日常运行支出及为完成事业发展目标的支出。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12教育支出（类）普通教育（款）小学教育（项）：指小学学校的日常运行支出及为完成事业发展目标的支出。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13、教育支出（类）普通教育（款）初中教育（项）：指初级中学校的日常运行支出及为完成事业发展目标的支出。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14教育支出（类）普通教育（款）高中教育（项）：指高级中学校的日常运行支出及为完成事业发展目标的支出。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15教育支出（类）普通教育（款）高等教育（项）：指高等学校的日常运行支出及为完成事业发展目标的支出。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16教育支出（类）职业教育（款）职业高中教育（项）：指职业教育学校的日常运行支出及为完成事业发展目标的项目支出。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17教育支出（类）特殊教育（款）特殊学校教育（项）：指特殊教育学校的日常运行支出及为完成事业发展目标的支出。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18教育支出（类）进修及培训（款）教师进修（项）：指老师进修学校的日常运行支出及为完成事业发展目标的支出。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19教育支出（类）教育费附加安排的支出（款）其他教育费附加安排的支出（项）：指反映教育费附加、地方教育附加安排的其他专项支出。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20教育（类）其他教育支出（款）其他教育支出（项）：指用于普通教育中的其他普通教育支出。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21文化体育与传媒支出（类）其他文化体育与传媒支出（款）宣传文化发展专项支出（项）：指按照国家有关政策开展宣传文化工作的专项支出。教育上主要为乡村少年宫的建设与日常运转经费。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22社会保障和就业支出（类）行政事业单位离退休（款）机关事业单位基本养老保险缴费支出（项）：指机关事业单位实施养老保险制度由单位缴纳的基本养老保险。</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23社会保障和就业支出（类）行政事业单位离退休（款）机关事业单位职业年金缴费支出（项）：指机关事业单位实施养老保险制度由单位缴纳的职业年金支出。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24社会保障和就业支出（类）抚恤（款）死亡抚恤（项）：指按规定用于烈士和牺牲、病故人员家属的一次性和定期抚恤金以及丧葬补助经费。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25卫生健康支出（类）行政事业单位医疗（款）事业单位医疗（项）：指用于事业单位医疗保险缴费经费，未参加医疗保险的事业单位的公费医疗经费，按国家规定享受离休人员待遇的医疗经费。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27基本支出：指为保障机构正常运转、完成日常工作任务而发生的人员支出和公用支出。</w:t>
      </w:r>
    </w:p>
    <w:p>
      <w:pPr>
        <w:ind w:firstLine="640" w:firstLineChars="200"/>
        <w:rPr>
          <w:rFonts w:ascii="仿宋_GB2312" w:eastAsia="仿宋_GB2312"/>
          <w:sz w:val="28"/>
          <w:szCs w:val="28"/>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p>
    <w:p>
      <w:pPr>
        <w:pStyle w:val="27"/>
        <w:spacing w:line="500" w:lineRule="exact"/>
        <w:ind w:firstLine="640" w:firstLineChars="200"/>
        <w:rPr>
          <w:rFonts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28住房保障支出（类）住房改革支出（款）住房公积金（项）：指行政事业单位按人力资源和社会保障部、财政部规定的基本工资和津贴补贴以及规定比例为职工缴纳的住房公积金。</w:t>
      </w:r>
    </w:p>
    <w:p>
      <w:pPr>
        <w:pStyle w:val="27"/>
        <w:spacing w:line="500" w:lineRule="exact"/>
        <w:ind w:firstLine="640" w:firstLineChars="200"/>
        <w:rPr>
          <w:rFonts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29基本支出：指为保障机构正常运转、完成日常工作任务而发生的人员支出和公用支出。</w:t>
      </w:r>
    </w:p>
    <w:p>
      <w:pPr>
        <w:pStyle w:val="27"/>
        <w:spacing w:line="500" w:lineRule="exact"/>
        <w:ind w:firstLine="640" w:firstLineChars="200"/>
        <w:rPr>
          <w:rFonts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30项目支出：指在基本支出之外为完成特定行政任务和事业发展目标所发生的支出。</w:t>
      </w:r>
    </w:p>
    <w:p>
      <w:pPr>
        <w:pStyle w:val="27"/>
        <w:spacing w:line="500" w:lineRule="exact"/>
        <w:ind w:firstLine="640" w:firstLineChars="200"/>
        <w:rPr>
          <w:rFonts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31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仿宋_GB2312" w:hAnsi="Times New Roman" w:eastAsia="仿宋_GB2312" w:cs="Times New Roman"/>
          <w:color w:val="auto"/>
          <w:kern w:val="2"/>
          <w:sz w:val="32"/>
          <w:szCs w:val="32"/>
          <w:highlight w:val="none"/>
          <w:lang w:val="en-US" w:eastAsia="zh-CN" w:bidi="ar-S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51"/>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eastAsia="zh-CN"/>
        </w:rPr>
        <w:t>旺苍县木门镇中心幼儿园</w:t>
      </w:r>
      <w:r>
        <w:rPr>
          <w:rFonts w:hint="eastAsia" w:ascii="宋体" w:hAnsi="宋体" w:eastAsia="宋体"/>
          <w:b/>
          <w:color w:val="auto"/>
          <w:sz w:val="32"/>
          <w:szCs w:val="32"/>
          <w:highlight w:val="none"/>
          <w:shd w:val="clear" w:color="auto" w:fill="FFFFFF"/>
        </w:rPr>
        <w:t>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（一）机构构成</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设置5个职能部门：办公室（党支部办）、保教处、教科室、总务安全处、信息化处。</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（二）基本职能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贯彻执行党和国家有关幼儿教育的方针、政策以及教育法规、规章，坚持民主管理，依法办园，坚持正确的办园方向，执行上级主管部门的指示和决定。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组织制定幼儿园发展的远景规划、近期目标、学年和学期各项工作计划以及各项工作指标并组织实施．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加强幼儿园科学管理，施行托育、保育和教育相结合，对幼儿实施体、智、德、美诸方面全面发展的教育，促进其身心和谐发展。制定和健全各项规章制度，规范办学行为，实施管理决策的民主化、方法的定量化和手段的科学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尊重儿童的人格尊严和基本权利，尊重儿童身心发展的特点和规律，为儿童提供健康、丰富的生活和活动环境。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组织实施校园人文环境建设，严格执行幼儿园安全、卫生保健制度，保证幼儿身心健康和生命安全。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坚持教书育人、管理育人、服务育人，致力于学校、社会，家庭三结合教育，充分利用幼儿和社区的资源优势，面向家长开展多种形式的早期教育宣传、指导等服务，促进幼儿家庭教育质量的不断提高，努力形成良好的育人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贯彻幼儿教育法规、传播科学教育理念、开展教育科学研究、培训师资，发挥县示范性幼儿园的示范、辐射作用。</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（三）人员结构及相关情况</w:t>
      </w:r>
    </w:p>
    <w:p>
      <w:pPr>
        <w:snapToGrid w:val="0"/>
        <w:spacing w:line="52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旺苍县木门镇中心小学校是旺苍县教育局下属二级,截止2022年12月31日，木门幼儿园目前在岗教师3人，临聘人员18人。固定资产总额496.5万元。</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二、部门财政资金收支情况</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（一）部门财政资金收入情况</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2022年本年收入合计370.99万元，其中：一般公共预算财政拨款收入349.77万元，占94.28%；政府性基金预算财政拨款收入0万元，占0%。事业收入21.22万元，占5.72%。</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（二）部门财政资金支出情况</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2022年本年支出合计370.99万元，其中：基本支出66.91万元，占18.04%；项目支出282.86万元，占76.24%。非财政拨款事业支出21.22，占5.72%。</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三、绩效评价管理</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（一）评价结论</w:t>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3" w:firstLineChars="201"/>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根据部门整体支出绩效评价指标体系，经自查，我园2022年度绩效目标标准分值100分，自查实得97分，顺利完成年初预算，较好地完成了各项目标任务，达到了预期绩效目标。</w:t>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3" w:firstLineChars="201"/>
        <w:textAlignment w:val="auto"/>
        <w:rPr>
          <w:rFonts w:hint="eastAsia" w:ascii="仿宋_GB2312" w:hAnsi="Calibri" w:eastAsia="仿宋_GB2312" w:cs="仿宋"/>
          <w:color w:val="auto"/>
          <w:kern w:val="0"/>
          <w:sz w:val="32"/>
          <w:szCs w:val="32"/>
          <w:highlight w:val="none"/>
          <w:lang w:val="en-US" w:eastAsia="zh-CN" w:bidi="ar-SA"/>
        </w:rPr>
      </w:pP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3" w:firstLineChars="201"/>
        <w:textAlignment w:val="auto"/>
        <w:rPr>
          <w:rFonts w:hint="eastAsia" w:ascii="仿宋_GB2312" w:hAnsi="Calibri" w:eastAsia="仿宋_GB2312" w:cs="仿宋"/>
          <w:color w:val="auto"/>
          <w:kern w:val="0"/>
          <w:sz w:val="32"/>
          <w:szCs w:val="32"/>
          <w:highlight w:val="none"/>
          <w:lang w:val="en-US" w:eastAsia="zh-CN" w:bidi="ar-SA"/>
        </w:rPr>
      </w:pP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3" w:firstLineChars="201"/>
        <w:textAlignment w:val="auto"/>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（二）综合管理情况</w:t>
      </w: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1.年度目标完成情况</w:t>
      </w:r>
    </w:p>
    <w:p>
      <w:pPr>
        <w:pStyle w:val="37"/>
        <w:ind w:firstLine="640" w:firstLineChars="200"/>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2022年，在县委、县政府和县教育局的坚强领导下，团结一心、创先争优，顺利完成各项目标任务。</w:t>
      </w:r>
    </w:p>
    <w:p>
      <w:pPr>
        <w:pStyle w:val="37"/>
        <w:numPr>
          <w:ilvl w:val="0"/>
          <w:numId w:val="0"/>
        </w:numPr>
        <w:ind w:leftChars="100" w:right="210" w:rightChars="100" w:firstLine="640" w:firstLineChars="200"/>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（1）管理科学规范，严格执行财务会计制度、资产管理、台账规范、把控经费支出，按规定执行“三重一大”政策。</w:t>
      </w:r>
    </w:p>
    <w:p>
      <w:pPr>
        <w:pStyle w:val="37"/>
        <w:numPr>
          <w:ilvl w:val="0"/>
          <w:numId w:val="0"/>
        </w:numPr>
        <w:ind w:leftChars="100" w:right="210" w:rightChars="100" w:firstLine="640" w:firstLineChars="200"/>
        <w:jc w:val="left"/>
        <w:rPr>
          <w:rFonts w:hint="eastAsia" w:ascii="仿宋_GB2312" w:hAnsi="Calibri" w:eastAsia="仿宋_GB2312" w:cs="仿宋"/>
          <w:color w:val="auto"/>
          <w:kern w:val="0"/>
          <w:sz w:val="32"/>
          <w:szCs w:val="32"/>
          <w:highlight w:val="none"/>
          <w:lang w:val="en-US" w:eastAsia="zh-CN" w:bidi="ar-SA"/>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一年来，我园不断更新办园理念，加强师资培训，通过“请进来、派出去”等方式，培训一百余人次</w:t>
      </w:r>
      <w:r>
        <w:rPr>
          <w:rFonts w:hint="eastAsia" w:ascii="仿宋" w:hAnsi="仿宋" w:eastAsia="仿宋" w:cs="仿宋"/>
          <w:sz w:val="32"/>
          <w:szCs w:val="32"/>
          <w:lang w:eastAsia="zh-CN"/>
        </w:rPr>
        <w:t>。</w:t>
      </w:r>
      <w:r>
        <w:rPr>
          <w:rFonts w:hint="eastAsia" w:ascii="仿宋" w:hAnsi="仿宋" w:eastAsia="仿宋" w:cs="仿宋"/>
          <w:sz w:val="32"/>
          <w:szCs w:val="32"/>
        </w:rPr>
        <w:t>积极参加片区、县域各种技能大赛，提高教师业务水平，</w:t>
      </w:r>
      <w:r>
        <w:rPr>
          <w:rFonts w:hint="eastAsia" w:ascii="仿宋" w:hAnsi="仿宋" w:eastAsia="仿宋" w:cs="仿宋"/>
          <w:sz w:val="32"/>
          <w:szCs w:val="32"/>
          <w:lang w:val="en-US" w:eastAsia="zh-CN"/>
        </w:rPr>
        <w:t>共</w:t>
      </w:r>
      <w:r>
        <w:rPr>
          <w:rFonts w:hint="eastAsia" w:ascii="仿宋" w:hAnsi="仿宋" w:eastAsia="仿宋" w:cs="仿宋"/>
          <w:sz w:val="32"/>
          <w:szCs w:val="32"/>
        </w:rPr>
        <w:t>参加各种大赛10余次</w:t>
      </w:r>
      <w:r>
        <w:rPr>
          <w:rFonts w:hint="eastAsia" w:ascii="仿宋" w:hAnsi="仿宋" w:eastAsia="仿宋" w:cs="仿宋"/>
          <w:sz w:val="32"/>
          <w:szCs w:val="32"/>
          <w:lang w:eastAsia="zh-CN"/>
        </w:rPr>
        <w:t>。</w:t>
      </w:r>
      <w:r>
        <w:rPr>
          <w:rFonts w:hint="eastAsia" w:ascii="仿宋" w:hAnsi="仿宋" w:eastAsia="仿宋" w:cs="仿宋"/>
          <w:sz w:val="32"/>
          <w:szCs w:val="32"/>
        </w:rPr>
        <w:t>5名教师分别荣获县级教学大赛一等奖、二等奖，9名教师荣获县级“师德标兵”、“优秀教师”等荣誉称号</w:t>
      </w:r>
      <w:r>
        <w:rPr>
          <w:rFonts w:hint="eastAsia" w:ascii="仿宋" w:hAnsi="仿宋" w:eastAsia="仿宋" w:cs="仿宋"/>
          <w:sz w:val="32"/>
          <w:szCs w:val="32"/>
          <w:lang w:eastAsia="zh-CN"/>
        </w:rPr>
        <w:t>。</w:t>
      </w:r>
      <w:r>
        <w:rPr>
          <w:rFonts w:hint="eastAsia" w:ascii="仿宋" w:hAnsi="仿宋" w:eastAsia="仿宋" w:cs="仿宋"/>
          <w:sz w:val="32"/>
          <w:szCs w:val="32"/>
        </w:rPr>
        <w:t>学校荣获</w:t>
      </w:r>
      <w:r>
        <w:rPr>
          <w:rFonts w:hint="eastAsia" w:ascii="仿宋" w:hAnsi="仿宋" w:eastAsia="仿宋" w:cs="仿宋"/>
          <w:sz w:val="32"/>
          <w:szCs w:val="32"/>
          <w:lang w:val="en-US" w:eastAsia="zh-CN"/>
        </w:rPr>
        <w:t>旺苍县2023年“奋进新征程 唱响新时代”师生合唱比赛幼儿组三等奖</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文轩杯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优秀组织奖。</w:t>
      </w: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2.预算编制情况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严格按照县财政局要求，及时编制了预算方案，做到编制完整，基础信息和科目使用准确，单位编制、人员情况与供养人员横向联网系统数据相符，预算编制规范，项目名称、绩效指标、项目内容说明等符合规范并及时上报。</w:t>
      </w: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3.预算执行情况</w:t>
      </w: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预算执行中无调整预算项目情况，年度预算执行收支平衡，未实施的项目结转下年，人员支出部分按时间进度执行，无挪用人员支出。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4.预算完成结果情况</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2022年本年收入合计370.99万元，其中：一般公共预算财政拨款收入349.77万元，占94.28%；政府性基金预算财政拨款收入0万元，占0%。事业收入21.22万元，占5.72%。</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5.项目决策情况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我园在项目实施、资金管理和设备采购方面，严格审批把关制度，严禁截留和挪用项目资金。</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6.项目实施情况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（1）充分发挥好中心幼儿园的引领作用，促进片区幼儿教育事业全面发挥；</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（2）突出质量核心，全面推动教育稳步有序发展。抓管理，全面提升管理质效。抓质量，全面提升办园水平。抓教研，全面促进教育均衡。</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促进学生全面发展。学校始终坚持把德育放在首要位置，坚持德育为先、智育为重、体育为基、美育为要、劳动为本。丰富幼儿活动，结合乡土材料资源，开展自制教玩具活动，丰富幼儿户外体育活动，增强幼儿体质；</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加强教师队伍管理，注重对幼儿教师的职业道德教育，全面提高教师的思想素质，培养爱岗敬业、为人师表，为幼教事业倾注爱心的奉献精神；全面打造优秀的教师团队。开展教师教学活动“大比武”，“玩教具大比拼”，畅通教师成长渠道。</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6）安全管理，有效夯实校园安全基础。做实疫情防控。加强师生健康监测和动态排查，做实疫情常态化防控工作，有序组织轮筛入园检测工作，开展周末“返校检”、每月校园环境监测工作,切实保障师生员工身体健康和生命安全。做实安全管理。全面排查整治风险隐患，开展园区安全、学生出行安全、消防、食品、危险化学品、校园周边安全、防汛和防溺水、防校园欺凌、防性侵等重点环节安全防控专项整治行动，强化校园及周边治安综合治理，营造和谐稳定的育人环境。</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7.项目完成结果情况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2022年项目收入282.86万元，其中：学前三儿资助5.7万元，幼儿园改造250.6万元，设备购置26.56万元。</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8.绩效公开、整改情况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项目实施过程公开透明，所有的项目预算均通过多种方式对外公开，也定期不定期派人进行项目进度和实施情况进行检查，对发现的问题立即整改到位。</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9.绩效管理工作开展情况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对所有下级单位的项目进行严格把关，要求各单位年初制定项目绩效支出目标，并配合财政及熟读部门对各类项目进行专项检查，年终对项目绩效进行考核。</w:t>
      </w:r>
    </w:p>
    <w:p>
      <w:pPr>
        <w:keepNext w:val="0"/>
        <w:keepLines w:val="0"/>
        <w:pageBreakBefore w:val="0"/>
        <w:numPr>
          <w:ilvl w:val="0"/>
          <w:numId w:val="8"/>
        </w:numPr>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存在的主要问题</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1.预算管理不够精细。在预算管理过程中，需加强内设机构的协调联动，保证预算编制的合理与精细，并加强与财政部门的沟通和协调，确保预算资金的及时下达和支付。</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2.资金支付不及时，预算执行力度不够。2022年，因多方原因，项目实施进度较慢，资金审批、支付进度不够，需进一步加大执行力度。</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3.绩效目标设立不够明确、不够细化和量化。实施项目虽然设立了预算整体目标和项目资金绩效目标，但目标不够明确、不够细化和量化。</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五、整改措施及建议</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细化整体预算编制工作。加强全局的预算管理意识，严格按照预算编制的相关制度和要求进行预算编制。全面编制预算项目，优先保障固定性的、相对刚性的费用支出项目，尽量压缩变动性的、有控制空间的费用项目，提高预算编制的科学性、严谨性和可控性。</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2.强化财政预算执行的刚性。严格按照预算项目进行，不得随意调整和变更预算，确保预算的刚性。做好与财政部门的衔接协调，保障资金的投入进度，发挥预算资金的使用效益。</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3.坚持定期进行财务分析。每季度进行财务收支分析，对收支不合理现象做出预警，并及时通报。落实项目专项的报批进度和指标文的下达，加强项目实施进度跟踪，开展项目绩效评价，确保项目绩效目标完成。</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4.严格财务管理监督。按照预算规定的费用项目和用途进行资金使用审核、列报支付、财务核算；严格控制“三公”经费的规模和比例，杜绝挪用和挤占其他预算资金行为，严把“三公”经费支出审核、审批关口，细化“三公”经费的管理，合理压缩“三公”经费支出。</w:t>
      </w: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rPr>
          <w:rFonts w:hint="eastAsia" w:ascii="仿宋_GB2312" w:hAnsi="Calibri" w:eastAsia="仿宋_GB2312" w:cs="仿宋"/>
          <w:color w:val="auto"/>
          <w:kern w:val="0"/>
          <w:sz w:val="28"/>
          <w:szCs w:val="28"/>
          <w:highlight w:val="none"/>
          <w:lang w:val="en-US" w:eastAsia="zh-CN" w:bidi="ar-SA"/>
        </w:rPr>
      </w:pPr>
      <w:r>
        <w:rPr>
          <w:rFonts w:hint="eastAsia" w:ascii="仿宋_GB2312" w:hAnsi="Calibri" w:eastAsia="仿宋_GB2312" w:cs="仿宋"/>
          <w:color w:val="auto"/>
          <w:kern w:val="0"/>
          <w:sz w:val="28"/>
          <w:szCs w:val="28"/>
          <w:highlight w:val="none"/>
          <w:lang w:val="en-US" w:eastAsia="zh-CN" w:bidi="ar-SA"/>
        </w:rPr>
        <w:t>附件：旺苍县木门镇中心幼儿园2022年部门预算支出整体自评表</w:t>
      </w: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p>
      <w:pPr>
        <w:spacing w:line="480" w:lineRule="exact"/>
        <w:ind w:firstLine="640" w:firstLineChars="200"/>
        <w:rPr>
          <w:rFonts w:hint="eastAsia" w:ascii="仿宋_GB2312" w:hAnsi="Calibri" w:eastAsia="仿宋_GB2312" w:cs="仿宋"/>
          <w:color w:val="auto"/>
          <w:kern w:val="0"/>
          <w:sz w:val="32"/>
          <w:szCs w:val="32"/>
          <w:highlight w:val="none"/>
          <w:lang w:val="en-US" w:eastAsia="zh-CN" w:bidi="ar-SA"/>
        </w:rPr>
      </w:pPr>
    </w:p>
    <w:tbl>
      <w:tblPr>
        <w:tblStyle w:val="16"/>
        <w:tblpPr w:leftFromText="180" w:rightFromText="180" w:vertAnchor="text" w:horzAnchor="page" w:tblpX="1524" w:tblpY="357"/>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222"/>
        <w:gridCol w:w="524"/>
        <w:gridCol w:w="202"/>
        <w:gridCol w:w="562"/>
        <w:gridCol w:w="856"/>
        <w:gridCol w:w="750"/>
        <w:gridCol w:w="795"/>
        <w:gridCol w:w="712"/>
        <w:gridCol w:w="53"/>
        <w:gridCol w:w="955"/>
        <w:gridCol w:w="224"/>
        <w:gridCol w:w="656"/>
        <w:gridCol w:w="778"/>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2"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p>
        </w:tc>
        <w:tc>
          <w:tcPr>
            <w:tcW w:w="774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旺苍县木门镇中心幼儿园整体支出绩效目标自评表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2"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p>
        </w:tc>
        <w:tc>
          <w:tcPr>
            <w:tcW w:w="774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单位名称</w:t>
            </w:r>
          </w:p>
        </w:tc>
        <w:tc>
          <w:tcPr>
            <w:tcW w:w="55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旺苍县木门镇中心幼儿园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2" w:hRule="atLeast"/>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年度</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主要</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任务</w:t>
            </w:r>
          </w:p>
        </w:tc>
        <w:tc>
          <w:tcPr>
            <w:tcW w:w="9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任务名称</w:t>
            </w:r>
          </w:p>
        </w:tc>
        <w:tc>
          <w:tcPr>
            <w:tcW w:w="14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主要内容</w:t>
            </w:r>
          </w:p>
        </w:tc>
        <w:tc>
          <w:tcPr>
            <w:tcW w:w="2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预算金额（万元）</w:t>
            </w:r>
          </w:p>
        </w:tc>
        <w:tc>
          <w:tcPr>
            <w:tcW w:w="2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实际执行金额（万元）</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2"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财政拨款</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其他资金</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总额</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财政拨款</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其他资金</w:t>
            </w: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学生资助补助经费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落实学前教育助学金、完成对建档立卡家庭经济特别贫困学生的资助。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5.7</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5.7</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Calibri" w:eastAsia="仿宋_GB2312" w:cs="仿宋"/>
                <w:color w:val="auto"/>
                <w:kern w:val="0"/>
                <w:sz w:val="21"/>
                <w:szCs w:val="21"/>
                <w:highlight w:val="none"/>
                <w:lang w:val="en-US" w:eastAsia="zh-CN" w:bidi="ar-SA"/>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Calibri" w:eastAsia="仿宋_GB2312" w:cs="仿宋"/>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478"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支持学前教育发展资金</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1保障农村边远村学前教育普及与发展。</w:t>
            </w:r>
          </w:p>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2保障公办幼儿园正常运转。</w:t>
            </w:r>
          </w:p>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3实施学前教育办学行为规范化评估达标计划。</w:t>
            </w:r>
          </w:p>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4进一步实施学前教育办学条件改善计划。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21.22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21.22</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21.22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Calibri" w:eastAsia="仿宋_GB2312" w:cs="仿宋"/>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80"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城乡学前教育补助经费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保障学前教育阶段学校正常运转，保障家庭经济贫困学生顺利完成学业、改善学校办学条件、促进教育公平。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16.68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16.68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16.68</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16.68</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Calibri" w:eastAsia="仿宋_GB2312" w:cs="仿宋"/>
                <w:color w:val="auto"/>
                <w:kern w:val="0"/>
                <w:sz w:val="21"/>
                <w:szCs w:val="21"/>
                <w:highlight w:val="none"/>
                <w:lang w:val="en-US" w:eastAsia="zh-CN" w:bidi="ar-SA"/>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Calibri" w:eastAsia="仿宋_GB2312" w:cs="仿宋"/>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60"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改善办学条件</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改善学前教育条件，提高学前教育办学水平。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277.16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277.16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277.16</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277.16</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Calibri" w:eastAsia="仿宋_GB2312" w:cs="仿宋"/>
                <w:color w:val="auto"/>
                <w:kern w:val="0"/>
                <w:sz w:val="21"/>
                <w:szCs w:val="21"/>
                <w:highlight w:val="none"/>
                <w:lang w:val="en-US" w:eastAsia="zh-CN" w:bidi="ar-SA"/>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Calibri" w:eastAsia="仿宋_GB2312" w:cs="仿宋"/>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40"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学前教育公用经费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1落实学前教育发展。</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2保证学前教育幼儿教育日常运行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50.23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50.23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50.23</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50.23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Calibri" w:eastAsia="仿宋_GB2312" w:cs="仿宋"/>
                <w:color w:val="auto"/>
                <w:kern w:val="0"/>
                <w:sz w:val="21"/>
                <w:szCs w:val="21"/>
                <w:highlight w:val="none"/>
                <w:lang w:val="en-US" w:eastAsia="zh-CN" w:bidi="ar-SA"/>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Calibri" w:eastAsia="仿宋_GB2312" w:cs="仿宋"/>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2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金额合计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370.99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349.77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21.22</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370.99</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349.77</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21.22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Calibri" w:eastAsia="仿宋_GB2312" w:cs="仿宋"/>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85" w:hRule="atLeast"/>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年度</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总体</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目标</w:t>
            </w:r>
          </w:p>
        </w:tc>
        <w:tc>
          <w:tcPr>
            <w:tcW w:w="2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预期目标</w:t>
            </w:r>
          </w:p>
        </w:tc>
        <w:tc>
          <w:tcPr>
            <w:tcW w:w="55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081"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236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1、学前教育阶段：学前教育发展项目计划。三儿资助资金全面落实，及时发放到位。公办幼儿公用经费落实到位，保证幼儿教育工作顺利进行。</w:t>
            </w:r>
          </w:p>
        </w:tc>
        <w:tc>
          <w:tcPr>
            <w:tcW w:w="559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1、学前教育阶段：有效促进学前教育发展。三儿资助资金全面落实，及时发放到位。公办幼儿公用经费落实到位，保证幼儿教育工作顺利进行。</w:t>
            </w:r>
          </w:p>
          <w:p>
            <w:pPr>
              <w:keepNext w:val="0"/>
              <w:keepLines w:val="0"/>
              <w:widowControl/>
              <w:suppressLineNumbers w:val="0"/>
              <w:jc w:val="left"/>
              <w:textAlignment w:val="top"/>
              <w:rPr>
                <w:rFonts w:hint="eastAsia" w:ascii="仿宋_GB2312" w:hAnsi="Calibri" w:eastAsia="仿宋_GB2312" w:cs="仿宋"/>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年</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度</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绩</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效</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指</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标</w:t>
            </w:r>
          </w:p>
        </w:tc>
        <w:tc>
          <w:tcPr>
            <w:tcW w:w="74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一级指标</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二级指标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三级指标</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预期指标值</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完成指标</w:t>
            </w:r>
          </w:p>
        </w:tc>
        <w:tc>
          <w:tcPr>
            <w:tcW w:w="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数量指标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改善学前教育办学条件，提高学前教育办学水平。</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277.16万元</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277.16万元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资助在校幼儿及学前教育办公经费，支持学前教育发展</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5.7</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促进薄弱学校发展，改变公办幼儿园薄弱环节，提升办学条件和能力。</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277.16</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277.16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公办幼儿园公用经费</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50.23万元</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50.23万元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质量指标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保障公办幼儿园日常正常运行</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公办幼儿园日常正常运行</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保障公办幼儿园正常运转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资助学前教育家庭经济困难幼儿就读</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完成目标100%</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完成目标100%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建档立卡贫困学生补助</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完成目标100%</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完成目标100%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部门总体完成时间</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2022年12月31日前</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2022年12月31日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时效指标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保障教育事业有序、顺利发展</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按实际发生为准</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按实际发生为准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成本指标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财政投入</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370.99万元</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370.99万元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效益指标</w:t>
            </w:r>
          </w:p>
        </w:tc>
        <w:tc>
          <w:tcPr>
            <w:tcW w:w="76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经济效益</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减轻贫困家庭经济负担</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减轻贫困家庭经济负担，维护社会稳定，构建教育公平</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减轻贫困家庭经济负担，维护社会稳定，构建教育公平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6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社会效益</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推动教育事业发展</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提高全县教育质量，促进学生素质提升</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提高全县教育质量，促进学生素质提升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Calibri" w:eastAsia="仿宋_GB2312" w:cs="仿宋"/>
                <w:color w:val="auto"/>
                <w:kern w:val="0"/>
                <w:sz w:val="21"/>
                <w:szCs w:val="21"/>
                <w:highlight w:val="none"/>
                <w:lang w:val="en-US" w:eastAsia="zh-CN" w:bidi="ar-SA"/>
              </w:rPr>
            </w:pPr>
          </w:p>
        </w:tc>
        <w:tc>
          <w:tcPr>
            <w:tcW w:w="74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满意度</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指标</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服务对象</w:t>
            </w:r>
          </w:p>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满意度指标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群众和社会满意度</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≥95%</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Calibri" w:eastAsia="仿宋_GB2312" w:cs="仿宋"/>
                <w:color w:val="auto"/>
                <w:kern w:val="0"/>
                <w:sz w:val="21"/>
                <w:szCs w:val="21"/>
                <w:highlight w:val="none"/>
                <w:lang w:val="en-US" w:eastAsia="zh-CN" w:bidi="ar-SA"/>
              </w:rPr>
            </w:pPr>
            <w:r>
              <w:rPr>
                <w:rFonts w:hint="eastAsia" w:ascii="仿宋_GB2312" w:hAnsi="Calibri" w:eastAsia="仿宋_GB2312" w:cs="仿宋"/>
                <w:color w:val="auto"/>
                <w:kern w:val="0"/>
                <w:sz w:val="21"/>
                <w:szCs w:val="21"/>
                <w:highlight w:val="none"/>
                <w:lang w:val="en-US" w:eastAsia="zh-CN" w:bidi="ar-SA"/>
              </w:rPr>
              <w:t>≥95%</w:t>
            </w:r>
          </w:p>
        </w:tc>
      </w:tr>
    </w:tbl>
    <w:p>
      <w:pPr>
        <w:spacing w:line="480" w:lineRule="exact"/>
        <w:ind w:firstLine="420" w:firstLineChars="200"/>
        <w:rPr>
          <w:rFonts w:hint="eastAsia" w:ascii="仿宋_GB2312" w:hAnsi="仿宋_GB2312" w:cs="仿宋_GB2312"/>
          <w:color w:val="000000"/>
          <w:kern w:val="0"/>
          <w:szCs w:val="32"/>
        </w:rPr>
      </w:pPr>
    </w:p>
    <w:p>
      <w:pPr>
        <w:spacing w:line="480" w:lineRule="exact"/>
        <w:ind w:firstLine="420" w:firstLineChars="200"/>
        <w:rPr>
          <w:rFonts w:hint="eastAsia" w:ascii="仿宋_GB2312" w:hAnsi="仿宋_GB2312" w:cs="仿宋_GB2312"/>
          <w:color w:val="000000"/>
          <w:kern w:val="0"/>
          <w:szCs w:val="32"/>
        </w:rPr>
      </w:pPr>
    </w:p>
    <w:p>
      <w:pPr>
        <w:pStyle w:val="5"/>
        <w:rPr>
          <w:rFonts w:hint="eastAsia"/>
          <w:lang w:val="zh-CN"/>
        </w:rPr>
      </w:pPr>
    </w:p>
    <w:p>
      <w:pPr>
        <w:spacing w:line="600" w:lineRule="exact"/>
        <w:jc w:val="center"/>
        <w:outlineLvl w:val="0"/>
        <w:rPr>
          <w:rFonts w:hint="eastAsia" w:ascii="黑体" w:hAnsi="黑体" w:eastAsia="黑体"/>
          <w:color w:val="auto"/>
          <w:sz w:val="44"/>
          <w:szCs w:val="44"/>
          <w:highlight w:val="none"/>
        </w:rPr>
      </w:pPr>
      <w:bookmarkStart w:id="53"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bookmarkEnd w:id="52"/>
    <w:bookmarkEnd w:id="53"/>
    <w:p>
      <w:pPr>
        <w:spacing w:line="600" w:lineRule="exact"/>
        <w:jc w:val="center"/>
        <w:outlineLvl w:val="0"/>
        <w:rPr>
          <w:rStyle w:val="29"/>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Start w:id="54" w:name="_Toc15396619"/>
    </w:p>
    <w:p>
      <w:pPr>
        <w:spacing w:line="600" w:lineRule="exact"/>
        <w:jc w:val="both"/>
        <w:outlineLvl w:val="0"/>
        <w:rPr>
          <w:rStyle w:val="30"/>
          <w:rFonts w:hint="eastAsia" w:ascii="仿宋" w:hAnsi="仿宋" w:eastAsia="仿宋"/>
          <w:b w:val="0"/>
          <w:bCs w:val="0"/>
          <w:color w:val="auto"/>
          <w:highlight w:val="none"/>
        </w:rPr>
      </w:pPr>
      <w:r>
        <w:rPr>
          <w:rStyle w:val="30"/>
          <w:rFonts w:hint="eastAsia" w:ascii="仿宋" w:hAnsi="仿宋" w:eastAsia="仿宋"/>
          <w:b w:val="0"/>
          <w:bCs w:val="0"/>
          <w:color w:val="auto"/>
          <w:highlight w:val="none"/>
        </w:rPr>
        <w:t>一、收入支出决算总表</w:t>
      </w:r>
      <w:bookmarkEnd w:id="54"/>
    </w:p>
    <w:p>
      <w:pPr>
        <w:spacing w:line="600" w:lineRule="exact"/>
        <w:jc w:val="both"/>
        <w:outlineLvl w:val="0"/>
        <w:rPr>
          <w:rStyle w:val="30"/>
          <w:rFonts w:hint="eastAsia" w:ascii="仿宋" w:hAnsi="仿宋" w:eastAsia="仿宋"/>
          <w:b w:val="0"/>
          <w:bCs w:val="0"/>
          <w:color w:val="auto"/>
          <w:highlight w:val="none"/>
        </w:rPr>
      </w:pPr>
      <w:bookmarkStart w:id="55" w:name="_Toc15396620"/>
      <w:r>
        <w:rPr>
          <w:rStyle w:val="30"/>
          <w:rFonts w:hint="eastAsia" w:ascii="仿宋" w:hAnsi="仿宋" w:eastAsia="仿宋"/>
          <w:b w:val="0"/>
          <w:bCs w:val="0"/>
          <w:color w:val="auto"/>
          <w:highlight w:val="none"/>
        </w:rPr>
        <w:t>二、收入决算表</w:t>
      </w:r>
      <w:bookmarkEnd w:id="55"/>
    </w:p>
    <w:p>
      <w:pPr>
        <w:pStyle w:val="3"/>
        <w:rPr>
          <w:rFonts w:ascii="仿宋" w:hAnsi="仿宋" w:eastAsia="仿宋"/>
          <w:color w:val="auto"/>
          <w:highlight w:val="none"/>
        </w:rPr>
      </w:pPr>
      <w:bookmarkStart w:id="56"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56"/>
    </w:p>
    <w:p>
      <w:pPr>
        <w:pStyle w:val="3"/>
        <w:rPr>
          <w:rFonts w:ascii="仿宋" w:hAnsi="仿宋" w:eastAsia="仿宋"/>
          <w:b w:val="0"/>
          <w:color w:val="auto"/>
          <w:highlight w:val="none"/>
        </w:rPr>
      </w:pPr>
      <w:bookmarkStart w:id="57"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57"/>
    </w:p>
    <w:p>
      <w:pPr>
        <w:pStyle w:val="3"/>
        <w:rPr>
          <w:rStyle w:val="30"/>
          <w:rFonts w:ascii="仿宋" w:hAnsi="仿宋" w:eastAsia="仿宋"/>
          <w:b w:val="0"/>
          <w:bCs w:val="0"/>
          <w:color w:val="auto"/>
          <w:highlight w:val="none"/>
        </w:rPr>
      </w:pPr>
      <w:bookmarkStart w:id="58"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58"/>
      <w:bookmarkStart w:id="59" w:name="_Toc15396624"/>
    </w:p>
    <w:p>
      <w:pPr>
        <w:pStyle w:val="3"/>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59"/>
    </w:p>
    <w:p>
      <w:pPr>
        <w:pStyle w:val="3"/>
        <w:rPr>
          <w:rFonts w:ascii="仿宋" w:hAnsi="仿宋" w:eastAsia="仿宋"/>
          <w:color w:val="auto"/>
          <w:highlight w:val="none"/>
        </w:rPr>
      </w:pPr>
      <w:bookmarkStart w:id="60"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60"/>
    </w:p>
    <w:p>
      <w:pPr>
        <w:pStyle w:val="3"/>
        <w:rPr>
          <w:rFonts w:ascii="仿宋" w:hAnsi="仿宋" w:eastAsia="仿宋"/>
          <w:color w:val="auto"/>
          <w:highlight w:val="none"/>
        </w:rPr>
      </w:pPr>
      <w:bookmarkStart w:id="61"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61"/>
    </w:p>
    <w:p>
      <w:pPr>
        <w:pStyle w:val="3"/>
        <w:rPr>
          <w:rFonts w:ascii="仿宋" w:hAnsi="仿宋" w:eastAsia="仿宋"/>
          <w:color w:val="auto"/>
          <w:highlight w:val="none"/>
        </w:rPr>
      </w:pPr>
      <w:bookmarkStart w:id="62"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62"/>
    </w:p>
    <w:p>
      <w:pPr>
        <w:pStyle w:val="3"/>
        <w:rPr>
          <w:rFonts w:ascii="仿宋" w:hAnsi="仿宋" w:eastAsia="仿宋"/>
          <w:color w:val="auto"/>
          <w:highlight w:val="none"/>
        </w:rPr>
      </w:pPr>
      <w:bookmarkStart w:id="63" w:name="_Toc15396628"/>
      <w:r>
        <w:rPr>
          <w:rStyle w:val="30"/>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pPr>
        <w:pStyle w:val="3"/>
        <w:rPr>
          <w:rFonts w:ascii="仿宋" w:hAnsi="仿宋" w:eastAsia="仿宋"/>
          <w:color w:val="auto"/>
          <w:highlight w:val="none"/>
        </w:rPr>
      </w:pPr>
      <w:bookmarkStart w:id="64" w:name="_Toc15396629"/>
      <w:r>
        <w:rPr>
          <w:rStyle w:val="30"/>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pPr>
        <w:pStyle w:val="3"/>
        <w:rPr>
          <w:rFonts w:ascii="仿宋" w:hAnsi="仿宋" w:eastAsia="仿宋"/>
          <w:color w:val="auto"/>
          <w:highlight w:val="none"/>
        </w:rPr>
      </w:pPr>
      <w:bookmarkStart w:id="65" w:name="_Toc15396630"/>
      <w:r>
        <w:rPr>
          <w:rStyle w:val="30"/>
          <w:rFonts w:hint="eastAsia" w:ascii="仿宋" w:hAnsi="仿宋" w:eastAsia="仿宋"/>
          <w:b w:val="0"/>
          <w:bCs w:val="0"/>
          <w:color w:val="auto"/>
          <w:highlight w:val="none"/>
        </w:rPr>
        <w:t>十二、</w:t>
      </w:r>
      <w:bookmarkEnd w:id="65"/>
      <w:r>
        <w:rPr>
          <w:rStyle w:val="30"/>
          <w:rFonts w:hint="eastAsia" w:ascii="仿宋" w:hAnsi="仿宋" w:eastAsia="仿宋"/>
          <w:b w:val="0"/>
          <w:bCs w:val="0"/>
          <w:color w:val="auto"/>
          <w:highlight w:val="none"/>
          <w:lang w:eastAsia="zh-CN"/>
        </w:rPr>
        <w:t>国有资本经营预算财政拨款支出决算表</w:t>
      </w:r>
    </w:p>
    <w:p>
      <w:pPr>
        <w:pStyle w:val="3"/>
        <w:rPr>
          <w:rFonts w:hint="eastAsia" w:eastAsia="仿宋"/>
          <w:color w:val="auto"/>
          <w:highlight w:val="none"/>
          <w:lang w:eastAsia="zh-CN"/>
        </w:rPr>
      </w:pPr>
      <w:bookmarkStart w:id="66" w:name="_Toc15396631"/>
      <w:r>
        <w:rPr>
          <w:rStyle w:val="30"/>
          <w:rFonts w:hint="eastAsia" w:ascii="仿宋" w:hAnsi="仿宋" w:eastAsia="仿宋"/>
          <w:b w:val="0"/>
          <w:bCs w:val="0"/>
          <w:color w:val="auto"/>
          <w:highlight w:val="none"/>
        </w:rPr>
        <w:t>十三、</w:t>
      </w:r>
      <w:bookmarkEnd w:id="66"/>
      <w:r>
        <w:rPr>
          <w:rStyle w:val="30"/>
          <w:rFonts w:hint="eastAsia" w:ascii="仿宋" w:hAnsi="仿宋" w:eastAsia="仿宋"/>
          <w:b w:val="0"/>
          <w:bCs w:val="0"/>
          <w:color w:val="auto"/>
          <w:highlight w:val="none"/>
          <w:lang w:eastAsia="zh-CN"/>
        </w:rPr>
        <w:t>财政拨款“三公”经费支出决算表</w:t>
      </w:r>
    </w:p>
    <w:p>
      <w:pPr>
        <w:pStyle w:val="3"/>
        <w:rPr>
          <w:rFonts w:hint="eastAsia" w:eastAsia="仿宋"/>
          <w:color w:val="auto"/>
          <w:highlight w:val="none"/>
          <w:lang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003E93-C3B2-4693-B736-6369628BD1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40EDEF-53C3-4A97-B3A7-4DC98B2A1C29}"/>
  </w:font>
  <w:font w:name="Cambria">
    <w:panose1 w:val="02040503050406030204"/>
    <w:charset w:val="00"/>
    <w:family w:val="roman"/>
    <w:pitch w:val="default"/>
    <w:sig w:usb0="E00006FF" w:usb1="420024FF" w:usb2="02000000" w:usb3="00000000" w:csb0="2000019F" w:csb1="00000000"/>
    <w:embedRegular r:id="rId3" w:fontKey="{80C6E183-BAF6-4084-8308-004280D02336}"/>
  </w:font>
  <w:font w:name="仿宋_GB2312">
    <w:altName w:val="仿宋"/>
    <w:panose1 w:val="02010609030101010101"/>
    <w:charset w:val="86"/>
    <w:family w:val="modern"/>
    <w:pitch w:val="default"/>
    <w:sig w:usb0="00000000" w:usb1="00000000" w:usb2="00000000" w:usb3="00000000" w:csb0="00040000" w:csb1="00000000"/>
    <w:embedRegular r:id="rId4" w:fontKey="{5223A107-2C91-4850-8F3E-7922AA411DF4}"/>
  </w:font>
  <w:font w:name="仿宋">
    <w:panose1 w:val="02010609060101010101"/>
    <w:charset w:val="86"/>
    <w:family w:val="modern"/>
    <w:pitch w:val="default"/>
    <w:sig w:usb0="800002BF" w:usb1="38CF7CFA" w:usb2="00000016" w:usb3="00000000" w:csb0="00040001" w:csb1="00000000"/>
    <w:embedRegular r:id="rId5" w:fontKey="{A51CD662-668A-4E1F-B5CC-3516648C9DE6}"/>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435D334A-078A-4853-9783-199ED90A498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EF93C"/>
    <w:multiLevelType w:val="singleLevel"/>
    <w:tmpl w:val="AD5EF93C"/>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5351657"/>
    <w:multiLevelType w:val="singleLevel"/>
    <w:tmpl w:val="25351657"/>
    <w:lvl w:ilvl="0" w:tentative="0">
      <w:start w:val="1"/>
      <w:numFmt w:val="chineseCounting"/>
      <w:suff w:val="nothing"/>
      <w:lvlText w:val="%1、"/>
      <w:lvlJc w:val="left"/>
      <w:rPr>
        <w:rFonts w:hint="eastAsia"/>
      </w:rPr>
    </w:lvl>
  </w:abstractNum>
  <w:abstractNum w:abstractNumId="6">
    <w:nsid w:val="348525D7"/>
    <w:multiLevelType w:val="singleLevel"/>
    <w:tmpl w:val="348525D7"/>
    <w:lvl w:ilvl="0" w:tentative="0">
      <w:start w:val="1"/>
      <w:numFmt w:val="decimal"/>
      <w:lvlText w:val="%1."/>
      <w:lvlJc w:val="left"/>
      <w:pPr>
        <w:tabs>
          <w:tab w:val="left" w:pos="312"/>
        </w:tabs>
      </w:pPr>
    </w:lvl>
  </w:abstractNum>
  <w:abstractNum w:abstractNumId="7">
    <w:nsid w:val="7EB6D14B"/>
    <w:multiLevelType w:val="singleLevel"/>
    <w:tmpl w:val="7EB6D14B"/>
    <w:lvl w:ilvl="0" w:tentative="0">
      <w:start w:val="4"/>
      <w:numFmt w:val="chineseCounting"/>
      <w:suff w:val="nothing"/>
      <w:lvlText w:val="%1、"/>
      <w:lvlJc w:val="left"/>
      <w:rPr>
        <w:rFonts w:hint="eastAsia"/>
      </w:rPr>
    </w:lvl>
  </w:abstractNum>
  <w:num w:numId="1">
    <w:abstractNumId w:val="5"/>
  </w:num>
  <w:num w:numId="2">
    <w:abstractNumId w:val="4"/>
  </w:num>
  <w:num w:numId="3">
    <w:abstractNumId w:val="6"/>
  </w:num>
  <w:num w:numId="4">
    <w:abstractNumId w:val="0"/>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NzY2NTIzZTdmOTk0MjY4MzdhMGYwMTYxN2M5MT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4D2E"/>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235E"/>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16058"/>
    <w:rsid w:val="015975B8"/>
    <w:rsid w:val="02143E91"/>
    <w:rsid w:val="02CD5A6F"/>
    <w:rsid w:val="03627D83"/>
    <w:rsid w:val="03CC2796"/>
    <w:rsid w:val="045A1585"/>
    <w:rsid w:val="055B2854"/>
    <w:rsid w:val="066E0107"/>
    <w:rsid w:val="070954E4"/>
    <w:rsid w:val="07996F6E"/>
    <w:rsid w:val="09505E14"/>
    <w:rsid w:val="0A2032A3"/>
    <w:rsid w:val="0B892750"/>
    <w:rsid w:val="0BC83278"/>
    <w:rsid w:val="0E927B6D"/>
    <w:rsid w:val="0F98263C"/>
    <w:rsid w:val="101860EC"/>
    <w:rsid w:val="10C055FF"/>
    <w:rsid w:val="118107EC"/>
    <w:rsid w:val="13924484"/>
    <w:rsid w:val="13BD37AB"/>
    <w:rsid w:val="13D50BC4"/>
    <w:rsid w:val="1461426A"/>
    <w:rsid w:val="14BA077D"/>
    <w:rsid w:val="16B30452"/>
    <w:rsid w:val="16BB723D"/>
    <w:rsid w:val="170A3458"/>
    <w:rsid w:val="18E92A80"/>
    <w:rsid w:val="19833D7D"/>
    <w:rsid w:val="1BE8440E"/>
    <w:rsid w:val="1CD1319D"/>
    <w:rsid w:val="1D155CEE"/>
    <w:rsid w:val="1FF35744"/>
    <w:rsid w:val="1FF610ED"/>
    <w:rsid w:val="21301F25"/>
    <w:rsid w:val="23860B96"/>
    <w:rsid w:val="240371BF"/>
    <w:rsid w:val="249B7324"/>
    <w:rsid w:val="253838A0"/>
    <w:rsid w:val="27AC1848"/>
    <w:rsid w:val="27D52B4D"/>
    <w:rsid w:val="298E38FB"/>
    <w:rsid w:val="29FD04D3"/>
    <w:rsid w:val="2AB33340"/>
    <w:rsid w:val="2B361B54"/>
    <w:rsid w:val="2C8A61B5"/>
    <w:rsid w:val="2D923ABE"/>
    <w:rsid w:val="2DF04E50"/>
    <w:rsid w:val="2DF31F7F"/>
    <w:rsid w:val="2F040D46"/>
    <w:rsid w:val="2F1E74CF"/>
    <w:rsid w:val="2F860BD0"/>
    <w:rsid w:val="30883B37"/>
    <w:rsid w:val="319F7F4E"/>
    <w:rsid w:val="32694FCA"/>
    <w:rsid w:val="32A001FB"/>
    <w:rsid w:val="3304709D"/>
    <w:rsid w:val="335C338E"/>
    <w:rsid w:val="340B246C"/>
    <w:rsid w:val="35460D99"/>
    <w:rsid w:val="357708D1"/>
    <w:rsid w:val="364F7F6E"/>
    <w:rsid w:val="36AA5135"/>
    <w:rsid w:val="376D39B2"/>
    <w:rsid w:val="37E16F03"/>
    <w:rsid w:val="384460D3"/>
    <w:rsid w:val="38D469F0"/>
    <w:rsid w:val="3D190A94"/>
    <w:rsid w:val="3D98207C"/>
    <w:rsid w:val="3E78745D"/>
    <w:rsid w:val="3F466F2B"/>
    <w:rsid w:val="412C1CD5"/>
    <w:rsid w:val="44E268DA"/>
    <w:rsid w:val="45700D32"/>
    <w:rsid w:val="47C63E08"/>
    <w:rsid w:val="48E46C3C"/>
    <w:rsid w:val="4A1E7F2C"/>
    <w:rsid w:val="4A627F82"/>
    <w:rsid w:val="4AF105B8"/>
    <w:rsid w:val="4B0E749A"/>
    <w:rsid w:val="4B4F25DA"/>
    <w:rsid w:val="4B8D776B"/>
    <w:rsid w:val="4BE068DB"/>
    <w:rsid w:val="4D577224"/>
    <w:rsid w:val="4EAB630A"/>
    <w:rsid w:val="4ECE2238"/>
    <w:rsid w:val="4EE574FA"/>
    <w:rsid w:val="4F196F13"/>
    <w:rsid w:val="51C62616"/>
    <w:rsid w:val="534E1882"/>
    <w:rsid w:val="537E6D0A"/>
    <w:rsid w:val="53B37937"/>
    <w:rsid w:val="561E37E7"/>
    <w:rsid w:val="5AD67C6D"/>
    <w:rsid w:val="5AF92295"/>
    <w:rsid w:val="5B835E40"/>
    <w:rsid w:val="5BB85E51"/>
    <w:rsid w:val="5BE70AC5"/>
    <w:rsid w:val="5C0D04A9"/>
    <w:rsid w:val="5C1B7876"/>
    <w:rsid w:val="5CD71FC4"/>
    <w:rsid w:val="5F1B6ED8"/>
    <w:rsid w:val="5F697D28"/>
    <w:rsid w:val="622A170C"/>
    <w:rsid w:val="623E78F9"/>
    <w:rsid w:val="65FF6A0B"/>
    <w:rsid w:val="6B0B7C00"/>
    <w:rsid w:val="6B9A16B0"/>
    <w:rsid w:val="6C4A05C8"/>
    <w:rsid w:val="6DD644F6"/>
    <w:rsid w:val="6E172170"/>
    <w:rsid w:val="6E7E3605"/>
    <w:rsid w:val="6EAD16FA"/>
    <w:rsid w:val="6FF5CC65"/>
    <w:rsid w:val="715C0E4B"/>
    <w:rsid w:val="72063C76"/>
    <w:rsid w:val="72734D90"/>
    <w:rsid w:val="73AD73D5"/>
    <w:rsid w:val="73B6EB34"/>
    <w:rsid w:val="74051691"/>
    <w:rsid w:val="744731E5"/>
    <w:rsid w:val="75294C62"/>
    <w:rsid w:val="75864A53"/>
    <w:rsid w:val="76E3355F"/>
    <w:rsid w:val="778769C8"/>
    <w:rsid w:val="77C52CF4"/>
    <w:rsid w:val="79EE5BA4"/>
    <w:rsid w:val="7A363992"/>
    <w:rsid w:val="7A5504B7"/>
    <w:rsid w:val="7A894339"/>
    <w:rsid w:val="7C700757"/>
    <w:rsid w:val="7D586CD5"/>
    <w:rsid w:val="7E21356B"/>
    <w:rsid w:val="7EEF11D3"/>
    <w:rsid w:val="7F932247"/>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8"/>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21"/>
    <w:basedOn w:val="17"/>
    <w:qFormat/>
    <w:uiPriority w:val="0"/>
    <w:rPr>
      <w:rFonts w:hint="eastAsia" w:ascii="宋体" w:hAnsi="宋体" w:eastAsia="宋体" w:cs="宋体"/>
      <w:color w:val="000000"/>
      <w:sz w:val="24"/>
      <w:szCs w:val="24"/>
      <w:u w:val="none"/>
    </w:rPr>
  </w:style>
  <w:style w:type="paragraph" w:customStyle="1" w:styleId="37">
    <w:name w:val="题目"/>
    <w:basedOn w:val="12"/>
    <w:qFormat/>
    <w:uiPriority w:val="0"/>
    <w:pPr>
      <w:spacing w:line="570" w:lineRule="exact"/>
      <w:ind w:left="320" w:leftChars="100" w:right="320" w:rightChars="100" w:firstLine="0" w:firstLineChars="0"/>
      <w:jc w:val="center"/>
    </w:pPr>
    <w:rPr>
      <w:rFonts w:ascii="方正小标宋简体" w:hAnsi="方正小标宋简体" w:eastAsia="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106;&#33485;&#23398;&#29983;&#22902;&#27424;&#2745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106;&#33485;&#23398;&#29983;&#22902;&#27424;&#27454;.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19996;&#20961;&#20013;&#23398;&#22522;&#26412;&#25143;.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106;&#33485;&#23398;&#29983;&#22902;&#27424;&#27454;.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106;&#33485;&#23398;&#29983;&#22902;&#27424;&#2745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2022年较2021年收、支结构图    单位：万元</a:t>
            </a:r>
          </a:p>
        </c:rich>
      </c:tx>
      <c:layout>
        <c:manualLayout>
          <c:xMode val="edge"/>
          <c:yMode val="edge"/>
          <c:x val="0.217587712693871"/>
          <c:y val="0.0296948734448735"/>
        </c:manualLayout>
      </c:layout>
      <c:overlay val="0"/>
      <c:spPr>
        <a:noFill/>
        <a:ln>
          <a:noFill/>
        </a:ln>
        <a:effectLst/>
      </c:spPr>
    </c:title>
    <c:autoTitleDeleted val="0"/>
    <c:plotArea>
      <c:layout>
        <c:manualLayout>
          <c:layoutTarget val="inner"/>
          <c:xMode val="edge"/>
          <c:yMode val="edge"/>
          <c:x val="0.066921052631579"/>
          <c:y val="0.173611111111111"/>
          <c:w val="0.900184210526316"/>
          <c:h val="0.606111111111111"/>
        </c:manualLayout>
      </c:layout>
      <c:barChart>
        <c:barDir val="col"/>
        <c:grouping val="clustered"/>
        <c:varyColors val="0"/>
        <c:ser>
          <c:idx val="0"/>
          <c:order val="0"/>
          <c:tx>
            <c:strRef>
              <c:f>[旺苍学生奶欠款.xls]图1!$A$10</c:f>
              <c:strCache>
                <c:ptCount val="1"/>
                <c:pt idx="0">
                  <c:v>2022年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elete val="1"/>
          </c:dLbls>
          <c:cat>
            <c:strRef>
              <c:f>[旺苍学生奶欠款.xls]图1!$B$9:$C$9</c:f>
              <c:strCache>
                <c:ptCount val="2"/>
                <c:pt idx="0">
                  <c:v>收入</c:v>
                </c:pt>
                <c:pt idx="1">
                  <c:v>支出</c:v>
                </c:pt>
              </c:strCache>
            </c:strRef>
          </c:cat>
          <c:val>
            <c:numRef>
              <c:f>[旺苍学生奶欠款.xls]图1!$B$10:$C$10</c:f>
              <c:numCache>
                <c:formatCode>General</c:formatCode>
                <c:ptCount val="2"/>
                <c:pt idx="0">
                  <c:v>349.77</c:v>
                </c:pt>
                <c:pt idx="1">
                  <c:v>349.77</c:v>
                </c:pt>
              </c:numCache>
            </c:numRef>
          </c:val>
        </c:ser>
        <c:ser>
          <c:idx val="1"/>
          <c:order val="1"/>
          <c:tx>
            <c:strRef>
              <c:f>[旺苍学生奶欠款.xls]图1!$A$11</c:f>
              <c:strCache>
                <c:ptCount val="1"/>
                <c:pt idx="0">
                  <c:v>2021年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elete val="1"/>
          </c:dLbls>
          <c:cat>
            <c:strRef>
              <c:f>[旺苍学生奶欠款.xls]图1!$B$9:$C$9</c:f>
              <c:strCache>
                <c:ptCount val="2"/>
                <c:pt idx="0">
                  <c:v>收入</c:v>
                </c:pt>
                <c:pt idx="1">
                  <c:v>支出</c:v>
                </c:pt>
              </c:strCache>
            </c:strRef>
          </c:cat>
          <c:val>
            <c:numRef>
              <c:f>[旺苍学生奶欠款.xls]图1!$B$11:$C$11</c:f>
              <c:numCache>
                <c:formatCode>General</c:formatCode>
                <c:ptCount val="2"/>
                <c:pt idx="0">
                  <c:v>0</c:v>
                </c:pt>
                <c:pt idx="1">
                  <c:v>0</c:v>
                </c:pt>
              </c:numCache>
            </c:numRef>
          </c:val>
        </c:ser>
        <c:dLbls>
          <c:showLegendKey val="0"/>
          <c:showVal val="0"/>
          <c:showCatName val="0"/>
          <c:showSerName val="0"/>
          <c:showPercent val="0"/>
          <c:showBubbleSize val="0"/>
        </c:dLbls>
        <c:gapWidth val="246"/>
        <c:overlap val="-28"/>
        <c:axId val="794331324"/>
        <c:axId val="649515106"/>
      </c:barChart>
      <c:catAx>
        <c:axId val="7943313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515106"/>
        <c:crosses val="autoZero"/>
        <c:auto val="1"/>
        <c:lblAlgn val="ctr"/>
        <c:lblOffset val="100"/>
        <c:noMultiLvlLbl val="0"/>
      </c:catAx>
      <c:valAx>
        <c:axId val="64951510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43313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cene3d>
              <a:camera prst="orthographicFront"/>
              <a:lightRig rig="threePt" dir="t"/>
            </a:scene3d>
            <a:sp3d contourW="9525"/>
          </c:spPr>
          <c:explosion val="0"/>
          <c:dPt>
            <c:idx val="0"/>
            <c:bubble3D val="0"/>
            <c:explosion val="0"/>
            <c:spPr>
              <a:gradFill>
                <a:gsLst>
                  <a:gs pos="0">
                    <a:schemeClr val="accent1">
                      <a:lumMod val="40000"/>
                      <a:lumOff val="60000"/>
                    </a:schemeClr>
                  </a:gs>
                  <a:gs pos="90000">
                    <a:schemeClr val="accent1"/>
                  </a:gs>
                </a:gsLst>
                <a:lin ang="5400000" scaled="0"/>
              </a:gradFill>
              <a:ln w="19050">
                <a:gradFill>
                  <a:gsLst>
                    <a:gs pos="0">
                      <a:schemeClr val="accent1"/>
                    </a:gs>
                    <a:gs pos="100000">
                      <a:schemeClr val="accent1">
                        <a:lumMod val="75000"/>
                      </a:schemeClr>
                    </a:gs>
                  </a:gsLst>
                  <a:lin ang="5400000" scaled="1"/>
                </a:gradFill>
              </a:ln>
              <a:effectLst>
                <a:outerShdw blurRad="76200" dist="25400" dir="2700000" algn="tl" rotWithShape="0">
                  <a:srgbClr val="000000">
                    <a:lumMod val="50000"/>
                    <a:alpha val="30000"/>
                  </a:srgbClr>
                </a:outerShdw>
              </a:effectLst>
            </c:spPr>
          </c:dPt>
          <c:dPt>
            <c:idx val="1"/>
            <c:bubble3D val="0"/>
            <c:explosion val="0"/>
            <c:spPr>
              <a:gradFill>
                <a:gsLst>
                  <a:gs pos="0">
                    <a:schemeClr val="accent2">
                      <a:lumMod val="40000"/>
                      <a:lumOff val="60000"/>
                    </a:schemeClr>
                  </a:gs>
                  <a:gs pos="90000">
                    <a:schemeClr val="accent2"/>
                  </a:gs>
                </a:gsLst>
                <a:lin ang="5400000" scaled="0"/>
              </a:gradFill>
              <a:ln w="19050">
                <a:gradFill>
                  <a:gsLst>
                    <a:gs pos="0">
                      <a:schemeClr val="accent2"/>
                    </a:gs>
                    <a:gs pos="100000">
                      <a:schemeClr val="accent2">
                        <a:lumMod val="75000"/>
                      </a:schemeClr>
                    </a:gs>
                  </a:gsLst>
                  <a:lin ang="5400000" scaled="1"/>
                </a:gradFill>
              </a:ln>
              <a:effectLst>
                <a:outerShdw blurRad="76200" dist="25400" dir="2700000" algn="tl" rotWithShape="0">
                  <a:srgbClr val="000000">
                    <a:lumMod val="50000"/>
                    <a:alpha val="30000"/>
                  </a:srgbClr>
                </a:outerShdw>
              </a:effectLst>
            </c:spPr>
          </c:dPt>
          <c:dLbls>
            <c:delete val="1"/>
          </c:dLbls>
          <c:cat>
            <c:strRef>
              <c:f>[旺苍学生奶欠款.xls]图2!$A$1:$B$1</c:f>
              <c:strCache>
                <c:ptCount val="2"/>
                <c:pt idx="0">
                  <c:v>一般公共预算拨款收入</c:v>
                </c:pt>
                <c:pt idx="1">
                  <c:v>政府性基金预算财政拨款收入</c:v>
                </c:pt>
              </c:strCache>
            </c:strRef>
          </c:cat>
          <c:val>
            <c:numRef>
              <c:f>[旺苍学生奶欠款.xls]图2!$A$2:$B$2</c:f>
              <c:numCache>
                <c:formatCode>General</c:formatCode>
                <c:ptCount val="2"/>
                <c:pt idx="0">
                  <c:v>349.77</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基本支出、项目支出对比</a:t>
            </a:r>
          </a:p>
        </c:rich>
      </c:tx>
      <c:layout/>
      <c:overlay val="0"/>
      <c:spPr>
        <a:noFill/>
        <a:ln>
          <a:noFill/>
        </a:ln>
        <a:effectLst/>
      </c:spPr>
    </c:title>
    <c:autoTitleDeleted val="0"/>
    <c:plotArea>
      <c:layout/>
      <c:pieChart>
        <c:varyColors val="1"/>
        <c:ser>
          <c:idx val="0"/>
          <c:order val="0"/>
          <c:spPr>
            <a:scene3d>
              <a:camera prst="orthographicFront"/>
              <a:lightRig rig="threePt" dir="t"/>
            </a:scene3d>
            <a:sp3d contourW="9525"/>
          </c:spPr>
          <c:explosion val="0"/>
          <c:dPt>
            <c:idx val="0"/>
            <c:bubble3D val="0"/>
            <c:explosion val="0"/>
            <c:spPr>
              <a:gradFill>
                <a:gsLst>
                  <a:gs pos="0">
                    <a:schemeClr val="accent1">
                      <a:lumMod val="40000"/>
                      <a:lumOff val="60000"/>
                    </a:schemeClr>
                  </a:gs>
                  <a:gs pos="90000">
                    <a:schemeClr val="accent1"/>
                  </a:gs>
                </a:gsLst>
                <a:lin ang="5400000" scaled="0"/>
              </a:gradFill>
              <a:ln w="19050">
                <a:gradFill>
                  <a:gsLst>
                    <a:gs pos="0">
                      <a:schemeClr val="accent1"/>
                    </a:gs>
                    <a:gs pos="100000">
                      <a:schemeClr val="accent1">
                        <a:lumMod val="75000"/>
                      </a:schemeClr>
                    </a:gs>
                  </a:gsLst>
                  <a:lin ang="5400000" scaled="1"/>
                </a:gradFill>
              </a:ln>
              <a:effectLst>
                <a:outerShdw blurRad="76200" dist="25400" dir="2700000" algn="tl" rotWithShape="0">
                  <a:srgbClr val="000000">
                    <a:lumMod val="50000"/>
                    <a:alpha val="30000"/>
                  </a:srgbClr>
                </a:outerShdw>
              </a:effectLst>
            </c:spPr>
          </c:dPt>
          <c:dPt>
            <c:idx val="1"/>
            <c:bubble3D val="0"/>
            <c:explosion val="0"/>
            <c:spPr>
              <a:gradFill>
                <a:gsLst>
                  <a:gs pos="0">
                    <a:schemeClr val="accent2">
                      <a:lumMod val="40000"/>
                      <a:lumOff val="60000"/>
                    </a:schemeClr>
                  </a:gs>
                  <a:gs pos="90000">
                    <a:schemeClr val="accent2"/>
                  </a:gs>
                </a:gsLst>
                <a:lin ang="5400000" scaled="0"/>
              </a:gradFill>
              <a:ln w="19050">
                <a:gradFill>
                  <a:gsLst>
                    <a:gs pos="0">
                      <a:schemeClr val="accent2"/>
                    </a:gs>
                    <a:gs pos="100000">
                      <a:schemeClr val="accent2">
                        <a:lumMod val="75000"/>
                      </a:schemeClr>
                    </a:gs>
                  </a:gsLst>
                  <a:lin ang="5400000" scaled="1"/>
                </a:gradFill>
              </a:ln>
              <a:effectLst>
                <a:outerShdw blurRad="76200" dist="25400" dir="2700000" algn="tl" rotWithShape="0">
                  <a:srgbClr val="000000">
                    <a:lumMod val="50000"/>
                    <a:alpha val="30000"/>
                  </a:srgbClr>
                </a:outerShdw>
              </a:effectLst>
            </c:spPr>
          </c:dPt>
          <c:dLbls>
            <c:delete val="1"/>
          </c:dLbls>
          <c:cat>
            <c:strRef>
              <c:f>[东凡中学基本户.xls]基本项目!$A$1:$A$2</c:f>
              <c:strCache>
                <c:ptCount val="2"/>
                <c:pt idx="0">
                  <c:v>基本支出</c:v>
                </c:pt>
                <c:pt idx="1">
                  <c:v>项目支出</c:v>
                </c:pt>
              </c:strCache>
            </c:strRef>
          </c:cat>
          <c:val>
            <c:numRef>
              <c:f>[东凡中学基本户.xls]基本项目!$B$1:$B$2</c:f>
              <c:numCache>
                <c:formatCode>General</c:formatCode>
                <c:ptCount val="2"/>
                <c:pt idx="0">
                  <c:v>19.13</c:v>
                </c:pt>
                <c:pt idx="1">
                  <c:v>80.87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361469161469161"/>
          <c:y val="0.1428240740740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2022年较2021年收、支结构图    单位：万元</a:t>
            </a:r>
          </a:p>
        </c:rich>
      </c:tx>
      <c:layout>
        <c:manualLayout>
          <c:xMode val="edge"/>
          <c:yMode val="edge"/>
          <c:x val="0.128947368421053"/>
          <c:y val="0.0451388888888889"/>
        </c:manualLayout>
      </c:layout>
      <c:overlay val="0"/>
      <c:spPr>
        <a:noFill/>
        <a:ln>
          <a:noFill/>
        </a:ln>
        <a:effectLst/>
      </c:spPr>
    </c:title>
    <c:autoTitleDeleted val="0"/>
    <c:plotArea>
      <c:layout/>
      <c:barChart>
        <c:barDir val="col"/>
        <c:grouping val="clustered"/>
        <c:varyColors val="0"/>
        <c:ser>
          <c:idx val="0"/>
          <c:order val="0"/>
          <c:tx>
            <c:strRef>
              <c:f>[旺苍学生奶欠款.xls]图1!$A$10</c:f>
              <c:strCache>
                <c:ptCount val="1"/>
                <c:pt idx="0">
                  <c:v>2022年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elete val="1"/>
          </c:dLbls>
          <c:cat>
            <c:strRef>
              <c:f>[旺苍学生奶欠款.xls]图1!$B$9:$C$9</c:f>
              <c:strCache>
                <c:ptCount val="2"/>
                <c:pt idx="0">
                  <c:v>收入</c:v>
                </c:pt>
                <c:pt idx="1">
                  <c:v>支出</c:v>
                </c:pt>
              </c:strCache>
            </c:strRef>
          </c:cat>
          <c:val>
            <c:numRef>
              <c:f>[旺苍学生奶欠款.xls]图1!$B$10:$C$10</c:f>
              <c:numCache>
                <c:formatCode>General</c:formatCode>
                <c:ptCount val="2"/>
                <c:pt idx="0">
                  <c:v>349.77</c:v>
                </c:pt>
                <c:pt idx="1">
                  <c:v>349.77</c:v>
                </c:pt>
              </c:numCache>
            </c:numRef>
          </c:val>
        </c:ser>
        <c:ser>
          <c:idx val="1"/>
          <c:order val="1"/>
          <c:tx>
            <c:strRef>
              <c:f>[旺苍学生奶欠款.xls]图1!$A$11</c:f>
              <c:strCache>
                <c:ptCount val="1"/>
                <c:pt idx="0">
                  <c:v>2021年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elete val="1"/>
          </c:dLbls>
          <c:cat>
            <c:strRef>
              <c:f>[旺苍学生奶欠款.xls]图1!$B$9:$C$9</c:f>
              <c:strCache>
                <c:ptCount val="2"/>
                <c:pt idx="0">
                  <c:v>收入</c:v>
                </c:pt>
                <c:pt idx="1">
                  <c:v>支出</c:v>
                </c:pt>
              </c:strCache>
            </c:strRef>
          </c:cat>
          <c:val>
            <c:numRef>
              <c:f>[旺苍学生奶欠款.xls]图1!$B$11:$C$11</c:f>
              <c:numCache>
                <c:formatCode>General</c:formatCode>
                <c:ptCount val="2"/>
                <c:pt idx="0">
                  <c:v>0</c:v>
                </c:pt>
                <c:pt idx="1">
                  <c:v>0</c:v>
                </c:pt>
              </c:numCache>
            </c:numRef>
          </c:val>
        </c:ser>
        <c:dLbls>
          <c:showLegendKey val="0"/>
          <c:showVal val="0"/>
          <c:showCatName val="0"/>
          <c:showSerName val="0"/>
          <c:showPercent val="0"/>
          <c:showBubbleSize val="0"/>
        </c:dLbls>
        <c:gapWidth val="246"/>
        <c:overlap val="-28"/>
        <c:axId val="794331324"/>
        <c:axId val="649515106"/>
      </c:barChart>
      <c:catAx>
        <c:axId val="7943313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515106"/>
        <c:crosses val="autoZero"/>
        <c:auto val="1"/>
        <c:lblAlgn val="ctr"/>
        <c:lblOffset val="100"/>
        <c:noMultiLvlLbl val="0"/>
      </c:catAx>
      <c:valAx>
        <c:axId val="64951510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43313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elete val="1"/>
          </c:dLbls>
          <c:cat>
            <c:strRef>
              <c:f>[旺苍学生奶欠款.xls]Sheet3!$A$1:$B$1</c:f>
              <c:strCache>
                <c:ptCount val="2"/>
                <c:pt idx="0">
                  <c:v>2022年公共预算财政拨款支出</c:v>
                </c:pt>
                <c:pt idx="1">
                  <c:v>2021年公共预算财政拨款支出</c:v>
                </c:pt>
              </c:strCache>
            </c:strRef>
          </c:cat>
          <c:val>
            <c:numRef>
              <c:f>[旺苍学生奶欠款.xls]Sheet3!$A$2:$B$2</c:f>
              <c:numCache>
                <c:formatCode>General</c:formatCode>
                <c:ptCount val="2"/>
                <c:pt idx="0">
                  <c:v>349.77</c:v>
                </c:pt>
                <c:pt idx="1">
                  <c:v>0</c:v>
                </c:pt>
              </c:numCache>
            </c:numRef>
          </c:val>
        </c:ser>
        <c:dLbls>
          <c:showLegendKey val="0"/>
          <c:showVal val="0"/>
          <c:showCatName val="0"/>
          <c:showSerName val="0"/>
          <c:showPercent val="0"/>
          <c:showBubbleSize val="0"/>
        </c:dLbls>
        <c:gapWidth val="246"/>
        <c:overlap val="-28"/>
        <c:axId val="960277497"/>
        <c:axId val="561822753"/>
      </c:barChart>
      <c:catAx>
        <c:axId val="9602774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1822753"/>
        <c:crosses val="autoZero"/>
        <c:auto val="1"/>
        <c:lblAlgn val="ctr"/>
        <c:lblOffset val="100"/>
        <c:noMultiLvlLbl val="0"/>
      </c:catAx>
      <c:valAx>
        <c:axId val="56182275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02774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9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styleClr val="auto"/>
    </cs:effectRef>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styleClr val="auto"/>
    </cs:effectRef>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6306</Words>
  <Characters>6666</Characters>
  <Lines>61</Lines>
  <Paragraphs>17</Paragraphs>
  <TotalTime>8</TotalTime>
  <ScaleCrop>false</ScaleCrop>
  <LinksUpToDate>false</LinksUpToDate>
  <CharactersWithSpaces>6696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DX</cp:lastModifiedBy>
  <cp:lastPrinted>2023-07-31T02:35:00Z</cp:lastPrinted>
  <dcterms:modified xsi:type="dcterms:W3CDTF">2023-10-20T09:06:59Z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BDC73C8A1FCA41EEB47D93A3A3B2F94E</vt:lpwstr>
  </property>
</Properties>
</file>