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496" w:lineRule="exac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val="0"/>
        <w:topLinePunct w:val="0"/>
        <w:autoSpaceDE/>
        <w:autoSpaceDN/>
        <w:bidi w:val="0"/>
        <w:adjustRightInd/>
        <w:snapToGrid/>
        <w:spacing w:before="159" w:beforeLines="50" w:after="317" w:afterLines="100" w:line="49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2023年旺苍县惠企政策“一站式”兑现综合评审类事项清单（第二批）</w:t>
      </w:r>
    </w:p>
    <w:tbl>
      <w:tblPr>
        <w:tblStyle w:val="4"/>
        <w:tblW w:w="209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720"/>
        <w:gridCol w:w="1819"/>
        <w:gridCol w:w="2689"/>
        <w:gridCol w:w="2373"/>
        <w:gridCol w:w="1846"/>
        <w:gridCol w:w="738"/>
        <w:gridCol w:w="738"/>
        <w:gridCol w:w="746"/>
        <w:gridCol w:w="738"/>
        <w:gridCol w:w="746"/>
        <w:gridCol w:w="738"/>
        <w:gridCol w:w="738"/>
        <w:gridCol w:w="738"/>
        <w:gridCol w:w="1326"/>
        <w:gridCol w:w="1813"/>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blHeader/>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序号</w:t>
            </w:r>
          </w:p>
        </w:tc>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单位</w:t>
            </w:r>
          </w:p>
        </w:tc>
        <w:tc>
          <w:tcPr>
            <w:tcW w:w="1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服务事项</w:t>
            </w:r>
          </w:p>
        </w:tc>
        <w:tc>
          <w:tcPr>
            <w:tcW w:w="2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具体内容</w:t>
            </w:r>
          </w:p>
        </w:tc>
        <w:tc>
          <w:tcPr>
            <w:tcW w:w="2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政策依据</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有效起止时间</w:t>
            </w:r>
          </w:p>
        </w:tc>
        <w:tc>
          <w:tcPr>
            <w:tcW w:w="22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兑现类别（√）</w:t>
            </w:r>
          </w:p>
        </w:tc>
        <w:tc>
          <w:tcPr>
            <w:tcW w:w="36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政策类别（√）</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牵头部门</w:t>
            </w:r>
          </w:p>
        </w:tc>
        <w:tc>
          <w:tcPr>
            <w:tcW w:w="1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责任部门</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黑体_GBK" w:hAnsi="方正黑体_GBK" w:eastAsia="方正黑体_GBK" w:cs="方正黑体_GBK"/>
                <w:i w:val="0"/>
                <w:iCs w:val="0"/>
                <w:color w:val="000000"/>
                <w:w w:val="85"/>
                <w:sz w:val="18"/>
                <w:szCs w:val="18"/>
                <w:u w:val="none"/>
              </w:rPr>
            </w:pPr>
          </w:p>
        </w:tc>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黑体_GBK" w:hAnsi="方正黑体_GBK" w:eastAsia="方正黑体_GBK" w:cs="方正黑体_GBK"/>
                <w:i w:val="0"/>
                <w:iCs w:val="0"/>
                <w:color w:val="000000"/>
                <w:w w:val="85"/>
                <w:sz w:val="18"/>
                <w:szCs w:val="18"/>
                <w:u w:val="none"/>
              </w:rPr>
            </w:pPr>
          </w:p>
        </w:tc>
        <w:tc>
          <w:tcPr>
            <w:tcW w:w="1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黑体_GBK" w:hAnsi="方正黑体_GBK" w:eastAsia="方正黑体_GBK" w:cs="方正黑体_GBK"/>
                <w:i w:val="0"/>
                <w:iCs w:val="0"/>
                <w:color w:val="000000"/>
                <w:w w:val="85"/>
                <w:sz w:val="18"/>
                <w:szCs w:val="18"/>
                <w:u w:val="none"/>
              </w:rPr>
            </w:pPr>
          </w:p>
        </w:tc>
        <w:tc>
          <w:tcPr>
            <w:tcW w:w="2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黑体_GBK" w:hAnsi="方正黑体_GBK" w:eastAsia="方正黑体_GBK" w:cs="方正黑体_GBK"/>
                <w:i w:val="0"/>
                <w:iCs w:val="0"/>
                <w:color w:val="000000"/>
                <w:w w:val="85"/>
                <w:sz w:val="18"/>
                <w:szCs w:val="18"/>
                <w:u w:val="none"/>
              </w:rPr>
            </w:pPr>
          </w:p>
        </w:tc>
        <w:tc>
          <w:tcPr>
            <w:tcW w:w="2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黑体_GBK" w:hAnsi="方正黑体_GBK" w:eastAsia="方正黑体_GBK" w:cs="方正黑体_GBK"/>
                <w:i w:val="0"/>
                <w:iCs w:val="0"/>
                <w:color w:val="000000"/>
                <w:w w:val="85"/>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黑体_GBK" w:hAnsi="方正黑体_GBK" w:eastAsia="方正黑体_GBK" w:cs="方正黑体_GBK"/>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免申即享类</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即申即享类</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综合评审类</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税收减免类</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资金奖补类</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费用减免类</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生产要素类</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方正黑体_GBK" w:hAnsi="方正黑体_GBK" w:eastAsia="方正黑体_GBK" w:cs="方正黑体_GBK"/>
                <w:b/>
                <w:bCs/>
                <w:i w:val="0"/>
                <w:iCs w:val="0"/>
                <w:color w:val="000000"/>
                <w:w w:val="85"/>
                <w:sz w:val="18"/>
                <w:szCs w:val="18"/>
                <w:u w:val="none"/>
              </w:rPr>
            </w:pPr>
            <w:r>
              <w:rPr>
                <w:rFonts w:hint="default" w:ascii="方正黑体_GBK" w:hAnsi="方正黑体_GBK" w:eastAsia="方正黑体_GBK" w:cs="方正黑体_GBK"/>
                <w:b/>
                <w:bCs/>
                <w:i w:val="0"/>
                <w:iCs w:val="0"/>
                <w:color w:val="000000"/>
                <w:w w:val="85"/>
                <w:kern w:val="0"/>
                <w:sz w:val="18"/>
                <w:szCs w:val="18"/>
                <w:u w:val="none"/>
                <w:lang w:val="en-US" w:eastAsia="zh-CN" w:bidi="ar"/>
              </w:rPr>
              <w:t>其它类</w:t>
            </w: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黑体_GBK" w:hAnsi="方正黑体_GBK" w:eastAsia="方正黑体_GBK" w:cs="方正黑体_GBK"/>
                <w:i w:val="0"/>
                <w:iCs w:val="0"/>
                <w:color w:val="000000"/>
                <w:w w:val="85"/>
                <w:sz w:val="18"/>
                <w:szCs w:val="18"/>
                <w:u w:val="none"/>
              </w:rPr>
            </w:pPr>
          </w:p>
        </w:tc>
        <w:tc>
          <w:tcPr>
            <w:tcW w:w="1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黑体_GBK" w:hAnsi="方正黑体_GBK" w:eastAsia="方正黑体_GBK" w:cs="方正黑体_GBK"/>
                <w:i w:val="0"/>
                <w:iCs w:val="0"/>
                <w:color w:val="000000"/>
                <w:w w:val="85"/>
                <w:sz w:val="18"/>
                <w:szCs w:val="18"/>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黑体_GBK" w:hAnsi="方正黑体_GBK" w:eastAsia="方正黑体_GBK" w:cs="方正黑体_GBK"/>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县民政局</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民营养老机构床位补贴</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对入住老人且住满一年的床位，给予每张每月50元运营补贴。</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《广元市人民政府关于加快推进养老服务业发展的实施意见》</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县民政局</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县民政局</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县住建局</w:t>
            </w:r>
          </w:p>
        </w:tc>
        <w:tc>
          <w:tcPr>
            <w:tcW w:w="1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新培育资质建筑企业</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对新培育的资质类建筑企业，给予5万元奖励</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《关于促进民营经济健康发展的实施意见》旺委发</w:t>
            </w:r>
            <w:r>
              <w:rPr>
                <w:rStyle w:val="9"/>
                <w:rFonts w:hAnsi="宋体"/>
                <w:w w:val="85"/>
                <w:sz w:val="18"/>
                <w:szCs w:val="18"/>
                <w:lang w:val="en-US" w:eastAsia="zh-CN" w:bidi="ar"/>
              </w:rPr>
              <w:t>〔</w:t>
            </w:r>
            <w:r>
              <w:rPr>
                <w:rStyle w:val="10"/>
                <w:w w:val="85"/>
                <w:sz w:val="18"/>
                <w:szCs w:val="18"/>
                <w:lang w:val="en-US" w:eastAsia="zh-CN" w:bidi="ar"/>
              </w:rPr>
              <w:t>2019</w:t>
            </w:r>
            <w:r>
              <w:rPr>
                <w:rStyle w:val="9"/>
                <w:rFonts w:hAnsi="宋体"/>
                <w:w w:val="85"/>
                <w:sz w:val="18"/>
                <w:szCs w:val="18"/>
                <w:lang w:val="en-US" w:eastAsia="zh-CN" w:bidi="ar"/>
              </w:rPr>
              <w:t>〕</w:t>
            </w:r>
            <w:r>
              <w:rPr>
                <w:rStyle w:val="10"/>
                <w:w w:val="85"/>
                <w:sz w:val="18"/>
                <w:szCs w:val="18"/>
                <w:lang w:val="en-US" w:eastAsia="zh-CN" w:bidi="ar"/>
              </w:rPr>
              <w:t>8号</w:t>
            </w:r>
          </w:p>
        </w:tc>
        <w:tc>
          <w:tcPr>
            <w:tcW w:w="1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2019年2月起</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w w:val="85"/>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w w:val="85"/>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宋体" w:cs="宋体"/>
                <w:i w:val="0"/>
                <w:iCs w:val="0"/>
                <w:color w:val="000000"/>
                <w:w w:val="85"/>
                <w:sz w:val="18"/>
                <w:szCs w:val="18"/>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县经济信息和科学技术局</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县财政局、县统计局、旺苍县住房和城乡建设局</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3</w:t>
            </w:r>
          </w:p>
        </w:tc>
        <w:tc>
          <w:tcPr>
            <w:tcW w:w="1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县人社局</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就业见习补贴</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组织毕业2年内的高校毕业生、16至24岁失业青年参加3-12个月就业见习，按当地最低工资标准给予用人单位就业见习补贴</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《关于印发进一步促进高校毕业生等青年就业创业十三条政策措施的通知》（川人社发〔2022〕13号）《关于印发中央和省级就业创业补助资金管理办法的通知》川财社〔2019〕38号</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截止2024年12月31日</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132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县人社局</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县人社局、县财政局</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4</w:t>
            </w:r>
          </w:p>
        </w:tc>
        <w:tc>
          <w:tcPr>
            <w:tcW w:w="1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小微企业创业担保贷款</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符合条件的小微企业创业担保贷款额度由经办银行根据小微企业实际招用符合条件的人数合理确定，最高不超过400万元，贷款期限不超过2年，财政部门给予贷款实际利率50%的财政贴息。</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部关于印发《普惠金融发展专项资金管理办法》的通知（财金〔2023〕75号）、《关于进一步加大创业担保贷款贴息力度全力支持重点群体创业就业的通知》川财金〔2020〕30号、《关于做好聚焦高质量发展推动经济运行整体好转的若干政策措施有关财政金融资金申报工作的通知》川财金〔2023〕21号</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截止2028年9月30日</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132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县人社局</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县财政局、人民银行旺苍县支行、县人社局、县红城融资担保有限公司</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县综合行政执法局</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县城区危旧房棚户区改造占用城市道路免征行政事业性收费</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县城区危旧房棚户区改造占用城市道路免征行政事业性收费。</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四川省人民政府《关于加快推进危旧房棚户区改造工作的实施意见》（川府发[2014]15号），广元市人民政府办公室关于印发《广元市涉企优惠政策清单》的通知</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长期有效</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县综合行政执法局</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县综合行政执法局</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县人防办</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符合防空地下室易地建设条件的，减半征收防空地下室易地建设费的项目。</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新建学校（含幼儿园）的教学楼（教室、教师办公场所、电脑教学、教学实验室等以教学活动为主的单体多层教学综合楼项目）、为残疾人修建的生活、康复服务设施等民用建筑以及营利性养老和医疗机构建设项目，减半征收防空地下室易地建设费。</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川发改价格〔2021〕539号</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2022年1月1日—2026年12月31日</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县人防办</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县人防办</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县经济合作事务中心</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兑现政府对招商引资企业的协议承诺</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兑现市外投资企业或投资商与县政府及县级部门签订的招商引资协议中约定的县政府及县级部门承诺。</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市外投资企业或投资商与县政府及县级部门签订的招商引资协议。</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招商引资协议有效期内</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财政局</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县级有关部门</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8</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县农业农村局</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乡村振兴农业产业发展贷款风险补偿金</w:t>
            </w:r>
          </w:p>
        </w:tc>
        <w:tc>
          <w:tcPr>
            <w:tcW w:w="2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对符合条件的农业产业贷款，由政银担按照3：3：4的比例进行风险分担。</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关于进一步做好政策性农业融资担保工作助推全市乡村振兴农业产业发展的实施意见的通知（广府办〔2020〕131号）</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2020.06.23-长期</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县财政局</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w w:val="85"/>
                <w:sz w:val="18"/>
                <w:szCs w:val="18"/>
                <w:u w:val="none"/>
              </w:rPr>
            </w:pPr>
            <w:r>
              <w:rPr>
                <w:rFonts w:hint="eastAsia" w:ascii="宋体" w:hAnsi="宋体" w:eastAsia="宋体" w:cs="宋体"/>
                <w:i w:val="0"/>
                <w:iCs w:val="0"/>
                <w:color w:val="000000"/>
                <w:w w:val="85"/>
                <w:kern w:val="0"/>
                <w:sz w:val="18"/>
                <w:szCs w:val="18"/>
                <w:u w:val="none"/>
                <w:lang w:val="en-US" w:eastAsia="zh-CN" w:bidi="ar"/>
              </w:rPr>
              <w:t>县财政局、县农业农村局</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w w:val="85"/>
                <w:sz w:val="18"/>
                <w:szCs w:val="18"/>
                <w:u w:val="none"/>
              </w:rPr>
            </w:pPr>
          </w:p>
        </w:tc>
      </w:tr>
    </w:tbl>
    <w:p>
      <w:pPr>
        <w:bidi w:val="0"/>
        <w:rPr>
          <w:rFonts w:hint="eastAsia"/>
          <w:lang w:val="en-US" w:eastAsia="zh-CN"/>
        </w:rPr>
      </w:pPr>
    </w:p>
    <w:sectPr>
      <w:footerReference r:id="rId3" w:type="default"/>
      <w:pgSz w:w="23811" w:h="16838" w:orient="landscape"/>
      <w:pgMar w:top="1417" w:right="1417" w:bottom="1474" w:left="1417" w:header="851" w:footer="1361"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NDE1NjEzYmZmYWQ0YzhiYTc5OWI5OTdkMjcwNDEifQ=="/>
  </w:docVars>
  <w:rsids>
    <w:rsidRoot w:val="00000000"/>
    <w:rsid w:val="008A4E80"/>
    <w:rsid w:val="012F3B67"/>
    <w:rsid w:val="015A650F"/>
    <w:rsid w:val="0D817B82"/>
    <w:rsid w:val="1399390E"/>
    <w:rsid w:val="15B624A2"/>
    <w:rsid w:val="2855755D"/>
    <w:rsid w:val="32493D46"/>
    <w:rsid w:val="35000C4C"/>
    <w:rsid w:val="3D2928F4"/>
    <w:rsid w:val="401150D2"/>
    <w:rsid w:val="40986E8D"/>
    <w:rsid w:val="43F23C4B"/>
    <w:rsid w:val="4C2E0E6D"/>
    <w:rsid w:val="54605A14"/>
    <w:rsid w:val="596C5C6C"/>
    <w:rsid w:val="65D9764D"/>
    <w:rsid w:val="715E44A7"/>
    <w:rsid w:val="7D7D6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81"/>
    <w:basedOn w:val="5"/>
    <w:qFormat/>
    <w:uiPriority w:val="0"/>
    <w:rPr>
      <w:rFonts w:ascii="仿宋_GB2312" w:eastAsia="仿宋_GB2312" w:cs="仿宋_GB2312"/>
      <w:color w:val="000000"/>
      <w:sz w:val="22"/>
      <w:szCs w:val="22"/>
      <w:u w:val="none"/>
    </w:rPr>
  </w:style>
  <w:style w:type="character" w:customStyle="1" w:styleId="7">
    <w:name w:val="font61"/>
    <w:basedOn w:val="5"/>
    <w:qFormat/>
    <w:uiPriority w:val="0"/>
    <w:rPr>
      <w:rFonts w:hint="eastAsia" w:ascii="宋体" w:hAnsi="宋体" w:eastAsia="宋体" w:cs="宋体"/>
      <w:color w:val="000000"/>
      <w:sz w:val="22"/>
      <w:szCs w:val="22"/>
      <w:u w:val="none"/>
    </w:rPr>
  </w:style>
  <w:style w:type="character" w:customStyle="1" w:styleId="8">
    <w:name w:val="font91"/>
    <w:basedOn w:val="5"/>
    <w:qFormat/>
    <w:uiPriority w:val="0"/>
    <w:rPr>
      <w:rFonts w:hint="default" w:ascii="Times New Roman" w:hAnsi="Times New Roman" w:cs="Times New Roman"/>
      <w:color w:val="000000"/>
      <w:sz w:val="22"/>
      <w:szCs w:val="22"/>
      <w:u w:val="none"/>
    </w:rPr>
  </w:style>
  <w:style w:type="character" w:customStyle="1" w:styleId="9">
    <w:name w:val="font51"/>
    <w:basedOn w:val="5"/>
    <w:qFormat/>
    <w:uiPriority w:val="0"/>
    <w:rPr>
      <w:rFonts w:ascii="仿宋_GB2312" w:eastAsia="仿宋_GB2312" w:cs="仿宋_GB2312"/>
      <w:color w:val="000000"/>
      <w:sz w:val="26"/>
      <w:szCs w:val="26"/>
      <w:u w:val="none"/>
    </w:rPr>
  </w:style>
  <w:style w:type="character" w:customStyle="1" w:styleId="10">
    <w:name w:val="font31"/>
    <w:basedOn w:val="5"/>
    <w:qFormat/>
    <w:uiPriority w:val="0"/>
    <w:rPr>
      <w:rFonts w:hint="eastAsia" w:ascii="宋体" w:hAnsi="宋体" w:eastAsia="宋体" w:cs="宋体"/>
      <w:color w:val="000000"/>
      <w:sz w:val="26"/>
      <w:szCs w:val="2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217</Words>
  <Characters>246</Characters>
  <Lines>0</Lines>
  <Paragraphs>0</Paragraphs>
  <TotalTime>12</TotalTime>
  <ScaleCrop>false</ScaleCrop>
  <LinksUpToDate>false</LinksUpToDate>
  <CharactersWithSpaces>248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2023-04-20T07:55:00Z</dcterms:created>
  <dc:creator>Administrator</dc:creator>
  <cp:lastModifiedBy>WPS_1178269677</cp:lastModifiedBy>
  <dcterms:modified xsi:type="dcterms:W3CDTF">2023-12-12T07:30:15Z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B3B3D650361149E0859DB87D98C60C2C_12</vt:lpwstr>
  </property>
</Properties>
</file>