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shd w:val="clear" w:fill="FFFFFF"/>
        </w:rPr>
        <w:t>死亡注销户口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办理程序：1、提交材料2、公安机关受理3、审核审批4、收缴证件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1、《死亡注销户籍信息申请表》；2、死亡证明：（《居民死亡证明&lt;推断&gt;书》、火化证明、村（居）委会出具的死亡证明〔公民在家中正常死亡的提供〕）；3、死者居民户口簿（单身独户的，收缴居民户口簿）；4、死者居民身份证（收缴原件）；5、申报人居民身份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收费标准：免费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承诺时限：符合条件、手续齐全的现场办理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县公安局出入境管理大队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或派出所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1A317238"/>
    <w:rsid w:val="4C6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287</Characters>
  <Lines>0</Lines>
  <Paragraphs>0</Paragraphs>
  <TotalTime>0</TotalTime>
  <ScaleCrop>false</ScaleCrop>
  <LinksUpToDate>false</LinksUpToDate>
  <CharactersWithSpaces>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2023-09-19T08:13:00Z</dcterms:created>
  <dc:creator>Administrator</dc:creator>
  <cp:lastModifiedBy>Administrator</cp:lastModifiedBy>
  <dcterms:modified xsi:type="dcterms:W3CDTF">2023-09-20T07:05:24Z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E6D5F1F244874F85A2575A341D57B6AD_12</vt:lpwstr>
  </property>
</Properties>
</file>