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bookmarkStart w:id="1" w:name="_Hlk66992643"/>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bookmarkStart w:id="2" w:name="_Hlk57883728"/>
      <w:r>
        <w:rPr>
          <w:rFonts w:hint="eastAsia" w:ascii="华文仿宋" w:hAnsi="华文仿宋" w:eastAsia="华文仿宋" w:cs="华文仿宋"/>
          <w:color w:val="000000"/>
          <w:kern w:val="44"/>
          <w:sz w:val="44"/>
          <w:szCs w:val="44"/>
        </w:rPr>
        <w:t>（</w:t>
      </w:r>
      <w:r>
        <w:rPr>
          <w:rFonts w:hint="eastAsia" w:ascii="华文仿宋" w:hAnsi="华文仿宋" w:eastAsia="华文仿宋" w:cs="华文仿宋"/>
          <w:color w:val="000000"/>
          <w:kern w:val="44"/>
          <w:sz w:val="44"/>
          <w:szCs w:val="44"/>
          <w:lang w:eastAsia="zh-CN"/>
        </w:rPr>
        <w:t>送审稿</w:t>
      </w:r>
      <w:r>
        <w:rPr>
          <w:rFonts w:hint="eastAsia" w:ascii="华文仿宋" w:hAnsi="华文仿宋" w:eastAsia="华文仿宋" w:cs="华文仿宋"/>
          <w:color w:val="000000"/>
          <w:kern w:val="44"/>
          <w:sz w:val="44"/>
          <w:szCs w:val="44"/>
        </w:rPr>
        <w:t>）</w:t>
      </w:r>
    </w:p>
    <w:p>
      <w:pPr>
        <w:jc w:val="center"/>
        <w:rPr>
          <w:rFonts w:eastAsia="仿宋"/>
          <w:sz w:val="52"/>
          <w:szCs w:val="52"/>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bookmarkEnd w:id="2"/>
    <w:p>
      <w:pPr>
        <w:adjustRightInd w:val="0"/>
        <w:snapToGrid w:val="0"/>
        <w:spacing w:line="288" w:lineRule="auto"/>
        <w:ind w:firstLine="104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旺苍县三合水库工程</w:t>
      </w:r>
      <w:r>
        <w:rPr>
          <w:rFonts w:hint="eastAsia" w:ascii="仿宋_GB2312" w:eastAsia="仿宋_GB2312"/>
          <w:sz w:val="36"/>
          <w:szCs w:val="36"/>
          <w:u w:val="single"/>
          <w:lang w:val="en-US" w:eastAsia="zh-CN"/>
        </w:rPr>
        <w:t xml:space="preserve">     </w:t>
      </w:r>
    </w:p>
    <w:p>
      <w:pPr>
        <w:adjustRightInd w:val="0"/>
        <w:snapToGrid w:val="0"/>
        <w:spacing w:line="288" w:lineRule="auto"/>
        <w:ind w:firstLine="1040"/>
        <w:rPr>
          <w:rFonts w:hint="eastAsia" w:ascii="仿宋_GB2312" w:eastAsia="仿宋_GB2312"/>
          <w:sz w:val="36"/>
          <w:szCs w:val="36"/>
          <w:u w:val="single"/>
          <w:lang w:eastAsia="zh-CN"/>
        </w:rPr>
      </w:pPr>
      <w:r>
        <w:rPr>
          <w:rFonts w:hint="eastAsia" w:ascii="仿宋_GB2312" w:eastAsia="仿宋_GB2312"/>
          <w:sz w:val="36"/>
          <w:szCs w:val="36"/>
        </w:rPr>
        <w:t>建设单位（盖章）：</w:t>
      </w:r>
      <w:r>
        <w:rPr>
          <w:rFonts w:hint="eastAsia" w:ascii="仿宋_GB2312" w:eastAsia="仿宋_GB2312"/>
          <w:sz w:val="36"/>
          <w:szCs w:val="36"/>
          <w:u w:val="single"/>
          <w:lang w:eastAsia="zh-CN"/>
        </w:rPr>
        <w:t>旺苍县水利科技服务中心</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ascii="仿宋_GB2312" w:eastAsia="仿宋_GB2312"/>
          <w:sz w:val="36"/>
          <w:szCs w:val="36"/>
          <w:u w:val="single"/>
        </w:rPr>
        <w:t>20</w:t>
      </w:r>
      <w:r>
        <w:rPr>
          <w:rFonts w:hint="eastAsia" w:ascii="仿宋_GB2312" w:eastAsia="仿宋_GB2312"/>
          <w:sz w:val="36"/>
          <w:szCs w:val="36"/>
          <w:u w:val="single"/>
        </w:rPr>
        <w:t>2</w:t>
      </w:r>
      <w:r>
        <w:rPr>
          <w:rFonts w:hint="eastAsia" w:ascii="仿宋_GB2312" w:eastAsia="仿宋_GB2312"/>
          <w:sz w:val="36"/>
          <w:szCs w:val="36"/>
          <w:u w:val="single"/>
          <w:lang w:val="en-US" w:eastAsia="zh-CN"/>
        </w:rPr>
        <w:t>4</w:t>
      </w:r>
      <w:r>
        <w:rPr>
          <w:rFonts w:ascii="仿宋_GB2312" w:eastAsia="仿宋_GB2312"/>
          <w:sz w:val="36"/>
          <w:szCs w:val="36"/>
          <w:u w:val="single"/>
        </w:rPr>
        <w:t>年</w:t>
      </w:r>
      <w:r>
        <w:rPr>
          <w:rFonts w:hint="eastAsia" w:ascii="仿宋_GB2312" w:eastAsia="仿宋_GB2312"/>
          <w:sz w:val="36"/>
          <w:szCs w:val="36"/>
          <w:u w:val="single"/>
          <w:lang w:val="en-US" w:eastAsia="zh-CN"/>
        </w:rPr>
        <w:t>8</w:t>
      </w:r>
      <w:r>
        <w:rPr>
          <w:rFonts w:ascii="仿宋_GB2312" w:eastAsia="仿宋_GB2312"/>
          <w:sz w:val="36"/>
          <w:szCs w:val="36"/>
          <w:u w:val="single"/>
        </w:rPr>
        <w:t>月</w:t>
      </w:r>
    </w:p>
    <w:p>
      <w:pPr>
        <w:adjustRightInd w:val="0"/>
        <w:snapToGrid w:val="0"/>
        <w:spacing w:line="288" w:lineRule="auto"/>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3"/>
        <w:tblW w:w="93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66"/>
        <w:gridCol w:w="36"/>
        <w:gridCol w:w="748"/>
        <w:gridCol w:w="2310"/>
        <w:gridCol w:w="2295"/>
        <w:gridCol w:w="3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7796" w:type="dxa"/>
            <w:gridSpan w:val="3"/>
            <w:vAlign w:val="center"/>
          </w:tcPr>
          <w:p>
            <w:pPr>
              <w:adjustRightInd w:val="0"/>
              <w:snapToGrid w:val="0"/>
              <w:jc w:val="center"/>
              <w:rPr>
                <w:rFonts w:hint="eastAsia" w:ascii="宋体" w:hAnsi="宋体" w:eastAsia="宋体" w:cs="宋体"/>
                <w:sz w:val="24"/>
                <w:lang w:eastAsia="zh-CN"/>
              </w:rPr>
            </w:pPr>
            <w:r>
              <w:rPr>
                <w:rFonts w:hint="eastAsia" w:hAnsi="宋体"/>
                <w:sz w:val="24"/>
                <w:lang w:eastAsia="zh-CN"/>
              </w:rPr>
              <w:t>旺苍县三合水库工程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7796" w:type="dxa"/>
            <w:gridSpan w:val="3"/>
            <w:vAlign w:val="center"/>
          </w:tcPr>
          <w:p>
            <w:pPr>
              <w:adjustRightInd w:val="0"/>
              <w:snapToGrid w:val="0"/>
              <w:jc w:val="center"/>
              <w:rPr>
                <w:rFonts w:hint="default" w:ascii="宋体" w:hAnsi="宋体" w:eastAsia="宋体" w:cs="宋体"/>
                <w:sz w:val="24"/>
                <w:lang w:val="en-US" w:eastAsia="zh-CN"/>
              </w:rPr>
            </w:pPr>
            <w:r>
              <w:rPr>
                <w:rFonts w:hint="eastAsia" w:hAnsi="宋体"/>
                <w:bCs/>
                <w:color w:val="000000"/>
                <w:sz w:val="24"/>
              </w:rPr>
              <w:t>20</w:t>
            </w:r>
            <w:r>
              <w:rPr>
                <w:rFonts w:hint="eastAsia" w:hAnsi="宋体"/>
                <w:bCs/>
                <w:color w:val="000000"/>
                <w:sz w:val="24"/>
                <w:lang w:val="en-US" w:eastAsia="zh-CN"/>
              </w:rPr>
              <w:t>17</w:t>
            </w:r>
            <w:r>
              <w:rPr>
                <w:rFonts w:hint="eastAsia" w:hAnsi="宋体"/>
                <w:bCs/>
                <w:color w:val="000000"/>
                <w:sz w:val="24"/>
              </w:rPr>
              <w:t>-510</w:t>
            </w:r>
            <w:r>
              <w:rPr>
                <w:rFonts w:hint="eastAsia" w:hAnsi="宋体"/>
                <w:bCs/>
                <w:color w:val="000000"/>
                <w:sz w:val="24"/>
                <w:lang w:val="en-US" w:eastAsia="zh-CN"/>
              </w:rPr>
              <w:t>821</w:t>
            </w:r>
            <w:r>
              <w:rPr>
                <w:rFonts w:hint="eastAsia" w:hAnsi="宋体"/>
                <w:bCs/>
                <w:color w:val="000000"/>
                <w:sz w:val="24"/>
              </w:rPr>
              <w:t>-</w:t>
            </w:r>
            <w:r>
              <w:rPr>
                <w:rFonts w:hint="eastAsia" w:hAnsi="宋体"/>
                <w:bCs/>
                <w:color w:val="000000"/>
                <w:sz w:val="24"/>
                <w:lang w:val="en-US" w:eastAsia="zh-CN"/>
              </w:rPr>
              <w:t>76</w:t>
            </w:r>
            <w:r>
              <w:rPr>
                <w:rFonts w:hint="eastAsia" w:hAnsi="宋体"/>
                <w:bCs/>
                <w:color w:val="000000"/>
                <w:sz w:val="24"/>
              </w:rPr>
              <w:t>-0</w:t>
            </w:r>
            <w:r>
              <w:rPr>
                <w:rFonts w:hint="eastAsia" w:hAnsi="宋体"/>
                <w:bCs/>
                <w:color w:val="000000"/>
                <w:sz w:val="24"/>
                <w:lang w:val="en-US" w:eastAsia="zh-CN"/>
              </w:rPr>
              <w:t>1</w:t>
            </w:r>
            <w:r>
              <w:rPr>
                <w:rFonts w:hint="eastAsia" w:hAnsi="宋体"/>
                <w:bCs/>
                <w:color w:val="000000"/>
                <w:sz w:val="24"/>
              </w:rPr>
              <w:t>-</w:t>
            </w:r>
            <w:r>
              <w:rPr>
                <w:rFonts w:hint="eastAsia" w:hAnsi="宋体"/>
                <w:bCs/>
                <w:color w:val="000000"/>
                <w:sz w:val="24"/>
                <w:lang w:val="en-US" w:eastAsia="zh-CN"/>
              </w:rPr>
              <w:t>216654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w:t>
            </w:r>
          </w:p>
          <w:p>
            <w:pPr>
              <w:adjustRightInd w:val="0"/>
              <w:snapToGrid w:val="0"/>
              <w:jc w:val="center"/>
              <w:rPr>
                <w:rFonts w:ascii="宋体" w:hAnsi="宋体" w:cs="宋体"/>
                <w:sz w:val="24"/>
              </w:rPr>
            </w:pPr>
            <w:r>
              <w:rPr>
                <w:rFonts w:hint="eastAsia" w:ascii="宋体" w:hAnsi="宋体" w:cs="宋体"/>
                <w:sz w:val="24"/>
              </w:rPr>
              <w:t>系人</w:t>
            </w:r>
          </w:p>
        </w:tc>
        <w:tc>
          <w:tcPr>
            <w:tcW w:w="2310" w:type="dxa"/>
            <w:vAlign w:val="center"/>
          </w:tcPr>
          <w:p>
            <w:pPr>
              <w:adjustRightInd w:val="0"/>
              <w:snapToGrid w:val="0"/>
              <w:jc w:val="center"/>
              <w:rPr>
                <w:rFonts w:hint="default" w:ascii="宋体" w:hAnsi="宋体" w:eastAsia="宋体" w:cs="宋体"/>
                <w:sz w:val="24"/>
                <w:lang w:val="en-US" w:eastAsia="zh-CN"/>
              </w:rPr>
            </w:pPr>
            <w:r>
              <w:rPr>
                <w:rFonts w:hint="eastAsia" w:hAnsi="宋体"/>
                <w:sz w:val="24"/>
                <w:lang w:val="en-US" w:eastAsia="zh-CN"/>
              </w:rPr>
              <w:t>李东生</w:t>
            </w:r>
          </w:p>
        </w:tc>
        <w:tc>
          <w:tcPr>
            <w:tcW w:w="2295" w:type="dxa"/>
            <w:vAlign w:val="center"/>
          </w:tcPr>
          <w:p>
            <w:pPr>
              <w:adjustRightInd w:val="0"/>
              <w:snapToGrid w:val="0"/>
              <w:jc w:val="center"/>
              <w:rPr>
                <w:rFonts w:ascii="宋体" w:hAnsi="宋体" w:cs="宋体"/>
                <w:sz w:val="24"/>
              </w:rPr>
            </w:pPr>
            <w:r>
              <w:rPr>
                <w:rFonts w:hint="eastAsia" w:ascii="宋体" w:hAnsi="宋体" w:cs="宋体"/>
                <w:sz w:val="24"/>
              </w:rPr>
              <w:t>联系方式</w:t>
            </w:r>
          </w:p>
        </w:tc>
        <w:tc>
          <w:tcPr>
            <w:tcW w:w="3191" w:type="dxa"/>
            <w:vAlign w:val="center"/>
          </w:tcPr>
          <w:p>
            <w:pPr>
              <w:adjustRightInd w:val="0"/>
              <w:snapToGrid w:val="0"/>
              <w:jc w:val="center"/>
              <w:rPr>
                <w:rFonts w:hint="default" w:ascii="宋体" w:hAnsi="宋体" w:eastAsia="宋体" w:cs="宋体"/>
                <w:sz w:val="24"/>
                <w:lang w:val="en-US" w:eastAsia="zh-CN"/>
              </w:rPr>
            </w:pPr>
            <w:r>
              <w:rPr>
                <w:rFonts w:hint="eastAsia"/>
                <w:sz w:val="24"/>
              </w:rPr>
              <w:t>1</w:t>
            </w:r>
            <w:r>
              <w:rPr>
                <w:rFonts w:hint="eastAsia"/>
                <w:sz w:val="24"/>
                <w:lang w:val="en-US" w:eastAsia="zh-CN"/>
              </w:rPr>
              <w:t>8089536178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7796" w:type="dxa"/>
            <w:gridSpan w:val="3"/>
            <w:vAlign w:val="center"/>
          </w:tcPr>
          <w:p>
            <w:pPr>
              <w:adjustRightInd w:val="0"/>
              <w:snapToGrid w:val="0"/>
              <w:jc w:val="center"/>
              <w:rPr>
                <w:rFonts w:hint="eastAsia" w:ascii="宋体" w:hAnsi="宋体" w:eastAsia="宋体" w:cs="宋体"/>
                <w:sz w:val="24"/>
                <w:lang w:eastAsia="zh-CN"/>
              </w:rPr>
            </w:pPr>
            <w:r>
              <w:rPr>
                <w:rFonts w:hint="eastAsia" w:ascii="宋体" w:hAnsi="宋体" w:cs="宋体"/>
                <w:sz w:val="24"/>
                <w:u w:val="single"/>
              </w:rPr>
              <w:t>四川</w:t>
            </w:r>
            <w:r>
              <w:rPr>
                <w:rFonts w:hint="eastAsia" w:ascii="宋体" w:hAnsi="宋体" w:cs="宋体"/>
                <w:sz w:val="24"/>
              </w:rPr>
              <w:t>省（自治区）</w:t>
            </w:r>
            <w:r>
              <w:rPr>
                <w:rFonts w:hint="eastAsia" w:ascii="宋体" w:hAnsi="宋体" w:cs="宋体"/>
                <w:sz w:val="24"/>
                <w:u w:val="single"/>
                <w:lang w:val="en-US" w:eastAsia="zh-CN"/>
              </w:rPr>
              <w:t>广元</w:t>
            </w:r>
            <w:r>
              <w:rPr>
                <w:rFonts w:hint="eastAsia" w:ascii="宋体" w:hAnsi="宋体" w:cs="宋体"/>
                <w:sz w:val="24"/>
              </w:rPr>
              <w:t>市</w:t>
            </w:r>
            <w:r>
              <w:rPr>
                <w:rFonts w:hint="eastAsia" w:ascii="宋体" w:hAnsi="宋体" w:cs="宋体"/>
                <w:sz w:val="24"/>
                <w:u w:val="single"/>
                <w:lang w:val="en-US" w:eastAsia="zh-CN"/>
              </w:rPr>
              <w:t>旺苍</w:t>
            </w:r>
            <w:r>
              <w:rPr>
                <w:rFonts w:hint="eastAsia" w:ascii="宋体" w:hAnsi="宋体" w:cs="宋体"/>
                <w:sz w:val="24"/>
                <w:lang w:val="en-US" w:eastAsia="zh-CN"/>
              </w:rPr>
              <w:t>县</w:t>
            </w:r>
            <w:r>
              <w:rPr>
                <w:rFonts w:hint="eastAsia" w:ascii="宋体" w:hAnsi="宋体" w:cs="宋体"/>
                <w:sz w:val="24"/>
              </w:rPr>
              <w:t>（区）</w:t>
            </w:r>
            <w:r>
              <w:rPr>
                <w:rFonts w:hint="eastAsia" w:ascii="宋体" w:hAnsi="宋体" w:cs="宋体"/>
                <w:sz w:val="24"/>
                <w:u w:val="single"/>
                <w:lang w:val="en-US" w:eastAsia="zh-CN"/>
              </w:rPr>
              <w:t>东河镇</w:t>
            </w:r>
            <w:r>
              <w:rPr>
                <w:rFonts w:hint="eastAsia" w:ascii="宋体" w:hAnsi="宋体" w:cs="宋体"/>
                <w:sz w:val="24"/>
              </w:rPr>
              <w:t>（街道）</w:t>
            </w:r>
            <w:r>
              <w:rPr>
                <w:rFonts w:hint="eastAsia" w:ascii="宋体" w:hAnsi="宋体" w:cs="宋体"/>
                <w:sz w:val="24"/>
                <w:u w:val="single"/>
                <w:lang w:val="en-US" w:eastAsia="zh-CN"/>
              </w:rPr>
              <w:t>南风</w:t>
            </w:r>
            <w:r>
              <w:rPr>
                <w:rFonts w:ascii="宋体" w:hAnsi="宋体" w:cs="宋体"/>
                <w:sz w:val="24"/>
                <w:u w:val="none"/>
              </w:rPr>
              <w:t>村</w:t>
            </w:r>
            <w:r>
              <w:rPr>
                <w:rFonts w:hint="eastAsia" w:ascii="宋体" w:hAnsi="宋体" w:cs="宋体"/>
                <w:sz w:val="24"/>
                <w:u w:val="single"/>
                <w:lang w:eastAsia="zh-CN"/>
              </w:rPr>
              <w:t>、凤阳</w:t>
            </w:r>
            <w:r>
              <w:rPr>
                <w:rFonts w:hint="eastAsia" w:ascii="宋体" w:hAnsi="宋体" w:cs="宋体"/>
                <w:sz w:val="24"/>
                <w:u w:val="none"/>
                <w:lang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7796" w:type="dxa"/>
            <w:gridSpan w:val="3"/>
            <w:vAlign w:val="center"/>
          </w:tcPr>
          <w:p>
            <w:pPr>
              <w:adjustRightInd w:val="0"/>
              <w:snapToGrid w:val="0"/>
              <w:jc w:val="center"/>
              <w:rPr>
                <w:rFonts w:ascii="宋体" w:hAnsi="宋体" w:cs="宋体"/>
                <w:sz w:val="24"/>
              </w:rPr>
            </w:pPr>
            <w:r>
              <w:rPr>
                <w:rFonts w:hint="eastAsia" w:ascii="宋体" w:hAnsi="宋体" w:cs="宋体"/>
                <w:sz w:val="24"/>
              </w:rPr>
              <w:t>（</w:t>
            </w:r>
            <w:r>
              <w:rPr>
                <w:rFonts w:ascii="宋体" w:hAnsi="宋体" w:cs="宋体"/>
                <w:sz w:val="24"/>
                <w:u w:val="single"/>
              </w:rPr>
              <w:t>10</w:t>
            </w:r>
            <w:r>
              <w:rPr>
                <w:rFonts w:hint="eastAsia" w:ascii="宋体" w:hAnsi="宋体" w:cs="宋体"/>
                <w:sz w:val="24"/>
                <w:u w:val="single"/>
                <w:lang w:val="en-US" w:eastAsia="zh-CN"/>
              </w:rPr>
              <w:t>6</w:t>
            </w:r>
            <w:r>
              <w:rPr>
                <w:rFonts w:hint="eastAsia" w:ascii="宋体" w:hAnsi="宋体" w:cs="宋体"/>
                <w:sz w:val="24"/>
              </w:rPr>
              <w:t>度</w:t>
            </w:r>
            <w:r>
              <w:rPr>
                <w:rFonts w:hint="eastAsia" w:ascii="宋体" w:hAnsi="宋体" w:cs="宋体"/>
                <w:sz w:val="24"/>
                <w:u w:val="single"/>
                <w:lang w:val="en-US" w:eastAsia="zh-CN"/>
              </w:rPr>
              <w:t>25</w:t>
            </w:r>
            <w:r>
              <w:rPr>
                <w:rFonts w:hint="eastAsia" w:ascii="宋体" w:hAnsi="宋体" w:cs="宋体"/>
                <w:sz w:val="24"/>
              </w:rPr>
              <w:t>分</w:t>
            </w:r>
            <w:r>
              <w:rPr>
                <w:rFonts w:hint="eastAsia" w:ascii="宋体" w:hAnsi="宋体" w:cs="宋体"/>
                <w:sz w:val="24"/>
                <w:u w:val="single"/>
                <w:lang w:val="en-US" w:eastAsia="zh-CN"/>
              </w:rPr>
              <w:t>5</w:t>
            </w:r>
            <w:r>
              <w:rPr>
                <w:rFonts w:ascii="宋体" w:hAnsi="宋体" w:cs="宋体"/>
                <w:sz w:val="24"/>
                <w:u w:val="single"/>
              </w:rPr>
              <w:t>.</w:t>
            </w:r>
            <w:r>
              <w:rPr>
                <w:rFonts w:hint="eastAsia" w:ascii="宋体" w:hAnsi="宋体" w:cs="宋体"/>
                <w:sz w:val="24"/>
                <w:u w:val="single"/>
                <w:lang w:val="en-US" w:eastAsia="zh-CN"/>
              </w:rPr>
              <w:t>948</w:t>
            </w:r>
            <w:r>
              <w:rPr>
                <w:rFonts w:hint="eastAsia" w:ascii="宋体" w:hAnsi="宋体" w:cs="宋体"/>
                <w:sz w:val="24"/>
              </w:rPr>
              <w:t>秒，</w:t>
            </w:r>
            <w:r>
              <w:rPr>
                <w:rFonts w:ascii="宋体" w:hAnsi="宋体" w:cs="宋体"/>
                <w:sz w:val="24"/>
                <w:u w:val="single"/>
              </w:rPr>
              <w:t>3</w:t>
            </w:r>
            <w:r>
              <w:rPr>
                <w:rFonts w:hint="eastAsia" w:ascii="宋体" w:hAnsi="宋体" w:cs="宋体"/>
                <w:sz w:val="24"/>
                <w:u w:val="single"/>
                <w:lang w:val="en-US" w:eastAsia="zh-CN"/>
              </w:rPr>
              <w:t>6</w:t>
            </w:r>
            <w:r>
              <w:rPr>
                <w:rFonts w:hint="eastAsia" w:ascii="宋体" w:hAnsi="宋体" w:cs="宋体"/>
                <w:sz w:val="24"/>
              </w:rPr>
              <w:t>度</w:t>
            </w:r>
            <w:r>
              <w:rPr>
                <w:rFonts w:hint="eastAsia" w:ascii="宋体" w:hAnsi="宋体" w:cs="宋体"/>
                <w:sz w:val="24"/>
                <w:u w:val="single"/>
                <w:lang w:val="en-US" w:eastAsia="zh-CN"/>
              </w:rPr>
              <w:t>6</w:t>
            </w:r>
            <w:r>
              <w:rPr>
                <w:rFonts w:hint="eastAsia" w:ascii="宋体" w:hAnsi="宋体" w:cs="宋体"/>
                <w:sz w:val="24"/>
              </w:rPr>
              <w:t>分</w:t>
            </w:r>
            <w:r>
              <w:rPr>
                <w:rFonts w:hint="eastAsia" w:ascii="宋体" w:hAnsi="宋体" w:cs="宋体"/>
                <w:sz w:val="24"/>
                <w:u w:val="single"/>
                <w:lang w:val="en-US" w:eastAsia="zh-CN"/>
              </w:rPr>
              <w:t>59</w:t>
            </w:r>
            <w:r>
              <w:rPr>
                <w:rFonts w:ascii="宋体" w:hAnsi="宋体" w:cs="宋体"/>
                <w:sz w:val="24"/>
                <w:u w:val="single"/>
              </w:rPr>
              <w:t>.</w:t>
            </w:r>
            <w:r>
              <w:rPr>
                <w:rFonts w:hint="eastAsia" w:ascii="宋体" w:hAnsi="宋体" w:cs="宋体"/>
                <w:sz w:val="24"/>
                <w:u w:val="single"/>
                <w:lang w:val="en-US" w:eastAsia="zh-CN"/>
              </w:rPr>
              <w:t>801</w:t>
            </w:r>
            <w:r>
              <w:rPr>
                <w:rFonts w:hint="eastAsia" w:ascii="宋体" w:hAnsi="宋体" w:cs="宋体"/>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行业类别</w:t>
            </w:r>
          </w:p>
        </w:tc>
        <w:tc>
          <w:tcPr>
            <w:tcW w:w="2310" w:type="dxa"/>
            <w:vAlign w:val="center"/>
          </w:tcPr>
          <w:p>
            <w:pPr>
              <w:adjustRightInd w:val="0"/>
              <w:snapToGrid w:val="0"/>
              <w:jc w:val="center"/>
              <w:rPr>
                <w:rFonts w:ascii="宋体" w:hAnsi="宋体" w:cs="宋体"/>
                <w:sz w:val="24"/>
              </w:rPr>
            </w:pPr>
            <w:r>
              <w:rPr>
                <w:rFonts w:hint="eastAsia"/>
                <w:color w:val="auto"/>
                <w:sz w:val="24"/>
                <w:szCs w:val="24"/>
                <w:highlight w:val="none"/>
              </w:rPr>
              <w:t>天然水收集与分配</w:t>
            </w:r>
            <w:r>
              <w:rPr>
                <w:rFonts w:ascii="Times New Roman" w:hAnsi="Times New Roman" w:cs="Times New Roman"/>
                <w:color w:val="auto"/>
                <w:sz w:val="24"/>
                <w:szCs w:val="24"/>
              </w:rPr>
              <w:t>（</w:t>
            </w:r>
            <w:r>
              <w:rPr>
                <w:rFonts w:ascii="Times New Roman" w:hAnsi="Times New Roman" w:eastAsia="Times New Roman" w:cs="Times New Roman"/>
                <w:color w:val="auto"/>
                <w:sz w:val="24"/>
                <w:szCs w:val="24"/>
              </w:rPr>
              <w:t>N7630</w:t>
            </w:r>
            <w:r>
              <w:rPr>
                <w:rFonts w:ascii="Times New Roman" w:hAnsi="Times New Roman" w:cs="Times New Roman"/>
                <w:color w:val="auto"/>
                <w:sz w:val="24"/>
                <w:szCs w:val="24"/>
              </w:rPr>
              <w:t>）</w:t>
            </w:r>
          </w:p>
        </w:tc>
        <w:tc>
          <w:tcPr>
            <w:tcW w:w="2295" w:type="dxa"/>
            <w:vAlign w:val="center"/>
          </w:tcPr>
          <w:p>
            <w:pPr>
              <w:adjustRightInd w:val="0"/>
              <w:snapToGrid w:val="0"/>
              <w:jc w:val="center"/>
              <w:rPr>
                <w:rFonts w:ascii="宋体" w:hAnsi="宋体" w:cs="宋体"/>
                <w:sz w:val="24"/>
              </w:rPr>
            </w:pPr>
            <w:r>
              <w:rPr>
                <w:rFonts w:hint="eastAsia" w:ascii="宋体" w:hAnsi="宋体" w:cs="宋体"/>
                <w:sz w:val="24"/>
              </w:rPr>
              <w:t>用地面积（</w:t>
            </w:r>
            <w:r>
              <w:rPr>
                <w:rFonts w:ascii="宋体" w:hAnsi="宋体" w:cs="宋体"/>
                <w:sz w:val="24"/>
              </w:rPr>
              <w:t>m</w:t>
            </w:r>
            <w:r>
              <w:rPr>
                <w:rFonts w:ascii="宋体" w:hAnsi="宋体" w:cs="宋体"/>
                <w:sz w:val="24"/>
                <w:vertAlign w:val="superscript"/>
              </w:rPr>
              <w:t>2</w:t>
            </w:r>
            <w:r>
              <w:rPr>
                <w:rFonts w:hint="eastAsia" w:ascii="宋体" w:hAnsi="宋体" w:cs="宋体"/>
                <w:sz w:val="24"/>
              </w:rPr>
              <w:t>）</w:t>
            </w:r>
          </w:p>
        </w:tc>
        <w:tc>
          <w:tcPr>
            <w:tcW w:w="3191" w:type="dxa"/>
            <w:vAlign w:val="center"/>
          </w:tcPr>
          <w:p>
            <w:pPr>
              <w:adjustRightInd w:val="0"/>
              <w:snapToGrid w:val="0"/>
              <w:jc w:val="center"/>
              <w:rPr>
                <w:rFonts w:ascii="宋体" w:hAnsi="宋体" w:cs="宋体"/>
                <w:sz w:val="24"/>
              </w:rPr>
            </w:pPr>
            <w:r>
              <w:rPr>
                <w:sz w:val="24"/>
              </w:rPr>
              <w:t>1</w:t>
            </w:r>
            <w:r>
              <w:rPr>
                <w:rFonts w:hint="eastAsia"/>
                <w:sz w:val="24"/>
                <w:lang w:val="en-US" w:eastAsia="zh-CN"/>
              </w:rPr>
              <w:t>89373</w:t>
            </w:r>
            <w:r>
              <w:rPr>
                <w:sz w:val="24"/>
              </w:rPr>
              <w:t>m</w:t>
            </w:r>
            <w:r>
              <w:rPr>
                <w:sz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2310" w:type="dxa"/>
            <w:vAlign w:val="center"/>
          </w:tcPr>
          <w:p>
            <w:pPr>
              <w:adjustRightInd w:val="0"/>
              <w:snapToGrid w:val="0"/>
              <w:jc w:val="left"/>
              <w:rPr>
                <w:rFonts w:ascii="宋体" w:hAnsi="宋体" w:cs="宋体"/>
                <w:sz w:val="24"/>
              </w:rPr>
            </w:pPr>
            <w:r>
              <w:rPr>
                <w:rFonts w:hint="eastAsia" w:ascii="宋体" w:hAnsi="宋体" w:cs="宋体"/>
                <w:sz w:val="24"/>
              </w:rPr>
              <w:t>√新建（迁建）</w:t>
            </w:r>
          </w:p>
          <w:p>
            <w:pPr>
              <w:adjustRightInd w:val="0"/>
              <w:snapToGrid w:val="0"/>
              <w:jc w:val="left"/>
              <w:rPr>
                <w:rFonts w:ascii="宋体" w:hAnsi="宋体" w:cs="宋体"/>
                <w:sz w:val="24"/>
              </w:rPr>
            </w:pPr>
            <w:r>
              <w:rPr>
                <w:rFonts w:hint="eastAsia" w:ascii="宋体" w:hAnsi="宋体" w:cs="宋体"/>
                <w:sz w:val="24"/>
              </w:rPr>
              <w:t>□改建</w:t>
            </w:r>
          </w:p>
          <w:p>
            <w:pPr>
              <w:adjustRightInd w:val="0"/>
              <w:snapToGrid w:val="0"/>
              <w:jc w:val="left"/>
              <w:rPr>
                <w:rFonts w:ascii="宋体" w:hAnsi="宋体" w:cs="宋体"/>
                <w:sz w:val="24"/>
              </w:rPr>
            </w:pPr>
            <w:r>
              <w:rPr>
                <w:rFonts w:hint="eastAsia" w:ascii="宋体" w:hAnsi="宋体" w:cs="宋体"/>
                <w:sz w:val="24"/>
              </w:rPr>
              <w:t>□扩建</w:t>
            </w:r>
          </w:p>
          <w:p>
            <w:pPr>
              <w:adjustRightInd w:val="0"/>
              <w:snapToGrid w:val="0"/>
              <w:jc w:val="left"/>
              <w:rPr>
                <w:rFonts w:ascii="宋体" w:hAnsi="宋体" w:cs="宋体"/>
                <w:sz w:val="24"/>
              </w:rPr>
            </w:pPr>
            <w:r>
              <w:rPr>
                <w:rFonts w:hint="eastAsia" w:ascii="宋体" w:hAnsi="宋体" w:cs="宋体"/>
                <w:sz w:val="24"/>
              </w:rPr>
              <w:t>□技术改造</w:t>
            </w:r>
          </w:p>
        </w:tc>
        <w:tc>
          <w:tcPr>
            <w:tcW w:w="2295" w:type="dxa"/>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3191" w:type="dxa"/>
            <w:vAlign w:val="center"/>
          </w:tcPr>
          <w:p>
            <w:pPr>
              <w:adjustRightInd w:val="0"/>
              <w:snapToGrid w:val="0"/>
              <w:jc w:val="left"/>
              <w:rPr>
                <w:rFonts w:ascii="宋体" w:hAnsi="宋体" w:cs="宋体"/>
                <w:sz w:val="24"/>
              </w:rPr>
            </w:pPr>
            <w:r>
              <w:rPr>
                <w:rFonts w:hint="eastAsia" w:ascii="宋体" w:hAnsi="宋体" w:cs="宋体"/>
                <w:sz w:val="24"/>
              </w:rPr>
              <w:t>√首次申报项目</w:t>
            </w:r>
          </w:p>
          <w:p>
            <w:pPr>
              <w:adjustRightInd w:val="0"/>
              <w:snapToGrid w:val="0"/>
              <w:jc w:val="left"/>
              <w:rPr>
                <w:rFonts w:ascii="宋体" w:hAnsi="宋体" w:cs="宋体"/>
                <w:sz w:val="24"/>
              </w:rPr>
            </w:pPr>
            <w:r>
              <w:rPr>
                <w:rFonts w:hint="eastAsia" w:ascii="宋体" w:hAnsi="宋体" w:cs="宋体"/>
                <w:sz w:val="24"/>
              </w:rPr>
              <w:t>□不予批准后再次申报项目</w:t>
            </w:r>
          </w:p>
          <w:p>
            <w:pPr>
              <w:adjustRightInd w:val="0"/>
              <w:snapToGrid w:val="0"/>
              <w:jc w:val="left"/>
              <w:rPr>
                <w:rFonts w:ascii="宋体" w:hAnsi="宋体" w:cs="宋体"/>
                <w:sz w:val="24"/>
              </w:rPr>
            </w:pPr>
            <w:r>
              <w:rPr>
                <w:rFonts w:hint="eastAsia" w:ascii="宋体" w:hAnsi="宋体" w:cs="宋体"/>
                <w:sz w:val="24"/>
              </w:rPr>
              <w:t>□超五年重新审核项目</w:t>
            </w:r>
          </w:p>
          <w:p>
            <w:pPr>
              <w:adjustRightInd w:val="0"/>
              <w:snapToGrid w:val="0"/>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项目审批（备案）部门</w:t>
            </w:r>
          </w:p>
        </w:tc>
        <w:tc>
          <w:tcPr>
            <w:tcW w:w="2310" w:type="dxa"/>
            <w:vAlign w:val="center"/>
          </w:tcPr>
          <w:p>
            <w:pPr>
              <w:adjustRightInd w:val="0"/>
              <w:snapToGrid w:val="0"/>
              <w:jc w:val="center"/>
              <w:rPr>
                <w:rFonts w:ascii="宋体" w:hAnsi="宋体" w:cs="宋体"/>
                <w:sz w:val="24"/>
              </w:rPr>
            </w:pPr>
            <w:r>
              <w:rPr>
                <w:rFonts w:hint="eastAsia" w:ascii="宋体" w:hAnsi="宋体" w:cs="宋体"/>
                <w:sz w:val="24"/>
                <w:lang w:val="en-US" w:eastAsia="zh-CN"/>
              </w:rPr>
              <w:t>旺苍县</w:t>
            </w:r>
            <w:r>
              <w:rPr>
                <w:rFonts w:hint="eastAsia" w:ascii="宋体" w:hAnsi="宋体" w:cs="宋体"/>
                <w:sz w:val="24"/>
              </w:rPr>
              <w:t>发展和</w:t>
            </w:r>
            <w:r>
              <w:rPr>
                <w:rFonts w:ascii="宋体" w:hAnsi="宋体" w:cs="宋体"/>
                <w:sz w:val="24"/>
              </w:rPr>
              <w:t>改革局</w:t>
            </w:r>
          </w:p>
        </w:tc>
        <w:tc>
          <w:tcPr>
            <w:tcW w:w="2295" w:type="dxa"/>
            <w:vAlign w:val="center"/>
          </w:tcPr>
          <w:p>
            <w:pPr>
              <w:adjustRightInd w:val="0"/>
              <w:snapToGrid w:val="0"/>
              <w:jc w:val="center"/>
              <w:rPr>
                <w:rFonts w:ascii="宋体" w:hAnsi="宋体" w:cs="宋体"/>
                <w:sz w:val="24"/>
              </w:rPr>
            </w:pPr>
            <w:r>
              <w:rPr>
                <w:rFonts w:hint="eastAsia" w:ascii="宋体" w:hAnsi="宋体" w:cs="宋体"/>
                <w:sz w:val="24"/>
              </w:rPr>
              <w:t>项目审批（备案）文号</w:t>
            </w:r>
          </w:p>
        </w:tc>
        <w:tc>
          <w:tcPr>
            <w:tcW w:w="3191" w:type="dxa"/>
            <w:vAlign w:val="center"/>
          </w:tcPr>
          <w:p>
            <w:pPr>
              <w:adjustRightInd w:val="0"/>
              <w:snapToGrid w:val="0"/>
              <w:jc w:val="center"/>
              <w:rPr>
                <w:rFonts w:ascii="宋体" w:hAnsi="宋体" w:cs="宋体"/>
                <w:sz w:val="24"/>
              </w:rPr>
            </w:pPr>
            <w:r>
              <w:rPr>
                <w:rFonts w:hint="eastAsia" w:ascii="宋体" w:hAnsi="宋体" w:cs="宋体"/>
                <w:bCs/>
                <w:sz w:val="24"/>
                <w:lang w:val="en-US" w:eastAsia="zh-CN"/>
              </w:rPr>
              <w:t>旺发改</w:t>
            </w:r>
            <w:r>
              <w:rPr>
                <w:rFonts w:hint="eastAsia" w:ascii="宋体" w:hAnsi="宋体" w:cs="宋体"/>
                <w:bCs/>
                <w:sz w:val="24"/>
              </w:rPr>
              <w:t>【20</w:t>
            </w:r>
            <w:r>
              <w:rPr>
                <w:rFonts w:hint="eastAsia" w:ascii="宋体" w:hAnsi="宋体" w:cs="宋体"/>
                <w:bCs/>
                <w:sz w:val="24"/>
                <w:lang w:val="en-US" w:eastAsia="zh-CN"/>
              </w:rPr>
              <w:t>23</w:t>
            </w:r>
            <w:r>
              <w:rPr>
                <w:rFonts w:hint="eastAsia" w:ascii="宋体" w:hAnsi="宋体" w:cs="宋体"/>
                <w:bCs/>
                <w:sz w:val="24"/>
              </w:rPr>
              <w:t>】</w:t>
            </w:r>
            <w:r>
              <w:rPr>
                <w:rFonts w:hint="eastAsia" w:ascii="宋体" w:hAnsi="宋体" w:cs="宋体"/>
                <w:bCs/>
                <w:sz w:val="24"/>
                <w:lang w:val="en-US" w:eastAsia="zh-CN"/>
              </w:rPr>
              <w:t>335</w:t>
            </w:r>
            <w:r>
              <w:rPr>
                <w:rFonts w:hint="eastAsia" w:ascii="宋体" w:hAnsi="宋体" w:cs="宋体"/>
                <w:bCs/>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2310" w:type="dxa"/>
            <w:vAlign w:val="center"/>
          </w:tcPr>
          <w:p>
            <w:pPr>
              <w:adjustRightInd w:val="0"/>
              <w:snapToGrid w:val="0"/>
              <w:jc w:val="center"/>
              <w:rPr>
                <w:rFonts w:hint="default" w:ascii="宋体" w:hAnsi="宋体" w:eastAsia="宋体" w:cs="宋体"/>
                <w:sz w:val="24"/>
                <w:lang w:val="en-US" w:eastAsia="zh-CN"/>
              </w:rPr>
            </w:pPr>
            <w:r>
              <w:rPr>
                <w:rFonts w:hint="eastAsia"/>
                <w:color w:val="000000"/>
                <w:sz w:val="24"/>
                <w:lang w:val="en-US" w:eastAsia="zh-CN"/>
              </w:rPr>
              <w:t>17200</w:t>
            </w:r>
          </w:p>
        </w:tc>
        <w:tc>
          <w:tcPr>
            <w:tcW w:w="2295"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环保投资（万元）</w:t>
            </w:r>
          </w:p>
        </w:tc>
        <w:tc>
          <w:tcPr>
            <w:tcW w:w="3191" w:type="dxa"/>
            <w:vAlign w:val="center"/>
          </w:tcPr>
          <w:p>
            <w:pPr>
              <w:adjustRightInd w:val="0"/>
              <w:snapToGrid w:val="0"/>
              <w:jc w:val="center"/>
              <w:rPr>
                <w:rFonts w:hint="default" w:ascii="宋体" w:hAnsi="宋体" w:eastAsia="宋体" w:cs="宋体"/>
                <w:sz w:val="24"/>
                <w:lang w:val="en-US" w:eastAsia="zh-CN"/>
              </w:rPr>
            </w:pPr>
            <w:r>
              <w:rPr>
                <w:rFonts w:hint="eastAsia"/>
                <w:sz w:val="24"/>
                <w:highlight w:val="none"/>
                <w:lang w:val="en-US" w:eastAsia="zh-CN"/>
              </w:rPr>
              <w:t>128.35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2310" w:type="dxa"/>
            <w:vAlign w:val="center"/>
          </w:tcPr>
          <w:p>
            <w:pPr>
              <w:adjustRightInd w:val="0"/>
              <w:snapToGrid w:val="0"/>
              <w:jc w:val="center"/>
              <w:rPr>
                <w:rFonts w:hint="default" w:ascii="宋体" w:hAnsi="宋体" w:eastAsia="宋体" w:cs="宋体"/>
                <w:sz w:val="24"/>
                <w:lang w:val="en-US" w:eastAsia="zh-CN"/>
              </w:rPr>
            </w:pPr>
            <w:r>
              <w:rPr>
                <w:rFonts w:hint="eastAsia"/>
                <w:sz w:val="24"/>
                <w:highlight w:val="none"/>
                <w:lang w:val="en-US" w:eastAsia="zh-CN"/>
              </w:rPr>
              <w:t>0.75</w:t>
            </w:r>
          </w:p>
        </w:tc>
        <w:tc>
          <w:tcPr>
            <w:tcW w:w="2295"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施工工期</w:t>
            </w:r>
          </w:p>
        </w:tc>
        <w:tc>
          <w:tcPr>
            <w:tcW w:w="3191" w:type="dxa"/>
            <w:vAlign w:val="center"/>
          </w:tcPr>
          <w:p>
            <w:pPr>
              <w:adjustRightInd w:val="0"/>
              <w:snapToGrid w:val="0"/>
              <w:jc w:val="center"/>
              <w:rPr>
                <w:rFonts w:ascii="宋体" w:hAnsi="宋体" w:cs="宋体"/>
                <w:sz w:val="24"/>
              </w:rPr>
            </w:pPr>
            <w:r>
              <w:rPr>
                <w:rFonts w:hint="eastAsia" w:ascii="宋体" w:hAnsi="宋体" w:cs="宋体"/>
                <w:sz w:val="24"/>
                <w:lang w:val="en-US" w:eastAsia="zh-CN"/>
              </w:rPr>
              <w:t>37</w:t>
            </w:r>
            <w:r>
              <w:rPr>
                <w:rFonts w:hint="eastAsia" w:ascii="宋体" w:hAnsi="宋体" w:cs="宋体"/>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550" w:type="dxa"/>
            <w:gridSpan w:val="3"/>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7796" w:type="dxa"/>
            <w:gridSpan w:val="3"/>
            <w:vAlign w:val="center"/>
          </w:tcPr>
          <w:p>
            <w:pPr>
              <w:adjustRightInd w:val="0"/>
              <w:snapToGrid w:val="0"/>
              <w:ind w:firstLine="105"/>
              <w:jc w:val="left"/>
              <w:rPr>
                <w:rFonts w:ascii="宋体" w:hAnsi="宋体" w:cs="宋体"/>
                <w:sz w:val="24"/>
              </w:rPr>
            </w:pPr>
            <w:r>
              <w:rPr>
                <w:rFonts w:hint="eastAsia" w:ascii="宋体" w:hAnsi="宋体" w:cs="宋体"/>
                <w:sz w:val="24"/>
                <w:lang w:eastAsia="zh-CN"/>
              </w:rPr>
              <w:t>□</w:t>
            </w:r>
            <w:r>
              <w:rPr>
                <w:rFonts w:hint="eastAsia" w:ascii="宋体" w:hAnsi="宋体" w:cs="宋体"/>
                <w:sz w:val="24"/>
              </w:rPr>
              <w:t>否</w:t>
            </w:r>
          </w:p>
          <w:p>
            <w:pPr>
              <w:adjustRightInd w:val="0"/>
              <w:snapToGrid w:val="0"/>
              <w:ind w:firstLine="92"/>
              <w:jc w:val="left"/>
              <w:rPr>
                <w:rFonts w:hint="default" w:ascii="宋体" w:hAnsi="宋体" w:eastAsia="宋体" w:cs="宋体"/>
                <w:sz w:val="24"/>
                <w:lang w:val="en-US" w:eastAsia="zh-CN"/>
              </w:rPr>
            </w:pPr>
            <w:r>
              <w:rPr>
                <w:rFonts w:hint="eastAsia" w:ascii="宋体" w:hAnsi="宋体" w:cs="宋体"/>
                <w:sz w:val="24"/>
                <w:lang w:eastAsia="zh-CN"/>
              </w:rPr>
              <w:t>☑</w:t>
            </w:r>
            <w:r>
              <w:rPr>
                <w:rFonts w:hint="eastAsia" w:ascii="宋体" w:hAnsi="宋体" w:cs="宋体"/>
                <w:sz w:val="24"/>
              </w:rPr>
              <w:t>是：</w:t>
            </w:r>
            <w:r>
              <w:rPr>
                <w:rFonts w:hint="eastAsia" w:ascii="宋体" w:hAnsi="宋体" w:cs="宋体"/>
                <w:sz w:val="24"/>
                <w:lang w:val="en-US" w:eastAsia="zh-CN"/>
              </w:rPr>
              <w:t>2023年12月已开工建设，目前已完成施工临时工程的建设，进入永久工程施工阶段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766" w:type="dxa"/>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8580" w:type="dxa"/>
            <w:gridSpan w:val="5"/>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spacing w:val="0"/>
                <w:sz w:val="24"/>
                <w:szCs w:val="24"/>
              </w:rPr>
            </w:pPr>
            <w:r>
              <w:rPr>
                <w:spacing w:val="0"/>
                <w:sz w:val="24"/>
                <w:szCs w:val="24"/>
              </w:rPr>
              <w:t>根据生态影响类建设项目环境影响报告表编制技术指南中表</w:t>
            </w:r>
            <w:r>
              <w:rPr>
                <w:rFonts w:ascii="Times New Roman" w:hAnsi="Times New Roman" w:eastAsia="Times New Roman" w:cs="Times New Roman"/>
                <w:spacing w:val="0"/>
                <w:sz w:val="24"/>
                <w:szCs w:val="24"/>
              </w:rPr>
              <w:t>1</w:t>
            </w:r>
            <w:r>
              <w:rPr>
                <w:spacing w:val="0"/>
                <w:sz w:val="24"/>
                <w:szCs w:val="24"/>
              </w:rPr>
              <w:t>专项评价设置原则表可知：</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表1-1</w:t>
            </w:r>
            <w:r>
              <w:rPr>
                <w:rFonts w:hint="eastAsia" w:ascii="宋体" w:hAnsi="宋体" w:cs="宋体"/>
                <w:b/>
                <w:bCs/>
                <w:spacing w:val="3"/>
                <w:sz w:val="21"/>
                <w:szCs w:val="21"/>
                <w:lang w:val="en-US" w:eastAsia="zh-CN"/>
              </w:rPr>
              <w:t xml:space="preserve">  </w:t>
            </w:r>
            <w:r>
              <w:rPr>
                <w:rFonts w:hint="eastAsia" w:ascii="宋体" w:hAnsi="宋体" w:eastAsia="宋体" w:cs="宋体"/>
                <w:b/>
                <w:bCs/>
                <w:spacing w:val="3"/>
                <w:sz w:val="21"/>
                <w:szCs w:val="21"/>
              </w:rPr>
              <w:t>专项评价设置原则表</w:t>
            </w:r>
          </w:p>
          <w:tbl>
            <w:tblPr>
              <w:tblStyle w:val="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8"/>
              <w:gridCol w:w="5032"/>
              <w:gridCol w:w="1399"/>
              <w:gridCol w:w="12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spacing w:val="0"/>
                      <w:sz w:val="21"/>
                    </w:rPr>
                  </w:pPr>
                  <w:r>
                    <w:rPr>
                      <w:b/>
                      <w:bCs/>
                      <w:spacing w:val="0"/>
                      <w:sz w:val="21"/>
                    </w:rPr>
                    <w:t>专项价</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0"/>
                      <w:sz w:val="21"/>
                    </w:rPr>
                    <w:t>的类别</w:t>
                  </w:r>
                </w:p>
              </w:tc>
              <w:tc>
                <w:tcPr>
                  <w:tcW w:w="294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b/>
                      <w:bCs/>
                      <w:lang w:val="en-US" w:eastAsia="zh-CN"/>
                    </w:rPr>
                  </w:pPr>
                  <w:r>
                    <w:rPr>
                      <w:rFonts w:hint="eastAsia"/>
                      <w:b/>
                      <w:bCs/>
                      <w:spacing w:val="-3"/>
                      <w:lang w:val="en-US" w:eastAsia="zh-CN"/>
                    </w:rPr>
                    <w:t>涉及工程类别</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2"/>
                    </w:rPr>
                    <w:t>本项目情况</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spacing w:val="-3"/>
                    </w:rPr>
                  </w:pPr>
                  <w:r>
                    <w:rPr>
                      <w:b/>
                      <w:bCs/>
                      <w:spacing w:val="-3"/>
                    </w:rPr>
                    <w:t>是否设置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3"/>
                    </w:rPr>
                    <w:t>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spacing w:val="-2"/>
                    </w:rPr>
                    <w:t>地表水</w:t>
                  </w:r>
                </w:p>
              </w:tc>
              <w:tc>
                <w:tcPr>
                  <w:tcW w:w="294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3"/>
                    </w:rPr>
                  </w:pPr>
                  <w:r>
                    <w:rPr>
                      <w:spacing w:val="-3"/>
                    </w:rPr>
                    <w:t>水力发电：引水式发电、涉及调峰发电的项目；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spacing w:val="-5"/>
                    </w:rPr>
                    <w:t>人工湖、人工湿地：全部；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b/>
                      <w:bCs/>
                      <w:spacing w:val="-9"/>
                    </w:rPr>
                    <w:t>水库：全部；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spacing w:val="-2"/>
                    </w:rPr>
                    <w:t>引水工程：全部（配套的管线工程等除外）</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spacing w:val="-5"/>
                    </w:rPr>
                    <w:t>防洪除涝工程：包含水库的项目；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spacing w:val="3"/>
                    </w:rPr>
                    <w:t>河湖整治：涉及清淤且底泥存在重金属污染的项</w:t>
                  </w:r>
                  <w:r>
                    <w:t>目</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rPr>
                      <w:spacing w:val="-1"/>
                    </w:rPr>
                    <w:t>本项目为</w:t>
                  </w:r>
                  <w:r>
                    <w:rPr>
                      <w:b/>
                      <w:bCs/>
                      <w:spacing w:val="-1"/>
                    </w:rPr>
                    <w:t>水库建设</w:t>
                  </w:r>
                  <w:r>
                    <w:rPr>
                      <w:b/>
                      <w:bCs/>
                      <w:spacing w:val="-2"/>
                    </w:rPr>
                    <w:t>工程，需开展地表</w:t>
                  </w:r>
                  <w:r>
                    <w:rPr>
                      <w:b/>
                      <w:bCs/>
                      <w:spacing w:val="-6"/>
                    </w:rPr>
                    <w:t>水专项评价。</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2"/>
                    </w:rPr>
                  </w:pPr>
                  <w:r>
                    <w:rPr>
                      <w:spacing w:val="-3"/>
                      <w:sz w:val="22"/>
                      <w:szCs w:val="22"/>
                    </w:rPr>
                    <w:t>地下水</w:t>
                  </w:r>
                </w:p>
              </w:tc>
              <w:tc>
                <w:tcPr>
                  <w:tcW w:w="2946" w:type="pct"/>
                  <w:vAlign w:val="center"/>
                </w:tcPr>
                <w:p>
                  <w:pPr>
                    <w:pStyle w:val="75"/>
                    <w:spacing w:before="29" w:line="219" w:lineRule="auto"/>
                    <w:rPr>
                      <w:sz w:val="22"/>
                      <w:szCs w:val="22"/>
                    </w:rPr>
                  </w:pPr>
                  <w:r>
                    <w:rPr>
                      <w:spacing w:val="-2"/>
                      <w:sz w:val="22"/>
                      <w:szCs w:val="22"/>
                    </w:rPr>
                    <w:t>陆地石油和天然气开采：全部；</w:t>
                  </w:r>
                </w:p>
                <w:p>
                  <w:pPr>
                    <w:pStyle w:val="75"/>
                    <w:spacing w:before="23" w:line="219" w:lineRule="auto"/>
                    <w:rPr>
                      <w:sz w:val="22"/>
                      <w:szCs w:val="22"/>
                    </w:rPr>
                  </w:pPr>
                  <w:r>
                    <w:rPr>
                      <w:spacing w:val="-1"/>
                      <w:sz w:val="22"/>
                      <w:szCs w:val="22"/>
                    </w:rPr>
                    <w:t>地下水（含矿泉水）开采：全部；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3"/>
                    </w:rPr>
                  </w:pPr>
                  <w:r>
                    <w:rPr>
                      <w:spacing w:val="-1"/>
                      <w:sz w:val="22"/>
                      <w:szCs w:val="22"/>
                    </w:rPr>
                    <w:t>水利、水电、交通等：含穿越可溶岩地层隧道的项目</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1"/>
                    </w:rPr>
                  </w:pPr>
                  <w:r>
                    <w:rPr>
                      <w:spacing w:val="-4"/>
                      <w:sz w:val="22"/>
                      <w:szCs w:val="22"/>
                    </w:rPr>
                    <w:t>不涉及</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lang w:val="en-US" w:eastAsia="zh-CN"/>
                    </w:rPr>
                  </w:pPr>
                  <w:r>
                    <w:rPr>
                      <w:rFonts w:hint="eastAsia"/>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spacing w:val="-3"/>
                      <w:sz w:val="22"/>
                      <w:szCs w:val="22"/>
                      <w:lang w:val="en-US" w:eastAsia="zh-CN"/>
                    </w:rPr>
                  </w:pPr>
                  <w:r>
                    <w:rPr>
                      <w:rFonts w:hint="eastAsia"/>
                      <w:spacing w:val="-3"/>
                      <w:sz w:val="22"/>
                      <w:szCs w:val="22"/>
                      <w:lang w:val="en-US" w:eastAsia="zh-CN"/>
                    </w:rPr>
                    <w:t>生态</w:t>
                  </w:r>
                </w:p>
              </w:tc>
              <w:tc>
                <w:tcPr>
                  <w:tcW w:w="294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1"/>
                      <w:sz w:val="22"/>
                      <w:szCs w:val="22"/>
                    </w:rPr>
                  </w:pPr>
                  <w:r>
                    <w:rPr>
                      <w:spacing w:val="12"/>
                      <w:sz w:val="22"/>
                      <w:szCs w:val="22"/>
                    </w:rPr>
                    <w:t>涉及环境敏感区（不包括饮用水水源保护区，</w:t>
                  </w:r>
                  <w:r>
                    <w:rPr>
                      <w:spacing w:val="11"/>
                      <w:sz w:val="22"/>
                      <w:szCs w:val="22"/>
                    </w:rPr>
                    <w:t>以居住、医疗卫</w:t>
                  </w:r>
                  <w:r>
                    <w:rPr>
                      <w:spacing w:val="3"/>
                      <w:sz w:val="22"/>
                      <w:szCs w:val="22"/>
                    </w:rPr>
                    <w:t>生、文化教育、科研、行政办公为主要功能的区域，以及文物保</w:t>
                  </w:r>
                  <w:r>
                    <w:rPr>
                      <w:spacing w:val="-2"/>
                      <w:sz w:val="22"/>
                      <w:szCs w:val="22"/>
                    </w:rPr>
                    <w:t>护单位）的项目</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4"/>
                      <w:sz w:val="22"/>
                      <w:szCs w:val="22"/>
                    </w:rPr>
                  </w:pPr>
                  <w:r>
                    <w:rPr>
                      <w:spacing w:val="-4"/>
                      <w:sz w:val="22"/>
                      <w:szCs w:val="22"/>
                    </w:rPr>
                    <w:t>不涉及</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rFonts w:hint="eastAsia"/>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spacing w:val="-3"/>
                      <w:sz w:val="22"/>
                      <w:szCs w:val="22"/>
                      <w:lang w:val="en-US" w:eastAsia="zh-CN"/>
                    </w:rPr>
                  </w:pPr>
                  <w:r>
                    <w:rPr>
                      <w:rFonts w:hint="eastAsia"/>
                      <w:spacing w:val="-3"/>
                      <w:sz w:val="22"/>
                      <w:szCs w:val="22"/>
                      <w:lang w:val="en-US" w:eastAsia="zh-CN"/>
                    </w:rPr>
                    <w:t>大气</w:t>
                  </w:r>
                </w:p>
              </w:tc>
              <w:tc>
                <w:tcPr>
                  <w:tcW w:w="2946" w:type="pct"/>
                  <w:vAlign w:val="center"/>
                </w:tcPr>
                <w:p>
                  <w:pPr>
                    <w:pStyle w:val="75"/>
                    <w:spacing w:before="28" w:line="220" w:lineRule="auto"/>
                    <w:rPr>
                      <w:sz w:val="22"/>
                      <w:szCs w:val="22"/>
                    </w:rPr>
                  </w:pPr>
                  <w:r>
                    <w:rPr>
                      <w:spacing w:val="-1"/>
                      <w:sz w:val="22"/>
                      <w:szCs w:val="22"/>
                    </w:rPr>
                    <w:t>油气、液体化工码头：全部；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1"/>
                      <w:sz w:val="22"/>
                      <w:szCs w:val="22"/>
                    </w:rPr>
                  </w:pPr>
                  <w:r>
                    <w:rPr>
                      <w:spacing w:val="10"/>
                      <w:sz w:val="22"/>
                      <w:szCs w:val="22"/>
                    </w:rPr>
                    <w:t>干散货（含煤炭、矿石）</w:t>
                  </w:r>
                  <w:r>
                    <w:rPr>
                      <w:spacing w:val="-60"/>
                      <w:sz w:val="22"/>
                      <w:szCs w:val="22"/>
                    </w:rPr>
                    <w:t xml:space="preserve"> </w:t>
                  </w:r>
                  <w:r>
                    <w:rPr>
                      <w:spacing w:val="10"/>
                      <w:sz w:val="22"/>
                      <w:szCs w:val="22"/>
                    </w:rPr>
                    <w:t>、件杂、多用途、通用码头：涉及粉</w:t>
                  </w:r>
                  <w:r>
                    <w:rPr>
                      <w:spacing w:val="-1"/>
                      <w:sz w:val="22"/>
                      <w:szCs w:val="22"/>
                    </w:rPr>
                    <w:t>尘、挥发性有机物排放的项目</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4"/>
                      <w:sz w:val="22"/>
                      <w:szCs w:val="22"/>
                    </w:rPr>
                  </w:pPr>
                  <w:r>
                    <w:rPr>
                      <w:spacing w:val="-4"/>
                      <w:sz w:val="22"/>
                      <w:szCs w:val="22"/>
                    </w:rPr>
                    <w:t>不涉及</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rFonts w:hint="eastAsia"/>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3"/>
                      <w:sz w:val="22"/>
                      <w:szCs w:val="22"/>
                      <w:lang w:val="en-US" w:eastAsia="zh-CN"/>
                    </w:rPr>
                  </w:pPr>
                  <w:r>
                    <w:rPr>
                      <w:spacing w:val="-9"/>
                      <w:sz w:val="22"/>
                      <w:szCs w:val="22"/>
                    </w:rPr>
                    <w:t>噪声</w:t>
                  </w:r>
                </w:p>
              </w:tc>
              <w:tc>
                <w:tcPr>
                  <w:tcW w:w="2946" w:type="pct"/>
                  <w:vAlign w:val="center"/>
                </w:tcPr>
                <w:p>
                  <w:pPr>
                    <w:pStyle w:val="75"/>
                    <w:spacing w:before="71" w:line="230" w:lineRule="auto"/>
                    <w:ind w:right="101"/>
                    <w:rPr>
                      <w:sz w:val="22"/>
                      <w:szCs w:val="22"/>
                    </w:rPr>
                  </w:pPr>
                  <w:r>
                    <w:rPr>
                      <w:spacing w:val="3"/>
                      <w:sz w:val="22"/>
                      <w:szCs w:val="22"/>
                    </w:rPr>
                    <w:t>公路、铁路、机场等交通运输业涉及环境敏感区（以居住、医疗</w:t>
                  </w:r>
                  <w:r>
                    <w:rPr>
                      <w:spacing w:val="-1"/>
                      <w:sz w:val="22"/>
                      <w:szCs w:val="22"/>
                    </w:rPr>
                    <w:t>卫生、文化教育、科研、行政办公为主要功能的区域）的项目；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10"/>
                      <w:sz w:val="22"/>
                      <w:szCs w:val="22"/>
                    </w:rPr>
                  </w:pPr>
                  <w:r>
                    <w:rPr>
                      <w:spacing w:val="-1"/>
                      <w:sz w:val="22"/>
                      <w:szCs w:val="22"/>
                    </w:rPr>
                    <w:t>城市道路（不含维护，不含支路、人行天桥、人行地道</w:t>
                  </w:r>
                  <w:r>
                    <w:rPr>
                      <w:spacing w:val="8"/>
                      <w:sz w:val="22"/>
                      <w:szCs w:val="22"/>
                    </w:rPr>
                    <w:t>）：</w:t>
                  </w:r>
                  <w:r>
                    <w:rPr>
                      <w:spacing w:val="-1"/>
                      <w:sz w:val="22"/>
                      <w:szCs w:val="22"/>
                    </w:rPr>
                    <w:t>全部</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4"/>
                      <w:sz w:val="22"/>
                      <w:szCs w:val="22"/>
                    </w:rPr>
                  </w:pPr>
                  <w:r>
                    <w:rPr>
                      <w:spacing w:val="-4"/>
                      <w:sz w:val="22"/>
                      <w:szCs w:val="22"/>
                    </w:rPr>
                    <w:t>不涉及</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rFonts w:hint="eastAsia"/>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jc w:val="center"/>
              </w:trPr>
              <w:tc>
                <w:tcPr>
                  <w:tcW w:w="5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2"/>
                      <w:sz w:val="22"/>
                      <w:szCs w:val="22"/>
                    </w:rPr>
                  </w:pPr>
                  <w:r>
                    <w:rPr>
                      <w:spacing w:val="-2"/>
                      <w:sz w:val="22"/>
                      <w:szCs w:val="22"/>
                    </w:rPr>
                    <w:t>环境</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3"/>
                      <w:sz w:val="22"/>
                      <w:szCs w:val="22"/>
                      <w:lang w:val="en-US" w:eastAsia="zh-CN"/>
                    </w:rPr>
                  </w:pPr>
                  <w:r>
                    <w:rPr>
                      <w:spacing w:val="-2"/>
                      <w:sz w:val="22"/>
                      <w:szCs w:val="22"/>
                    </w:rPr>
                    <w:t>风险</w:t>
                  </w:r>
                </w:p>
              </w:tc>
              <w:tc>
                <w:tcPr>
                  <w:tcW w:w="2946" w:type="pct"/>
                  <w:vAlign w:val="center"/>
                </w:tcPr>
                <w:p>
                  <w:pPr>
                    <w:pStyle w:val="75"/>
                    <w:spacing w:before="31" w:line="219" w:lineRule="auto"/>
                    <w:rPr>
                      <w:sz w:val="22"/>
                      <w:szCs w:val="22"/>
                    </w:rPr>
                  </w:pPr>
                  <w:r>
                    <w:rPr>
                      <w:spacing w:val="-1"/>
                      <w:sz w:val="22"/>
                      <w:szCs w:val="22"/>
                    </w:rPr>
                    <w:t>石油和天然气开采：全部；</w:t>
                  </w:r>
                </w:p>
                <w:p>
                  <w:pPr>
                    <w:pStyle w:val="75"/>
                    <w:spacing w:before="24" w:line="220" w:lineRule="auto"/>
                    <w:rPr>
                      <w:sz w:val="22"/>
                      <w:szCs w:val="22"/>
                    </w:rPr>
                  </w:pPr>
                  <w:r>
                    <w:rPr>
                      <w:spacing w:val="-1"/>
                      <w:sz w:val="22"/>
                      <w:szCs w:val="22"/>
                    </w:rPr>
                    <w:t>油气、液体化工码头：全部；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10"/>
                      <w:sz w:val="22"/>
                      <w:szCs w:val="22"/>
                    </w:rPr>
                  </w:pPr>
                  <w:r>
                    <w:rPr>
                      <w:spacing w:val="3"/>
                      <w:sz w:val="22"/>
                      <w:szCs w:val="22"/>
                    </w:rPr>
                    <w:t>原油、成品油、天然气管线（不含城镇天然气管线、企业厂区内</w:t>
                  </w:r>
                  <w:r>
                    <w:rPr>
                      <w:spacing w:val="-2"/>
                      <w:sz w:val="22"/>
                      <w:szCs w:val="22"/>
                    </w:rPr>
                    <w:t>管线</w:t>
                  </w:r>
                  <w:r>
                    <w:rPr>
                      <w:spacing w:val="8"/>
                      <w:sz w:val="22"/>
                      <w:szCs w:val="22"/>
                    </w:rPr>
                    <w:t>），</w:t>
                  </w:r>
                  <w:r>
                    <w:rPr>
                      <w:spacing w:val="-2"/>
                      <w:sz w:val="22"/>
                      <w:szCs w:val="22"/>
                    </w:rPr>
                    <w:t>危险化学品输送管线（不含企业厂区内管线</w:t>
                  </w:r>
                  <w:r>
                    <w:rPr>
                      <w:spacing w:val="8"/>
                      <w:sz w:val="22"/>
                      <w:szCs w:val="22"/>
                    </w:rPr>
                    <w:t>）：</w:t>
                  </w:r>
                  <w:r>
                    <w:rPr>
                      <w:spacing w:val="-2"/>
                      <w:sz w:val="22"/>
                      <w:szCs w:val="22"/>
                    </w:rPr>
                    <w:t>全部</w:t>
                  </w:r>
                </w:p>
              </w:tc>
              <w:tc>
                <w:tcPr>
                  <w:tcW w:w="8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4"/>
                      <w:sz w:val="22"/>
                      <w:szCs w:val="22"/>
                    </w:rPr>
                  </w:pPr>
                  <w:r>
                    <w:rPr>
                      <w:spacing w:val="-4"/>
                      <w:sz w:val="22"/>
                      <w:szCs w:val="22"/>
                    </w:rPr>
                    <w:t>不涉及</w:t>
                  </w:r>
                </w:p>
              </w:tc>
              <w:tc>
                <w:tcPr>
                  <w:tcW w:w="70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rFonts w:hint="eastAsia"/>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000" w:type="pct"/>
                  <w:gridSpan w:val="4"/>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pPr>
                  <w:r>
                    <w:rPr>
                      <w:spacing w:val="4"/>
                      <w:sz w:val="22"/>
                      <w:szCs w:val="22"/>
                    </w:rPr>
                    <w:t>注：“涉及环境敏感区</w:t>
                  </w:r>
                  <w:r>
                    <w:rPr>
                      <w:spacing w:val="-65"/>
                      <w:sz w:val="22"/>
                      <w:szCs w:val="22"/>
                    </w:rPr>
                    <w:t xml:space="preserve"> </w:t>
                  </w:r>
                  <w:r>
                    <w:rPr>
                      <w:spacing w:val="4"/>
                      <w:sz w:val="22"/>
                      <w:szCs w:val="22"/>
                    </w:rPr>
                    <w:t>”是指建设项目位于、穿（跨）越（无害化通过的除外）环境敏感</w:t>
                  </w:r>
                  <w:r>
                    <w:rPr>
                      <w:sz w:val="22"/>
                      <w:szCs w:val="22"/>
                    </w:rPr>
                    <w:t xml:space="preserve"> </w:t>
                  </w:r>
                  <w:r>
                    <w:rPr>
                      <w:spacing w:val="5"/>
                      <w:sz w:val="22"/>
                      <w:szCs w:val="22"/>
                    </w:rPr>
                    <w:t>区，或环境影响范围涵盖环境敏感区。环境敏感区是指《建设项目环境影响评价分类管理</w:t>
                  </w:r>
                  <w:r>
                    <w:rPr>
                      <w:spacing w:val="-1"/>
                      <w:sz w:val="22"/>
                      <w:szCs w:val="22"/>
                    </w:rPr>
                    <w:t>名录》中针对该类项目所列的敏感区。</w:t>
                  </w:r>
                </w:p>
              </w:tc>
            </w:tr>
          </w:tbl>
          <w:p>
            <w:pPr>
              <w:keepNext w:val="0"/>
              <w:keepLines w:val="0"/>
              <w:pageBreakBefore w:val="0"/>
              <w:widowControl w:val="0"/>
              <w:kinsoku/>
              <w:wordWrap/>
              <w:overflowPunct/>
              <w:topLinePunct w:val="0"/>
              <w:autoSpaceDE w:val="0"/>
              <w:autoSpaceDN w:val="0"/>
              <w:bidi w:val="0"/>
              <w:adjustRightInd w:val="0"/>
              <w:snapToGrid w:val="0"/>
              <w:jc w:val="left"/>
              <w:textAlignment w:val="auto"/>
              <w:rPr>
                <w:spacing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766" w:type="dxa"/>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8580" w:type="dxa"/>
            <w:gridSpan w:val="5"/>
            <w:tcMar>
              <w:top w:w="16" w:type="dxa"/>
              <w:left w:w="16" w:type="dxa"/>
              <w:right w:w="16"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cs="宋体"/>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规划名称：</w:t>
            </w:r>
            <w:r>
              <w:rPr>
                <w:rFonts w:hint="eastAsia" w:ascii="宋体" w:hAnsi="宋体" w:eastAsia="宋体" w:cs="宋体"/>
                <w:color w:val="000000"/>
                <w:kern w:val="0"/>
                <w:sz w:val="24"/>
                <w:szCs w:val="24"/>
                <w:lang w:val="en-US" w:eastAsia="zh-CN" w:bidi="ar"/>
              </w:rPr>
              <w:t xml:space="preserve">《旺苍县水资源综合规划》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b/>
                <w:bCs/>
                <w:color w:val="000000"/>
                <w:kern w:val="0"/>
                <w:sz w:val="24"/>
                <w:szCs w:val="24"/>
                <w:lang w:val="en-US" w:eastAsia="zh-CN" w:bidi="ar"/>
              </w:rPr>
              <w:t>审批机关：</w:t>
            </w:r>
            <w:r>
              <w:rPr>
                <w:rFonts w:hint="eastAsia" w:ascii="宋体" w:hAnsi="宋体" w:eastAsia="宋体" w:cs="宋体"/>
                <w:color w:val="000000"/>
                <w:kern w:val="0"/>
                <w:sz w:val="24"/>
                <w:szCs w:val="24"/>
                <w:lang w:val="en-US" w:eastAsia="zh-CN" w:bidi="ar"/>
              </w:rPr>
              <w:t xml:space="preserve">广元市水利局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b/>
                <w:bCs/>
                <w:color w:val="000000"/>
                <w:kern w:val="0"/>
                <w:sz w:val="24"/>
                <w:szCs w:val="24"/>
                <w:lang w:val="en-US" w:eastAsia="zh-CN" w:bidi="ar"/>
              </w:rPr>
              <w:t>审批文件名称及文号：</w:t>
            </w:r>
            <w:r>
              <w:rPr>
                <w:rFonts w:hint="eastAsia" w:ascii="宋体" w:hAnsi="宋体" w:eastAsia="宋体" w:cs="宋体"/>
                <w:color w:val="000000"/>
                <w:kern w:val="0"/>
                <w:sz w:val="24"/>
                <w:szCs w:val="24"/>
                <w:lang w:val="en-US" w:eastAsia="zh-CN" w:bidi="ar"/>
              </w:rPr>
              <w:t>广元市水利局关于印发《旺苍县水资源综合规划审查意见》的通知（广水函〔</w:t>
            </w:r>
            <w:r>
              <w:rPr>
                <w:rFonts w:hint="default" w:ascii="Times New Roman" w:hAnsi="Times New Roman" w:eastAsia="宋体" w:cs="Times New Roman"/>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107</w:t>
            </w:r>
            <w:r>
              <w:rPr>
                <w:rFonts w:hint="eastAsia" w:ascii="宋体" w:hAnsi="宋体" w:eastAsia="宋体" w:cs="宋体"/>
                <w:color w:val="000000"/>
                <w:kern w:val="0"/>
                <w:sz w:val="24"/>
                <w:szCs w:val="24"/>
                <w:lang w:val="en-US" w:eastAsia="zh-CN" w:bidi="ar"/>
              </w:rPr>
              <w:t xml:space="preserve">号）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、规划名称：</w:t>
            </w:r>
            <w:r>
              <w:rPr>
                <w:rFonts w:hint="eastAsia" w:ascii="宋体" w:hAnsi="宋体" w:eastAsia="宋体" w:cs="宋体"/>
                <w:color w:val="000000"/>
                <w:kern w:val="0"/>
                <w:sz w:val="24"/>
                <w:szCs w:val="24"/>
                <w:lang w:val="en-US" w:eastAsia="zh-CN" w:bidi="ar"/>
              </w:rPr>
              <w:t>《旺苍县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水安全保障规划》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b/>
                <w:bCs/>
                <w:color w:val="000000"/>
                <w:kern w:val="0"/>
                <w:sz w:val="24"/>
                <w:szCs w:val="24"/>
                <w:lang w:val="en-US" w:eastAsia="zh-CN" w:bidi="ar"/>
              </w:rPr>
              <w:t>审批机关：</w:t>
            </w:r>
            <w:r>
              <w:rPr>
                <w:rFonts w:hint="eastAsia" w:ascii="宋体" w:hAnsi="宋体" w:eastAsia="宋体" w:cs="宋体"/>
                <w:color w:val="000000"/>
                <w:kern w:val="0"/>
                <w:sz w:val="24"/>
                <w:szCs w:val="24"/>
                <w:lang w:val="en-US" w:eastAsia="zh-CN" w:bidi="ar"/>
              </w:rPr>
              <w:t xml:space="preserve">旺苍县人民政府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lang w:eastAsia="zh-CN"/>
              </w:rPr>
            </w:pPr>
            <w:r>
              <w:rPr>
                <w:rFonts w:hint="eastAsia" w:ascii="宋体" w:hAnsi="宋体" w:eastAsia="宋体" w:cs="宋体"/>
                <w:b/>
                <w:bCs/>
                <w:color w:val="000000"/>
                <w:kern w:val="0"/>
                <w:sz w:val="24"/>
                <w:szCs w:val="24"/>
                <w:lang w:val="en-US" w:eastAsia="zh-CN" w:bidi="ar"/>
              </w:rPr>
              <w:t>审批文件名称及文号：</w:t>
            </w:r>
            <w:r>
              <w:rPr>
                <w:rFonts w:hint="eastAsia" w:ascii="宋体" w:hAnsi="宋体" w:eastAsia="宋体" w:cs="宋体"/>
                <w:color w:val="000000"/>
                <w:kern w:val="0"/>
                <w:sz w:val="24"/>
                <w:szCs w:val="24"/>
                <w:lang w:val="en-US" w:eastAsia="zh-CN" w:bidi="ar"/>
              </w:rPr>
              <w:t>旺苍县人民政府关于印发《旺苍县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水安全保障规划》的通知（旺府函〔</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88</w:t>
            </w:r>
            <w:r>
              <w:rPr>
                <w:rFonts w:hint="eastAsia" w:ascii="宋体" w:hAnsi="宋体" w:eastAsia="宋体" w:cs="宋体"/>
                <w:color w:val="000000"/>
                <w:kern w:val="0"/>
                <w:sz w:val="24"/>
                <w:szCs w:val="24"/>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766" w:type="dxa"/>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规划环境影响评价情况</w:t>
            </w:r>
          </w:p>
        </w:tc>
        <w:tc>
          <w:tcPr>
            <w:tcW w:w="8580" w:type="dxa"/>
            <w:gridSpan w:val="5"/>
            <w:tcMar>
              <w:top w:w="16" w:type="dxa"/>
              <w:left w:w="16" w:type="dxa"/>
              <w:right w:w="16" w:type="dxa"/>
            </w:tcMar>
            <w:vAlign w:val="center"/>
          </w:tcPr>
          <w:p>
            <w:pPr>
              <w:adjustRightInd w:val="0"/>
              <w:snapToGrid w:val="0"/>
              <w:jc w:val="center"/>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766" w:type="dxa"/>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w:t>
            </w:r>
            <w:r>
              <w:rPr>
                <w:rFonts w:hint="eastAsia" w:ascii="宋体" w:hAnsi="宋体" w:cs="宋体"/>
                <w:sz w:val="24"/>
              </w:rPr>
              <w:t>规划环境影响评价</w:t>
            </w:r>
            <w:r>
              <w:rPr>
                <w:rFonts w:hint="eastAsia" w:ascii="宋体" w:hAnsi="宋体" w:cs="宋体"/>
                <w:kern w:val="0"/>
                <w:sz w:val="24"/>
              </w:rPr>
              <w:t>符合性分析</w:t>
            </w:r>
          </w:p>
        </w:tc>
        <w:tc>
          <w:tcPr>
            <w:tcW w:w="8580" w:type="dxa"/>
            <w:gridSpan w:val="5"/>
            <w:tcMar>
              <w:top w:w="16" w:type="dxa"/>
              <w:left w:w="16" w:type="dxa"/>
              <w:right w:w="16" w:type="dxa"/>
            </w:tcMar>
            <w:vAlign w:val="center"/>
          </w:tcPr>
          <w:p>
            <w:pPr>
              <w:autoSpaceDE w:val="0"/>
              <w:autoSpaceDN w:val="0"/>
              <w:spacing w:line="360" w:lineRule="auto"/>
              <w:rPr>
                <w:rFonts w:hint="eastAsia" w:ascii="宋体" w:cs="宋体"/>
                <w:b/>
                <w:kern w:val="0"/>
                <w:sz w:val="24"/>
              </w:rPr>
            </w:pPr>
            <w:r>
              <w:rPr>
                <w:rFonts w:hint="eastAsia" w:ascii="宋体" w:cs="宋体"/>
                <w:b/>
                <w:kern w:val="0"/>
                <w:sz w:val="24"/>
                <w:lang w:val="en-US" w:eastAsia="zh-CN"/>
              </w:rPr>
              <w:t>一、</w:t>
            </w:r>
            <w:r>
              <w:rPr>
                <w:rFonts w:hint="eastAsia" w:ascii="宋体" w:cs="宋体"/>
                <w:b/>
                <w:kern w:val="0"/>
                <w:sz w:val="24"/>
              </w:rPr>
              <w:t>本项目与《嘉陵江流域综合规划》的符合性分析</w:t>
            </w:r>
          </w:p>
          <w:p>
            <w:pPr>
              <w:spacing w:line="360" w:lineRule="auto"/>
              <w:ind w:firstLine="480" w:firstLineChars="200"/>
              <w:jc w:val="left"/>
              <w:rPr>
                <w:rFonts w:hint="eastAsia" w:hAnsi="宋体"/>
                <w:sz w:val="24"/>
                <w:szCs w:val="24"/>
              </w:rPr>
            </w:pPr>
            <w:r>
              <w:rPr>
                <w:rFonts w:hAnsi="宋体"/>
                <w:sz w:val="24"/>
                <w:szCs w:val="24"/>
              </w:rPr>
              <w:t>本项目涉及河流</w:t>
            </w:r>
            <w:r>
              <w:rPr>
                <w:rFonts w:hint="eastAsia" w:hAnsi="宋体"/>
                <w:sz w:val="24"/>
                <w:szCs w:val="24"/>
              </w:rPr>
              <w:t>东河</w:t>
            </w:r>
            <w:r>
              <w:rPr>
                <w:rFonts w:hAnsi="宋体"/>
                <w:sz w:val="24"/>
                <w:szCs w:val="24"/>
              </w:rPr>
              <w:t>、</w:t>
            </w:r>
            <w:r>
              <w:rPr>
                <w:rFonts w:hint="eastAsia" w:hAnsi="华文中宋"/>
                <w:sz w:val="24"/>
                <w:szCs w:val="24"/>
              </w:rPr>
              <w:t>辜家河</w:t>
            </w:r>
            <w:r>
              <w:rPr>
                <w:rFonts w:hint="eastAsia" w:hAnsi="华文中宋"/>
                <w:sz w:val="24"/>
                <w:szCs w:val="24"/>
                <w:lang w:val="en-US" w:eastAsia="zh-CN"/>
              </w:rPr>
              <w:t>均</w:t>
            </w:r>
            <w:r>
              <w:rPr>
                <w:rFonts w:hAnsi="宋体"/>
                <w:sz w:val="24"/>
                <w:szCs w:val="24"/>
              </w:rPr>
              <w:t>属于嘉陵江流域，汇流关系为</w:t>
            </w:r>
            <w:r>
              <w:rPr>
                <w:rFonts w:hint="eastAsia" w:hAnsi="宋体"/>
                <w:sz w:val="24"/>
                <w:szCs w:val="24"/>
              </w:rPr>
              <w:t>辜家河</w:t>
            </w:r>
            <w:r>
              <w:rPr>
                <w:rFonts w:hAnsi="宋体"/>
                <w:sz w:val="24"/>
                <w:szCs w:val="24"/>
              </w:rPr>
              <w:t>-</w:t>
            </w:r>
            <w:r>
              <w:rPr>
                <w:rFonts w:hint="eastAsia" w:hAnsi="宋体"/>
                <w:sz w:val="24"/>
                <w:szCs w:val="24"/>
                <w:lang w:val="en-US" w:eastAsia="zh-CN"/>
              </w:rPr>
              <w:t>东河</w:t>
            </w:r>
            <w:r>
              <w:rPr>
                <w:rFonts w:hAnsi="宋体"/>
                <w:sz w:val="24"/>
                <w:szCs w:val="24"/>
              </w:rPr>
              <w:t>-嘉陵江-长江。根据水利部长江水利委员会编制的《嘉陵江流域综合规划》，文本中主要针对嘉陵江干流及主要支流（涪江、渠江、白龙江、东河、西河等）进行了规划，并未提及本项目所在的</w:t>
            </w:r>
            <w:r>
              <w:rPr>
                <w:rFonts w:hint="eastAsia" w:hAnsi="宋体"/>
                <w:sz w:val="24"/>
                <w:szCs w:val="24"/>
                <w:lang w:val="en-US" w:eastAsia="zh-CN"/>
              </w:rPr>
              <w:t>东</w:t>
            </w:r>
            <w:r>
              <w:rPr>
                <w:rFonts w:hAnsi="宋体"/>
                <w:sz w:val="24"/>
                <w:szCs w:val="24"/>
              </w:rPr>
              <w:t>河</w:t>
            </w:r>
            <w:r>
              <w:rPr>
                <w:rFonts w:hint="eastAsia" w:hAnsi="宋体"/>
                <w:sz w:val="24"/>
                <w:szCs w:val="24"/>
                <w:lang w:val="en-US" w:eastAsia="zh-CN"/>
              </w:rPr>
              <w:t>等</w:t>
            </w:r>
            <w:r>
              <w:rPr>
                <w:rFonts w:hint="eastAsia" w:hAnsi="宋体"/>
                <w:sz w:val="24"/>
                <w:szCs w:val="24"/>
              </w:rPr>
              <w:t>。《嘉陵江流域综合规划》中有关嘉陵江流域规划情况如下。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1、灌溉规划</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⑴ 灌溉保证率</w:t>
            </w:r>
          </w:p>
          <w:p>
            <w:pPr>
              <w:spacing w:line="360" w:lineRule="auto"/>
              <w:ind w:firstLine="480" w:firstLineChars="200"/>
              <w:jc w:val="left"/>
              <w:rPr>
                <w:rFonts w:hAnsi="宋体"/>
                <w:sz w:val="24"/>
              </w:rPr>
            </w:pPr>
            <w:r>
              <w:rPr>
                <w:rFonts w:hAnsi="宋体"/>
                <w:sz w:val="24"/>
              </w:rPr>
              <w:t>嘉陵江流域农作物主要以水稻为主，是我国的重要产粮区。上游地区，由于灌溉条件相对较差，灌溉以小型工程为主，旱作物的比例相对较大，上游地区灌溉保证率50~70%；中下游地区是以水稻为主，是主要的灌溉区域，灌溉保证率70~80%。</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⑵ 灌溉分区及发展方向</w:t>
            </w:r>
          </w:p>
          <w:p>
            <w:pPr>
              <w:spacing w:line="360" w:lineRule="auto"/>
              <w:ind w:firstLine="480" w:firstLineChars="200"/>
              <w:jc w:val="left"/>
              <w:rPr>
                <w:rFonts w:hAnsi="宋体"/>
                <w:sz w:val="24"/>
              </w:rPr>
            </w:pPr>
            <w:r>
              <w:rPr>
                <w:rFonts w:hAnsi="宋体"/>
                <w:sz w:val="24"/>
              </w:rPr>
              <w:t>嘉陵江流域2013年耕地面积5363万亩，有效灌面1822.8万亩。根据嘉陵江流域地形地势及河流分布特点以及社会经济发展状况，将嘉陵江流域灌溉分为上游区、涪江右岸区、涪嘉区、嘉渠区、渠江左岸区、重庆区。其中上游区主要包括甘肃、陕西的灌溉区域。</w:t>
            </w:r>
          </w:p>
          <w:p>
            <w:pPr>
              <w:spacing w:line="360" w:lineRule="auto"/>
              <w:ind w:firstLine="480" w:firstLineChars="200"/>
              <w:jc w:val="left"/>
              <w:rPr>
                <w:rFonts w:hAnsi="宋体"/>
                <w:sz w:val="24"/>
              </w:rPr>
            </w:pPr>
            <w:r>
              <w:rPr>
                <w:rFonts w:hAnsi="宋体"/>
                <w:sz w:val="24"/>
              </w:rPr>
              <w:t>嘉陵江干流上游及涪江、渠江上游，山高岸陡、谷狭水急，两岸耕地少，分布零星，集中自流灌溉条件差，农业灌溉以利用当地径流为主，并适当建一些小型水库、塘堰、提灌站、井灌等灌溉设施，解决灌溉用水问题。</w:t>
            </w:r>
          </w:p>
          <w:p>
            <w:pPr>
              <w:spacing w:line="360" w:lineRule="auto"/>
              <w:ind w:firstLine="480" w:firstLineChars="200"/>
              <w:jc w:val="left"/>
              <w:rPr>
                <w:rFonts w:hAnsi="宋体"/>
                <w:sz w:val="24"/>
              </w:rPr>
            </w:pPr>
            <w:r>
              <w:rPr>
                <w:rFonts w:hAnsi="宋体"/>
                <w:sz w:val="24"/>
              </w:rPr>
              <w:t>中游广元至合川，由深丘进入浅丘区，河谷开阔，农田集中，是嘉陵江流域的重点灌溉区域。涪江右岸区、涪嘉区、嘉渠区、渠江左岸区均在此区域内。</w:t>
            </w:r>
          </w:p>
          <w:p>
            <w:pPr>
              <w:spacing w:line="360" w:lineRule="auto"/>
              <w:ind w:firstLine="480" w:firstLineChars="200"/>
              <w:jc w:val="left"/>
              <w:rPr>
                <w:rFonts w:hAnsi="宋体"/>
                <w:sz w:val="24"/>
              </w:rPr>
            </w:pPr>
            <w:r>
              <w:rPr>
                <w:rFonts w:hAnsi="宋体"/>
                <w:sz w:val="24"/>
              </w:rPr>
              <w:t>下游合川至河口，为重庆区域，主要为城区，其间也分布有一定的农田，农田灌溉主要以中小型水库及提水灌溉为主。</w:t>
            </w:r>
          </w:p>
          <w:p>
            <w:pPr>
              <w:pStyle w:val="75"/>
              <w:spacing w:before="37" w:line="353" w:lineRule="auto"/>
              <w:ind w:left="101" w:right="107" w:firstLine="493"/>
            </w:pPr>
            <w:r>
              <w:rPr>
                <w:b/>
                <w:bCs/>
                <w:sz w:val="24"/>
                <w:szCs w:val="24"/>
              </w:rPr>
              <w:t>符合性分析：</w:t>
            </w:r>
            <w:r>
              <w:rPr>
                <w:sz w:val="24"/>
                <w:szCs w:val="24"/>
              </w:rPr>
              <w:t>根据《嘉陵江流域综合规划》分区，本项</w:t>
            </w:r>
            <w:r>
              <w:rPr>
                <w:spacing w:val="-1"/>
                <w:sz w:val="24"/>
                <w:szCs w:val="24"/>
              </w:rPr>
              <w:t>目所在地属于嘉陵江</w:t>
            </w:r>
            <w:r>
              <w:rPr>
                <w:spacing w:val="0"/>
                <w:sz w:val="24"/>
                <w:szCs w:val="24"/>
              </w:rPr>
              <w:t>“中游广元至合川”，</w:t>
            </w:r>
            <w:r>
              <w:rPr>
                <w:spacing w:val="-1"/>
                <w:sz w:val="24"/>
                <w:szCs w:val="24"/>
              </w:rPr>
              <w:t>是一座以农业灌溉、乡镇及农村生活供水为</w:t>
            </w:r>
            <w:r>
              <w:rPr>
                <w:spacing w:val="-2"/>
                <w:sz w:val="24"/>
                <w:szCs w:val="24"/>
              </w:rPr>
              <w:t>主，兼顾下游</w:t>
            </w:r>
            <w:r>
              <w:rPr>
                <w:spacing w:val="1"/>
                <w:sz w:val="24"/>
                <w:szCs w:val="24"/>
              </w:rPr>
              <w:t>生态用水等综合利用的小（一）型水库。本工程的</w:t>
            </w:r>
            <w:r>
              <w:rPr>
                <w:sz w:val="24"/>
                <w:szCs w:val="24"/>
              </w:rPr>
              <w:t>建设有助于提高灌溉保证率，符合规划。</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2、城乡供水规划</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⑴ 农村饮水安全现状</w:t>
            </w:r>
          </w:p>
          <w:p>
            <w:pPr>
              <w:spacing w:line="360" w:lineRule="auto"/>
              <w:ind w:firstLine="480" w:firstLineChars="200"/>
              <w:jc w:val="left"/>
              <w:rPr>
                <w:rFonts w:hAnsi="宋体"/>
                <w:sz w:val="24"/>
              </w:rPr>
            </w:pPr>
            <w:r>
              <w:rPr>
                <w:rFonts w:hAnsi="宋体"/>
                <w:sz w:val="24"/>
              </w:rPr>
              <w:t>农村饮水安全问题涉及四川、重庆、甘肃、陕西，通过多年农饮工程建设，流域农村人口的饮水困难问题取得明显成效，但尚有一部分农村人口饮水水质不达标，供水保证率低，农村饮水工作的重心已从解决饮水困难向保障饮水安全转移。</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⑵ 农村饮水安全工程规划</w:t>
            </w:r>
          </w:p>
          <w:p>
            <w:pPr>
              <w:keepNext w:val="0"/>
              <w:keepLines w:val="0"/>
              <w:pageBreakBefore w:val="0"/>
              <w:widowControl w:val="0"/>
              <w:kinsoku/>
              <w:wordWrap/>
              <w:overflowPunct/>
              <w:topLinePunct w:val="0"/>
              <w:bidi w:val="0"/>
              <w:adjustRightInd/>
              <w:snapToGrid/>
              <w:spacing w:line="360" w:lineRule="auto"/>
              <w:ind w:left="0" w:firstLine="480" w:firstLineChars="200"/>
              <w:jc w:val="left"/>
              <w:textAlignment w:val="auto"/>
              <w:rPr>
                <w:rFonts w:hAnsi="宋体"/>
                <w:sz w:val="24"/>
              </w:rPr>
            </w:pPr>
            <w:r>
              <w:rPr>
                <w:rFonts w:hAnsi="宋体"/>
                <w:sz w:val="24"/>
              </w:rPr>
              <w:t>水源有保证，人口居住较集中地区应建设集中供水工程，重点发展农村自来水工程，大幅提高农村自来水普及率；居住分散的山丘区可建设分散式供水工程。通过工程配套、改造、升级及加强工程管理等方面，实施饮水提质增效工程建设，进一步提高流域农村人口饮水安全保障程度。</w:t>
            </w:r>
          </w:p>
          <w:p>
            <w:pPr>
              <w:pStyle w:val="75"/>
              <w:keepNext w:val="0"/>
              <w:keepLines w:val="0"/>
              <w:pageBreakBefore w:val="0"/>
              <w:widowControl w:val="0"/>
              <w:kinsoku/>
              <w:wordWrap/>
              <w:overflowPunct/>
              <w:topLinePunct w:val="0"/>
              <w:bidi w:val="0"/>
              <w:adjustRightInd/>
              <w:snapToGrid/>
              <w:spacing w:line="360" w:lineRule="auto"/>
              <w:ind w:left="0" w:firstLine="482" w:firstLineChars="200"/>
              <w:jc w:val="both"/>
              <w:textAlignment w:val="auto"/>
              <w:rPr>
                <w:sz w:val="24"/>
                <w:szCs w:val="24"/>
              </w:rPr>
            </w:pPr>
            <w:r>
              <w:rPr>
                <w:b/>
                <w:bCs/>
                <w:sz w:val="24"/>
                <w:szCs w:val="24"/>
              </w:rPr>
              <w:t>符合性分析：</w:t>
            </w:r>
            <w:r>
              <w:rPr>
                <w:sz w:val="24"/>
                <w:szCs w:val="24"/>
              </w:rPr>
              <w:t>本项目主要任务包括场镇生产生活</w:t>
            </w:r>
            <w:r>
              <w:rPr>
                <w:spacing w:val="-1"/>
                <w:sz w:val="24"/>
                <w:szCs w:val="24"/>
              </w:rPr>
              <w:t>供水，工程建成后可为</w:t>
            </w:r>
            <w:r>
              <w:rPr>
                <w:rFonts w:hint="eastAsia"/>
                <w:spacing w:val="-1"/>
                <w:sz w:val="24"/>
                <w:szCs w:val="24"/>
                <w:lang w:val="en-US" w:eastAsia="zh-CN"/>
              </w:rPr>
              <w:t>0.54</w:t>
            </w:r>
            <w:r>
              <w:rPr>
                <w:spacing w:val="-2"/>
                <w:sz w:val="24"/>
                <w:szCs w:val="24"/>
              </w:rPr>
              <w:t>万人提供集中的生产生活用水，提高流域内农村人</w:t>
            </w:r>
            <w:r>
              <w:rPr>
                <w:spacing w:val="-3"/>
                <w:sz w:val="24"/>
                <w:szCs w:val="24"/>
              </w:rPr>
              <w:t>口饮</w:t>
            </w:r>
            <w:r>
              <w:rPr>
                <w:spacing w:val="-2"/>
                <w:sz w:val="24"/>
                <w:szCs w:val="24"/>
              </w:rPr>
              <w:t>水安全，符合规划。</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eastAsia" w:ascii="宋体" w:cs="宋体"/>
                <w:b/>
                <w:kern w:val="0"/>
                <w:sz w:val="24"/>
                <w:lang w:val="en-US" w:eastAsia="zh-CN"/>
              </w:rPr>
            </w:pPr>
            <w:r>
              <w:rPr>
                <w:rFonts w:hint="eastAsia" w:ascii="宋体" w:cs="宋体"/>
                <w:b/>
                <w:kern w:val="0"/>
                <w:sz w:val="24"/>
                <w:lang w:val="en-US" w:eastAsia="zh-CN"/>
              </w:rPr>
              <w:t>3、防洪总体规划</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宋体" w:eastAsia="宋体" w:cs="Times New Roman"/>
                <w:spacing w:val="0"/>
                <w:kern w:val="2"/>
                <w:sz w:val="24"/>
                <w:szCs w:val="24"/>
                <w:lang w:val="en-US" w:eastAsia="zh-CN" w:bidi="ar-SA"/>
              </w:rPr>
            </w:pPr>
            <w:r>
              <w:rPr>
                <w:rFonts w:ascii="Times New Roman" w:hAnsi="宋体" w:eastAsia="宋体" w:cs="Times New Roman"/>
                <w:spacing w:val="0"/>
                <w:kern w:val="2"/>
                <w:sz w:val="24"/>
                <w:szCs w:val="24"/>
                <w:lang w:val="en-US" w:eastAsia="zh-CN" w:bidi="ar-SA"/>
              </w:rPr>
              <w:t>嘉陵江流域防洪宜采用工程措施和非工程措施相结合的综合防治方案，逐步形成以沿江城区堤防和护岸为基础，干流亭子口、草街等水库蓄洪为骨干，支流中小型水库相配合和河道整治等工程措施及非工程措施构成的总体防洪体系，</w:t>
            </w:r>
            <w:r>
              <w:rPr>
                <w:rFonts w:hint="eastAsia" w:ascii="Times New Roman" w:hAnsi="宋体" w:eastAsia="宋体" w:cs="Times New Roman"/>
                <w:spacing w:val="0"/>
                <w:kern w:val="2"/>
                <w:sz w:val="24"/>
                <w:szCs w:val="24"/>
                <w:lang w:val="en-US" w:eastAsia="zh-CN" w:bidi="ar-SA"/>
              </w:rPr>
              <w:t>提高</w:t>
            </w:r>
            <w:r>
              <w:rPr>
                <w:rFonts w:ascii="Times New Roman" w:hAnsi="宋体" w:eastAsia="宋体" w:cs="Times New Roman"/>
                <w:spacing w:val="0"/>
                <w:kern w:val="2"/>
                <w:sz w:val="24"/>
                <w:szCs w:val="24"/>
                <w:lang w:val="en-US" w:eastAsia="zh-CN" w:bidi="ar-SA"/>
              </w:rPr>
              <w:t>高各防护对象的抗洪能力。防洪非工程措施主要有水情测报预报、防洪预案编制、建立健全防汛指挥系统和植树造林，以及加强江河管理等。</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spacing w:val="0"/>
                <w:sz w:val="24"/>
                <w:szCs w:val="24"/>
              </w:rPr>
            </w:pPr>
            <w:r>
              <w:rPr>
                <w:b/>
                <w:bCs/>
                <w:spacing w:val="0"/>
                <w:sz w:val="24"/>
                <w:szCs w:val="24"/>
              </w:rPr>
              <w:t>符合性分析：</w:t>
            </w:r>
            <w:r>
              <w:rPr>
                <w:spacing w:val="0"/>
                <w:sz w:val="24"/>
                <w:szCs w:val="24"/>
              </w:rPr>
              <w:t>本项目所在地属于嘉陵江流域，项目建设规模为小</w:t>
            </w:r>
            <w:r>
              <w:rPr>
                <w:rFonts w:hint="eastAsia"/>
                <w:spacing w:val="0"/>
                <w:sz w:val="24"/>
                <w:szCs w:val="24"/>
                <w:lang w:eastAsia="zh-CN"/>
              </w:rPr>
              <w:t>（</w:t>
            </w:r>
            <w:r>
              <w:rPr>
                <w:rFonts w:hint="eastAsia"/>
                <w:spacing w:val="0"/>
                <w:sz w:val="24"/>
                <w:szCs w:val="24"/>
                <w:lang w:val="en-US" w:eastAsia="zh-CN"/>
              </w:rPr>
              <w:t>一</w:t>
            </w:r>
            <w:r>
              <w:rPr>
                <w:rFonts w:hint="eastAsia"/>
                <w:spacing w:val="0"/>
                <w:sz w:val="24"/>
                <w:szCs w:val="24"/>
                <w:lang w:eastAsia="zh-CN"/>
              </w:rPr>
              <w:t>）</w:t>
            </w:r>
            <w:r>
              <w:rPr>
                <w:spacing w:val="0"/>
                <w:sz w:val="24"/>
                <w:szCs w:val="24"/>
              </w:rPr>
              <w:t>型水库，本工程水库的建设有助于提高区域抗洪能力，符合规划。</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sz w:val="24"/>
                <w:szCs w:val="24"/>
              </w:rPr>
            </w:pPr>
            <w:r>
              <w:rPr>
                <w:b/>
                <w:bCs/>
                <w:spacing w:val="-2"/>
                <w:sz w:val="24"/>
                <w:szCs w:val="24"/>
              </w:rPr>
              <w:t>综上分析，本项目符合《嘉陵江流域综合规划</w:t>
            </w:r>
            <w:r>
              <w:rPr>
                <w:b/>
                <w:bCs/>
                <w:spacing w:val="-3"/>
                <w:sz w:val="24"/>
                <w:szCs w:val="24"/>
              </w:rPr>
              <w:t>》相关要求。</w:t>
            </w:r>
          </w:p>
          <w:p>
            <w:pPr>
              <w:autoSpaceDE w:val="0"/>
              <w:autoSpaceDN w:val="0"/>
              <w:spacing w:line="360" w:lineRule="auto"/>
              <w:rPr>
                <w:rFonts w:hint="eastAsia" w:ascii="宋体" w:cs="宋体"/>
                <w:b/>
                <w:kern w:val="0"/>
                <w:sz w:val="24"/>
                <w:lang w:val="en-US" w:eastAsia="zh-CN"/>
              </w:rPr>
            </w:pPr>
            <w:r>
              <w:rPr>
                <w:rFonts w:hint="eastAsia" w:ascii="宋体" w:cs="宋体"/>
                <w:b/>
                <w:kern w:val="0"/>
                <w:sz w:val="24"/>
                <w:lang w:val="en-US" w:eastAsia="zh-CN"/>
              </w:rPr>
              <w:t>二、与《四川省东河流域综合规划》的符合性分析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hAnsi="宋体"/>
                <w:sz w:val="24"/>
                <w:szCs w:val="24"/>
              </w:rPr>
            </w:pPr>
            <w:r>
              <w:rPr>
                <w:rFonts w:hAnsi="宋体"/>
                <w:sz w:val="24"/>
                <w:szCs w:val="24"/>
              </w:rPr>
              <w:t>根据《</w:t>
            </w:r>
            <w:r>
              <w:rPr>
                <w:rFonts w:hint="eastAsia" w:hAnsi="宋体"/>
                <w:sz w:val="24"/>
                <w:szCs w:val="24"/>
              </w:rPr>
              <w:t>四川省东河流域综合规划</w:t>
            </w:r>
            <w:r>
              <w:rPr>
                <w:rFonts w:hAnsi="宋体"/>
                <w:sz w:val="24"/>
                <w:szCs w:val="24"/>
              </w:rPr>
              <w:t>》，</w:t>
            </w:r>
            <w:r>
              <w:rPr>
                <w:rFonts w:hint="eastAsia" w:hAnsi="宋体"/>
                <w:sz w:val="24"/>
                <w:szCs w:val="24"/>
                <w:lang w:val="en-US" w:eastAsia="zh-CN"/>
              </w:rPr>
              <w:t>该规划中仅</w:t>
            </w:r>
            <w:r>
              <w:rPr>
                <w:rFonts w:hAnsi="宋体"/>
                <w:sz w:val="24"/>
                <w:szCs w:val="24"/>
              </w:rPr>
              <w:t>针对</w:t>
            </w:r>
            <w:r>
              <w:rPr>
                <w:rFonts w:hint="eastAsia" w:hAnsi="宋体"/>
                <w:sz w:val="24"/>
                <w:szCs w:val="24"/>
                <w:lang w:val="en-US" w:eastAsia="zh-CN"/>
              </w:rPr>
              <w:t>东河</w:t>
            </w:r>
            <w:r>
              <w:rPr>
                <w:rFonts w:hAnsi="宋体"/>
                <w:sz w:val="24"/>
                <w:szCs w:val="24"/>
              </w:rPr>
              <w:t>干流进行了规划，并未提及本项目所在的</w:t>
            </w:r>
            <w:r>
              <w:rPr>
                <w:rFonts w:hint="eastAsia"/>
                <w:sz w:val="24"/>
                <w:szCs w:val="24"/>
              </w:rPr>
              <w:t>辜家河</w:t>
            </w:r>
            <w:r>
              <w:rPr>
                <w:rFonts w:hint="eastAsia" w:hAnsi="宋体"/>
                <w:sz w:val="24"/>
                <w:szCs w:val="24"/>
                <w:lang w:val="en-US" w:eastAsia="zh-CN"/>
              </w:rPr>
              <w:t>等</w:t>
            </w:r>
            <w:r>
              <w:rPr>
                <w:rFonts w:hint="eastAsia" w:hAnsi="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hAnsi="宋体"/>
                <w:sz w:val="24"/>
                <w:szCs w:val="24"/>
                <w:lang w:val="en-US"/>
              </w:rPr>
            </w:pPr>
            <w:r>
              <w:rPr>
                <w:rFonts w:hint="eastAsia"/>
                <w:b/>
                <w:bCs w:val="0"/>
                <w:sz w:val="24"/>
                <w:szCs w:val="28"/>
                <w:lang w:val="en-US" w:eastAsia="zh-CN"/>
              </w:rPr>
              <w:t>1、部分规划内容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hAnsi="宋体"/>
                <w:sz w:val="24"/>
                <w:szCs w:val="24"/>
                <w:lang w:eastAsia="zh-CN"/>
              </w:rPr>
            </w:pPr>
            <w:r>
              <w:rPr>
                <w:rFonts w:hint="eastAsia" w:hAnsi="宋体"/>
                <w:sz w:val="24"/>
                <w:szCs w:val="24"/>
                <w:lang w:val="en-US" w:eastAsia="zh-CN"/>
              </w:rPr>
              <w:t>该规划中</w:t>
            </w:r>
            <w:r>
              <w:rPr>
                <w:rFonts w:hint="eastAsia" w:hAnsi="宋体"/>
                <w:sz w:val="24"/>
                <w:szCs w:val="24"/>
              </w:rPr>
              <w:t>有关</w:t>
            </w:r>
            <w:r>
              <w:rPr>
                <w:rFonts w:hint="eastAsia" w:hAnsi="宋体"/>
                <w:sz w:val="24"/>
                <w:szCs w:val="24"/>
                <w:lang w:val="en-US" w:eastAsia="zh-CN"/>
              </w:rPr>
              <w:t>东河</w:t>
            </w:r>
            <w:r>
              <w:rPr>
                <w:rFonts w:hint="eastAsia" w:hAnsi="宋体"/>
                <w:sz w:val="24"/>
                <w:szCs w:val="24"/>
              </w:rPr>
              <w:t>流域规划情况如下</w:t>
            </w:r>
            <w:r>
              <w:rPr>
                <w:rFonts w:hint="eastAsia"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sz w:val="24"/>
                <w:szCs w:val="28"/>
                <w:lang w:val="zh-CN"/>
              </w:rPr>
            </w:pPr>
            <w:r>
              <w:rPr>
                <w:rFonts w:hint="eastAsia"/>
                <w:b/>
                <w:bCs w:val="0"/>
                <w:sz w:val="24"/>
                <w:szCs w:val="28"/>
                <w:lang w:val="en-US" w:eastAsia="zh-CN"/>
              </w:rPr>
              <w:t xml:space="preserve">⑴ </w:t>
            </w:r>
            <w:r>
              <w:rPr>
                <w:b/>
                <w:bCs w:val="0"/>
                <w:sz w:val="24"/>
                <w:szCs w:val="28"/>
                <w:lang w:val="zh-CN"/>
              </w:rPr>
              <w:t>防洪减灾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bCs/>
                <w:sz w:val="24"/>
                <w:szCs w:val="28"/>
                <w:lang w:val="zh-CN"/>
              </w:rPr>
              <w:t>防洪减灾</w:t>
            </w:r>
            <w:r>
              <w:rPr>
                <w:sz w:val="24"/>
                <w:szCs w:val="28"/>
              </w:rPr>
              <w:t>是流域治理开发的首要任务。根据东河流域的特点和防洪现状，防洪减灾充分考虑流域的雨洪规律、防洪要求，</w:t>
            </w:r>
            <w:r>
              <w:rPr>
                <w:sz w:val="24"/>
              </w:rPr>
              <w:t>按“以泄为主、蓄泄兼筹”、工程与非工程措施相结合原则进行总体部署。对重要防护对象修建防护工程、整治河道，提高安全泄量；在干流上游兴建具有防洪作用的水库削峰蓄量，提高东河中下游防洪能力。干流规划具有较大防洪作用的水库1座，为罐子坝水库，防洪库容约0.15亿m</w:t>
            </w:r>
            <w:r>
              <w:rPr>
                <w:sz w:val="24"/>
                <w:vertAlign w:val="superscript"/>
              </w:rPr>
              <w:t>3</w:t>
            </w:r>
            <w:r>
              <w:rPr>
                <w:sz w:val="24"/>
              </w:rPr>
              <w:t>。规划新建堤防277.57km，护岸25.60km，加高加固堤防11.70km。其中旺苍县城（含嘉川镇）拟建堤防50.00km，护岸2.00km；49个重点集镇河段拟建堤防227.57km，护岸23.60km，加高加固堤防11.70km。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初步建立山洪灾害重点防治区监测、通信、预警系统，完善相关政策法规，以构建工程措施与非工程措施相结合的综合防洪减灾体系。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val="0"/>
                <w:sz w:val="24"/>
                <w:szCs w:val="28"/>
                <w:lang w:val="en-US" w:eastAsia="zh-CN"/>
              </w:rPr>
            </w:pPr>
            <w:r>
              <w:rPr>
                <w:rFonts w:hint="eastAsia"/>
                <w:b/>
                <w:bCs w:val="0"/>
                <w:sz w:val="24"/>
                <w:szCs w:val="28"/>
                <w:lang w:val="en-US" w:eastAsia="zh-CN"/>
              </w:rPr>
              <w:t>⑵ 灌溉和供水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灌溉和供水是流域治理开发的重要任务之一。按照以人为本、人与自然和谐、开源节流并重、可持续利用的原则，在现有工程的挖潜、配套、改造的基础上，加大节水力度，同时兴建必要的骨干工程，加大水资源的开发力度，在此基础上，适时建设跨流域调水工程如亭子口及罐子坝工程，保障城乡供水安全和粮食生产安全，同时强化水环境治理和保护，加大再生水回用力度，减少排污，减轻东河的污染物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在当地径流利用方面，除继续对已建大中小型灌区（如紫云、工农等灌区）进行续建配套外，规划兴建罐子坝、乐园、万家峡、磨滩、云台等防洪兼灌溉水库和其它小型水源工程，解决灌溉与供水问题；在调水工程措施方面，从亭子口水利枢纽调水补充东河干流下游区域，并由罐子坝枢纽调水补充渠江右岸流江河左岸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8"/>
              </w:rPr>
            </w:pPr>
            <w:r>
              <w:rPr>
                <w:sz w:val="24"/>
                <w:szCs w:val="28"/>
              </w:rPr>
              <w:t>规划2030年东河流域</w:t>
            </w:r>
            <w:r>
              <w:rPr>
                <w:sz w:val="24"/>
              </w:rPr>
              <w:t>当地水源供水量7.7</w:t>
            </w:r>
            <w:r>
              <w:rPr>
                <w:sz w:val="24"/>
                <w:u w:val="none"/>
              </w:rPr>
              <w:t>2</w:t>
            </w:r>
            <w:r>
              <w:rPr>
                <w:sz w:val="24"/>
              </w:rPr>
              <w:t>亿m</w:t>
            </w:r>
            <w:r>
              <w:rPr>
                <w:sz w:val="24"/>
                <w:vertAlign w:val="superscript"/>
              </w:rPr>
              <w:t>3</w:t>
            </w:r>
            <w:r>
              <w:rPr>
                <w:sz w:val="24"/>
              </w:rPr>
              <w:t>（当地径流利用7.61亿m</w:t>
            </w:r>
            <w:r>
              <w:rPr>
                <w:sz w:val="24"/>
                <w:vertAlign w:val="superscript"/>
              </w:rPr>
              <w:t>3</w:t>
            </w:r>
            <w:r>
              <w:rPr>
                <w:sz w:val="24"/>
              </w:rPr>
              <w:t>，占流域水资源总量32.8％；集雨和中水回用0.11亿m</w:t>
            </w:r>
            <w:r>
              <w:rPr>
                <w:sz w:val="24"/>
                <w:vertAlign w:val="superscript"/>
              </w:rPr>
              <w:t>3</w:t>
            </w:r>
            <w:r>
              <w:rPr>
                <w:sz w:val="24"/>
              </w:rPr>
              <w:t>）</w:t>
            </w:r>
            <w:r>
              <w:rPr>
                <w:sz w:val="24"/>
                <w:szCs w:val="28"/>
              </w:rPr>
              <w:t>；通过亭子口调入水量0.20亿m</w:t>
            </w:r>
            <w:r>
              <w:rPr>
                <w:sz w:val="24"/>
                <w:szCs w:val="28"/>
                <w:vertAlign w:val="superscript"/>
              </w:rPr>
              <w:t>3</w:t>
            </w:r>
            <w:r>
              <w:rPr>
                <w:sz w:val="24"/>
                <w:szCs w:val="28"/>
              </w:rPr>
              <w:t>；通过阆中城区供水工程调出0.40亿m</w:t>
            </w:r>
            <w:r>
              <w:rPr>
                <w:sz w:val="24"/>
                <w:szCs w:val="28"/>
                <w:vertAlign w:val="superscript"/>
              </w:rPr>
              <w:t>3</w:t>
            </w:r>
            <w:r>
              <w:rPr>
                <w:sz w:val="24"/>
                <w:szCs w:val="28"/>
              </w:rPr>
              <w:t>，罐子坝灌区工程调出3.62亿m</w:t>
            </w:r>
            <w:r>
              <w:rPr>
                <w:sz w:val="24"/>
                <w:szCs w:val="28"/>
                <w:vertAlign w:val="superscript"/>
              </w:rPr>
              <w:t>3</w:t>
            </w:r>
            <w:r>
              <w:rPr>
                <w:sz w:val="24"/>
                <w:szCs w:val="28"/>
              </w:rPr>
              <w:t>，紫云调出0.06亿m</w:t>
            </w:r>
            <w:r>
              <w:rPr>
                <w:sz w:val="24"/>
                <w:szCs w:val="28"/>
                <w:vertAlign w:val="superscript"/>
              </w:rPr>
              <w:t>3</w:t>
            </w:r>
            <w:r>
              <w:rPr>
                <w:sz w:val="24"/>
                <w:szCs w:val="28"/>
              </w:rPr>
              <w:t>，调出水量共4.07亿m</w:t>
            </w:r>
            <w:r>
              <w:rPr>
                <w:sz w:val="24"/>
                <w:szCs w:val="28"/>
                <w:vertAlign w:val="superscript"/>
              </w:rPr>
              <w:t>3</w:t>
            </w:r>
            <w:r>
              <w:rPr>
                <w:sz w:val="24"/>
                <w:szCs w:val="28"/>
              </w:rPr>
              <w:t>，占东河流域水资源量17.5％，流域内实际配置供水量3.90亿m</w:t>
            </w:r>
            <w:r>
              <w:rPr>
                <w:sz w:val="24"/>
                <w:szCs w:val="28"/>
                <w:vertAlign w:val="superscript"/>
              </w:rPr>
              <w:t>3</w:t>
            </w:r>
            <w:r>
              <w:rPr>
                <w:sz w:val="24"/>
                <w:szCs w:val="28"/>
              </w:rPr>
              <w:t>。规划新增灌溉面积48.6万亩，解决农村27.50万人的饮水安全以及流域内重点城镇的供水问题。</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eastAsia="宋体"/>
                <w:b/>
                <w:bCs/>
                <w:sz w:val="24"/>
                <w:szCs w:val="28"/>
                <w:lang w:val="en-US" w:eastAsia="zh-CN"/>
              </w:rPr>
            </w:pPr>
            <w:r>
              <w:rPr>
                <w:rFonts w:hint="eastAsia"/>
                <w:b/>
                <w:bCs/>
                <w:sz w:val="24"/>
                <w:szCs w:val="28"/>
                <w:lang w:val="en-US" w:eastAsia="zh-CN"/>
              </w:rPr>
              <w:t>2、符合性分析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sz w:val="24"/>
                <w:szCs w:val="24"/>
              </w:rPr>
            </w:pPr>
            <w:r>
              <w:rPr>
                <w:rFonts w:hint="eastAsia"/>
                <w:sz w:val="24"/>
                <w:szCs w:val="24"/>
              </w:rPr>
              <w:t>辜家河为东</w:t>
            </w:r>
            <w:r>
              <w:rPr>
                <w:sz w:val="24"/>
                <w:szCs w:val="24"/>
              </w:rPr>
              <w:t>河左岸一级支流，发源于广元市</w:t>
            </w:r>
            <w:r>
              <w:rPr>
                <w:rFonts w:hint="eastAsia"/>
                <w:sz w:val="24"/>
                <w:szCs w:val="24"/>
              </w:rPr>
              <w:t>旺苍县东河镇川山村王台包</w:t>
            </w:r>
            <w:r>
              <w:rPr>
                <w:sz w:val="24"/>
                <w:szCs w:val="24"/>
              </w:rPr>
              <w:t>（峰顶高程</w:t>
            </w:r>
            <w:r>
              <w:rPr>
                <w:rFonts w:hint="eastAsia"/>
                <w:sz w:val="24"/>
                <w:szCs w:val="24"/>
              </w:rPr>
              <w:t>1085</w:t>
            </w:r>
            <w:r>
              <w:rPr>
                <w:sz w:val="24"/>
                <w:szCs w:val="24"/>
              </w:rPr>
              <w:t>m），</w:t>
            </w:r>
            <w:r>
              <w:rPr>
                <w:rFonts w:hint="eastAsia"/>
                <w:sz w:val="24"/>
                <w:szCs w:val="24"/>
              </w:rPr>
              <w:t>上游称作作坊沟，向西南流至东河镇凤阳村左纳苟家湾沟后为中游，称作辜家河，又称奉家河，转西行至凤阳村境内左纳朱家湾沟，之后转西北进入东河镇红垭村左纳大塘沟，过井坝为下游，在昝家石坝处折向西南，于观音岩处汇入东河</w:t>
            </w:r>
            <w:r>
              <w:rPr>
                <w:rFonts w:hint="eastAsia" w:hAnsi="华文中宋"/>
                <w:color w:val="auto"/>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eastAsia="宋体"/>
                <w:spacing w:val="-1"/>
                <w:sz w:val="24"/>
                <w:szCs w:val="24"/>
                <w:lang w:eastAsia="zh-CN"/>
              </w:rPr>
            </w:pPr>
            <w:r>
              <w:rPr>
                <w:rFonts w:hint="eastAsia"/>
                <w:sz w:val="24"/>
                <w:szCs w:val="24"/>
              </w:rPr>
              <w:t>三合水库上坝址（天星桥坝址）位于旺苍县东河镇辜家河中游，南峰村2组（右岸）与凤阳村5组（左岸）交界处，坝址至河口距离7.46km，旺苍县城区以南约4.3km（直线距离）</w:t>
            </w:r>
            <w:r>
              <w:rPr>
                <w:rFonts w:hint="eastAsia"/>
                <w:sz w:val="24"/>
                <w:szCs w:val="24"/>
                <w:lang w:eastAsia="zh-CN"/>
              </w:rPr>
              <w:t>，</w:t>
            </w:r>
            <w:r>
              <w:rPr>
                <w:sz w:val="24"/>
                <w:szCs w:val="24"/>
              </w:rPr>
              <w:t>项目建</w:t>
            </w:r>
            <w:r>
              <w:rPr>
                <w:spacing w:val="-1"/>
                <w:sz w:val="24"/>
                <w:szCs w:val="24"/>
              </w:rPr>
              <w:t>设规模为</w:t>
            </w:r>
            <w:r>
              <w:rPr>
                <w:rFonts w:hint="eastAsia"/>
                <w:spacing w:val="-1"/>
                <w:sz w:val="24"/>
                <w:szCs w:val="24"/>
              </w:rPr>
              <w:t>小</w:t>
            </w:r>
            <w:r>
              <w:rPr>
                <w:rFonts w:hint="eastAsia"/>
                <w:spacing w:val="0"/>
                <w:sz w:val="24"/>
                <w:szCs w:val="24"/>
                <w:lang w:eastAsia="zh-CN"/>
              </w:rPr>
              <w:t>（</w:t>
            </w:r>
            <w:r>
              <w:rPr>
                <w:rFonts w:hint="eastAsia"/>
                <w:spacing w:val="0"/>
                <w:sz w:val="24"/>
                <w:szCs w:val="24"/>
                <w:lang w:val="en-US" w:eastAsia="zh-CN"/>
              </w:rPr>
              <w:t>一</w:t>
            </w:r>
            <w:r>
              <w:rPr>
                <w:rFonts w:hint="eastAsia"/>
                <w:spacing w:val="0"/>
                <w:sz w:val="24"/>
                <w:szCs w:val="24"/>
                <w:lang w:eastAsia="zh-CN"/>
              </w:rPr>
              <w:t>）</w:t>
            </w:r>
            <w:r>
              <w:rPr>
                <w:rFonts w:hint="eastAsia"/>
                <w:spacing w:val="-1"/>
                <w:sz w:val="24"/>
                <w:szCs w:val="24"/>
              </w:rPr>
              <w:t>型水库</w:t>
            </w:r>
            <w:r>
              <w:rPr>
                <w:spacing w:val="-1"/>
                <w:sz w:val="24"/>
                <w:szCs w:val="24"/>
              </w:rPr>
              <w:t>，</w:t>
            </w:r>
            <w:r>
              <w:rPr>
                <w:rFonts w:hint="eastAsia"/>
                <w:spacing w:val="-1"/>
                <w:sz w:val="24"/>
                <w:szCs w:val="24"/>
                <w:lang w:val="en-US" w:eastAsia="zh-CN"/>
              </w:rPr>
              <w:t>该</w:t>
            </w:r>
            <w:r>
              <w:rPr>
                <w:spacing w:val="-1"/>
                <w:sz w:val="24"/>
                <w:szCs w:val="24"/>
              </w:rPr>
              <w:t>水库的建设</w:t>
            </w:r>
            <w:r>
              <w:rPr>
                <w:rFonts w:hint="eastAsia"/>
                <w:spacing w:val="-1"/>
                <w:sz w:val="24"/>
                <w:szCs w:val="24"/>
              </w:rPr>
              <w:t>可以保证灌区控制高程以西、东河以东、北至东河镇谢家碥、南至嘉川镇石板沟区域的综合用水，解决2.14万亩耕园地灌溉用水和灌区范围内0.54万人、1.12万头牲畜的用水，改善下游水生态环境，同时作为旺苍县城应急补充备用水源，确保涉水突发事件时的社会稳定</w:t>
            </w:r>
            <w:r>
              <w:rPr>
                <w:rFonts w:hint="eastAsia"/>
                <w:spacing w:val="-1"/>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74" w:firstLineChars="200"/>
              <w:jc w:val="both"/>
              <w:textAlignment w:val="auto"/>
              <w:rPr>
                <w:rFonts w:hint="default" w:ascii="宋体" w:cs="宋体"/>
                <w:b/>
                <w:kern w:val="0"/>
                <w:sz w:val="24"/>
                <w:lang w:val="en-US" w:eastAsia="zh-CN"/>
              </w:rPr>
            </w:pPr>
            <w:r>
              <w:rPr>
                <w:b/>
                <w:bCs/>
                <w:spacing w:val="-2"/>
                <w:sz w:val="24"/>
                <w:szCs w:val="24"/>
              </w:rPr>
              <w:t>综上分析，本项目符合《</w:t>
            </w:r>
            <w:r>
              <w:rPr>
                <w:rFonts w:hint="eastAsia"/>
                <w:b/>
                <w:bCs/>
                <w:spacing w:val="-2"/>
                <w:sz w:val="24"/>
                <w:szCs w:val="24"/>
                <w:lang w:val="en-US" w:eastAsia="zh-CN"/>
              </w:rPr>
              <w:t>东河</w:t>
            </w:r>
            <w:r>
              <w:rPr>
                <w:b/>
                <w:bCs/>
                <w:spacing w:val="-2"/>
                <w:sz w:val="24"/>
                <w:szCs w:val="24"/>
              </w:rPr>
              <w:t>流域综合规划</w:t>
            </w:r>
            <w:r>
              <w:rPr>
                <w:b/>
                <w:bCs/>
                <w:spacing w:val="-3"/>
                <w:sz w:val="24"/>
                <w:szCs w:val="24"/>
              </w:rPr>
              <w:t>》相关要求。</w:t>
            </w:r>
          </w:p>
          <w:p>
            <w:pPr>
              <w:autoSpaceDE w:val="0"/>
              <w:autoSpaceDN w:val="0"/>
              <w:spacing w:line="360" w:lineRule="auto"/>
              <w:rPr>
                <w:rFonts w:ascii="宋体" w:cs="宋体"/>
                <w:b/>
                <w:kern w:val="0"/>
                <w:sz w:val="24"/>
              </w:rPr>
            </w:pPr>
            <w:r>
              <w:rPr>
                <w:rFonts w:hint="eastAsia" w:ascii="宋体" w:cs="宋体"/>
                <w:b/>
                <w:kern w:val="0"/>
                <w:sz w:val="24"/>
                <w:lang w:val="en-US" w:eastAsia="zh-CN"/>
              </w:rPr>
              <w:t>三、</w:t>
            </w:r>
            <w:r>
              <w:rPr>
                <w:rFonts w:ascii="宋体" w:cs="宋体"/>
                <w:b/>
                <w:kern w:val="0"/>
                <w:sz w:val="24"/>
              </w:rPr>
              <w:t>本项目与《广元市水资源综合规划》的符合性分析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szCs w:val="24"/>
              </w:rPr>
            </w:pPr>
            <w:r>
              <w:rPr>
                <w:rFonts w:hint="eastAsia"/>
                <w:sz w:val="24"/>
                <w:szCs w:val="24"/>
              </w:rPr>
              <w:t>2019年9月，广元市人民政府印发了</w:t>
            </w:r>
            <w:r>
              <w:rPr>
                <w:rFonts w:hint="eastAsia"/>
                <w:sz w:val="24"/>
                <w:szCs w:val="24"/>
                <w:lang w:eastAsia="zh-CN"/>
              </w:rPr>
              <w:t>《</w:t>
            </w:r>
            <w:r>
              <w:rPr>
                <w:rFonts w:hint="eastAsia"/>
                <w:sz w:val="24"/>
                <w:szCs w:val="24"/>
              </w:rPr>
              <w:t>广元市水资源综合规划</w:t>
            </w:r>
            <w:r>
              <w:rPr>
                <w:rFonts w:hint="eastAsia"/>
                <w:sz w:val="24"/>
                <w:szCs w:val="24"/>
                <w:lang w:eastAsia="zh-CN"/>
              </w:rPr>
              <w:t>》</w:t>
            </w:r>
            <w:r>
              <w:rPr>
                <w:rFonts w:hint="eastAsia"/>
                <w:sz w:val="24"/>
                <w:szCs w:val="24"/>
              </w:rPr>
              <w:t>的批复（</w:t>
            </w:r>
            <w:r>
              <w:rPr>
                <w:rFonts w:hint="eastAsia"/>
                <w:sz w:val="24"/>
                <w:szCs w:val="24"/>
                <w:lang w:val="en-US" w:eastAsia="zh-CN"/>
              </w:rPr>
              <w:t>批复文号：</w:t>
            </w:r>
            <w:r>
              <w:rPr>
                <w:rFonts w:hint="eastAsia"/>
                <w:sz w:val="24"/>
                <w:szCs w:val="24"/>
              </w:rPr>
              <w:t>广府函〔2019〕75号），要求牢牢把握“节水优先、空间均衡、系统治理、两手发力”的新时期治水思路和“节约优先、保护优先、自然恢复”的方针，正确处理经济社会发展、水资源开发利用和生态环境保护的关系，实行最严格的水资源管理制度，切实保障供水安全，着力促进水生态文明建设，为全市经济社会可持续发展提供重要支撑。</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szCs w:val="24"/>
                <w:lang w:eastAsia="zh-CN"/>
              </w:rPr>
            </w:pPr>
            <w:r>
              <w:rPr>
                <w:rFonts w:hint="eastAsia"/>
                <w:sz w:val="24"/>
                <w:szCs w:val="24"/>
              </w:rPr>
              <w:t>本项目与《广元市水资源综合规划》的符合性分析见下表</w:t>
            </w:r>
            <w:r>
              <w:rPr>
                <w:rFonts w:hint="eastAsia"/>
                <w:sz w:val="24"/>
                <w:szCs w:val="24"/>
                <w:lang w:eastAsia="zh-CN"/>
              </w:rPr>
              <w:t>：</w:t>
            </w:r>
          </w:p>
          <w:p>
            <w:pPr>
              <w:tabs>
                <w:tab w:val="left" w:pos="3780"/>
              </w:tabs>
              <w:spacing w:line="360" w:lineRule="auto"/>
              <w:jc w:val="center"/>
              <w:rPr>
                <w:rFonts w:hint="eastAsia"/>
                <w:b/>
                <w:szCs w:val="21"/>
                <w:lang w:val="en-US" w:eastAsia="zh-CN"/>
              </w:rPr>
            </w:pPr>
            <w:r>
              <w:rPr>
                <w:rFonts w:hint="eastAsia"/>
                <w:b/>
                <w:szCs w:val="21"/>
              </w:rPr>
              <w:t>表1-2   本项目与《广元市水资源综合规划》的符合性分析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4303"/>
              <w:gridCol w:w="200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51"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章节</w:t>
                  </w:r>
                </w:p>
              </w:tc>
              <w:tc>
                <w:tcPr>
                  <w:tcW w:w="2519"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规划目标</w:t>
                  </w:r>
                </w:p>
              </w:tc>
              <w:tc>
                <w:tcPr>
                  <w:tcW w:w="1174"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本项目</w:t>
                  </w:r>
                </w:p>
              </w:tc>
              <w:tc>
                <w:tcPr>
                  <w:tcW w:w="654"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65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2"/>
                      <w:sz w:val="22"/>
                      <w:szCs w:val="22"/>
                    </w:rPr>
                  </w:pPr>
                  <w:r>
                    <w:rPr>
                      <w:rFonts w:hint="default"/>
                      <w:spacing w:val="-2"/>
                      <w:sz w:val="22"/>
                      <w:szCs w:val="22"/>
                      <w:lang w:val="en-US" w:eastAsia="zh-CN"/>
                    </w:rPr>
                    <w:t>4.2</w:t>
                  </w:r>
                  <w:r>
                    <w:rPr>
                      <w:rFonts w:hint="eastAsia"/>
                      <w:spacing w:val="-2"/>
                      <w:sz w:val="22"/>
                      <w:szCs w:val="22"/>
                      <w:lang w:val="en-US" w:eastAsia="zh-CN"/>
                    </w:rPr>
                    <w:t>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2"/>
                      <w:sz w:val="22"/>
                      <w:szCs w:val="22"/>
                    </w:rPr>
                  </w:pPr>
                  <w:r>
                    <w:rPr>
                      <w:rFonts w:hint="eastAsia"/>
                      <w:spacing w:val="-2"/>
                      <w:sz w:val="22"/>
                      <w:szCs w:val="22"/>
                      <w:lang w:val="en-US" w:eastAsia="zh-CN"/>
                    </w:rPr>
                    <w:t>资源配</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2"/>
                      <w:sz w:val="22"/>
                      <w:szCs w:val="22"/>
                      <w:lang w:val="en-US" w:eastAsia="zh-CN"/>
                    </w:rPr>
                  </w:pPr>
                  <w:r>
                    <w:rPr>
                      <w:rFonts w:hint="eastAsia"/>
                      <w:spacing w:val="-2"/>
                      <w:sz w:val="22"/>
                      <w:szCs w:val="22"/>
                      <w:lang w:val="en-US" w:eastAsia="zh-CN"/>
                    </w:rPr>
                    <w:t>置方案</w:t>
                  </w:r>
                </w:p>
              </w:tc>
              <w:tc>
                <w:tcPr>
                  <w:tcW w:w="25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2"/>
                      <w:sz w:val="22"/>
                      <w:szCs w:val="22"/>
                      <w:lang w:val="en-US" w:eastAsia="zh-CN"/>
                    </w:rPr>
                  </w:pPr>
                  <w:r>
                    <w:rPr>
                      <w:rFonts w:hint="eastAsia"/>
                      <w:spacing w:val="-2"/>
                      <w:sz w:val="22"/>
                      <w:szCs w:val="22"/>
                      <w:lang w:val="en-US" w:eastAsia="zh-CN"/>
                    </w:rPr>
                    <w:t>中期</w:t>
                  </w:r>
                  <w:r>
                    <w:rPr>
                      <w:rFonts w:hint="default"/>
                      <w:spacing w:val="-2"/>
                      <w:sz w:val="22"/>
                      <w:szCs w:val="22"/>
                      <w:lang w:val="en-US" w:eastAsia="zh-CN"/>
                    </w:rPr>
                    <w:t>2025</w:t>
                  </w:r>
                  <w:r>
                    <w:rPr>
                      <w:rFonts w:hint="eastAsia"/>
                      <w:spacing w:val="-2"/>
                      <w:sz w:val="22"/>
                      <w:szCs w:val="22"/>
                      <w:lang w:val="en-US" w:eastAsia="zh-CN"/>
                    </w:rPr>
                    <w:t>年，在大力发展节水的基础上，规划新建亭子口灌区（苍溪段）大型灌区，以及渔洞河、万家峡、老鹰嘴、刘家河、窑沟、鹅项颈、小王沟、禾丰等一批中小型水库工程，同时加大过境水利用，并辅以小微型水利设施及非常规水源利用，以满足区域用水。</w:t>
                  </w:r>
                </w:p>
              </w:tc>
              <w:tc>
                <w:tcPr>
                  <w:tcW w:w="1174"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2"/>
                      <w:sz w:val="22"/>
                      <w:szCs w:val="22"/>
                      <w:lang w:val="en-US" w:eastAsia="zh-CN"/>
                    </w:rPr>
                  </w:pPr>
                  <w:r>
                    <w:rPr>
                      <w:rFonts w:hint="eastAsia"/>
                      <w:spacing w:val="-2"/>
                      <w:sz w:val="22"/>
                      <w:szCs w:val="22"/>
                      <w:lang w:val="en-US" w:eastAsia="zh-CN"/>
                    </w:rPr>
                    <w:t>本项目为三合水库，属于规划中的小型水库</w:t>
                  </w:r>
                </w:p>
              </w:tc>
              <w:tc>
                <w:tcPr>
                  <w:tcW w:w="654"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spacing w:val="-2"/>
                      <w:sz w:val="22"/>
                      <w:szCs w:val="22"/>
                      <w:lang w:val="en-US" w:eastAsia="zh-CN"/>
                    </w:rPr>
                  </w:pPr>
                  <w:r>
                    <w:rPr>
                      <w:rFonts w:hint="eastAsia"/>
                      <w:spacing w:val="-2"/>
                      <w:sz w:val="22"/>
                      <w:szCs w:val="22"/>
                      <w:lang w:val="en-US" w:eastAsia="zh-CN"/>
                    </w:rPr>
                    <w:t>符合</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z w:val="24"/>
                <w:szCs w:val="24"/>
              </w:rPr>
            </w:pPr>
            <w:r>
              <w:rPr>
                <w:rFonts w:hint="eastAsia"/>
                <w:sz w:val="24"/>
                <w:szCs w:val="24"/>
              </w:rPr>
              <w:t>综上所述，本项目建设符合《广元市水资源综合规划》要求。</w:t>
            </w:r>
          </w:p>
          <w:p>
            <w:pPr>
              <w:autoSpaceDE w:val="0"/>
              <w:autoSpaceDN w:val="0"/>
              <w:spacing w:line="360" w:lineRule="auto"/>
              <w:rPr>
                <w:rFonts w:hint="eastAsia" w:ascii="宋体" w:cs="宋体"/>
                <w:b/>
                <w:kern w:val="0"/>
                <w:sz w:val="24"/>
                <w:lang w:val="en-US" w:eastAsia="zh-CN"/>
              </w:rPr>
            </w:pPr>
            <w:r>
              <w:rPr>
                <w:rFonts w:hint="eastAsia" w:ascii="宋体" w:cs="宋体"/>
                <w:b/>
                <w:kern w:val="0"/>
                <w:sz w:val="24"/>
                <w:lang w:val="en-US" w:eastAsia="zh-CN"/>
              </w:rPr>
              <w:t>四、本项目与《旺苍县水资源综合规划》的符合性分析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z w:val="24"/>
                <w:szCs w:val="24"/>
              </w:rPr>
            </w:pPr>
            <w:r>
              <w:rPr>
                <w:rFonts w:hint="default" w:ascii="Arial" w:hAnsi="Arial" w:cs="Arial"/>
                <w:sz w:val="24"/>
                <w:szCs w:val="24"/>
              </w:rPr>
              <w:t>2019年5月，广元市水利局印发了</w:t>
            </w:r>
            <w:r>
              <w:rPr>
                <w:rFonts w:hint="eastAsia" w:ascii="Arial" w:hAnsi="Arial" w:cs="Arial"/>
                <w:sz w:val="24"/>
                <w:szCs w:val="24"/>
                <w:lang w:eastAsia="zh-CN"/>
              </w:rPr>
              <w:t>《</w:t>
            </w:r>
            <w:r>
              <w:rPr>
                <w:rFonts w:hint="default" w:ascii="Arial" w:hAnsi="Arial" w:cs="Arial"/>
                <w:sz w:val="24"/>
                <w:szCs w:val="24"/>
              </w:rPr>
              <w:t>旺苍县水资源综合规划审查意见的通知</w:t>
            </w:r>
            <w:r>
              <w:rPr>
                <w:rFonts w:hint="eastAsia" w:ascii="Arial" w:hAnsi="Arial" w:cs="Arial"/>
                <w:sz w:val="24"/>
                <w:szCs w:val="24"/>
                <w:lang w:eastAsia="zh-CN"/>
              </w:rPr>
              <w:t>》</w:t>
            </w:r>
            <w:r>
              <w:rPr>
                <w:rFonts w:hint="default" w:ascii="Arial" w:hAnsi="Arial" w:cs="Arial"/>
                <w:sz w:val="24"/>
                <w:szCs w:val="24"/>
              </w:rPr>
              <w:t>（</w:t>
            </w:r>
            <w:r>
              <w:rPr>
                <w:rFonts w:hint="eastAsia" w:ascii="Arial" w:hAnsi="Arial" w:cs="Arial"/>
                <w:sz w:val="24"/>
                <w:szCs w:val="24"/>
                <w:lang w:val="en-US" w:eastAsia="zh-CN"/>
              </w:rPr>
              <w:t>文号：</w:t>
            </w:r>
            <w:r>
              <w:rPr>
                <w:rFonts w:hint="default" w:ascii="Arial" w:hAnsi="Arial" w:cs="Arial"/>
                <w:sz w:val="24"/>
                <w:szCs w:val="24"/>
              </w:rPr>
              <w:t>广水函〔2019〕107号），基本同意该规划。规划工程包括罐子坝大（2）型水库，万家峡中型水库，小王沟、龙家河、</w:t>
            </w:r>
            <w:r>
              <w:rPr>
                <w:rFonts w:hint="default" w:ascii="Arial" w:hAnsi="Arial" w:cs="Arial"/>
                <w:b/>
                <w:bCs/>
                <w:sz w:val="24"/>
                <w:szCs w:val="24"/>
                <w:u w:val="single"/>
              </w:rPr>
              <w:t>三合</w:t>
            </w:r>
            <w:r>
              <w:rPr>
                <w:rFonts w:hint="default" w:ascii="Arial" w:hAnsi="Arial" w:cs="Arial"/>
                <w:sz w:val="24"/>
                <w:szCs w:val="24"/>
              </w:rPr>
              <w:t>等3座小（1）型水库以及青沟、岳池岩、八五、沙树湾、烂田湾、活水湾等7座小（2）型水库。</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sz w:val="24"/>
                <w:szCs w:val="24"/>
                <w:lang w:eastAsia="zh-CN"/>
              </w:rPr>
            </w:pPr>
            <w:r>
              <w:rPr>
                <w:rFonts w:hint="default" w:ascii="Arial" w:hAnsi="Arial" w:cs="Arial"/>
                <w:sz w:val="24"/>
                <w:szCs w:val="24"/>
              </w:rPr>
              <w:t>本项目与《旺苍县水资源综合规划》的符合性分析见下表</w:t>
            </w:r>
            <w:r>
              <w:rPr>
                <w:rFonts w:hint="eastAsia" w:ascii="Arial" w:hAnsi="Arial" w:cs="Arial"/>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sz w:val="24"/>
                <w:szCs w:val="24"/>
                <w:lang w:eastAsia="zh-CN"/>
              </w:rPr>
            </w:pPr>
          </w:p>
          <w:p>
            <w:pPr>
              <w:tabs>
                <w:tab w:val="left" w:pos="3780"/>
              </w:tabs>
              <w:spacing w:line="360" w:lineRule="auto"/>
              <w:jc w:val="center"/>
              <w:rPr>
                <w:rFonts w:hint="eastAsia"/>
                <w:b/>
                <w:szCs w:val="21"/>
                <w:lang w:val="en-US" w:eastAsia="zh-CN"/>
              </w:rPr>
            </w:pPr>
            <w:r>
              <w:rPr>
                <w:rFonts w:hint="eastAsia"/>
                <w:b/>
                <w:szCs w:val="21"/>
              </w:rPr>
              <w:t>表 1-</w:t>
            </w:r>
            <w:r>
              <w:rPr>
                <w:rFonts w:hint="eastAsia"/>
                <w:b/>
                <w:szCs w:val="21"/>
                <w:lang w:val="en-US" w:eastAsia="zh-CN"/>
              </w:rPr>
              <w:t>3</w:t>
            </w:r>
            <w:r>
              <w:rPr>
                <w:rFonts w:hint="eastAsia"/>
                <w:b/>
                <w:szCs w:val="21"/>
              </w:rPr>
              <w:t xml:space="preserve">   本项目与《旺苍县水资源综合规划》的符合性分析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4303"/>
              <w:gridCol w:w="200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1" w:type="pct"/>
                  <w:vAlign w:val="center"/>
                </w:tcPr>
                <w:p>
                  <w:pPr>
                    <w:autoSpaceDE w:val="0"/>
                    <w:autoSpaceDN w:val="0"/>
                    <w:spacing w:line="360" w:lineRule="auto"/>
                    <w:jc w:val="center"/>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章节</w:t>
                  </w:r>
                </w:p>
              </w:tc>
              <w:tc>
                <w:tcPr>
                  <w:tcW w:w="2519" w:type="pct"/>
                  <w:vAlign w:val="center"/>
                </w:tcPr>
                <w:p>
                  <w:pPr>
                    <w:autoSpaceDE w:val="0"/>
                    <w:autoSpaceDN w:val="0"/>
                    <w:spacing w:line="360" w:lineRule="auto"/>
                    <w:jc w:val="center"/>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规划目标</w:t>
                  </w:r>
                </w:p>
              </w:tc>
              <w:tc>
                <w:tcPr>
                  <w:tcW w:w="1174" w:type="pct"/>
                  <w:vAlign w:val="center"/>
                </w:tcPr>
                <w:p>
                  <w:pPr>
                    <w:autoSpaceDE w:val="0"/>
                    <w:autoSpaceDN w:val="0"/>
                    <w:spacing w:line="360" w:lineRule="auto"/>
                    <w:jc w:val="center"/>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本项目</w:t>
                  </w:r>
                </w:p>
              </w:tc>
              <w:tc>
                <w:tcPr>
                  <w:tcW w:w="654" w:type="pct"/>
                  <w:vAlign w:val="center"/>
                </w:tcPr>
                <w:p>
                  <w:pPr>
                    <w:autoSpaceDE w:val="0"/>
                    <w:autoSpaceDN w:val="0"/>
                    <w:spacing w:line="360" w:lineRule="auto"/>
                    <w:jc w:val="center"/>
                    <w:rPr>
                      <w:rFonts w:hint="default" w:ascii="宋体" w:cs="宋体"/>
                      <w:b/>
                      <w:kern w:val="0"/>
                      <w:sz w:val="21"/>
                      <w:szCs w:val="21"/>
                      <w:vertAlign w:val="baseline"/>
                      <w:lang w:val="en-US" w:eastAsia="zh-CN"/>
                    </w:rPr>
                  </w:pPr>
                  <w:r>
                    <w:rPr>
                      <w:rFonts w:hint="eastAsia" w:ascii="宋体" w:cs="宋体"/>
                      <w:b/>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6.2供水工程规划</w:t>
                  </w:r>
                </w:p>
              </w:tc>
              <w:tc>
                <w:tcPr>
                  <w:tcW w:w="251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sz w:val="21"/>
                      <w:szCs w:val="21"/>
                      <w:lang w:val="en-US" w:eastAsia="zh-CN"/>
                    </w:rPr>
                  </w:pPr>
                  <w:r>
                    <w:rPr>
                      <w:rFonts w:hint="default" w:ascii="Arial" w:hAnsi="Arial" w:cs="Arial"/>
                      <w:spacing w:val="0"/>
                      <w:sz w:val="21"/>
                      <w:szCs w:val="21"/>
                      <w:lang w:val="en-US" w:eastAsia="zh-CN"/>
                    </w:rPr>
                    <w:t>根据规划，除罐子坝水库和万家峡水库外，本次规划有小（1）型水库3座，分别是小王沟水库、龙家河水库、三合水库，规划总库容1880万m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，兴利库容总共1520万m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，年供水能力1387万m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；小（2）型水库7座，分别是青沟水库、岳池岩水库、八五水库、沙树湾水库、烂田湾水库、活水湾水库，规划总库容123.7万m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，兴利库容总共99万m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，年供水能力87万m</w:t>
                  </w:r>
                  <w:r>
                    <w:rPr>
                      <w:rFonts w:hint="default" w:ascii="Arial" w:hAnsi="Arial" w:cs="Arial"/>
                      <w:spacing w:val="0"/>
                      <w:sz w:val="21"/>
                      <w:szCs w:val="21"/>
                      <w:vertAlign w:val="superscript"/>
                      <w:lang w:val="en-US" w:eastAsia="zh-CN"/>
                    </w:rPr>
                    <w:t>3</w:t>
                  </w:r>
                  <w:r>
                    <w:rPr>
                      <w:rFonts w:hint="default" w:ascii="Arial" w:hAnsi="Arial" w:cs="Arial"/>
                      <w:spacing w:val="0"/>
                      <w:sz w:val="21"/>
                      <w:szCs w:val="21"/>
                      <w:lang w:val="en-US" w:eastAsia="zh-CN"/>
                    </w:rPr>
                    <w:t>。</w:t>
                  </w:r>
                </w:p>
              </w:tc>
              <w:tc>
                <w:tcPr>
                  <w:tcW w:w="1174"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sz w:val="21"/>
                      <w:szCs w:val="21"/>
                      <w:lang w:val="en-US"/>
                    </w:rPr>
                  </w:pPr>
                  <w:r>
                    <w:rPr>
                      <w:rFonts w:hint="default" w:ascii="Arial" w:hAnsi="Arial" w:cs="Arial"/>
                      <w:spacing w:val="0"/>
                      <w:sz w:val="21"/>
                      <w:szCs w:val="21"/>
                      <w:lang w:val="en-US"/>
                    </w:rPr>
                    <w:t>本项目属于规划建设的</w:t>
                  </w:r>
                  <w:r>
                    <w:rPr>
                      <w:rFonts w:hint="default" w:ascii="Arial" w:hAnsi="Arial" w:cs="Arial"/>
                      <w:spacing w:val="0"/>
                      <w:sz w:val="21"/>
                      <w:szCs w:val="21"/>
                      <w:lang w:val="en-US" w:eastAsia="zh-CN"/>
                    </w:rPr>
                    <w:t>三合</w:t>
                  </w:r>
                  <w:r>
                    <w:rPr>
                      <w:rFonts w:hint="default" w:ascii="Arial" w:hAnsi="Arial" w:cs="Arial"/>
                      <w:spacing w:val="0"/>
                      <w:sz w:val="21"/>
                      <w:szCs w:val="21"/>
                      <w:lang w:val="en-US"/>
                    </w:rPr>
                    <w:t>水库，总库容</w:t>
                  </w:r>
                  <w:r>
                    <w:rPr>
                      <w:rFonts w:hint="default" w:ascii="Arial" w:hAnsi="Arial" w:cs="Arial"/>
                      <w:spacing w:val="0"/>
                      <w:sz w:val="21"/>
                      <w:szCs w:val="21"/>
                      <w:lang w:val="en-US" w:eastAsia="zh-CN"/>
                    </w:rPr>
                    <w:t>371</w:t>
                  </w:r>
                  <w:r>
                    <w:rPr>
                      <w:rFonts w:hint="default" w:ascii="Arial" w:hAnsi="Arial" w:cs="Arial"/>
                      <w:spacing w:val="0"/>
                      <w:sz w:val="21"/>
                      <w:szCs w:val="21"/>
                      <w:lang w:val="en-US"/>
                    </w:rPr>
                    <w:t>万m</w:t>
                  </w:r>
                  <w:r>
                    <w:rPr>
                      <w:rFonts w:hint="default" w:ascii="Arial" w:hAnsi="Arial" w:cs="Arial"/>
                      <w:spacing w:val="0"/>
                      <w:sz w:val="21"/>
                      <w:szCs w:val="21"/>
                      <w:vertAlign w:val="superscript"/>
                      <w:lang w:val="en-US"/>
                    </w:rPr>
                    <w:t>3</w:t>
                  </w:r>
                  <w:r>
                    <w:rPr>
                      <w:rFonts w:hint="default" w:ascii="Arial" w:hAnsi="Arial" w:cs="Arial"/>
                      <w:spacing w:val="0"/>
                      <w:sz w:val="21"/>
                      <w:szCs w:val="21"/>
                      <w:lang w:val="en-US"/>
                    </w:rPr>
                    <w:t>，</w:t>
                  </w:r>
                  <w:r>
                    <w:rPr>
                      <w:rFonts w:hint="default" w:ascii="Arial" w:hAnsi="Arial" w:cs="Arial"/>
                      <w:snapToGrid w:val="0"/>
                      <w:spacing w:val="0"/>
                      <w:sz w:val="21"/>
                      <w:szCs w:val="21"/>
                    </w:rPr>
                    <w:t>死库容34万m</w:t>
                  </w:r>
                  <w:r>
                    <w:rPr>
                      <w:rFonts w:hint="default" w:ascii="Arial" w:hAnsi="Arial" w:cs="Arial"/>
                      <w:snapToGrid w:val="0"/>
                      <w:spacing w:val="0"/>
                      <w:sz w:val="21"/>
                      <w:szCs w:val="21"/>
                      <w:vertAlign w:val="superscript"/>
                    </w:rPr>
                    <w:t>3</w:t>
                  </w:r>
                  <w:r>
                    <w:rPr>
                      <w:rFonts w:hint="default" w:ascii="Arial" w:hAnsi="Arial" w:cs="Arial"/>
                      <w:snapToGrid w:val="0"/>
                      <w:spacing w:val="0"/>
                      <w:sz w:val="21"/>
                      <w:szCs w:val="21"/>
                    </w:rPr>
                    <w:t>，</w:t>
                  </w:r>
                  <w:r>
                    <w:rPr>
                      <w:rFonts w:hint="default" w:ascii="Arial" w:hAnsi="Arial" w:cs="Arial"/>
                      <w:spacing w:val="0"/>
                      <w:sz w:val="21"/>
                      <w:szCs w:val="21"/>
                      <w:lang w:val="en-US"/>
                    </w:rPr>
                    <w:t>兴利库容</w:t>
                  </w:r>
                  <w:r>
                    <w:rPr>
                      <w:rFonts w:hint="default" w:ascii="Arial" w:hAnsi="Arial" w:cs="Arial"/>
                      <w:spacing w:val="0"/>
                      <w:sz w:val="21"/>
                      <w:szCs w:val="21"/>
                      <w:lang w:val="en-US" w:eastAsia="zh-CN"/>
                    </w:rPr>
                    <w:t>273</w:t>
                  </w:r>
                  <w:r>
                    <w:rPr>
                      <w:rFonts w:hint="default" w:ascii="Arial" w:hAnsi="Arial" w:cs="Arial"/>
                      <w:spacing w:val="0"/>
                      <w:sz w:val="21"/>
                      <w:szCs w:val="21"/>
                      <w:lang w:val="en-US"/>
                    </w:rPr>
                    <w:t>万m</w:t>
                  </w:r>
                  <w:r>
                    <w:rPr>
                      <w:rFonts w:hint="default" w:ascii="Arial" w:hAnsi="Arial" w:cs="Arial"/>
                      <w:spacing w:val="0"/>
                      <w:sz w:val="21"/>
                      <w:szCs w:val="21"/>
                      <w:vertAlign w:val="superscript"/>
                      <w:lang w:val="en-US"/>
                    </w:rPr>
                    <w:t>3</w:t>
                  </w:r>
                  <w:r>
                    <w:rPr>
                      <w:rFonts w:hint="default" w:ascii="Arial" w:hAnsi="Arial" w:cs="Arial"/>
                      <w:spacing w:val="0"/>
                      <w:sz w:val="21"/>
                      <w:szCs w:val="21"/>
                      <w:lang w:val="en-US"/>
                    </w:rPr>
                    <w:t>，灌区设计灌溉面积为2.14万亩。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sz w:val="21"/>
                      <w:szCs w:val="21"/>
                      <w:lang w:val="en-US" w:eastAsia="zh-CN"/>
                    </w:rPr>
                  </w:pPr>
                </w:p>
              </w:tc>
              <w:tc>
                <w:tcPr>
                  <w:tcW w:w="654"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rPr>
                  </w:pPr>
                  <w:r>
                    <w:rPr>
                      <w:rFonts w:hint="default" w:ascii="Arial" w:hAnsi="Arial" w:cs="Arial"/>
                      <w:spacing w:val="-2"/>
                      <w:sz w:val="21"/>
                      <w:szCs w:val="21"/>
                      <w:lang w:val="en-US" w:eastAsia="zh-CN"/>
                    </w:rPr>
                    <w:t>符合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Arial" w:hAnsi="Arial" w:eastAsia="宋体" w:cs="Arial"/>
                <w:kern w:val="2"/>
                <w:sz w:val="24"/>
                <w:szCs w:val="24"/>
                <w:lang w:val="en-US" w:eastAsia="zh-CN" w:bidi="ar-SA"/>
              </w:rPr>
            </w:pPr>
            <w:r>
              <w:rPr>
                <w:rFonts w:hint="eastAsia" w:ascii="Arial" w:hAnsi="Arial" w:eastAsia="宋体" w:cs="Arial"/>
                <w:kern w:val="2"/>
                <w:sz w:val="24"/>
                <w:szCs w:val="24"/>
                <w:lang w:val="en-US" w:eastAsia="en-US" w:bidi="ar-SA"/>
              </w:rPr>
              <w:t>综上所述，本项目建设符合《广元市水资源综合规划》要求。</w:t>
            </w:r>
          </w:p>
          <w:p>
            <w:pPr>
              <w:autoSpaceDE w:val="0"/>
              <w:autoSpaceDN w:val="0"/>
              <w:spacing w:line="360" w:lineRule="auto"/>
              <w:rPr>
                <w:rFonts w:hint="eastAsia" w:ascii="宋体" w:cs="宋体"/>
                <w:b/>
                <w:kern w:val="0"/>
                <w:sz w:val="24"/>
                <w:lang w:val="en-US" w:eastAsia="zh-CN"/>
              </w:rPr>
            </w:pPr>
            <w:r>
              <w:rPr>
                <w:rFonts w:hint="eastAsia" w:ascii="宋体" w:cs="宋体"/>
                <w:b/>
                <w:kern w:val="0"/>
                <w:sz w:val="24"/>
                <w:lang w:val="en-US" w:eastAsia="zh-CN"/>
              </w:rPr>
              <w:t>五、本项目与《旺苍县“十四五”水安全保障规划》的符合性分析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sz w:val="24"/>
                <w:szCs w:val="24"/>
                <w:lang w:eastAsia="zh-CN"/>
              </w:rPr>
            </w:pPr>
            <w:r>
              <w:rPr>
                <w:rFonts w:hint="default" w:ascii="Arial" w:hAnsi="Arial" w:cs="Arial"/>
                <w:sz w:val="24"/>
                <w:szCs w:val="24"/>
              </w:rPr>
              <w:t>本项目与《旺苍县“十四五”水安全保障规划》的符合性分析见下表</w:t>
            </w:r>
            <w:r>
              <w:rPr>
                <w:rFonts w:hint="eastAsia" w:ascii="Arial" w:hAnsi="Arial" w:cs="Arial"/>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b/>
                <w:szCs w:val="21"/>
              </w:rPr>
            </w:pPr>
            <w:r>
              <w:rPr>
                <w:rFonts w:hint="eastAsia"/>
                <w:b/>
                <w:szCs w:val="21"/>
              </w:rPr>
              <w:t>表1-4  本项目与《旺苍县“十四五”水安全保障规划》的符合性分析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968"/>
              <w:gridCol w:w="2340"/>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1"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cs="宋体"/>
                      <w:b/>
                      <w:kern w:val="0"/>
                      <w:sz w:val="21"/>
                      <w:szCs w:val="21"/>
                      <w:vertAlign w:val="baseline"/>
                      <w:lang w:val="en-US" w:eastAsia="zh-CN"/>
                    </w:rPr>
                  </w:pPr>
                  <w:r>
                    <w:rPr>
                      <w:rFonts w:hint="eastAsia" w:ascii="宋体" w:cs="宋体"/>
                      <w:b/>
                      <w:kern w:val="0"/>
                      <w:sz w:val="21"/>
                      <w:szCs w:val="21"/>
                      <w:vertAlign w:val="baseline"/>
                      <w:lang w:val="en-US" w:eastAsia="zh-CN"/>
                    </w:rPr>
                    <w:t>章节</w:t>
                  </w:r>
                </w:p>
              </w:tc>
              <w:tc>
                <w:tcPr>
                  <w:tcW w:w="2323"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cs="宋体"/>
                      <w:b/>
                      <w:kern w:val="0"/>
                      <w:sz w:val="21"/>
                      <w:szCs w:val="21"/>
                      <w:vertAlign w:val="baseline"/>
                      <w:lang w:val="en-US" w:eastAsia="zh-CN"/>
                    </w:rPr>
                  </w:pPr>
                  <w:r>
                    <w:rPr>
                      <w:rFonts w:hint="eastAsia" w:ascii="宋体" w:cs="宋体"/>
                      <w:b/>
                      <w:kern w:val="0"/>
                      <w:sz w:val="21"/>
                      <w:szCs w:val="21"/>
                      <w:vertAlign w:val="baseline"/>
                      <w:lang w:val="en-US" w:eastAsia="zh-CN"/>
                    </w:rPr>
                    <w:t>规划目标</w:t>
                  </w:r>
                </w:p>
              </w:tc>
              <w:tc>
                <w:tcPr>
                  <w:tcW w:w="1370"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cs="宋体"/>
                      <w:b/>
                      <w:kern w:val="0"/>
                      <w:sz w:val="21"/>
                      <w:szCs w:val="21"/>
                      <w:vertAlign w:val="baseline"/>
                      <w:lang w:val="en-US" w:eastAsia="zh-CN"/>
                    </w:rPr>
                  </w:pPr>
                  <w:r>
                    <w:rPr>
                      <w:rFonts w:hint="eastAsia" w:ascii="宋体" w:cs="宋体"/>
                      <w:b/>
                      <w:kern w:val="0"/>
                      <w:sz w:val="21"/>
                      <w:szCs w:val="21"/>
                      <w:vertAlign w:val="baseline"/>
                      <w:lang w:val="en-US" w:eastAsia="zh-CN"/>
                    </w:rPr>
                    <w:t>本项目</w:t>
                  </w:r>
                </w:p>
              </w:tc>
              <w:tc>
                <w:tcPr>
                  <w:tcW w:w="654" w:type="pc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cs="宋体"/>
                      <w:b/>
                      <w:kern w:val="0"/>
                      <w:sz w:val="21"/>
                      <w:szCs w:val="21"/>
                      <w:vertAlign w:val="baseline"/>
                      <w:lang w:val="en-US" w:eastAsia="zh-CN"/>
                    </w:rPr>
                  </w:pPr>
                  <w:r>
                    <w:rPr>
                      <w:rFonts w:hint="eastAsia" w:ascii="宋体" w:cs="宋体"/>
                      <w:b/>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65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第六章</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水利工程补短板</w:t>
                  </w:r>
                </w:p>
              </w:tc>
              <w:tc>
                <w:tcPr>
                  <w:tcW w:w="23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Arial" w:hAnsi="Arial" w:cs="Arial"/>
                      <w:b/>
                      <w:bCs/>
                      <w:spacing w:val="-2"/>
                      <w:sz w:val="21"/>
                      <w:szCs w:val="21"/>
                      <w:lang w:val="en-US" w:eastAsia="zh-CN"/>
                    </w:rPr>
                  </w:pPr>
                  <w:r>
                    <w:rPr>
                      <w:rFonts w:hint="default" w:ascii="Arial" w:hAnsi="Arial" w:cs="Arial"/>
                      <w:b/>
                      <w:bCs/>
                      <w:spacing w:val="-2"/>
                      <w:sz w:val="21"/>
                      <w:szCs w:val="21"/>
                      <w:lang w:val="en-US" w:eastAsia="zh-CN"/>
                    </w:rPr>
                    <w:t>（二）水库及灌区工程</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规划大型水库1座、中型水库3座、小（1）型水库11座、小（2）型水库21座，规划投资301.05亿元。</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12．新建</w:t>
                  </w:r>
                  <w:r>
                    <w:rPr>
                      <w:rFonts w:hint="eastAsia" w:ascii="Arial" w:hAnsi="Arial" w:cs="Arial"/>
                      <w:spacing w:val="-2"/>
                      <w:sz w:val="21"/>
                      <w:szCs w:val="21"/>
                      <w:lang w:val="en-US" w:eastAsia="zh-CN"/>
                    </w:rPr>
                    <w:t>三合</w:t>
                  </w:r>
                  <w:r>
                    <w:rPr>
                      <w:rFonts w:hint="default" w:ascii="Arial" w:hAnsi="Arial" w:cs="Arial"/>
                      <w:spacing w:val="-2"/>
                      <w:sz w:val="21"/>
                      <w:szCs w:val="21"/>
                      <w:lang w:val="en-US" w:eastAsia="zh-CN"/>
                    </w:rPr>
                    <w:t>小（1）型水库，规划总库容</w:t>
                  </w:r>
                  <w:r>
                    <w:rPr>
                      <w:rFonts w:hint="eastAsia" w:ascii="Arial" w:hAnsi="Arial" w:cs="Arial"/>
                      <w:spacing w:val="-2"/>
                      <w:sz w:val="21"/>
                      <w:szCs w:val="21"/>
                      <w:lang w:val="en-US" w:eastAsia="zh-CN"/>
                    </w:rPr>
                    <w:t>371</w:t>
                  </w:r>
                  <w:r>
                    <w:rPr>
                      <w:rFonts w:hint="default" w:ascii="Arial" w:hAnsi="Arial" w:cs="Arial"/>
                      <w:spacing w:val="-2"/>
                      <w:sz w:val="21"/>
                      <w:szCs w:val="21"/>
                      <w:lang w:val="en-US" w:eastAsia="zh-CN"/>
                    </w:rPr>
                    <w:t>万立方米，规划投资1.</w:t>
                  </w:r>
                  <w:r>
                    <w:rPr>
                      <w:rFonts w:hint="eastAsia" w:ascii="Arial" w:hAnsi="Arial" w:cs="Arial"/>
                      <w:spacing w:val="-2"/>
                      <w:sz w:val="21"/>
                      <w:szCs w:val="21"/>
                      <w:lang w:val="en-US" w:eastAsia="zh-CN"/>
                    </w:rPr>
                    <w:t>72</w:t>
                  </w:r>
                  <w:r>
                    <w:rPr>
                      <w:rFonts w:hint="default" w:ascii="Arial" w:hAnsi="Arial" w:cs="Arial"/>
                      <w:spacing w:val="-2"/>
                      <w:sz w:val="21"/>
                      <w:szCs w:val="21"/>
                      <w:lang w:val="en-US" w:eastAsia="zh-CN"/>
                    </w:rPr>
                    <w:t>亿元。</w:t>
                  </w:r>
                </w:p>
              </w:tc>
              <w:tc>
                <w:tcPr>
                  <w:tcW w:w="137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r>
                    <w:rPr>
                      <w:rFonts w:hint="default" w:ascii="Arial" w:hAnsi="Arial" w:cs="Arial"/>
                      <w:spacing w:val="-2"/>
                      <w:sz w:val="21"/>
                      <w:szCs w:val="21"/>
                      <w:lang w:val="en-US"/>
                    </w:rPr>
                    <w:t>本项目属于规划建设的</w:t>
                  </w:r>
                  <w:r>
                    <w:rPr>
                      <w:rFonts w:hint="default" w:ascii="Arial" w:hAnsi="Arial" w:cs="Arial"/>
                      <w:spacing w:val="-2"/>
                      <w:sz w:val="21"/>
                      <w:szCs w:val="21"/>
                      <w:lang w:val="en-US" w:eastAsia="zh-CN"/>
                    </w:rPr>
                    <w:t>三合</w:t>
                  </w:r>
                  <w:r>
                    <w:rPr>
                      <w:rFonts w:hint="default" w:ascii="Arial" w:hAnsi="Arial" w:cs="Arial"/>
                      <w:spacing w:val="-2"/>
                      <w:sz w:val="21"/>
                      <w:szCs w:val="21"/>
                      <w:lang w:val="en-US"/>
                    </w:rPr>
                    <w:t>水库，总库容</w:t>
                  </w:r>
                  <w:r>
                    <w:rPr>
                      <w:rFonts w:hint="default" w:ascii="Arial" w:hAnsi="Arial" w:cs="Arial"/>
                      <w:spacing w:val="-2"/>
                      <w:sz w:val="21"/>
                      <w:szCs w:val="21"/>
                      <w:lang w:val="en-US" w:eastAsia="zh-CN"/>
                    </w:rPr>
                    <w:t>371</w:t>
                  </w:r>
                  <w:r>
                    <w:rPr>
                      <w:rFonts w:hint="default" w:ascii="Arial" w:hAnsi="Arial" w:cs="Arial"/>
                      <w:spacing w:val="-2"/>
                      <w:sz w:val="21"/>
                      <w:szCs w:val="21"/>
                      <w:lang w:val="en-US"/>
                    </w:rPr>
                    <w:t>万m</w:t>
                  </w:r>
                  <w:r>
                    <w:rPr>
                      <w:rFonts w:hint="default" w:ascii="Arial" w:hAnsi="Arial" w:cs="Arial"/>
                      <w:spacing w:val="-2"/>
                      <w:sz w:val="21"/>
                      <w:szCs w:val="21"/>
                      <w:vertAlign w:val="superscript"/>
                      <w:lang w:val="en-US"/>
                    </w:rPr>
                    <w:t>3</w:t>
                  </w:r>
                  <w:r>
                    <w:rPr>
                      <w:rFonts w:hint="default" w:ascii="Arial" w:hAnsi="Arial" w:cs="Arial"/>
                      <w:spacing w:val="-2"/>
                      <w:sz w:val="21"/>
                      <w:szCs w:val="21"/>
                      <w:lang w:val="en-US"/>
                    </w:rPr>
                    <w:t>，</w:t>
                  </w:r>
                  <w:r>
                    <w:rPr>
                      <w:rFonts w:hint="default" w:ascii="Arial" w:hAnsi="Arial" w:cs="Arial"/>
                      <w:snapToGrid w:val="0"/>
                      <w:sz w:val="21"/>
                      <w:szCs w:val="21"/>
                    </w:rPr>
                    <w:t>死库容34万m</w:t>
                  </w:r>
                  <w:r>
                    <w:rPr>
                      <w:rFonts w:hint="default" w:ascii="Arial" w:hAnsi="Arial" w:cs="Arial"/>
                      <w:snapToGrid w:val="0"/>
                      <w:sz w:val="21"/>
                      <w:szCs w:val="21"/>
                      <w:vertAlign w:val="superscript"/>
                    </w:rPr>
                    <w:t>3</w:t>
                  </w:r>
                  <w:r>
                    <w:rPr>
                      <w:rFonts w:hint="default" w:ascii="Arial" w:hAnsi="Arial" w:cs="Arial"/>
                      <w:snapToGrid w:val="0"/>
                      <w:sz w:val="21"/>
                      <w:szCs w:val="21"/>
                    </w:rPr>
                    <w:t>，</w:t>
                  </w:r>
                  <w:r>
                    <w:rPr>
                      <w:rFonts w:hint="default" w:ascii="Arial" w:hAnsi="Arial" w:cs="Arial"/>
                      <w:spacing w:val="-2"/>
                      <w:sz w:val="21"/>
                      <w:szCs w:val="21"/>
                      <w:lang w:val="en-US"/>
                    </w:rPr>
                    <w:t>兴利库容</w:t>
                  </w:r>
                  <w:r>
                    <w:rPr>
                      <w:rFonts w:hint="default" w:ascii="Arial" w:hAnsi="Arial" w:cs="Arial"/>
                      <w:spacing w:val="-2"/>
                      <w:sz w:val="21"/>
                      <w:szCs w:val="21"/>
                      <w:lang w:val="en-US" w:eastAsia="zh-CN"/>
                    </w:rPr>
                    <w:t>273</w:t>
                  </w:r>
                  <w:r>
                    <w:rPr>
                      <w:rFonts w:hint="default" w:ascii="Arial" w:hAnsi="Arial" w:cs="Arial"/>
                      <w:spacing w:val="-2"/>
                      <w:sz w:val="21"/>
                      <w:szCs w:val="21"/>
                      <w:lang w:val="en-US"/>
                    </w:rPr>
                    <w:t>万m</w:t>
                  </w:r>
                  <w:r>
                    <w:rPr>
                      <w:rFonts w:hint="default" w:ascii="Arial" w:hAnsi="Arial" w:cs="Arial"/>
                      <w:spacing w:val="-2"/>
                      <w:sz w:val="21"/>
                      <w:szCs w:val="21"/>
                      <w:vertAlign w:val="superscript"/>
                      <w:lang w:val="en-US"/>
                    </w:rPr>
                    <w:t>3</w:t>
                  </w:r>
                  <w:r>
                    <w:rPr>
                      <w:rFonts w:hint="default" w:ascii="Arial" w:hAnsi="Arial" w:cs="Arial"/>
                      <w:spacing w:val="-2"/>
                      <w:sz w:val="21"/>
                      <w:szCs w:val="21"/>
                      <w:lang w:val="en-US"/>
                    </w:rPr>
                    <w:t>，灌区设计灌溉面积为2.14万亩。</w:t>
                  </w:r>
                </w:p>
              </w:tc>
              <w:tc>
                <w:tcPr>
                  <w:tcW w:w="654"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21"/>
                      <w:szCs w:val="21"/>
                      <w:lang w:val="en-US" w:eastAsia="zh-CN"/>
                    </w:rPr>
                  </w:pPr>
                  <w:r>
                    <w:rPr>
                      <w:rFonts w:hint="default" w:ascii="Arial" w:hAnsi="Arial" w:cs="Arial"/>
                      <w:spacing w:val="-2"/>
                      <w:sz w:val="21"/>
                      <w:szCs w:val="21"/>
                      <w:lang w:val="en-US" w:eastAsia="zh-CN"/>
                    </w:rPr>
                    <w:t>符合</w:t>
                  </w:r>
                </w:p>
              </w:tc>
            </w:tr>
          </w:tbl>
          <w:p>
            <w:pPr>
              <w:autoSpaceDE w:val="0"/>
              <w:autoSpaceDN w:val="0"/>
              <w:spacing w:line="360" w:lineRule="auto"/>
              <w:rPr>
                <w:rFonts w:ascii="Arial" w:hAnsi="Arial" w:cs="Arial"/>
                <w:color w:val="000000"/>
                <w:sz w:val="24"/>
              </w:rPr>
            </w:pPr>
            <w:r>
              <w:rPr>
                <w:rFonts w:hint="eastAsia" w:ascii="宋体" w:cs="宋体"/>
                <w:b/>
                <w:kern w:val="0"/>
                <w:sz w:val="24"/>
                <w:lang w:val="en-US" w:eastAsia="zh-CN"/>
              </w:rPr>
              <w:t>六、</w:t>
            </w:r>
            <w:r>
              <w:rPr>
                <w:rFonts w:ascii="宋体" w:cs="宋体"/>
                <w:b/>
                <w:kern w:val="0"/>
                <w:sz w:val="24"/>
              </w:rPr>
              <w:t>与</w:t>
            </w:r>
            <w:r>
              <w:rPr>
                <w:rFonts w:hint="eastAsia" w:ascii="宋体" w:cs="宋体"/>
                <w:b/>
                <w:kern w:val="0"/>
                <w:sz w:val="24"/>
                <w:lang w:eastAsia="zh-CN"/>
              </w:rPr>
              <w:t>《</w:t>
            </w:r>
            <w:r>
              <w:rPr>
                <w:rFonts w:hint="eastAsia" w:ascii="宋体" w:cs="宋体"/>
                <w:b/>
                <w:kern w:val="0"/>
                <w:sz w:val="24"/>
                <w:lang w:val="en-US" w:eastAsia="zh-CN"/>
              </w:rPr>
              <w:t>旺苍县国民经济和社会发展第十四个五年规划和二O三O年远景目标纲要</w:t>
            </w:r>
            <w:r>
              <w:rPr>
                <w:rFonts w:hint="eastAsia" w:ascii="宋体" w:cs="宋体"/>
                <w:b/>
                <w:kern w:val="0"/>
                <w:sz w:val="24"/>
                <w:lang w:eastAsia="zh-CN"/>
              </w:rPr>
              <w:t>》</w:t>
            </w:r>
            <w:r>
              <w:rPr>
                <w:rFonts w:hint="eastAsia" w:ascii="宋体" w:cs="宋体"/>
                <w:b/>
                <w:kern w:val="0"/>
                <w:sz w:val="24"/>
                <w:lang w:val="en-US" w:eastAsia="zh-CN"/>
              </w:rPr>
              <w:t>的</w:t>
            </w:r>
            <w:r>
              <w:rPr>
                <w:rFonts w:hint="eastAsia" w:ascii="宋体" w:cs="宋体"/>
                <w:b/>
                <w:kern w:val="0"/>
                <w:sz w:val="24"/>
              </w:rPr>
              <w:t>符合性</w:t>
            </w:r>
            <w:r>
              <w:rPr>
                <w:rFonts w:ascii="宋体" w:cs="宋体"/>
                <w:b/>
                <w:kern w:val="0"/>
                <w:sz w:val="24"/>
              </w:rPr>
              <w:t>分析</w:t>
            </w:r>
          </w:p>
          <w:p>
            <w:pPr>
              <w:spacing w:line="360" w:lineRule="auto"/>
              <w:ind w:firstLine="480" w:firstLineChars="200"/>
              <w:jc w:val="left"/>
              <w:rPr>
                <w:rFonts w:hint="eastAsia" w:hAnsi="宋体"/>
                <w:sz w:val="24"/>
                <w:lang w:val="en-US" w:eastAsia="zh-CN"/>
              </w:rPr>
            </w:pPr>
            <w:r>
              <w:rPr>
                <w:rFonts w:hAnsi="宋体"/>
                <w:sz w:val="24"/>
              </w:rPr>
              <w:t>根据《</w:t>
            </w:r>
            <w:r>
              <w:rPr>
                <w:rFonts w:hint="eastAsia" w:hAnsi="宋体"/>
                <w:sz w:val="24"/>
              </w:rPr>
              <w:t>旺苍县国民经济和社会发展第十</w:t>
            </w:r>
            <w:r>
              <w:rPr>
                <w:rFonts w:hint="eastAsia" w:hAnsi="宋体"/>
                <w:sz w:val="24"/>
                <w:lang w:val="en-US" w:eastAsia="zh-CN"/>
              </w:rPr>
              <w:t>四</w:t>
            </w:r>
            <w:r>
              <w:rPr>
                <w:rFonts w:hint="eastAsia" w:hAnsi="宋体"/>
                <w:sz w:val="24"/>
              </w:rPr>
              <w:t>个五年规划和二O三O年远景目标纲要</w:t>
            </w:r>
            <w:r>
              <w:rPr>
                <w:rFonts w:hAnsi="宋体"/>
                <w:sz w:val="24"/>
              </w:rPr>
              <w:t>》</w:t>
            </w:r>
            <w:r>
              <w:rPr>
                <w:rFonts w:hint="eastAsia" w:hAnsi="宋体"/>
                <w:sz w:val="24"/>
                <w:lang w:val="en-US" w:eastAsia="zh-CN"/>
              </w:rPr>
              <w:t>第十三章  加快推进水利工程建设</w:t>
            </w:r>
          </w:p>
          <w:p>
            <w:pPr>
              <w:numPr>
                <w:ilvl w:val="0"/>
                <w:numId w:val="1"/>
              </w:numPr>
              <w:spacing w:line="360" w:lineRule="auto"/>
              <w:ind w:firstLine="482" w:firstLineChars="200"/>
              <w:jc w:val="left"/>
              <w:rPr>
                <w:rFonts w:hint="default" w:hAnsi="宋体"/>
                <w:b/>
                <w:bCs/>
                <w:sz w:val="24"/>
                <w:lang w:val="en-US" w:eastAsia="zh-CN"/>
              </w:rPr>
            </w:pPr>
            <w:r>
              <w:rPr>
                <w:rFonts w:hint="eastAsia" w:hAnsi="宋体"/>
                <w:b/>
                <w:bCs/>
                <w:sz w:val="24"/>
                <w:lang w:val="en-US" w:eastAsia="zh-CN"/>
              </w:rPr>
              <w:t xml:space="preserve"> 加快推进水利工程建设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hAnsi="宋体"/>
                <w:sz w:val="24"/>
                <w:lang w:val="en-US" w:eastAsia="zh-CN"/>
              </w:rPr>
            </w:pPr>
            <w:r>
              <w:rPr>
                <w:rFonts w:hint="eastAsia" w:hAnsi="宋体"/>
                <w:sz w:val="24"/>
                <w:lang w:val="en-US" w:eastAsia="zh-CN"/>
              </w:rPr>
              <w:t>加快推进水源、防洪抗旱减灾、城乡居民饮水安全、水土保持、河湖及生态治理等水利工程建设，全面提升水利基础设施对全县经济社会可持续发展的保障能力。</w:t>
            </w:r>
          </w:p>
          <w:p>
            <w:pPr>
              <w:spacing w:line="360" w:lineRule="auto"/>
              <w:ind w:firstLine="482" w:firstLineChars="200"/>
              <w:jc w:val="left"/>
              <w:rPr>
                <w:rFonts w:hint="eastAsia" w:hAnsi="宋体"/>
                <w:sz w:val="24"/>
                <w:lang w:val="en-US" w:eastAsia="zh-CN"/>
              </w:rPr>
            </w:pPr>
            <w:r>
              <w:rPr>
                <w:rFonts w:hint="eastAsia" w:hAnsi="宋体"/>
                <w:b/>
                <w:bCs/>
                <w:sz w:val="24"/>
                <w:lang w:val="en-US" w:eastAsia="zh-CN"/>
              </w:rPr>
              <w:t>水源工程</w:t>
            </w:r>
            <w:r>
              <w:rPr>
                <w:rFonts w:hint="eastAsia" w:hAnsi="宋体"/>
                <w:sz w:val="24"/>
                <w:lang w:val="en-US" w:eastAsia="zh-CN"/>
              </w:rPr>
              <w:t>。因地制宜实施一批水资源配置工程建设，提高水资源调控水平和供水保障能力。做好罐子坝大型水库、万家峡等中型水库、</w:t>
            </w:r>
            <w:r>
              <w:rPr>
                <w:rFonts w:hint="eastAsia" w:hAnsi="宋体"/>
                <w:b/>
                <w:bCs/>
                <w:sz w:val="24"/>
                <w:lang w:val="en-US" w:eastAsia="zh-CN"/>
              </w:rPr>
              <w:t>三合等小型水库前期工作</w:t>
            </w:r>
            <w:r>
              <w:rPr>
                <w:rFonts w:hint="eastAsia" w:hAnsi="宋体"/>
                <w:sz w:val="24"/>
                <w:lang w:val="en-US" w:eastAsia="zh-CN"/>
              </w:rPr>
              <w:t>，推动罐子坝水库、万家峡水库、</w:t>
            </w:r>
            <w:r>
              <w:rPr>
                <w:rFonts w:hint="eastAsia" w:hAnsi="宋体"/>
                <w:b/>
                <w:bCs/>
                <w:sz w:val="24"/>
                <w:lang w:val="en-US" w:eastAsia="zh-CN"/>
              </w:rPr>
              <w:t>三合水库开工建设及配套设施建设</w:t>
            </w:r>
            <w:r>
              <w:rPr>
                <w:rFonts w:hint="eastAsia" w:hAnsi="宋体"/>
                <w:sz w:val="24"/>
                <w:lang w:val="en-US" w:eastAsia="zh-CN"/>
              </w:rPr>
              <w:t>，推进农村小型水源工程(当家塘)建设。完成病险水库除险加固任务，所有病险水库于2025年前完成达标建设，确保水库下游地区安全，提高相应区域水资源调蓄供给能力。统筹做好水库移民安置和后续帮扶工作。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hAnsi="宋体"/>
                <w:b/>
                <w:bCs/>
                <w:sz w:val="24"/>
                <w:lang w:val="en-US" w:eastAsia="zh-CN"/>
              </w:rPr>
            </w:pPr>
            <w:r>
              <w:rPr>
                <w:rFonts w:hint="eastAsia" w:hAnsi="宋体"/>
                <w:b/>
                <w:bCs/>
                <w:sz w:val="24"/>
                <w:lang w:val="en-US" w:eastAsia="zh-CN"/>
              </w:rPr>
              <w:t>专栏9 水利基础设施重点项目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hAnsi="宋体"/>
                <w:sz w:val="24"/>
                <w:lang w:val="en-US" w:eastAsia="zh-CN"/>
              </w:rPr>
            </w:pPr>
            <w:r>
              <w:rPr>
                <w:rFonts w:hint="eastAsia" w:hAnsi="宋体"/>
                <w:sz w:val="24"/>
                <w:lang w:val="en-US" w:eastAsia="zh-CN"/>
              </w:rPr>
              <w:t>水源工程：新建罐子坝水库建设工程；万家峡等中型水库建设工程；</w:t>
            </w:r>
            <w:r>
              <w:rPr>
                <w:rFonts w:hint="eastAsia" w:hAnsi="宋体"/>
                <w:b/>
                <w:bCs/>
                <w:sz w:val="24"/>
                <w:lang w:val="en-US" w:eastAsia="zh-CN"/>
              </w:rPr>
              <w:t>三合等小（1）型水库建设工程</w:t>
            </w:r>
            <w:r>
              <w:rPr>
                <w:rFonts w:hint="eastAsia" w:hAnsi="宋体"/>
                <w:sz w:val="24"/>
                <w:lang w:val="en-US" w:eastAsia="zh-CN"/>
              </w:rPr>
              <w:t>；大地河等小（2）型水库工程；病险水库治理工程。</w:t>
            </w:r>
          </w:p>
          <w:p>
            <w:pPr>
              <w:spacing w:line="360" w:lineRule="auto"/>
              <w:ind w:firstLine="480" w:firstLineChars="200"/>
              <w:jc w:val="left"/>
              <w:rPr>
                <w:rFonts w:hint="default" w:hAnsi="宋体" w:eastAsia="宋体"/>
                <w:sz w:val="24"/>
                <w:lang w:val="en-US" w:eastAsia="zh-CN"/>
              </w:rPr>
            </w:pPr>
            <w:r>
              <w:rPr>
                <w:rFonts w:hint="eastAsia" w:hAnsi="宋体"/>
                <w:sz w:val="24"/>
                <w:lang w:val="en-US" w:eastAsia="zh-CN"/>
              </w:rPr>
              <w:t>本项目为旺苍县三合水库工程，属于</w:t>
            </w:r>
            <w:r>
              <w:rPr>
                <w:rFonts w:hint="eastAsia" w:ascii="宋体" w:cs="宋体"/>
                <w:b/>
                <w:kern w:val="0"/>
                <w:sz w:val="24"/>
                <w:lang w:eastAsia="zh-CN"/>
              </w:rPr>
              <w:t>《</w:t>
            </w:r>
            <w:r>
              <w:rPr>
                <w:rFonts w:hint="eastAsia" w:ascii="宋体" w:cs="宋体"/>
                <w:b/>
                <w:kern w:val="0"/>
                <w:sz w:val="24"/>
                <w:lang w:val="en-US" w:eastAsia="zh-CN"/>
              </w:rPr>
              <w:t>旺苍县国民经济和社会发展第十个五年规划和二O三O年远景目标纲要</w:t>
            </w:r>
            <w:r>
              <w:rPr>
                <w:rFonts w:hint="eastAsia" w:ascii="宋体" w:cs="宋体"/>
                <w:b/>
                <w:kern w:val="0"/>
                <w:sz w:val="24"/>
                <w:lang w:eastAsia="zh-CN"/>
              </w:rPr>
              <w:t>》</w:t>
            </w:r>
            <w:r>
              <w:rPr>
                <w:rFonts w:hint="eastAsia" w:ascii="宋体" w:cs="宋体"/>
                <w:b/>
                <w:kern w:val="0"/>
                <w:sz w:val="24"/>
                <w:lang w:val="en-US" w:eastAsia="zh-CN"/>
              </w:rPr>
              <w:t>中重点规划的水源工程项目。</w:t>
            </w:r>
          </w:p>
          <w:p>
            <w:pPr>
              <w:spacing w:line="360" w:lineRule="auto"/>
              <w:ind w:firstLine="480" w:firstLineChars="200"/>
              <w:jc w:val="left"/>
              <w:rPr>
                <w:szCs w:val="21"/>
              </w:rPr>
            </w:pPr>
            <w:r>
              <w:rPr>
                <w:rFonts w:hint="eastAsia" w:hAnsi="宋体"/>
                <w:sz w:val="24"/>
                <w:lang w:val="en-US" w:eastAsia="zh-CN"/>
              </w:rPr>
              <w:t>另外</w:t>
            </w:r>
            <w:r>
              <w:rPr>
                <w:rFonts w:hint="eastAsia" w:hAnsi="宋体"/>
                <w:sz w:val="24"/>
              </w:rPr>
              <w:t>根据</w:t>
            </w:r>
            <w:r>
              <w:rPr>
                <w:rFonts w:hint="eastAsia" w:hAnsi="宋体"/>
                <w:sz w:val="24"/>
                <w:lang w:val="en-US" w:eastAsia="zh-CN"/>
              </w:rPr>
              <w:t>旺苍县</w:t>
            </w:r>
            <w:r>
              <w:rPr>
                <w:rFonts w:hint="eastAsia" w:hAnsi="宋体"/>
                <w:sz w:val="24"/>
              </w:rPr>
              <w:t>规划和自然资源局为项目出具的《</w:t>
            </w:r>
            <w:r>
              <w:rPr>
                <w:rFonts w:hint="eastAsia" w:hAnsi="宋体"/>
                <w:sz w:val="24"/>
                <w:lang w:val="en-US" w:eastAsia="zh-CN"/>
              </w:rPr>
              <w:t>建设项目用地预审与选址意见书</w:t>
            </w:r>
            <w:r>
              <w:rPr>
                <w:rFonts w:hint="eastAsia" w:hAnsi="宋体"/>
                <w:sz w:val="24"/>
              </w:rPr>
              <w:t>》</w:t>
            </w:r>
            <w:r>
              <w:rPr>
                <w:rFonts w:hint="eastAsia" w:hAnsi="宋体"/>
                <w:sz w:val="24"/>
                <w:lang w:eastAsia="zh-CN"/>
              </w:rPr>
              <w:t>（</w:t>
            </w:r>
            <w:r>
              <w:rPr>
                <w:rFonts w:hint="eastAsia" w:hAnsi="宋体"/>
                <w:sz w:val="24"/>
                <w:lang w:val="en-US" w:eastAsia="zh-CN"/>
              </w:rPr>
              <w:t>用字第510821202300006，详见附件2</w:t>
            </w:r>
            <w:r>
              <w:rPr>
                <w:rFonts w:hint="eastAsia" w:hAnsi="宋体"/>
                <w:sz w:val="24"/>
                <w:lang w:eastAsia="zh-CN"/>
              </w:rPr>
              <w:t>）</w:t>
            </w:r>
            <w:r>
              <w:rPr>
                <w:rFonts w:hint="eastAsia" w:hAnsi="宋体"/>
                <w:sz w:val="24"/>
              </w:rPr>
              <w:t>，明确</w:t>
            </w:r>
            <w:r>
              <w:rPr>
                <w:rFonts w:hAnsi="宋体"/>
                <w:sz w:val="24"/>
              </w:rPr>
              <w:t>本项目</w:t>
            </w:r>
            <w:r>
              <w:rPr>
                <w:rFonts w:hint="eastAsia" w:hAnsi="宋体"/>
                <w:sz w:val="24"/>
                <w:lang w:val="en-US" w:eastAsia="zh-CN"/>
              </w:rPr>
              <w:t>建设符合国土空间用途管制要求。</w:t>
            </w:r>
            <w:r>
              <w:rPr>
                <w:rFonts w:hAnsi="宋体"/>
                <w:sz w:val="24"/>
              </w:rPr>
              <w:t>因此，</w:t>
            </w:r>
            <w:r>
              <w:rPr>
                <w:rFonts w:hAnsi="宋体"/>
                <w:b/>
                <w:sz w:val="24"/>
              </w:rPr>
              <w:t>本项目符合《</w:t>
            </w:r>
            <w:r>
              <w:rPr>
                <w:rFonts w:hint="eastAsia" w:ascii="宋体" w:cs="宋体"/>
                <w:b/>
                <w:kern w:val="0"/>
                <w:sz w:val="24"/>
                <w:lang w:val="en-US" w:eastAsia="zh-CN"/>
              </w:rPr>
              <w:t>旺苍县国民经济和社会发展第十四个五年规划和二O三O年远景目标纲要》的要求。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802" w:type="dxa"/>
            <w:gridSpan w:val="2"/>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bookmarkStart w:id="3" w:name="_Hlk56690880"/>
            <w:r>
              <w:rPr>
                <w:rFonts w:hint="eastAsia" w:ascii="宋体" w:hAnsi="宋体" w:cs="宋体"/>
                <w:kern w:val="0"/>
                <w:sz w:val="24"/>
              </w:rPr>
              <w:t>其他符合性</w:t>
            </w:r>
          </w:p>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分析</w:t>
            </w:r>
            <w:bookmarkEnd w:id="3"/>
          </w:p>
        </w:tc>
        <w:tc>
          <w:tcPr>
            <w:tcW w:w="8544" w:type="dxa"/>
            <w:gridSpan w:val="4"/>
            <w:tcMar>
              <w:top w:w="16" w:type="dxa"/>
              <w:left w:w="16" w:type="dxa"/>
              <w:right w:w="16" w:type="dxa"/>
            </w:tcMar>
            <w:vAlign w:val="center"/>
          </w:tcPr>
          <w:p>
            <w:pPr>
              <w:autoSpaceDE w:val="0"/>
              <w:autoSpaceDN w:val="0"/>
              <w:adjustRightInd w:val="0"/>
              <w:spacing w:line="360" w:lineRule="auto"/>
              <w:rPr>
                <w:b/>
                <w:color w:val="000000" w:themeColor="text1"/>
                <w:sz w:val="28"/>
                <w:szCs w:val="28"/>
                <w:lang w:val="zh-CN"/>
                <w14:textFill>
                  <w14:solidFill>
                    <w14:schemeClr w14:val="tx1"/>
                  </w14:solidFill>
                </w14:textFill>
              </w:rPr>
            </w:pPr>
            <w:r>
              <w:rPr>
                <w:rFonts w:hint="eastAsia"/>
                <w:b/>
                <w:bCs/>
                <w:kern w:val="0"/>
                <w:sz w:val="24"/>
              </w:rPr>
              <w:t>一、</w:t>
            </w:r>
            <w:r>
              <w:rPr>
                <w:b/>
                <w:bCs/>
                <w:color w:val="000000" w:themeColor="text1"/>
                <w:kern w:val="0"/>
                <w:sz w:val="24"/>
                <w14:textFill>
                  <w14:solidFill>
                    <w14:schemeClr w14:val="tx1"/>
                  </w14:solidFill>
                </w14:textFill>
              </w:rPr>
              <w:t>产业政策符合性分析</w:t>
            </w:r>
          </w:p>
          <w:p>
            <w:pPr>
              <w:spacing w:line="360" w:lineRule="auto"/>
              <w:ind w:firstLine="480" w:firstLineChars="200"/>
              <w:rPr>
                <w:rFonts w:hint="eastAsia" w:hAnsi="宋体"/>
                <w:color w:val="000000" w:themeColor="text1"/>
                <w:sz w:val="24"/>
                <w:szCs w:val="28"/>
                <w14:textFill>
                  <w14:solidFill>
                    <w14:schemeClr w14:val="tx1"/>
                  </w14:solidFill>
                </w14:textFill>
              </w:rPr>
            </w:pPr>
            <w:r>
              <w:rPr>
                <w:rFonts w:hAnsi="宋体"/>
                <w:color w:val="000000" w:themeColor="text1"/>
                <w:sz w:val="24"/>
                <w14:textFill>
                  <w14:solidFill>
                    <w14:schemeClr w14:val="tx1"/>
                  </w14:solidFill>
                </w14:textFill>
              </w:rPr>
              <w:t>本项目为</w:t>
            </w:r>
            <w:r>
              <w:rPr>
                <w:rFonts w:hint="eastAsia" w:hAnsi="宋体"/>
                <w:color w:val="000000" w:themeColor="text1"/>
                <w:sz w:val="24"/>
                <w:lang w:val="en-US" w:eastAsia="zh-CN"/>
                <w14:textFill>
                  <w14:solidFill>
                    <w14:schemeClr w14:val="tx1"/>
                  </w14:solidFill>
                </w14:textFill>
              </w:rPr>
              <w:t>三合水库建设</w:t>
            </w:r>
            <w:r>
              <w:rPr>
                <w:rFonts w:hAnsi="宋体"/>
                <w:color w:val="000000" w:themeColor="text1"/>
                <w:sz w:val="24"/>
                <w14:textFill>
                  <w14:solidFill>
                    <w14:schemeClr w14:val="tx1"/>
                  </w14:solidFill>
                </w14:textFill>
              </w:rPr>
              <w:t>项目，</w:t>
            </w:r>
            <w:r>
              <w:rPr>
                <w:rFonts w:hint="eastAsia" w:hAnsi="宋体"/>
                <w:color w:val="000000" w:themeColor="text1"/>
                <w:sz w:val="24"/>
                <w14:textFill>
                  <w14:solidFill>
                    <w14:schemeClr w14:val="tx1"/>
                  </w14:solidFill>
                </w14:textFill>
              </w:rPr>
              <w:t>建设项目行业类别</w:t>
            </w:r>
            <w:r>
              <w:rPr>
                <w:rFonts w:hint="eastAsia" w:hAnsi="宋体"/>
                <w:color w:val="000000" w:themeColor="text1"/>
                <w:sz w:val="24"/>
                <w:lang w:val="en-US" w:eastAsia="zh-CN"/>
                <w14:textFill>
                  <w14:solidFill>
                    <w14:schemeClr w14:val="tx1"/>
                  </w14:solidFill>
                </w14:textFill>
              </w:rPr>
              <w:t>为</w:t>
            </w:r>
            <w:r>
              <w:rPr>
                <w:rFonts w:hint="eastAsia" w:hAnsi="宋体"/>
                <w:color w:val="000000" w:themeColor="text1"/>
                <w:sz w:val="24"/>
                <w14:textFill>
                  <w14:solidFill>
                    <w14:schemeClr w14:val="tx1"/>
                  </w14:solidFill>
                </w14:textFill>
              </w:rPr>
              <w:t>天然水收集与分配</w:t>
            </w:r>
            <w:r>
              <w:rPr>
                <w:rFonts w:hAnsi="宋体"/>
                <w:color w:val="000000" w:themeColor="text1"/>
                <w:sz w:val="24"/>
                <w14:textFill>
                  <w14:solidFill>
                    <w14:schemeClr w14:val="tx1"/>
                  </w14:solidFill>
                </w14:textFill>
              </w:rPr>
              <w:t>（N7630）</w:t>
            </w:r>
            <w:r>
              <w:rPr>
                <w:rFonts w:hint="eastAsia" w:hAnsi="宋体"/>
                <w:color w:val="000000" w:themeColor="text1"/>
                <w:sz w:val="24"/>
                <w:lang w:eastAsia="zh-CN"/>
                <w14:textFill>
                  <w14:solidFill>
                    <w14:schemeClr w14:val="tx1"/>
                  </w14:solidFill>
                </w14:textFill>
              </w:rPr>
              <w:t>。</w:t>
            </w:r>
            <w:r>
              <w:rPr>
                <w:rFonts w:hAnsi="宋体"/>
                <w:color w:val="000000" w:themeColor="text1"/>
                <w:sz w:val="24"/>
                <w:szCs w:val="28"/>
                <w14:textFill>
                  <w14:solidFill>
                    <w14:schemeClr w14:val="tx1"/>
                  </w14:solidFill>
                </w14:textFill>
              </w:rPr>
              <w:t>根据国家发展</w:t>
            </w:r>
            <w:r>
              <w:rPr>
                <w:rFonts w:hint="eastAsia" w:hAnsi="宋体"/>
                <w:color w:val="000000" w:themeColor="text1"/>
                <w:sz w:val="24"/>
                <w:szCs w:val="28"/>
                <w:lang w:eastAsia="zh-CN"/>
                <w14:textFill>
                  <w14:solidFill>
                    <w14:schemeClr w14:val="tx1"/>
                  </w14:solidFill>
                </w14:textFill>
              </w:rPr>
              <w:t>和</w:t>
            </w:r>
            <w:bookmarkStart w:id="42" w:name="_GoBack"/>
            <w:bookmarkEnd w:id="42"/>
            <w:r>
              <w:rPr>
                <w:rFonts w:hAnsi="宋体"/>
                <w:color w:val="000000" w:themeColor="text1"/>
                <w:sz w:val="24"/>
                <w:szCs w:val="28"/>
                <w14:textFill>
                  <w14:solidFill>
                    <w14:schemeClr w14:val="tx1"/>
                  </w14:solidFill>
                </w14:textFill>
              </w:rPr>
              <w:t>改革委员会第</w:t>
            </w:r>
            <w:r>
              <w:rPr>
                <w:rFonts w:hint="eastAsia"/>
                <w:color w:val="000000" w:themeColor="text1"/>
                <w:sz w:val="24"/>
                <w:szCs w:val="28"/>
                <w:lang w:val="en-US" w:eastAsia="zh-CN"/>
                <w14:textFill>
                  <w14:solidFill>
                    <w14:schemeClr w14:val="tx1"/>
                  </w14:solidFill>
                </w14:textFill>
              </w:rPr>
              <w:t>7</w:t>
            </w:r>
            <w:r>
              <w:rPr>
                <w:rFonts w:hAnsi="宋体"/>
                <w:color w:val="000000" w:themeColor="text1"/>
                <w:sz w:val="24"/>
                <w:szCs w:val="28"/>
                <w14:textFill>
                  <w14:solidFill>
                    <w14:schemeClr w14:val="tx1"/>
                  </w14:solidFill>
                </w14:textFill>
              </w:rPr>
              <w:t>号令《产业结构调整指导目录》（</w:t>
            </w:r>
            <w:r>
              <w:rPr>
                <w:color w:val="000000" w:themeColor="text1"/>
                <w:sz w:val="24"/>
                <w:szCs w:val="28"/>
                <w14:textFill>
                  <w14:solidFill>
                    <w14:schemeClr w14:val="tx1"/>
                  </w14:solidFill>
                </w14:textFill>
              </w:rPr>
              <w:t>20</w:t>
            </w:r>
            <w:r>
              <w:rPr>
                <w:rFonts w:hint="eastAsia"/>
                <w:color w:val="000000" w:themeColor="text1"/>
                <w:sz w:val="24"/>
                <w:szCs w:val="28"/>
                <w:lang w:val="en-US" w:eastAsia="zh-CN"/>
                <w14:textFill>
                  <w14:solidFill>
                    <w14:schemeClr w14:val="tx1"/>
                  </w14:solidFill>
                </w14:textFill>
              </w:rPr>
              <w:t>24</w:t>
            </w:r>
            <w:r>
              <w:rPr>
                <w:rFonts w:hAnsi="宋体"/>
                <w:color w:val="000000" w:themeColor="text1"/>
                <w:sz w:val="24"/>
                <w:szCs w:val="28"/>
                <w14:textFill>
                  <w14:solidFill>
                    <w14:schemeClr w14:val="tx1"/>
                  </w14:solidFill>
                </w14:textFill>
              </w:rPr>
              <w:t>年本），</w:t>
            </w:r>
            <w:r>
              <w:rPr>
                <w:rFonts w:hint="eastAsia" w:hAnsi="宋体"/>
                <w:color w:val="000000" w:themeColor="text1"/>
                <w:sz w:val="24"/>
                <w:szCs w:val="28"/>
                <w14:textFill>
                  <w14:solidFill>
                    <w14:schemeClr w14:val="tx1"/>
                  </w14:solidFill>
                </w14:textFill>
              </w:rPr>
              <w:t>本项目</w:t>
            </w:r>
            <w:r>
              <w:rPr>
                <w:rFonts w:hint="eastAsia" w:hAnsi="宋体"/>
                <w:color w:val="000000" w:themeColor="text1"/>
                <w:sz w:val="24"/>
                <w:szCs w:val="28"/>
                <w:lang w:val="en-US" w:eastAsia="zh-CN"/>
                <w14:textFill>
                  <w14:solidFill>
                    <w14:schemeClr w14:val="tx1"/>
                  </w14:solidFill>
                </w14:textFill>
              </w:rPr>
              <w:t>属于</w:t>
            </w:r>
            <w:r>
              <w:rPr>
                <w:rFonts w:hint="eastAsia" w:hAnsi="宋体"/>
                <w:color w:val="000000" w:themeColor="text1"/>
                <w:sz w:val="24"/>
                <w:szCs w:val="28"/>
                <w14:textFill>
                  <w14:solidFill>
                    <w14:schemeClr w14:val="tx1"/>
                  </w14:solidFill>
                </w14:textFill>
              </w:rPr>
              <w:t>“鼓励类”中第二项“水利”的中第</w:t>
            </w:r>
            <w:r>
              <w:rPr>
                <w:rFonts w:hint="eastAsia" w:hAnsi="宋体"/>
                <w:color w:val="000000" w:themeColor="text1"/>
                <w:sz w:val="24"/>
                <w:szCs w:val="28"/>
                <w:lang w:val="en-US" w:eastAsia="zh-CN"/>
                <w14:textFill>
                  <w14:solidFill>
                    <w14:schemeClr w14:val="tx1"/>
                  </w14:solidFill>
                </w14:textFill>
              </w:rPr>
              <w:t>2</w:t>
            </w:r>
            <w:r>
              <w:rPr>
                <w:rFonts w:hint="eastAsia" w:hAnsi="宋体"/>
                <w:color w:val="000000" w:themeColor="text1"/>
                <w:sz w:val="24"/>
                <w:szCs w:val="28"/>
                <w14:textFill>
                  <w14:solidFill>
                    <w14:schemeClr w14:val="tx1"/>
                  </w14:solidFill>
                </w14:textFill>
              </w:rPr>
              <w:t>项</w:t>
            </w:r>
            <w:r>
              <w:rPr>
                <w:rFonts w:hint="eastAsia" w:hAnsi="宋体"/>
                <w:color w:val="000000" w:themeColor="text1"/>
                <w:sz w:val="24"/>
                <w:szCs w:val="28"/>
                <w:lang w:eastAsia="zh-CN"/>
                <w14:textFill>
                  <w14:solidFill>
                    <w14:schemeClr w14:val="tx1"/>
                  </w14:solidFill>
                </w14:textFill>
              </w:rPr>
              <w:t>“</w:t>
            </w:r>
            <w:r>
              <w:rPr>
                <w:rFonts w:hint="eastAsia" w:hAnsi="宋体"/>
                <w:color w:val="000000" w:themeColor="text1"/>
                <w:sz w:val="24"/>
                <w:szCs w:val="28"/>
                <w14:textFill>
                  <w14:solidFill>
                    <w14:schemeClr w14:val="tx1"/>
                  </w14:solidFill>
                </w14:textFill>
              </w:rPr>
              <w:t>节水供水工程：农村供水工程，灌区及配套设施建设</w:t>
            </w:r>
            <w:r>
              <w:rPr>
                <w:rFonts w:hint="eastAsia" w:hAnsi="宋体"/>
                <w:color w:val="000000" w:themeColor="text1"/>
                <w:sz w:val="24"/>
                <w:szCs w:val="28"/>
                <w:lang w:eastAsia="zh-CN"/>
                <w14:textFill>
                  <w14:solidFill>
                    <w14:schemeClr w14:val="tx1"/>
                  </w14:solidFill>
                </w14:textFill>
              </w:rPr>
              <w:t>”</w:t>
            </w:r>
          </w:p>
          <w:p>
            <w:pPr>
              <w:spacing w:line="360" w:lineRule="auto"/>
              <w:ind w:firstLine="480" w:firstLineChars="200"/>
              <w:rPr>
                <w:bCs/>
                <w:color w:val="0000FF"/>
                <w:sz w:val="24"/>
              </w:rPr>
            </w:pPr>
            <w:r>
              <w:rPr>
                <w:rFonts w:hint="eastAsia"/>
                <w:color w:val="0000FF"/>
                <w:sz w:val="24"/>
                <w:lang w:val="en-US" w:eastAsia="zh-CN"/>
              </w:rPr>
              <w:t>旺苍县发展和改革局于2023年5月11日以《关于旺苍县三合水库工程可行性研究报告的批复》（文号：旺发改【2023】10号）的形式对项目产业政策的符合性予以确认（详见附件1）</w:t>
            </w:r>
            <w:r>
              <w:rPr>
                <w:color w:val="0000FF"/>
                <w:sz w:val="24"/>
              </w:rPr>
              <w:t>，说明项目建设符合当前国家产业政策。</w:t>
            </w:r>
          </w:p>
          <w:p>
            <w:pPr>
              <w:autoSpaceDE w:val="0"/>
              <w:autoSpaceDN w:val="0"/>
              <w:adjustRightInd w:val="0"/>
              <w:snapToGrid w:val="0"/>
              <w:spacing w:line="360" w:lineRule="auto"/>
              <w:rPr>
                <w:b/>
                <w:bCs/>
                <w:kern w:val="0"/>
                <w:sz w:val="24"/>
              </w:rPr>
            </w:pPr>
            <w:r>
              <w:rPr>
                <w:b/>
                <w:bCs/>
                <w:kern w:val="0"/>
                <w:sz w:val="24"/>
              </w:rPr>
              <w:t>二</w:t>
            </w:r>
            <w:r>
              <w:rPr>
                <w:rFonts w:hint="eastAsia"/>
                <w:b/>
                <w:bCs/>
                <w:kern w:val="0"/>
                <w:sz w:val="24"/>
              </w:rPr>
              <w:t>、</w:t>
            </w:r>
            <w:r>
              <w:rPr>
                <w:b/>
                <w:bCs/>
                <w:kern w:val="0"/>
                <w:sz w:val="24"/>
              </w:rPr>
              <w:t>与</w:t>
            </w:r>
            <w:r>
              <w:rPr>
                <w:rFonts w:hint="eastAsia"/>
                <w:b/>
                <w:bCs/>
                <w:kern w:val="0"/>
                <w:sz w:val="24"/>
                <w:lang w:val="en-US" w:eastAsia="zh-CN"/>
              </w:rPr>
              <w:t>四川省</w:t>
            </w:r>
            <w:r>
              <w:rPr>
                <w:b/>
                <w:bCs/>
                <w:kern w:val="0"/>
                <w:sz w:val="24"/>
              </w:rPr>
              <w:t>“三线一单”符合性分析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b/>
                <w:bCs/>
                <w:kern w:val="0"/>
                <w:sz w:val="24"/>
              </w:rPr>
            </w:pPr>
            <w:r>
              <w:rPr>
                <w:rFonts w:hint="eastAsia"/>
                <w:b/>
                <w:bCs/>
                <w:kern w:val="0"/>
                <w:sz w:val="24"/>
              </w:rPr>
              <w:t>1、本项目与生态保护红线的符合性分析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四川省人民政府关于印发四川省生态保护红线方案的通知》（川府发〔2018〕24号）生态保护红线划定结果：“四川省生态保护红线总面积14.80万平方公里，占全省幅员面积的30.45%，涵盖了水源涵养、生物多样性维护、水土保持功能极重要区，水土流失、土地沙化、石漠化极敏感区，自然保护区、森林公园的生态保育区和核心景观区，风景名胜区的一级保护区（核心景区）、地质公园的地质遗迹保护区、世界自然遗产地的核心区、湿地公园的湿地保育区和恢复重建区、饮用水水源保护区的一级保护区、水产种质资源保护区的核心区等法定保护区域，以及极小种群物种分布栖息地、国家一级公益林、重要湿地、雪山冰川、高原冻土、重要水生生境、特大和大型地质灾害隐患点等各类保护地”。</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本项目水库库区位于广元市旺苍县东河镇南峰村2组（右岸）、凤阳村5组（左岸），灌区涵盖东河镇、嘉川镇2个镇。经查阅，本项目枢纽工程及渠系工程不涉及集中式饮用水水源保护区；</w:t>
            </w:r>
            <w:r>
              <w:rPr>
                <w:rFonts w:hint="eastAsia"/>
                <w:color w:val="000000" w:themeColor="text1"/>
                <w:sz w:val="24"/>
                <w:highlight w:val="none"/>
                <w:lang w:val="en-US" w:eastAsia="zh-CN"/>
                <w14:textFill>
                  <w14:solidFill>
                    <w14:schemeClr w14:val="tx1"/>
                  </w14:solidFill>
                </w14:textFill>
              </w:rPr>
              <w:t>根据调查并查阅相关资料，本项目不涉及重要水生生物的自然产卵场、索饵场、越冬场及洄游通道；</w:t>
            </w:r>
            <w:r>
              <w:rPr>
                <w:rFonts w:hint="eastAsia"/>
                <w:color w:val="000000" w:themeColor="text1"/>
                <w:sz w:val="24"/>
                <w:lang w:val="en-US" w:eastAsia="zh-CN"/>
                <w14:textFill>
                  <w14:solidFill>
                    <w14:schemeClr w14:val="tx1"/>
                  </w14:solidFill>
                </w14:textFill>
              </w:rPr>
              <w:t>也不涉及生态保护红线。</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项目临时工程主要包括渣场、料场、施工公路、生产生活区等，</w:t>
            </w:r>
            <w:r>
              <w:rPr>
                <w:rFonts w:hint="eastAsia"/>
                <w:color w:val="0000FF"/>
                <w:sz w:val="24"/>
                <w:lang w:val="en-US" w:eastAsia="zh-CN"/>
              </w:rPr>
              <w:t>共计临时占地17.97公顷，约合269.52亩，其中：耕地43.58亩、园地22.93亩、林地187.36亩、交通运输用地9.15亩、水域及水利设施用地6.50亩</w:t>
            </w:r>
            <w:r>
              <w:rPr>
                <w:rFonts w:hint="eastAsia"/>
                <w:color w:val="000000" w:themeColor="text1"/>
                <w:sz w:val="24"/>
                <w:lang w:val="en-US" w:eastAsia="zh-CN"/>
                <w14:textFill>
                  <w14:solidFill>
                    <w14:schemeClr w14:val="tx1"/>
                  </w14:solidFill>
                </w14:textFill>
              </w:rPr>
              <w:t>。因此，本项目施工期临时用地均不涉及占用生态红线。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4"/>
                <w:lang w:val="en-US" w:eastAsia="zh-CN"/>
                <w14:textFill>
                  <w14:solidFill>
                    <w14:schemeClr w14:val="tx1"/>
                  </w14:solidFill>
                </w14:textFill>
              </w:rPr>
            </w:pPr>
            <w:r>
              <w:drawing>
                <wp:anchor distT="0" distB="0" distL="0" distR="0" simplePos="0" relativeHeight="251664384" behindDoc="1" locked="0" layoutInCell="1" allowOverlap="1">
                  <wp:simplePos x="0" y="0"/>
                  <wp:positionH relativeFrom="rightMargin">
                    <wp:posOffset>-5396230</wp:posOffset>
                  </wp:positionH>
                  <wp:positionV relativeFrom="topMargin">
                    <wp:posOffset>2956560</wp:posOffset>
                  </wp:positionV>
                  <wp:extent cx="5300980" cy="3180715"/>
                  <wp:effectExtent l="0" t="0" r="2540" b="444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300980" cy="3180715"/>
                          </a:xfrm>
                          <a:prstGeom prst="rect">
                            <a:avLst/>
                          </a:prstGeom>
                        </pic:spPr>
                      </pic:pic>
                    </a:graphicData>
                  </a:graphic>
                </wp:anchor>
              </w:drawing>
            </w:r>
            <w:r>
              <w:rPr>
                <w:rFonts w:hint="eastAsia"/>
                <w:color w:val="000000" w:themeColor="text1"/>
                <w:sz w:val="24"/>
                <w:lang w:val="en-US" w:eastAsia="zh-CN"/>
                <w14:textFill>
                  <w14:solidFill>
                    <w14:schemeClr w14:val="tx1"/>
                  </w14:solidFill>
                </w14:textFill>
              </w:rPr>
              <w:t>总体而言，项目建设符合四川省生态保护红线实施意见的相关要求。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b/>
                <w:bCs/>
                <w:kern w:val="0"/>
                <w:sz w:val="24"/>
              </w:rPr>
            </w:pPr>
          </w:p>
          <w:p>
            <w:pPr>
              <w:autoSpaceDE w:val="0"/>
              <w:autoSpaceDN w:val="0"/>
              <w:adjustRightInd w:val="0"/>
              <w:snapToGrid w:val="0"/>
              <w:spacing w:line="360" w:lineRule="auto"/>
              <w:ind w:firstLine="482" w:firstLineChars="200"/>
              <w:rPr>
                <w:rFonts w:hint="eastAsia"/>
                <w:b/>
                <w:bCs/>
                <w:kern w:val="0"/>
                <w:sz w:val="24"/>
              </w:rPr>
            </w:pPr>
          </w:p>
          <w:p>
            <w:pPr>
              <w:autoSpaceDE w:val="0"/>
              <w:autoSpaceDN w:val="0"/>
              <w:adjustRightInd w:val="0"/>
              <w:snapToGrid w:val="0"/>
              <w:spacing w:line="360" w:lineRule="auto"/>
              <w:ind w:firstLine="482" w:firstLineChars="200"/>
              <w:rPr>
                <w:rFonts w:hint="eastAsia"/>
                <w:b/>
                <w:bCs/>
                <w:kern w:val="0"/>
                <w:sz w:val="24"/>
              </w:rPr>
            </w:pPr>
          </w:p>
          <w:p>
            <w:pPr>
              <w:autoSpaceDE w:val="0"/>
              <w:autoSpaceDN w:val="0"/>
              <w:adjustRightInd w:val="0"/>
              <w:snapToGrid w:val="0"/>
              <w:spacing w:line="360" w:lineRule="auto"/>
              <w:ind w:firstLine="482" w:firstLineChars="200"/>
              <w:rPr>
                <w:rFonts w:hint="eastAsia"/>
                <w:b/>
                <w:bCs/>
                <w:kern w:val="0"/>
                <w:sz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r>
              <w:rPr>
                <w:sz w:val="21"/>
              </w:rPr>
              <mc:AlternateContent>
                <mc:Choice Requires="wps">
                  <w:drawing>
                    <wp:anchor distT="0" distB="0" distL="114300" distR="114300" simplePos="0" relativeHeight="251663360" behindDoc="0" locked="0" layoutInCell="1" allowOverlap="1">
                      <wp:simplePos x="0" y="0"/>
                      <wp:positionH relativeFrom="column">
                        <wp:posOffset>3873500</wp:posOffset>
                      </wp:positionH>
                      <wp:positionV relativeFrom="paragraph">
                        <wp:posOffset>139700</wp:posOffset>
                      </wp:positionV>
                      <wp:extent cx="1000125" cy="285115"/>
                      <wp:effectExtent l="4445" t="369570" r="5080" b="12065"/>
                      <wp:wrapNone/>
                      <wp:docPr id="84" name="自选图形 80"/>
                      <wp:cNvGraphicFramePr/>
                      <a:graphic xmlns:a="http://schemas.openxmlformats.org/drawingml/2006/main">
                        <a:graphicData uri="http://schemas.microsoft.com/office/word/2010/wordprocessingShape">
                          <wps:wsp>
                            <wps:cNvSpPr/>
                            <wps:spPr>
                              <a:xfrm>
                                <a:off x="5642610" y="4983480"/>
                                <a:ext cx="1000125" cy="285115"/>
                              </a:xfrm>
                              <a:prstGeom prst="wedgeRoundRectCallout">
                                <a:avLst>
                                  <a:gd name="adj1" fmla="val -48157"/>
                                  <a:gd name="adj2" fmla="val -173602"/>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ascii="仿宋" w:hAnsi="仿宋" w:eastAsia="仿宋" w:cs="仿宋"/>
                                      <w:b/>
                                      <w:bCs/>
                                      <w:color w:val="FF0000"/>
                                      <w:spacing w:val="5"/>
                                      <w:sz w:val="18"/>
                                      <w:szCs w:val="18"/>
                                    </w:rPr>
                                    <w:t>本项目所在</w:t>
                                  </w:r>
                                  <w:r>
                                    <w:rPr>
                                      <w:rFonts w:ascii="仿宋" w:hAnsi="仿宋" w:eastAsia="仿宋" w:cs="仿宋"/>
                                      <w:b/>
                                      <w:bCs/>
                                      <w:color w:val="FF0000"/>
                                      <w:spacing w:val="5"/>
                                      <w:sz w:val="20"/>
                                      <w:szCs w:val="20"/>
                                    </w:rPr>
                                    <w:t>地</w:t>
                                  </w:r>
                                </w:p>
                              </w:txbxContent>
                            </wps:txbx>
                            <wps:bodyPr vert="horz" anchor="t" anchorCtr="0" upright="1"/>
                          </wps:wsp>
                        </a:graphicData>
                      </a:graphic>
                    </wp:anchor>
                  </w:drawing>
                </mc:Choice>
                <mc:Fallback>
                  <w:pict>
                    <v:shape id="自选图形 80" o:spid="_x0000_s1026" o:spt="62" type="#_x0000_t62" style="position:absolute;left:0pt;margin-left:305pt;margin-top:11pt;height:22.45pt;width:78.75pt;z-index:251663360;mso-width-relative:page;mso-height-relative:page;" fillcolor="#FFFFFF" filled="t" stroked="t" coordsize="21600,21600" o:gfxdata="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2U8Pv1wAAAAkBAAAP&#10;AAAAAAAAAAEAIAAAACIAAABkcnMvZG93bnJldi54bWxQSwECFAAUAAAACACHTuJATgvk3FICAACd&#10;BAAADgAAAAAAAAABACAAAAAmAQAAZHJzL2Uyb0RvYy54bWxQSwUGAAAAAAYABgBZAQAA6gUAAAAA&#10;" adj="398,-26698,14400">
                      <v:fill on="t" focussize="0,0"/>
                      <v:stroke color="#000000" joinstyle="miter"/>
                      <v:imagedata o:title=""/>
                      <o:lock v:ext="edit" aspectratio="f"/>
                      <v:textbox>
                        <w:txbxContent>
                          <w:p>
                            <w:r>
                              <w:rPr>
                                <w:rFonts w:ascii="仿宋" w:hAnsi="仿宋" w:eastAsia="仿宋" w:cs="仿宋"/>
                                <w:b/>
                                <w:bCs/>
                                <w:color w:val="FF0000"/>
                                <w:spacing w:val="5"/>
                                <w:sz w:val="18"/>
                                <w:szCs w:val="18"/>
                              </w:rPr>
                              <w:t>本项目所在</w:t>
                            </w:r>
                            <w:r>
                              <w:rPr>
                                <w:rFonts w:ascii="仿宋" w:hAnsi="仿宋" w:eastAsia="仿宋" w:cs="仿宋"/>
                                <w:b/>
                                <w:bCs/>
                                <w:color w:val="FF0000"/>
                                <w:spacing w:val="5"/>
                                <w:sz w:val="20"/>
                                <w:szCs w:val="20"/>
                              </w:rPr>
                              <w:t>地</w:t>
                            </w: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0" w:firstLineChars="0"/>
              <w:jc w:val="center"/>
              <w:textAlignment w:val="auto"/>
              <w:rPr>
                <w:b/>
                <w:bCs/>
                <w:spacing w:val="5"/>
                <w:sz w:val="20"/>
                <w:szCs w:val="20"/>
              </w:rPr>
            </w:pP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eastAsia"/>
                <w:b/>
                <w:bCs/>
                <w:kern w:val="0"/>
                <w:sz w:val="24"/>
              </w:rPr>
            </w:pPr>
            <w:r>
              <w:rPr>
                <w:b/>
                <w:bCs/>
                <w:spacing w:val="5"/>
                <w:sz w:val="20"/>
                <w:szCs w:val="20"/>
              </w:rPr>
              <w:t>图</w:t>
            </w:r>
            <w:r>
              <w:rPr>
                <w:spacing w:val="-20"/>
                <w:sz w:val="20"/>
                <w:szCs w:val="20"/>
              </w:rPr>
              <w:t xml:space="preserve"> </w:t>
            </w:r>
            <w:r>
              <w:rPr>
                <w:rFonts w:ascii="Times New Roman" w:hAnsi="Times New Roman" w:eastAsia="Times New Roman" w:cs="Times New Roman"/>
                <w:b/>
                <w:bCs/>
                <w:spacing w:val="5"/>
                <w:sz w:val="20"/>
                <w:szCs w:val="20"/>
              </w:rPr>
              <w:t>1-1</w:t>
            </w:r>
            <w:r>
              <w:rPr>
                <w:rFonts w:ascii="Times New Roman" w:hAnsi="Times New Roman" w:eastAsia="Times New Roman" w:cs="Times New Roman"/>
                <w:b/>
                <w:bCs/>
                <w:sz w:val="20"/>
                <w:szCs w:val="20"/>
              </w:rPr>
              <w:t xml:space="preserve">  </w:t>
            </w:r>
            <w:r>
              <w:rPr>
                <w:b/>
                <w:bCs/>
                <w:spacing w:val="5"/>
                <w:sz w:val="20"/>
                <w:szCs w:val="20"/>
              </w:rPr>
              <w:t>本项目与四川省生态保护红线位置关系图</w:t>
            </w: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textAlignment w:val="auto"/>
              <w:rPr>
                <w:rFonts w:hint="eastAsia"/>
                <w:b/>
                <w:bCs/>
                <w:spacing w:val="0"/>
                <w:kern w:val="0"/>
                <w:sz w:val="24"/>
              </w:rPr>
            </w:pPr>
            <w:r>
              <w:rPr>
                <w:rFonts w:hint="eastAsia"/>
                <w:b/>
                <w:bCs/>
                <w:spacing w:val="0"/>
                <w:kern w:val="0"/>
                <w:sz w:val="24"/>
              </w:rPr>
              <w:t>2、本项目与环境质量底线的符合性分析</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jc w:val="both"/>
              <w:textAlignment w:val="auto"/>
              <w:rPr>
                <w:spacing w:val="0"/>
                <w:sz w:val="24"/>
                <w:szCs w:val="24"/>
              </w:rPr>
            </w:pPr>
            <w:r>
              <w:rPr>
                <w:b/>
                <w:bCs/>
                <w:spacing w:val="0"/>
                <w:sz w:val="24"/>
                <w:szCs w:val="24"/>
              </w:rPr>
              <w:t>水环境保护质量底线：</w:t>
            </w:r>
            <w:r>
              <w:rPr>
                <w:spacing w:val="0"/>
                <w:sz w:val="24"/>
                <w:szCs w:val="24"/>
              </w:rPr>
              <w:t>本次评价委托四川</w:t>
            </w:r>
            <w:r>
              <w:rPr>
                <w:rFonts w:hint="eastAsia"/>
                <w:spacing w:val="0"/>
                <w:sz w:val="24"/>
                <w:szCs w:val="24"/>
                <w:lang w:val="en-US" w:eastAsia="zh-CN"/>
              </w:rPr>
              <w:t>天平检测技术有限公司</w:t>
            </w:r>
            <w:r>
              <w:rPr>
                <w:spacing w:val="0"/>
                <w:sz w:val="24"/>
                <w:szCs w:val="24"/>
              </w:rPr>
              <w:t>对项目所在区域的地表水水质进行监测，根据地表水水质监测结果，本项目所在区域地表水质达到《地表水环境质量标准》（</w:t>
            </w:r>
            <w:r>
              <w:rPr>
                <w:rFonts w:ascii="Times New Roman" w:hAnsi="Times New Roman" w:eastAsia="Times New Roman" w:cs="Times New Roman"/>
                <w:spacing w:val="0"/>
                <w:sz w:val="24"/>
                <w:szCs w:val="24"/>
              </w:rPr>
              <w:t>GB3838-2002</w:t>
            </w:r>
            <w:r>
              <w:rPr>
                <w:spacing w:val="0"/>
                <w:sz w:val="24"/>
                <w:szCs w:val="24"/>
              </w:rPr>
              <w:t>）</w:t>
            </w:r>
            <w:r>
              <w:rPr>
                <w:rFonts w:ascii="Times New Roman" w:hAnsi="Times New Roman" w:eastAsia="Times New Roman" w:cs="Times New Roman"/>
                <w:spacing w:val="0"/>
                <w:sz w:val="24"/>
                <w:szCs w:val="24"/>
              </w:rPr>
              <w:t>Ⅲ</w:t>
            </w:r>
            <w:r>
              <w:rPr>
                <w:spacing w:val="0"/>
                <w:sz w:val="24"/>
                <w:szCs w:val="24"/>
              </w:rPr>
              <w:t>类水标准，为达标区域。</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jc w:val="both"/>
              <w:textAlignment w:val="auto"/>
              <w:rPr>
                <w:spacing w:val="0"/>
                <w:sz w:val="24"/>
                <w:szCs w:val="24"/>
              </w:rPr>
            </w:pPr>
            <w:r>
              <w:rPr>
                <w:b/>
                <w:bCs/>
                <w:spacing w:val="0"/>
                <w:sz w:val="24"/>
                <w:szCs w:val="24"/>
              </w:rPr>
              <w:t>大气环境保护质量底线：</w:t>
            </w:r>
            <w:r>
              <w:rPr>
                <w:spacing w:val="0"/>
                <w:sz w:val="24"/>
                <w:szCs w:val="24"/>
              </w:rPr>
              <w:t>根据《</w:t>
            </w:r>
            <w:r>
              <w:rPr>
                <w:rFonts w:ascii="Times New Roman" w:hAnsi="Times New Roman" w:eastAsia="Times New Roman" w:cs="Times New Roman"/>
                <w:spacing w:val="0"/>
                <w:sz w:val="24"/>
                <w:szCs w:val="24"/>
              </w:rPr>
              <w:t>2022</w:t>
            </w:r>
            <w:r>
              <w:rPr>
                <w:spacing w:val="0"/>
                <w:sz w:val="24"/>
                <w:szCs w:val="24"/>
              </w:rPr>
              <w:t>年旺苍县环境质量公告》数据，</w:t>
            </w:r>
            <w:r>
              <w:rPr>
                <w:rFonts w:ascii="Times New Roman" w:hAnsi="Times New Roman" w:eastAsia="Times New Roman" w:cs="Times New Roman"/>
                <w:spacing w:val="0"/>
                <w:sz w:val="24"/>
                <w:szCs w:val="24"/>
              </w:rPr>
              <w:t>2022</w:t>
            </w:r>
            <w:r>
              <w:rPr>
                <w:spacing w:val="0"/>
                <w:sz w:val="24"/>
                <w:szCs w:val="24"/>
              </w:rPr>
              <w:t>年旺苍县环境空气各项指标均达到《环境空气质量标准》（</w:t>
            </w:r>
            <w:r>
              <w:rPr>
                <w:rFonts w:ascii="Times New Roman" w:hAnsi="Times New Roman" w:eastAsia="Times New Roman" w:cs="Times New Roman"/>
                <w:spacing w:val="0"/>
                <w:sz w:val="24"/>
                <w:szCs w:val="24"/>
              </w:rPr>
              <w:t>GB3095-2012</w:t>
            </w:r>
            <w:r>
              <w:rPr>
                <w:spacing w:val="0"/>
                <w:sz w:val="24"/>
                <w:szCs w:val="24"/>
              </w:rPr>
              <w:t>）二级标准，属于达标区。</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jc w:val="both"/>
              <w:textAlignment w:val="auto"/>
              <w:rPr>
                <w:spacing w:val="0"/>
                <w:sz w:val="24"/>
                <w:szCs w:val="24"/>
              </w:rPr>
            </w:pPr>
            <w:r>
              <w:rPr>
                <w:b/>
                <w:bCs/>
                <w:spacing w:val="0"/>
                <w:sz w:val="24"/>
                <w:szCs w:val="24"/>
              </w:rPr>
              <w:t>声环境保护质量底线：</w:t>
            </w:r>
            <w:r>
              <w:rPr>
                <w:spacing w:val="0"/>
                <w:sz w:val="24"/>
                <w:szCs w:val="24"/>
              </w:rPr>
              <w:t>根据委托四川</w:t>
            </w:r>
            <w:r>
              <w:rPr>
                <w:rFonts w:hint="eastAsia"/>
                <w:spacing w:val="0"/>
                <w:sz w:val="24"/>
                <w:szCs w:val="24"/>
                <w:lang w:val="en-US" w:eastAsia="zh-CN"/>
              </w:rPr>
              <w:t>天平检测技术有限公司</w:t>
            </w:r>
            <w:r>
              <w:rPr>
                <w:spacing w:val="0"/>
                <w:sz w:val="24"/>
                <w:szCs w:val="24"/>
              </w:rPr>
              <w:t>的噪声监测结果，项目所在区域声环境质量均能达到《声环境质量标准》（</w:t>
            </w:r>
            <w:r>
              <w:rPr>
                <w:rFonts w:ascii="Times New Roman" w:hAnsi="Times New Roman" w:eastAsia="Times New Roman" w:cs="Times New Roman"/>
                <w:spacing w:val="0"/>
                <w:sz w:val="24"/>
                <w:szCs w:val="24"/>
              </w:rPr>
              <w:t>GB3096-2008</w:t>
            </w:r>
            <w:r>
              <w:rPr>
                <w:spacing w:val="0"/>
                <w:sz w:val="24"/>
                <w:szCs w:val="24"/>
              </w:rPr>
              <w:t>）</w:t>
            </w:r>
            <w:r>
              <w:rPr>
                <w:rFonts w:ascii="Times New Roman" w:hAnsi="Times New Roman" w:eastAsia="Times New Roman" w:cs="Times New Roman"/>
                <w:spacing w:val="0"/>
                <w:sz w:val="24"/>
                <w:szCs w:val="24"/>
              </w:rPr>
              <w:t>2</w:t>
            </w:r>
            <w:r>
              <w:rPr>
                <w:spacing w:val="0"/>
                <w:sz w:val="24"/>
                <w:szCs w:val="24"/>
              </w:rPr>
              <w:t>类标准限值。</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eastAsia"/>
                <w:b/>
                <w:bCs/>
                <w:spacing w:val="0"/>
                <w:kern w:val="0"/>
                <w:sz w:val="24"/>
                <w:szCs w:val="24"/>
              </w:rPr>
            </w:pPr>
            <w:r>
              <w:rPr>
                <w:spacing w:val="0"/>
                <w:sz w:val="24"/>
                <w:szCs w:val="24"/>
              </w:rPr>
              <w:t>综上所述，项目所在区域环境质量较好，未超出环境质量底线。</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b/>
                <w:bCs/>
                <w:kern w:val="0"/>
                <w:sz w:val="24"/>
              </w:rPr>
            </w:pPr>
            <w:r>
              <w:rPr>
                <w:rFonts w:hint="eastAsia"/>
                <w:b/>
                <w:bCs/>
                <w:kern w:val="0"/>
                <w:sz w:val="24"/>
              </w:rPr>
              <w:t>3、本项目与资源利用上线符合性分析</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76" w:firstLineChars="200"/>
              <w:textAlignment w:val="auto"/>
              <w:rPr>
                <w:spacing w:val="-1"/>
                <w:sz w:val="24"/>
                <w:szCs w:val="24"/>
              </w:rPr>
            </w:pPr>
            <w:r>
              <w:rPr>
                <w:spacing w:val="-1"/>
                <w:sz w:val="24"/>
                <w:szCs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出重要依据。</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textAlignment w:val="auto"/>
              <w:rPr>
                <w:rFonts w:hint="eastAsia"/>
                <w:b/>
                <w:bCs/>
                <w:kern w:val="0"/>
                <w:sz w:val="24"/>
              </w:rPr>
            </w:pPr>
            <w:r>
              <w:rPr>
                <w:rFonts w:hint="eastAsia"/>
                <w:b/>
                <w:bCs/>
                <w:kern w:val="0"/>
                <w:sz w:val="24"/>
                <w:lang w:val="en-US" w:eastAsia="zh-CN"/>
              </w:rPr>
              <w:t xml:space="preserve">⑴ </w:t>
            </w:r>
            <w:r>
              <w:rPr>
                <w:rFonts w:hint="eastAsia"/>
                <w:b/>
                <w:bCs/>
                <w:kern w:val="0"/>
                <w:sz w:val="24"/>
              </w:rPr>
              <w:t>水资源利用上线</w:t>
            </w:r>
          </w:p>
          <w:p>
            <w:pPr>
              <w:pStyle w:val="75"/>
              <w:keepNext w:val="0"/>
              <w:keepLines w:val="0"/>
              <w:pageBreakBefore w:val="0"/>
              <w:widowControl w:val="0"/>
              <w:kinsoku/>
              <w:wordWrap/>
              <w:overflowPunct/>
              <w:topLinePunct w:val="0"/>
              <w:bidi w:val="0"/>
              <w:adjustRightInd/>
              <w:snapToGrid/>
              <w:spacing w:line="360" w:lineRule="auto"/>
              <w:ind w:left="0" w:right="0" w:firstLine="468" w:firstLineChars="200"/>
              <w:textAlignment w:val="auto"/>
              <w:rPr>
                <w:sz w:val="24"/>
                <w:szCs w:val="24"/>
              </w:rPr>
            </w:pPr>
            <w:r>
              <w:rPr>
                <w:spacing w:val="-3"/>
                <w:sz w:val="24"/>
                <w:szCs w:val="24"/>
              </w:rPr>
              <w:t>根据《</w:t>
            </w:r>
            <w:r>
              <w:rPr>
                <w:rFonts w:ascii="Times New Roman" w:hAnsi="Times New Roman" w:eastAsia="Times New Roman" w:cs="Times New Roman"/>
                <w:spacing w:val="-3"/>
                <w:sz w:val="24"/>
                <w:szCs w:val="24"/>
              </w:rPr>
              <w:t>2022</w:t>
            </w:r>
            <w:r>
              <w:rPr>
                <w:spacing w:val="-3"/>
                <w:sz w:val="24"/>
                <w:szCs w:val="24"/>
              </w:rPr>
              <w:t>年广元市水资源公报》统计结果显示，</w:t>
            </w:r>
            <w:r>
              <w:rPr>
                <w:rFonts w:ascii="Times New Roman" w:hAnsi="Times New Roman" w:eastAsia="Times New Roman" w:cs="Times New Roman"/>
                <w:spacing w:val="-3"/>
                <w:sz w:val="24"/>
                <w:szCs w:val="24"/>
              </w:rPr>
              <w:t>2022</w:t>
            </w:r>
            <w:r>
              <w:rPr>
                <w:spacing w:val="-3"/>
                <w:sz w:val="24"/>
                <w:szCs w:val="24"/>
              </w:rPr>
              <w:t>年旺苍县地表水资源</w:t>
            </w:r>
            <w:r>
              <w:rPr>
                <w:spacing w:val="-4"/>
                <w:sz w:val="24"/>
                <w:szCs w:val="24"/>
              </w:rPr>
              <w:t>总量</w:t>
            </w:r>
            <w:r>
              <w:rPr>
                <w:spacing w:val="-46"/>
                <w:sz w:val="24"/>
                <w:szCs w:val="24"/>
              </w:rPr>
              <w:t xml:space="preserve"> </w:t>
            </w:r>
            <w:r>
              <w:rPr>
                <w:rFonts w:ascii="Times New Roman" w:hAnsi="Times New Roman" w:eastAsia="Times New Roman" w:cs="Times New Roman"/>
                <w:spacing w:val="-4"/>
                <w:sz w:val="24"/>
                <w:szCs w:val="24"/>
              </w:rPr>
              <w:t>8.47</w:t>
            </w:r>
            <w:r>
              <w:rPr>
                <w:spacing w:val="-4"/>
                <w:sz w:val="24"/>
                <w:szCs w:val="24"/>
              </w:rPr>
              <w:t>亿</w:t>
            </w:r>
            <w:r>
              <w:rPr>
                <w:spacing w:val="-58"/>
                <w:sz w:val="24"/>
                <w:szCs w:val="24"/>
              </w:rPr>
              <w:t xml:space="preserve"> </w:t>
            </w:r>
            <w:r>
              <w:rPr>
                <w:rFonts w:ascii="Times New Roman" w:hAnsi="Times New Roman" w:eastAsia="Times New Roman" w:cs="Times New Roman"/>
                <w:spacing w:val="-4"/>
                <w:sz w:val="24"/>
                <w:szCs w:val="24"/>
              </w:rPr>
              <w:t>m</w:t>
            </w:r>
            <w:r>
              <w:rPr>
                <w:rFonts w:hint="eastAsia" w:ascii="Times New Roman" w:hAnsi="Times New Roman" w:cs="Times New Roman"/>
                <w:spacing w:val="-4"/>
                <w:sz w:val="24"/>
                <w:szCs w:val="24"/>
                <w:vertAlign w:val="superscript"/>
                <w:lang w:val="en-US" w:eastAsia="zh-CN"/>
              </w:rPr>
              <w:t>3</w:t>
            </w:r>
            <w:r>
              <w:rPr>
                <w:spacing w:val="-4"/>
                <w:sz w:val="24"/>
                <w:szCs w:val="24"/>
              </w:rPr>
              <w:t>，地下水资源量</w:t>
            </w:r>
            <w:r>
              <w:rPr>
                <w:rFonts w:ascii="Times New Roman" w:hAnsi="Times New Roman" w:eastAsia="Times New Roman" w:cs="Times New Roman"/>
                <w:spacing w:val="-4"/>
                <w:sz w:val="24"/>
                <w:szCs w:val="24"/>
              </w:rPr>
              <w:t>1.84</w:t>
            </w:r>
            <w:r>
              <w:rPr>
                <w:spacing w:val="-4"/>
                <w:sz w:val="24"/>
                <w:szCs w:val="24"/>
              </w:rPr>
              <w:t>亿</w:t>
            </w:r>
            <w:r>
              <w:rPr>
                <w:spacing w:val="-58"/>
                <w:sz w:val="24"/>
                <w:szCs w:val="24"/>
              </w:rPr>
              <w:t xml:space="preserve"> </w:t>
            </w:r>
            <w:r>
              <w:rPr>
                <w:rFonts w:ascii="Times New Roman" w:hAnsi="Times New Roman" w:eastAsia="Times New Roman" w:cs="Times New Roman"/>
                <w:spacing w:val="-4"/>
                <w:sz w:val="24"/>
                <w:szCs w:val="24"/>
              </w:rPr>
              <w:t>m</w:t>
            </w:r>
            <w:r>
              <w:rPr>
                <w:rFonts w:hint="eastAsia" w:ascii="Times New Roman" w:hAnsi="Times New Roman" w:cs="Times New Roman"/>
                <w:spacing w:val="-4"/>
                <w:sz w:val="24"/>
                <w:szCs w:val="24"/>
                <w:vertAlign w:val="superscript"/>
                <w:lang w:val="en-US" w:eastAsia="zh-CN"/>
              </w:rPr>
              <w:t>3</w:t>
            </w:r>
            <w:r>
              <w:rPr>
                <w:spacing w:val="-4"/>
                <w:sz w:val="24"/>
                <w:szCs w:val="24"/>
              </w:rPr>
              <w:t>，</w:t>
            </w:r>
            <w:r>
              <w:rPr>
                <w:rFonts w:ascii="Times New Roman" w:hAnsi="Times New Roman" w:eastAsia="Times New Roman" w:cs="Times New Roman"/>
                <w:spacing w:val="-4"/>
                <w:sz w:val="24"/>
                <w:szCs w:val="24"/>
              </w:rPr>
              <w:t>2022</w:t>
            </w:r>
            <w:r>
              <w:rPr>
                <w:spacing w:val="-4"/>
                <w:sz w:val="24"/>
                <w:szCs w:val="24"/>
              </w:rPr>
              <w:t>年旺苍县总供水量</w:t>
            </w:r>
            <w:r>
              <w:rPr>
                <w:spacing w:val="-51"/>
                <w:sz w:val="24"/>
                <w:szCs w:val="24"/>
              </w:rPr>
              <w:t xml:space="preserve"> </w:t>
            </w:r>
            <w:r>
              <w:rPr>
                <w:rFonts w:ascii="Times New Roman" w:hAnsi="Times New Roman" w:eastAsia="Times New Roman" w:cs="Times New Roman"/>
                <w:spacing w:val="-4"/>
                <w:sz w:val="24"/>
                <w:szCs w:val="24"/>
              </w:rPr>
              <w:t>92</w:t>
            </w:r>
            <w:r>
              <w:rPr>
                <w:rFonts w:ascii="Times New Roman" w:hAnsi="Times New Roman" w:eastAsia="Times New Roman" w:cs="Times New Roman"/>
                <w:spacing w:val="-5"/>
                <w:sz w:val="24"/>
                <w:szCs w:val="24"/>
              </w:rPr>
              <w:t>95</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hint="eastAsia" w:ascii="Times New Roman" w:hAnsi="Times New Roman" w:cs="Times New Roman"/>
                <w:spacing w:val="-4"/>
                <w:sz w:val="24"/>
                <w:szCs w:val="24"/>
                <w:vertAlign w:val="superscript"/>
                <w:lang w:val="en-US" w:eastAsia="zh-CN"/>
              </w:rPr>
              <w:t>3</w:t>
            </w:r>
            <w:r>
              <w:rPr>
                <w:spacing w:val="-5"/>
                <w:sz w:val="24"/>
                <w:szCs w:val="24"/>
              </w:rPr>
              <w:t>，</w:t>
            </w:r>
            <w:r>
              <w:rPr>
                <w:spacing w:val="-3"/>
                <w:sz w:val="24"/>
                <w:szCs w:val="24"/>
              </w:rPr>
              <w:t>当地水资源开发利用率约</w:t>
            </w:r>
            <w:r>
              <w:rPr>
                <w:rFonts w:ascii="Times New Roman" w:hAnsi="Times New Roman" w:eastAsia="Times New Roman" w:cs="Times New Roman"/>
                <w:spacing w:val="-3"/>
                <w:sz w:val="24"/>
                <w:szCs w:val="24"/>
              </w:rPr>
              <w:t>10.97%</w:t>
            </w:r>
            <w:r>
              <w:rPr>
                <w:spacing w:val="-3"/>
                <w:sz w:val="24"/>
                <w:szCs w:val="24"/>
              </w:rPr>
              <w:t>，水资源开发利用程度低。</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spacing w:val="0"/>
                <w:sz w:val="24"/>
                <w:szCs w:val="24"/>
                <w:lang w:eastAsia="zh-CN"/>
              </w:rPr>
            </w:pPr>
            <w:r>
              <w:rPr>
                <w:spacing w:val="0"/>
                <w:sz w:val="24"/>
                <w:szCs w:val="24"/>
              </w:rPr>
              <w:t>根据《四川省实行最严格水资源管理制度考核办法》（川办发〔</w:t>
            </w:r>
            <w:r>
              <w:rPr>
                <w:rFonts w:ascii="Times New Roman" w:hAnsi="Times New Roman" w:eastAsia="Times New Roman" w:cs="Times New Roman"/>
                <w:spacing w:val="0"/>
                <w:sz w:val="24"/>
                <w:szCs w:val="24"/>
              </w:rPr>
              <w:t>2014</w:t>
            </w:r>
            <w:r>
              <w:rPr>
                <w:spacing w:val="0"/>
                <w:sz w:val="24"/>
                <w:szCs w:val="24"/>
              </w:rPr>
              <w:t>〕</w:t>
            </w:r>
            <w:r>
              <w:rPr>
                <w:rFonts w:ascii="Times New Roman" w:hAnsi="Times New Roman" w:eastAsia="Times New Roman" w:cs="Times New Roman"/>
                <w:spacing w:val="0"/>
                <w:sz w:val="24"/>
                <w:szCs w:val="24"/>
              </w:rPr>
              <w:t>27</w:t>
            </w:r>
            <w:r>
              <w:rPr>
                <w:spacing w:val="0"/>
                <w:sz w:val="24"/>
                <w:szCs w:val="24"/>
              </w:rPr>
              <w:t>号）的分解指标，广元市用水总量控制目标为：</w:t>
            </w:r>
            <w:r>
              <w:rPr>
                <w:rFonts w:ascii="Times New Roman" w:hAnsi="Times New Roman" w:eastAsia="Times New Roman" w:cs="Times New Roman"/>
                <w:spacing w:val="0"/>
                <w:sz w:val="24"/>
                <w:szCs w:val="24"/>
              </w:rPr>
              <w:t>2015</w:t>
            </w:r>
            <w:r>
              <w:rPr>
                <w:spacing w:val="0"/>
                <w:sz w:val="24"/>
                <w:szCs w:val="24"/>
              </w:rPr>
              <w:t>年用水控制总量</w:t>
            </w:r>
            <w:r>
              <w:rPr>
                <w:rFonts w:ascii="Times New Roman" w:hAnsi="Times New Roman" w:eastAsia="Times New Roman" w:cs="Times New Roman"/>
                <w:spacing w:val="0"/>
                <w:sz w:val="24"/>
                <w:szCs w:val="24"/>
              </w:rPr>
              <w:t>6.40</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（其中地下水开采控制量</w:t>
            </w:r>
            <w:r>
              <w:rPr>
                <w:rFonts w:ascii="Times New Roman" w:hAnsi="Times New Roman" w:eastAsia="Times New Roman" w:cs="Times New Roman"/>
                <w:spacing w:val="0"/>
                <w:sz w:val="24"/>
                <w:szCs w:val="24"/>
              </w:rPr>
              <w:t>0.40</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w:t>
            </w:r>
            <w:r>
              <w:rPr>
                <w:rFonts w:ascii="Times New Roman" w:hAnsi="Times New Roman" w:eastAsia="Times New Roman" w:cs="Times New Roman"/>
                <w:spacing w:val="0"/>
                <w:sz w:val="24"/>
                <w:szCs w:val="24"/>
              </w:rPr>
              <w:t>2020</w:t>
            </w:r>
            <w:r>
              <w:rPr>
                <w:spacing w:val="0"/>
                <w:sz w:val="24"/>
                <w:szCs w:val="24"/>
              </w:rPr>
              <w:t>年用水控制总量</w:t>
            </w:r>
            <w:r>
              <w:rPr>
                <w:rFonts w:ascii="Times New Roman" w:hAnsi="Times New Roman" w:eastAsia="Times New Roman" w:cs="Times New Roman"/>
                <w:spacing w:val="0"/>
                <w:sz w:val="24"/>
                <w:szCs w:val="24"/>
              </w:rPr>
              <w:t>8.09</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（其中地下水开采控制量为</w:t>
            </w:r>
            <w:r>
              <w:rPr>
                <w:rFonts w:ascii="Times New Roman" w:hAnsi="Times New Roman" w:eastAsia="Times New Roman" w:cs="Times New Roman"/>
                <w:spacing w:val="0"/>
                <w:sz w:val="24"/>
                <w:szCs w:val="24"/>
              </w:rPr>
              <w:t>0.44</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w:t>
            </w:r>
            <w:r>
              <w:rPr>
                <w:rFonts w:ascii="Times New Roman" w:hAnsi="Times New Roman" w:eastAsia="Times New Roman" w:cs="Times New Roman"/>
                <w:spacing w:val="0"/>
                <w:sz w:val="24"/>
                <w:szCs w:val="24"/>
              </w:rPr>
              <w:t>2030</w:t>
            </w:r>
            <w:r>
              <w:rPr>
                <w:spacing w:val="0"/>
                <w:sz w:val="24"/>
                <w:szCs w:val="24"/>
              </w:rPr>
              <w:t>年用水控制总量为</w:t>
            </w:r>
            <w:r>
              <w:rPr>
                <w:rFonts w:ascii="Times New Roman" w:hAnsi="Times New Roman" w:eastAsia="Times New Roman" w:cs="Times New Roman"/>
                <w:spacing w:val="0"/>
                <w:sz w:val="24"/>
                <w:szCs w:val="24"/>
              </w:rPr>
              <w:t>9.28</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（其中地下水开采控制量为</w:t>
            </w:r>
            <w:r>
              <w:rPr>
                <w:rFonts w:ascii="Times New Roman" w:hAnsi="Times New Roman" w:eastAsia="Times New Roman" w:cs="Times New Roman"/>
                <w:spacing w:val="0"/>
                <w:sz w:val="24"/>
                <w:szCs w:val="24"/>
              </w:rPr>
              <w:t>0.44</w:t>
            </w:r>
            <w:r>
              <w:rPr>
                <w:spacing w:val="0"/>
                <w:sz w:val="24"/>
                <w:szCs w:val="24"/>
              </w:rPr>
              <w:t>亿</w:t>
            </w:r>
            <w:r>
              <w:rPr>
                <w:rFonts w:ascii="Times New Roman" w:hAnsi="Times New Roman" w:eastAsia="Times New Roman" w:cs="Times New Roman"/>
                <w:spacing w:val="0"/>
                <w:sz w:val="24"/>
                <w:szCs w:val="24"/>
              </w:rPr>
              <w:t>m</w:t>
            </w:r>
            <w:r>
              <w:rPr>
                <w:rFonts w:hint="eastAsia" w:ascii="Times New Roman" w:hAnsi="Times New Roman" w:cs="Times New Roman"/>
                <w:spacing w:val="0"/>
                <w:sz w:val="24"/>
                <w:szCs w:val="24"/>
                <w:vertAlign w:val="superscript"/>
                <w:lang w:val="en-US" w:eastAsia="zh-CN"/>
              </w:rPr>
              <w:t>3</w:t>
            </w:r>
            <w:r>
              <w:rPr>
                <w:spacing w:val="0"/>
                <w:sz w:val="24"/>
                <w:szCs w:val="24"/>
              </w:rPr>
              <w:t>以内）。广元市各行政区用水总量控制指标见下表</w:t>
            </w:r>
            <w:r>
              <w:rPr>
                <w:rFonts w:hint="eastAsia"/>
                <w:spacing w:val="0"/>
                <w:sz w:val="24"/>
                <w:szCs w:val="24"/>
                <w:lang w:eastAsia="zh-CN"/>
              </w:rPr>
              <w:t>：</w:t>
            </w:r>
          </w:p>
          <w:p>
            <w:pPr>
              <w:tabs>
                <w:tab w:val="left" w:pos="3780"/>
              </w:tabs>
              <w:spacing w:line="360" w:lineRule="auto"/>
              <w:jc w:val="center"/>
              <w:rPr>
                <w:rFonts w:hint="eastAsia"/>
                <w:b/>
                <w:szCs w:val="21"/>
              </w:rPr>
            </w:pPr>
            <w:r>
              <w:rPr>
                <w:rFonts w:hint="eastAsia"/>
                <w:b/>
                <w:szCs w:val="21"/>
              </w:rPr>
              <w:t>表1-5  广元市水资源利用上线控制性指标</w:t>
            </w:r>
          </w:p>
          <w:p>
            <w:pPr>
              <w:spacing w:line="55" w:lineRule="exact"/>
            </w:pPr>
          </w:p>
          <w:tbl>
            <w:tblPr>
              <w:tblStyle w:val="7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4"/>
              <w:gridCol w:w="1165"/>
              <w:gridCol w:w="1308"/>
              <w:gridCol w:w="1310"/>
              <w:gridCol w:w="1402"/>
              <w:gridCol w:w="1036"/>
              <w:gridCol w:w="1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02" w:type="pct"/>
                  <w:vMerge w:val="restart"/>
                  <w:tcBorders>
                    <w:bottom w:val="nil"/>
                  </w:tcBorders>
                  <w:vAlign w:val="top"/>
                </w:tcPr>
                <w:p>
                  <w:pPr>
                    <w:pStyle w:val="75"/>
                    <w:spacing w:before="300" w:line="228" w:lineRule="auto"/>
                    <w:ind w:left="315"/>
                    <w:rPr>
                      <w:sz w:val="20"/>
                      <w:szCs w:val="20"/>
                    </w:rPr>
                  </w:pPr>
                  <w:r>
                    <w:rPr>
                      <w:b/>
                      <w:bCs/>
                      <w:spacing w:val="-4"/>
                      <w:sz w:val="20"/>
                      <w:szCs w:val="20"/>
                    </w:rPr>
                    <w:t>区域</w:t>
                  </w:r>
                </w:p>
              </w:tc>
              <w:tc>
                <w:tcPr>
                  <w:tcW w:w="2224" w:type="pct"/>
                  <w:gridSpan w:val="3"/>
                  <w:vAlign w:val="top"/>
                </w:tcPr>
                <w:p>
                  <w:pPr>
                    <w:pStyle w:val="75"/>
                    <w:spacing w:before="97" w:line="228" w:lineRule="auto"/>
                    <w:ind w:left="570"/>
                    <w:rPr>
                      <w:sz w:val="20"/>
                      <w:szCs w:val="20"/>
                    </w:rPr>
                  </w:pPr>
                  <w:r>
                    <w:rPr>
                      <w:b/>
                      <w:bCs/>
                      <w:spacing w:val="6"/>
                      <w:sz w:val="20"/>
                      <w:szCs w:val="20"/>
                    </w:rPr>
                    <w:t>用水总量控制目标（万</w:t>
                  </w:r>
                  <w:r>
                    <w:rPr>
                      <w:spacing w:val="-40"/>
                      <w:sz w:val="20"/>
                      <w:szCs w:val="20"/>
                    </w:rPr>
                    <w:t xml:space="preserve"> </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b/>
                      <w:bCs/>
                      <w:spacing w:val="6"/>
                      <w:sz w:val="20"/>
                      <w:szCs w:val="20"/>
                    </w:rPr>
                    <w:t>）</w:t>
                  </w:r>
                </w:p>
              </w:tc>
              <w:tc>
                <w:tcPr>
                  <w:tcW w:w="2173" w:type="pct"/>
                  <w:gridSpan w:val="3"/>
                  <w:vAlign w:val="top"/>
                </w:tcPr>
                <w:p>
                  <w:pPr>
                    <w:pStyle w:val="75"/>
                    <w:spacing w:before="97" w:line="227" w:lineRule="auto"/>
                    <w:ind w:left="210"/>
                    <w:rPr>
                      <w:sz w:val="20"/>
                      <w:szCs w:val="20"/>
                    </w:rPr>
                  </w:pPr>
                  <w:r>
                    <w:rPr>
                      <w:b/>
                      <w:bCs/>
                      <w:spacing w:val="6"/>
                      <w:sz w:val="20"/>
                      <w:szCs w:val="20"/>
                    </w:rPr>
                    <w:t>其中地下水开采控制目标（万</w:t>
                  </w:r>
                  <w:r>
                    <w:rPr>
                      <w:spacing w:val="-30"/>
                      <w:sz w:val="20"/>
                      <w:szCs w:val="20"/>
                    </w:rPr>
                    <w:t xml:space="preserve"> </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r>
                    <w:rPr>
                      <w:b/>
                      <w:bCs/>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02" w:type="pct"/>
                  <w:vMerge w:val="continue"/>
                  <w:tcBorders>
                    <w:top w:val="nil"/>
                  </w:tcBorders>
                  <w:vAlign w:val="top"/>
                </w:tcPr>
                <w:p>
                  <w:pPr>
                    <w:rPr>
                      <w:rFonts w:ascii="Arial"/>
                      <w:sz w:val="21"/>
                    </w:rPr>
                  </w:pPr>
                </w:p>
              </w:tc>
              <w:tc>
                <w:tcPr>
                  <w:tcW w:w="685" w:type="pct"/>
                  <w:vAlign w:val="top"/>
                </w:tcPr>
                <w:p>
                  <w:pPr>
                    <w:pStyle w:val="75"/>
                    <w:spacing w:before="92" w:line="228" w:lineRule="auto"/>
                    <w:ind w:left="263"/>
                    <w:rPr>
                      <w:sz w:val="20"/>
                      <w:szCs w:val="20"/>
                    </w:rPr>
                  </w:pPr>
                  <w:r>
                    <w:rPr>
                      <w:b/>
                      <w:bCs/>
                      <w:spacing w:val="5"/>
                      <w:sz w:val="20"/>
                      <w:szCs w:val="20"/>
                    </w:rPr>
                    <w:t>基准年</w:t>
                  </w:r>
                </w:p>
              </w:tc>
              <w:tc>
                <w:tcPr>
                  <w:tcW w:w="769" w:type="pct"/>
                  <w:vAlign w:val="top"/>
                </w:tcPr>
                <w:p>
                  <w:pPr>
                    <w:pStyle w:val="75"/>
                    <w:spacing w:before="92" w:line="228" w:lineRule="auto"/>
                    <w:ind w:left="307"/>
                    <w:rPr>
                      <w:sz w:val="20"/>
                      <w:szCs w:val="20"/>
                    </w:rPr>
                  </w:pPr>
                  <w:r>
                    <w:rPr>
                      <w:rFonts w:ascii="Times New Roman" w:hAnsi="Times New Roman" w:eastAsia="Times New Roman" w:cs="Times New Roman"/>
                      <w:b/>
                      <w:bCs/>
                      <w:spacing w:val="2"/>
                      <w:sz w:val="20"/>
                      <w:szCs w:val="20"/>
                    </w:rPr>
                    <w:t>2025</w:t>
                  </w:r>
                  <w:r>
                    <w:rPr>
                      <w:b/>
                      <w:bCs/>
                      <w:spacing w:val="2"/>
                      <w:sz w:val="20"/>
                      <w:szCs w:val="20"/>
                    </w:rPr>
                    <w:t>年</w:t>
                  </w:r>
                </w:p>
              </w:tc>
              <w:tc>
                <w:tcPr>
                  <w:tcW w:w="770" w:type="pct"/>
                  <w:vAlign w:val="top"/>
                </w:tcPr>
                <w:p>
                  <w:pPr>
                    <w:pStyle w:val="75"/>
                    <w:spacing w:before="92" w:line="228" w:lineRule="auto"/>
                    <w:ind w:left="309"/>
                    <w:rPr>
                      <w:sz w:val="20"/>
                      <w:szCs w:val="20"/>
                    </w:rPr>
                  </w:pPr>
                  <w:r>
                    <w:rPr>
                      <w:rFonts w:ascii="Times New Roman" w:hAnsi="Times New Roman" w:eastAsia="Times New Roman" w:cs="Times New Roman"/>
                      <w:b/>
                      <w:bCs/>
                      <w:spacing w:val="2"/>
                      <w:sz w:val="20"/>
                      <w:szCs w:val="20"/>
                    </w:rPr>
                    <w:t>2035</w:t>
                  </w:r>
                  <w:r>
                    <w:rPr>
                      <w:b/>
                      <w:bCs/>
                      <w:spacing w:val="2"/>
                      <w:sz w:val="20"/>
                      <w:szCs w:val="20"/>
                    </w:rPr>
                    <w:t>年</w:t>
                  </w:r>
                </w:p>
              </w:tc>
              <w:tc>
                <w:tcPr>
                  <w:tcW w:w="824" w:type="pct"/>
                  <w:vAlign w:val="top"/>
                </w:tcPr>
                <w:p>
                  <w:pPr>
                    <w:pStyle w:val="75"/>
                    <w:spacing w:before="92" w:line="228" w:lineRule="auto"/>
                    <w:ind w:left="384"/>
                    <w:rPr>
                      <w:sz w:val="20"/>
                      <w:szCs w:val="20"/>
                    </w:rPr>
                  </w:pPr>
                  <w:r>
                    <w:rPr>
                      <w:b/>
                      <w:bCs/>
                      <w:spacing w:val="5"/>
                      <w:sz w:val="20"/>
                      <w:szCs w:val="20"/>
                    </w:rPr>
                    <w:t>基准年</w:t>
                  </w:r>
                </w:p>
              </w:tc>
              <w:tc>
                <w:tcPr>
                  <w:tcW w:w="609" w:type="pct"/>
                  <w:vAlign w:val="top"/>
                </w:tcPr>
                <w:p>
                  <w:pPr>
                    <w:pStyle w:val="75"/>
                    <w:spacing w:before="92" w:line="228" w:lineRule="auto"/>
                    <w:ind w:left="175"/>
                    <w:rPr>
                      <w:sz w:val="20"/>
                      <w:szCs w:val="20"/>
                    </w:rPr>
                  </w:pPr>
                  <w:r>
                    <w:rPr>
                      <w:rFonts w:ascii="Times New Roman" w:hAnsi="Times New Roman" w:eastAsia="Times New Roman" w:cs="Times New Roman"/>
                      <w:b/>
                      <w:bCs/>
                      <w:spacing w:val="2"/>
                      <w:sz w:val="20"/>
                      <w:szCs w:val="20"/>
                    </w:rPr>
                    <w:t>2025</w:t>
                  </w:r>
                  <w:r>
                    <w:rPr>
                      <w:b/>
                      <w:bCs/>
                      <w:spacing w:val="2"/>
                      <w:sz w:val="20"/>
                      <w:szCs w:val="20"/>
                    </w:rPr>
                    <w:t>年</w:t>
                  </w:r>
                </w:p>
              </w:tc>
              <w:tc>
                <w:tcPr>
                  <w:tcW w:w="739" w:type="pct"/>
                  <w:vAlign w:val="top"/>
                </w:tcPr>
                <w:p>
                  <w:pPr>
                    <w:pStyle w:val="75"/>
                    <w:spacing w:before="92" w:line="228" w:lineRule="auto"/>
                    <w:ind w:left="283"/>
                    <w:rPr>
                      <w:sz w:val="20"/>
                      <w:szCs w:val="20"/>
                    </w:rPr>
                  </w:pPr>
                  <w:r>
                    <w:rPr>
                      <w:rFonts w:ascii="Times New Roman" w:hAnsi="Times New Roman" w:eastAsia="Times New Roman" w:cs="Times New Roman"/>
                      <w:b/>
                      <w:bCs/>
                      <w:spacing w:val="2"/>
                      <w:sz w:val="20"/>
                      <w:szCs w:val="20"/>
                    </w:rPr>
                    <w:t>2035</w:t>
                  </w:r>
                  <w:r>
                    <w:rPr>
                      <w:b/>
                      <w:bCs/>
                      <w:spacing w:val="2"/>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5" w:line="227" w:lineRule="auto"/>
                    <w:ind w:left="197"/>
                    <w:rPr>
                      <w:sz w:val="20"/>
                      <w:szCs w:val="20"/>
                    </w:rPr>
                  </w:pPr>
                  <w:r>
                    <w:rPr>
                      <w:spacing w:val="6"/>
                      <w:sz w:val="20"/>
                      <w:szCs w:val="20"/>
                    </w:rPr>
                    <w:t>利州区</w:t>
                  </w:r>
                </w:p>
              </w:tc>
              <w:tc>
                <w:tcPr>
                  <w:tcW w:w="685" w:type="pct"/>
                  <w:vAlign w:val="top"/>
                </w:tcPr>
                <w:p>
                  <w:pPr>
                    <w:spacing w:before="13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13800</w:t>
                  </w:r>
                </w:p>
              </w:tc>
              <w:tc>
                <w:tcPr>
                  <w:tcW w:w="769" w:type="pct"/>
                  <w:vAlign w:val="top"/>
                </w:tcPr>
                <w:p>
                  <w:pPr>
                    <w:spacing w:before="13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15400</w:t>
                  </w:r>
                </w:p>
              </w:tc>
              <w:tc>
                <w:tcPr>
                  <w:tcW w:w="770" w:type="pct"/>
                  <w:vAlign w:val="top"/>
                </w:tcPr>
                <w:p>
                  <w:pPr>
                    <w:spacing w:before="13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17300</w:t>
                  </w:r>
                </w:p>
              </w:tc>
              <w:tc>
                <w:tcPr>
                  <w:tcW w:w="824" w:type="pct"/>
                  <w:vAlign w:val="top"/>
                </w:tcPr>
                <w:p>
                  <w:pPr>
                    <w:spacing w:before="13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2193</w:t>
                  </w:r>
                </w:p>
              </w:tc>
              <w:tc>
                <w:tcPr>
                  <w:tcW w:w="609" w:type="pct"/>
                  <w:vAlign w:val="top"/>
                </w:tcPr>
                <w:p>
                  <w:pPr>
                    <w:spacing w:before="13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2300</w:t>
                  </w:r>
                </w:p>
              </w:tc>
              <w:tc>
                <w:tcPr>
                  <w:tcW w:w="739" w:type="pct"/>
                  <w:vAlign w:val="top"/>
                </w:tcPr>
                <w:p>
                  <w:pPr>
                    <w:spacing w:before="13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5" w:line="229" w:lineRule="auto"/>
                    <w:ind w:left="207"/>
                    <w:rPr>
                      <w:sz w:val="20"/>
                      <w:szCs w:val="20"/>
                    </w:rPr>
                  </w:pPr>
                  <w:r>
                    <w:rPr>
                      <w:spacing w:val="3"/>
                      <w:sz w:val="20"/>
                      <w:szCs w:val="20"/>
                    </w:rPr>
                    <w:t>昭化区</w:t>
                  </w:r>
                </w:p>
              </w:tc>
              <w:tc>
                <w:tcPr>
                  <w:tcW w:w="685" w:type="pct"/>
                  <w:vAlign w:val="top"/>
                </w:tcPr>
                <w:p>
                  <w:pPr>
                    <w:spacing w:before="131"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13100</w:t>
                  </w:r>
                </w:p>
              </w:tc>
              <w:tc>
                <w:tcPr>
                  <w:tcW w:w="769" w:type="pct"/>
                  <w:vAlign w:val="top"/>
                </w:tcPr>
                <w:p>
                  <w:pPr>
                    <w:spacing w:before="13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13500</w:t>
                  </w:r>
                </w:p>
              </w:tc>
              <w:tc>
                <w:tcPr>
                  <w:tcW w:w="770" w:type="pct"/>
                  <w:vAlign w:val="top"/>
                </w:tcPr>
                <w:p>
                  <w:pPr>
                    <w:spacing w:before="13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14300</w:t>
                  </w:r>
                </w:p>
              </w:tc>
              <w:tc>
                <w:tcPr>
                  <w:tcW w:w="824" w:type="pct"/>
                  <w:vAlign w:val="top"/>
                </w:tcPr>
                <w:p>
                  <w:pPr>
                    <w:spacing w:before="131"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w:t>
                  </w:r>
                </w:p>
              </w:tc>
              <w:tc>
                <w:tcPr>
                  <w:tcW w:w="609" w:type="pct"/>
                  <w:vAlign w:val="top"/>
                </w:tcPr>
                <w:p>
                  <w:pPr>
                    <w:spacing w:before="13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c>
                <w:tcPr>
                  <w:tcW w:w="739" w:type="pct"/>
                  <w:vAlign w:val="top"/>
                </w:tcPr>
                <w:p>
                  <w:pPr>
                    <w:spacing w:before="13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02" w:type="pct"/>
                  <w:vAlign w:val="top"/>
                </w:tcPr>
                <w:p>
                  <w:pPr>
                    <w:pStyle w:val="75"/>
                    <w:spacing w:before="94" w:line="228" w:lineRule="auto"/>
                    <w:ind w:left="196"/>
                    <w:rPr>
                      <w:sz w:val="20"/>
                      <w:szCs w:val="20"/>
                    </w:rPr>
                  </w:pPr>
                  <w:r>
                    <w:rPr>
                      <w:spacing w:val="7"/>
                      <w:sz w:val="20"/>
                      <w:szCs w:val="20"/>
                    </w:rPr>
                    <w:t>朝天区</w:t>
                  </w:r>
                </w:p>
              </w:tc>
              <w:tc>
                <w:tcPr>
                  <w:tcW w:w="685" w:type="pct"/>
                  <w:vAlign w:val="top"/>
                </w:tcPr>
                <w:p>
                  <w:pPr>
                    <w:spacing w:before="13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769" w:type="pct"/>
                  <w:vAlign w:val="top"/>
                </w:tcPr>
                <w:p>
                  <w:pPr>
                    <w:spacing w:before="130"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4100</w:t>
                  </w:r>
                </w:p>
              </w:tc>
              <w:tc>
                <w:tcPr>
                  <w:tcW w:w="770" w:type="pct"/>
                  <w:vAlign w:val="top"/>
                </w:tcPr>
                <w:p>
                  <w:pPr>
                    <w:spacing w:before="13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4800</w:t>
                  </w:r>
                </w:p>
              </w:tc>
              <w:tc>
                <w:tcPr>
                  <w:tcW w:w="824" w:type="pct"/>
                  <w:vAlign w:val="top"/>
                </w:tcPr>
                <w:p>
                  <w:pPr>
                    <w:spacing w:before="130"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417</w:t>
                  </w:r>
                </w:p>
              </w:tc>
              <w:tc>
                <w:tcPr>
                  <w:tcW w:w="609" w:type="pct"/>
                  <w:vAlign w:val="top"/>
                </w:tcPr>
                <w:p>
                  <w:pPr>
                    <w:spacing w:before="13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739" w:type="pct"/>
                  <w:vAlign w:val="top"/>
                </w:tcPr>
                <w:p>
                  <w:pPr>
                    <w:spacing w:before="13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7" w:line="232" w:lineRule="auto"/>
                    <w:ind w:left="206"/>
                    <w:rPr>
                      <w:sz w:val="20"/>
                      <w:szCs w:val="20"/>
                    </w:rPr>
                  </w:pPr>
                  <w:r>
                    <w:rPr>
                      <w:b/>
                      <w:bCs/>
                      <w:spacing w:val="2"/>
                      <w:sz w:val="20"/>
                      <w:szCs w:val="20"/>
                    </w:rPr>
                    <w:t>旺苍县</w:t>
                  </w:r>
                </w:p>
              </w:tc>
              <w:tc>
                <w:tcPr>
                  <w:tcW w:w="685" w:type="pct"/>
                  <w:vAlign w:val="top"/>
                </w:tcPr>
                <w:p>
                  <w:pPr>
                    <w:spacing w:before="133" w:line="195" w:lineRule="auto"/>
                    <w:ind w:left="37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9100</w:t>
                  </w:r>
                </w:p>
              </w:tc>
              <w:tc>
                <w:tcPr>
                  <w:tcW w:w="769" w:type="pct"/>
                  <w:vAlign w:val="top"/>
                </w:tcPr>
                <w:p>
                  <w:pPr>
                    <w:spacing w:before="133" w:line="195" w:lineRule="auto"/>
                    <w:ind w:left="44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9500</w:t>
                  </w:r>
                </w:p>
              </w:tc>
              <w:tc>
                <w:tcPr>
                  <w:tcW w:w="770" w:type="pct"/>
                  <w:vAlign w:val="top"/>
                </w:tcPr>
                <w:p>
                  <w:pPr>
                    <w:spacing w:before="133" w:line="195" w:lineRule="auto"/>
                    <w:ind w:left="39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10300</w:t>
                  </w:r>
                </w:p>
              </w:tc>
              <w:tc>
                <w:tcPr>
                  <w:tcW w:w="824" w:type="pct"/>
                  <w:vAlign w:val="top"/>
                </w:tcPr>
                <w:p>
                  <w:pPr>
                    <w:spacing w:before="133" w:line="195" w:lineRule="auto"/>
                    <w:ind w:left="53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320</w:t>
                  </w:r>
                </w:p>
              </w:tc>
              <w:tc>
                <w:tcPr>
                  <w:tcW w:w="609" w:type="pct"/>
                  <w:vAlign w:val="top"/>
                </w:tcPr>
                <w:p>
                  <w:pPr>
                    <w:spacing w:before="133" w:line="195" w:lineRule="auto"/>
                    <w:ind w:left="35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c>
                <w:tcPr>
                  <w:tcW w:w="739" w:type="pct"/>
                  <w:vAlign w:val="top"/>
                </w:tcPr>
                <w:p>
                  <w:pPr>
                    <w:spacing w:before="133" w:line="195" w:lineRule="auto"/>
                    <w:ind w:left="46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7" w:line="227" w:lineRule="auto"/>
                    <w:ind w:left="196"/>
                    <w:rPr>
                      <w:sz w:val="20"/>
                      <w:szCs w:val="20"/>
                    </w:rPr>
                  </w:pPr>
                  <w:r>
                    <w:rPr>
                      <w:spacing w:val="6"/>
                      <w:sz w:val="20"/>
                      <w:szCs w:val="20"/>
                    </w:rPr>
                    <w:t>青川县</w:t>
                  </w:r>
                </w:p>
              </w:tc>
              <w:tc>
                <w:tcPr>
                  <w:tcW w:w="685" w:type="pct"/>
                  <w:vAlign w:val="top"/>
                </w:tcPr>
                <w:p>
                  <w:pPr>
                    <w:spacing w:before="133"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3900</w:t>
                  </w:r>
                </w:p>
              </w:tc>
              <w:tc>
                <w:tcPr>
                  <w:tcW w:w="769" w:type="pct"/>
                  <w:vAlign w:val="top"/>
                </w:tcPr>
                <w:p>
                  <w:pPr>
                    <w:spacing w:before="13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5600</w:t>
                  </w:r>
                </w:p>
              </w:tc>
              <w:tc>
                <w:tcPr>
                  <w:tcW w:w="770" w:type="pct"/>
                  <w:vAlign w:val="top"/>
                </w:tcPr>
                <w:p>
                  <w:pPr>
                    <w:spacing w:before="13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7200</w:t>
                  </w:r>
                </w:p>
              </w:tc>
              <w:tc>
                <w:tcPr>
                  <w:tcW w:w="824" w:type="pct"/>
                  <w:vAlign w:val="top"/>
                </w:tcPr>
                <w:p>
                  <w:pPr>
                    <w:spacing w:before="133"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609" w:type="pct"/>
                  <w:vAlign w:val="top"/>
                </w:tcPr>
                <w:p>
                  <w:pPr>
                    <w:spacing w:before="13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739" w:type="pct"/>
                  <w:vAlign w:val="top"/>
                </w:tcPr>
                <w:p>
                  <w:pPr>
                    <w:spacing w:before="133"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6" w:line="228" w:lineRule="auto"/>
                    <w:ind w:left="197"/>
                    <w:rPr>
                      <w:sz w:val="20"/>
                      <w:szCs w:val="20"/>
                    </w:rPr>
                  </w:pPr>
                  <w:r>
                    <w:rPr>
                      <w:spacing w:val="6"/>
                      <w:sz w:val="20"/>
                      <w:szCs w:val="20"/>
                    </w:rPr>
                    <w:t>剑阁县</w:t>
                  </w:r>
                </w:p>
              </w:tc>
              <w:tc>
                <w:tcPr>
                  <w:tcW w:w="685" w:type="pct"/>
                  <w:vAlign w:val="top"/>
                </w:tcPr>
                <w:p>
                  <w:pPr>
                    <w:spacing w:before="13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19700</w:t>
                  </w:r>
                </w:p>
              </w:tc>
              <w:tc>
                <w:tcPr>
                  <w:tcW w:w="769" w:type="pct"/>
                  <w:vAlign w:val="top"/>
                </w:tcPr>
                <w:p>
                  <w:pPr>
                    <w:spacing w:before="132"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20900</w:t>
                  </w:r>
                </w:p>
              </w:tc>
              <w:tc>
                <w:tcPr>
                  <w:tcW w:w="770" w:type="pct"/>
                  <w:vAlign w:val="top"/>
                </w:tcPr>
                <w:p>
                  <w:pPr>
                    <w:spacing w:before="13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22000</w:t>
                  </w:r>
                </w:p>
              </w:tc>
              <w:tc>
                <w:tcPr>
                  <w:tcW w:w="824" w:type="pct"/>
                  <w:vAlign w:val="top"/>
                </w:tcPr>
                <w:p>
                  <w:pPr>
                    <w:spacing w:before="13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351</w:t>
                  </w:r>
                </w:p>
              </w:tc>
              <w:tc>
                <w:tcPr>
                  <w:tcW w:w="609" w:type="pct"/>
                  <w:vAlign w:val="top"/>
                </w:tcPr>
                <w:p>
                  <w:pPr>
                    <w:spacing w:before="132"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739" w:type="pct"/>
                  <w:vAlign w:val="top"/>
                </w:tcPr>
                <w:p>
                  <w:pPr>
                    <w:spacing w:before="132"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2" w:type="pct"/>
                  <w:vAlign w:val="top"/>
                </w:tcPr>
                <w:p>
                  <w:pPr>
                    <w:pStyle w:val="75"/>
                    <w:spacing w:before="98" w:line="230" w:lineRule="auto"/>
                    <w:ind w:left="198"/>
                    <w:rPr>
                      <w:sz w:val="20"/>
                      <w:szCs w:val="20"/>
                    </w:rPr>
                  </w:pPr>
                  <w:r>
                    <w:rPr>
                      <w:spacing w:val="6"/>
                      <w:sz w:val="20"/>
                      <w:szCs w:val="20"/>
                    </w:rPr>
                    <w:t>苍溪县</w:t>
                  </w:r>
                </w:p>
              </w:tc>
              <w:tc>
                <w:tcPr>
                  <w:tcW w:w="685" w:type="pct"/>
                  <w:vAlign w:val="top"/>
                </w:tcPr>
                <w:p>
                  <w:pPr>
                    <w:spacing w:before="134"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15400</w:t>
                  </w:r>
                </w:p>
              </w:tc>
              <w:tc>
                <w:tcPr>
                  <w:tcW w:w="769" w:type="pct"/>
                  <w:vAlign w:val="top"/>
                </w:tcPr>
                <w:p>
                  <w:pPr>
                    <w:spacing w:before="13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16300</w:t>
                  </w:r>
                </w:p>
              </w:tc>
              <w:tc>
                <w:tcPr>
                  <w:tcW w:w="770" w:type="pct"/>
                  <w:vAlign w:val="top"/>
                </w:tcPr>
                <w:p>
                  <w:pPr>
                    <w:spacing w:before="134"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17100</w:t>
                  </w:r>
                </w:p>
              </w:tc>
              <w:tc>
                <w:tcPr>
                  <w:tcW w:w="824" w:type="pct"/>
                  <w:vAlign w:val="top"/>
                </w:tcPr>
                <w:p>
                  <w:pPr>
                    <w:spacing w:before="134"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609" w:type="pct"/>
                  <w:vAlign w:val="top"/>
                </w:tcPr>
                <w:p>
                  <w:pPr>
                    <w:spacing w:before="134"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w:t>
                  </w:r>
                </w:p>
              </w:tc>
              <w:tc>
                <w:tcPr>
                  <w:tcW w:w="739" w:type="pct"/>
                  <w:vAlign w:val="top"/>
                </w:tcPr>
                <w:p>
                  <w:pPr>
                    <w:spacing w:before="134"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02" w:type="pct"/>
                  <w:vAlign w:val="top"/>
                </w:tcPr>
                <w:p>
                  <w:pPr>
                    <w:pStyle w:val="75"/>
                    <w:spacing w:before="98" w:line="228" w:lineRule="auto"/>
                    <w:ind w:left="196"/>
                    <w:rPr>
                      <w:sz w:val="20"/>
                      <w:szCs w:val="20"/>
                    </w:rPr>
                  </w:pPr>
                  <w:r>
                    <w:rPr>
                      <w:spacing w:val="6"/>
                      <w:sz w:val="20"/>
                      <w:szCs w:val="20"/>
                    </w:rPr>
                    <w:t>广元市</w:t>
                  </w:r>
                </w:p>
              </w:tc>
              <w:tc>
                <w:tcPr>
                  <w:tcW w:w="685" w:type="pct"/>
                  <w:vAlign w:val="top"/>
                </w:tcPr>
                <w:p>
                  <w:pPr>
                    <w:spacing w:before="134"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77500</w:t>
                  </w:r>
                </w:p>
              </w:tc>
              <w:tc>
                <w:tcPr>
                  <w:tcW w:w="769" w:type="pct"/>
                  <w:vAlign w:val="top"/>
                </w:tcPr>
                <w:p>
                  <w:pPr>
                    <w:spacing w:before="13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85300</w:t>
                  </w:r>
                </w:p>
              </w:tc>
              <w:tc>
                <w:tcPr>
                  <w:tcW w:w="770" w:type="pct"/>
                  <w:vAlign w:val="top"/>
                </w:tcPr>
                <w:p>
                  <w:pPr>
                    <w:spacing w:before="13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93000</w:t>
                  </w:r>
                </w:p>
              </w:tc>
              <w:tc>
                <w:tcPr>
                  <w:tcW w:w="824" w:type="pct"/>
                  <w:vAlign w:val="top"/>
                </w:tcPr>
                <w:p>
                  <w:pPr>
                    <w:spacing w:before="13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4200</w:t>
                  </w:r>
                </w:p>
              </w:tc>
              <w:tc>
                <w:tcPr>
                  <w:tcW w:w="609" w:type="pct"/>
                  <w:vAlign w:val="top"/>
                </w:tcPr>
                <w:p>
                  <w:pPr>
                    <w:spacing w:before="13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4400</w:t>
                  </w:r>
                </w:p>
              </w:tc>
              <w:tc>
                <w:tcPr>
                  <w:tcW w:w="739" w:type="pct"/>
                  <w:vAlign w:val="top"/>
                </w:tcPr>
                <w:p>
                  <w:pPr>
                    <w:spacing w:before="134"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4400</w:t>
                  </w:r>
                </w:p>
              </w:tc>
            </w:tr>
          </w:tbl>
          <w:p>
            <w:pPr>
              <w:pStyle w:val="75"/>
              <w:spacing w:before="115" w:line="346" w:lineRule="auto"/>
              <w:ind w:left="116" w:right="107" w:firstLine="478"/>
              <w:rPr>
                <w:rFonts w:hint="default" w:ascii="Arial" w:hAnsi="Arial" w:cs="Arial"/>
                <w:spacing w:val="0"/>
                <w:sz w:val="24"/>
                <w:szCs w:val="24"/>
              </w:rPr>
            </w:pPr>
            <w:r>
              <w:rPr>
                <w:rFonts w:hint="default" w:ascii="Arial" w:hAnsi="Arial" w:cs="Arial"/>
                <w:spacing w:val="0"/>
                <w:sz w:val="24"/>
                <w:szCs w:val="24"/>
              </w:rPr>
              <w:t>本项目总库容</w:t>
            </w:r>
            <w:r>
              <w:rPr>
                <w:rFonts w:hint="eastAsia" w:ascii="Arial" w:hAnsi="Arial" w:cs="Arial"/>
                <w:spacing w:val="0"/>
                <w:sz w:val="24"/>
                <w:szCs w:val="24"/>
                <w:lang w:val="en-US" w:eastAsia="zh-CN"/>
              </w:rPr>
              <w:t>371</w:t>
            </w:r>
            <w:r>
              <w:rPr>
                <w:rFonts w:hint="default" w:ascii="Arial" w:hAnsi="Arial" w:cs="Arial"/>
                <w:spacing w:val="0"/>
                <w:sz w:val="24"/>
                <w:szCs w:val="24"/>
              </w:rPr>
              <w:t>万</w:t>
            </w:r>
            <w:r>
              <w:rPr>
                <w:rFonts w:hint="default" w:ascii="Arial" w:hAnsi="Arial" w:eastAsia="Times New Roman" w:cs="Arial"/>
                <w:spacing w:val="0"/>
                <w:sz w:val="24"/>
                <w:szCs w:val="24"/>
              </w:rPr>
              <w:t>m</w:t>
            </w:r>
            <w:r>
              <w:rPr>
                <w:rFonts w:hint="eastAsia" w:ascii="Times New Roman" w:hAnsi="Times New Roman" w:cs="Times New Roman"/>
                <w:spacing w:val="0"/>
                <w:sz w:val="24"/>
                <w:szCs w:val="24"/>
                <w:vertAlign w:val="superscript"/>
                <w:lang w:val="en-US" w:eastAsia="zh-CN"/>
              </w:rPr>
              <w:t>3</w:t>
            </w:r>
            <w:r>
              <w:rPr>
                <w:rFonts w:hint="default" w:ascii="Arial" w:hAnsi="Arial" w:cs="Arial"/>
                <w:spacing w:val="0"/>
                <w:sz w:val="24"/>
                <w:szCs w:val="24"/>
              </w:rPr>
              <w:t>，年供水能力</w:t>
            </w:r>
            <w:r>
              <w:rPr>
                <w:rFonts w:hint="eastAsia" w:ascii="Arial" w:hAnsi="Arial" w:cs="Arial"/>
                <w:spacing w:val="0"/>
                <w:sz w:val="24"/>
                <w:szCs w:val="24"/>
                <w:lang w:val="en-US" w:eastAsia="zh-CN"/>
              </w:rPr>
              <w:t>172</w:t>
            </w:r>
            <w:r>
              <w:rPr>
                <w:rFonts w:hint="default" w:ascii="Arial" w:hAnsi="Arial" w:cs="Arial"/>
                <w:spacing w:val="0"/>
                <w:sz w:val="24"/>
                <w:szCs w:val="24"/>
              </w:rPr>
              <w:t>万</w:t>
            </w:r>
            <w:r>
              <w:rPr>
                <w:rFonts w:hint="default" w:ascii="Arial" w:hAnsi="Arial" w:eastAsia="Times New Roman" w:cs="Arial"/>
                <w:spacing w:val="0"/>
                <w:sz w:val="24"/>
                <w:szCs w:val="24"/>
              </w:rPr>
              <w:t>m</w:t>
            </w:r>
            <w:r>
              <w:rPr>
                <w:rFonts w:hint="eastAsia" w:ascii="Times New Roman" w:hAnsi="Times New Roman" w:cs="Times New Roman"/>
                <w:spacing w:val="0"/>
                <w:sz w:val="24"/>
                <w:szCs w:val="24"/>
                <w:vertAlign w:val="superscript"/>
                <w:lang w:val="en-US" w:eastAsia="zh-CN"/>
              </w:rPr>
              <w:t>3</w:t>
            </w:r>
            <w:r>
              <w:rPr>
                <w:rFonts w:hint="default" w:ascii="Arial" w:hAnsi="Arial" w:cs="Arial"/>
                <w:spacing w:val="0"/>
                <w:sz w:val="24"/>
                <w:szCs w:val="24"/>
              </w:rPr>
              <w:t>，占旺苍县</w:t>
            </w:r>
            <w:r>
              <w:rPr>
                <w:rFonts w:hint="default" w:ascii="Arial" w:hAnsi="Arial" w:eastAsia="Times New Roman" w:cs="Arial"/>
                <w:spacing w:val="0"/>
                <w:sz w:val="24"/>
                <w:szCs w:val="24"/>
              </w:rPr>
              <w:t>2025</w:t>
            </w:r>
            <w:r>
              <w:rPr>
                <w:rFonts w:hint="default" w:ascii="Arial" w:hAnsi="Arial" w:cs="Arial"/>
                <w:spacing w:val="0"/>
                <w:sz w:val="24"/>
                <w:szCs w:val="24"/>
              </w:rPr>
              <w:t>年用水总量指标的</w:t>
            </w:r>
            <w:r>
              <w:rPr>
                <w:rFonts w:hint="eastAsia" w:ascii="Arial" w:hAnsi="Arial" w:cs="Arial"/>
                <w:spacing w:val="0"/>
                <w:sz w:val="24"/>
                <w:szCs w:val="24"/>
                <w:lang w:val="en-US" w:eastAsia="zh-CN"/>
              </w:rPr>
              <w:t>1.81</w:t>
            </w:r>
            <w:r>
              <w:rPr>
                <w:rFonts w:hint="default" w:ascii="Arial" w:hAnsi="Arial" w:eastAsia="Times New Roman" w:cs="Arial"/>
                <w:spacing w:val="0"/>
                <w:sz w:val="24"/>
                <w:szCs w:val="24"/>
              </w:rPr>
              <w:t>%</w:t>
            </w:r>
            <w:r>
              <w:rPr>
                <w:rFonts w:hint="default" w:ascii="Arial" w:hAnsi="Arial" w:cs="Arial"/>
                <w:spacing w:val="0"/>
                <w:sz w:val="24"/>
                <w:szCs w:val="24"/>
              </w:rPr>
              <w:t>，不会突破旺苍县用水总量指标的要求，未突破水资源利用上线。</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default" w:ascii="Arial" w:hAnsi="Arial" w:cs="Arial"/>
                <w:spacing w:val="0"/>
                <w:w w:val="100"/>
                <w:sz w:val="24"/>
                <w:szCs w:val="24"/>
              </w:rPr>
            </w:pPr>
            <w:r>
              <w:rPr>
                <w:rFonts w:hint="eastAsia" w:ascii="Arial" w:hAnsi="Arial" w:cs="Arial"/>
                <w:b/>
                <w:bCs/>
                <w:spacing w:val="0"/>
                <w:w w:val="100"/>
                <w:sz w:val="24"/>
                <w:szCs w:val="24"/>
                <w:lang w:val="en-US" w:eastAsia="zh-CN"/>
              </w:rPr>
              <w:t xml:space="preserve">⑵ </w:t>
            </w:r>
            <w:r>
              <w:rPr>
                <w:rFonts w:hint="default" w:ascii="Arial" w:hAnsi="Arial" w:cs="Arial"/>
                <w:b/>
                <w:bCs/>
                <w:spacing w:val="0"/>
                <w:w w:val="100"/>
                <w:sz w:val="24"/>
                <w:szCs w:val="24"/>
              </w:rPr>
              <w:t>土地资源利用上线</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hint="default" w:ascii="Arial" w:hAnsi="Arial" w:cs="Arial"/>
                <w:spacing w:val="0"/>
                <w:w w:val="100"/>
                <w:sz w:val="24"/>
                <w:szCs w:val="24"/>
              </w:rPr>
            </w:pPr>
            <w:r>
              <w:rPr>
                <w:rFonts w:hint="default" w:ascii="Arial" w:hAnsi="Arial" w:cs="Arial"/>
                <w:spacing w:val="0"/>
                <w:w w:val="100"/>
                <w:sz w:val="24"/>
                <w:szCs w:val="24"/>
              </w:rPr>
              <w:t>根据本项目已取得的建设项目用地预审与选址意见书</w:t>
            </w:r>
            <w:r>
              <w:rPr>
                <w:rFonts w:hint="eastAsia" w:ascii="Arial" w:hAnsi="Arial" w:cs="Arial"/>
                <w:spacing w:val="0"/>
                <w:w w:val="100"/>
                <w:sz w:val="24"/>
                <w:szCs w:val="24"/>
                <w:lang w:eastAsia="zh-CN"/>
              </w:rPr>
              <w:t>（</w:t>
            </w:r>
            <w:r>
              <w:rPr>
                <w:rFonts w:hint="default" w:ascii="Arial" w:hAnsi="Arial" w:cs="Arial"/>
                <w:spacing w:val="0"/>
                <w:w w:val="100"/>
                <w:sz w:val="24"/>
                <w:szCs w:val="24"/>
              </w:rPr>
              <w:t xml:space="preserve">用字第 </w:t>
            </w:r>
            <w:r>
              <w:rPr>
                <w:rFonts w:hint="default" w:ascii="Arial" w:hAnsi="Arial" w:eastAsia="Times New Roman" w:cs="Arial"/>
                <w:spacing w:val="0"/>
                <w:w w:val="100"/>
                <w:sz w:val="24"/>
                <w:szCs w:val="24"/>
              </w:rPr>
              <w:t>510821202</w:t>
            </w:r>
            <w:r>
              <w:rPr>
                <w:rFonts w:hint="eastAsia" w:ascii="Arial" w:hAnsi="Arial" w:cs="Arial"/>
                <w:spacing w:val="0"/>
                <w:w w:val="100"/>
                <w:sz w:val="24"/>
                <w:szCs w:val="24"/>
                <w:lang w:val="en-US" w:eastAsia="zh-CN"/>
              </w:rPr>
              <w:t>300006</w:t>
            </w:r>
            <w:r>
              <w:rPr>
                <w:rFonts w:hint="default" w:ascii="Arial" w:hAnsi="Arial" w:cs="Arial"/>
                <w:spacing w:val="0"/>
                <w:w w:val="100"/>
                <w:sz w:val="24"/>
                <w:szCs w:val="24"/>
              </w:rPr>
              <w:t>）号，项目总用地</w:t>
            </w:r>
            <w:r>
              <w:rPr>
                <w:rFonts w:hint="eastAsia" w:ascii="Arial" w:hAnsi="Arial" w:cs="Arial"/>
                <w:spacing w:val="0"/>
                <w:w w:val="100"/>
                <w:sz w:val="24"/>
                <w:szCs w:val="24"/>
                <w:lang w:val="en-US" w:eastAsia="zh-CN"/>
              </w:rPr>
              <w:t>规模</w:t>
            </w:r>
            <w:r>
              <w:rPr>
                <w:rFonts w:hint="eastAsia" w:ascii="Arial" w:hAnsi="Arial" w:cs="Arial"/>
                <w:spacing w:val="0"/>
                <w:w w:val="100"/>
                <w:sz w:val="24"/>
                <w:szCs w:val="24"/>
                <w:highlight w:val="none"/>
                <w:lang w:val="en-US" w:eastAsia="zh-CN"/>
              </w:rPr>
              <w:t>189373m</w:t>
            </w:r>
            <w:r>
              <w:rPr>
                <w:rFonts w:hint="eastAsia" w:ascii="Arial" w:hAnsi="Arial" w:cs="Arial"/>
                <w:spacing w:val="0"/>
                <w:w w:val="100"/>
                <w:sz w:val="24"/>
                <w:szCs w:val="24"/>
                <w:highlight w:val="none"/>
                <w:vertAlign w:val="superscript"/>
                <w:lang w:val="en-US" w:eastAsia="zh-CN"/>
              </w:rPr>
              <w:t>2</w:t>
            </w:r>
            <w:r>
              <w:rPr>
                <w:rFonts w:hint="default" w:ascii="Arial" w:hAnsi="Arial" w:cs="Arial"/>
                <w:spacing w:val="0"/>
                <w:w w:val="100"/>
                <w:sz w:val="24"/>
                <w:szCs w:val="24"/>
              </w:rPr>
              <w:t>，</w:t>
            </w:r>
            <w:r>
              <w:rPr>
                <w:rFonts w:hint="eastAsia" w:ascii="Arial" w:hAnsi="Arial" w:cs="Arial"/>
                <w:color w:val="0000FF"/>
                <w:spacing w:val="0"/>
                <w:w w:val="100"/>
                <w:sz w:val="24"/>
                <w:szCs w:val="24"/>
                <w:lang w:val="en-US" w:eastAsia="zh-CN"/>
              </w:rPr>
              <w:t>折合约284.06亩。</w:t>
            </w:r>
            <w:r>
              <w:rPr>
                <w:rFonts w:hint="eastAsia" w:ascii="Arial" w:hAnsi="Arial" w:cs="Arial"/>
                <w:color w:val="0000FF"/>
                <w:spacing w:val="0"/>
                <w:w w:val="100"/>
                <w:sz w:val="24"/>
                <w:szCs w:val="24"/>
                <w:highlight w:val="none"/>
                <w:lang w:val="en-US" w:eastAsia="zh-CN"/>
              </w:rPr>
              <w:t>其中：拟使用原国有建设用地0m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；本次申请用地54474</w:t>
            </w:r>
            <w:r>
              <w:rPr>
                <w:rFonts w:hint="eastAsia" w:ascii="Arial" w:hAnsi="Arial" w:cs="Arial"/>
                <w:color w:val="0000FF"/>
                <w:spacing w:val="0"/>
                <w:w w:val="100"/>
                <w:sz w:val="24"/>
                <w:szCs w:val="24"/>
                <w:highlight w:val="none"/>
                <w:lang w:val="en-US" w:eastAsia="zh-CN"/>
              </w:rPr>
              <w:t>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lang w:val="en-US" w:eastAsia="zh-CN"/>
              </w:rPr>
              <w:t>折合约81.7亩；</w:t>
            </w:r>
            <w:r>
              <w:rPr>
                <w:rFonts w:hint="eastAsia" w:ascii="Arial" w:hAnsi="Arial" w:cs="Arial"/>
                <w:color w:val="0000FF"/>
                <w:spacing w:val="0"/>
                <w:w w:val="100"/>
                <w:sz w:val="24"/>
                <w:szCs w:val="24"/>
                <w:highlight w:val="none"/>
                <w:lang w:val="en-US" w:eastAsia="zh-CN"/>
              </w:rPr>
              <w:t>农用地49918m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w:t>
            </w:r>
            <w:r>
              <w:rPr>
                <w:rFonts w:hint="eastAsia" w:ascii="Arial" w:hAnsi="Arial" w:cs="Arial"/>
                <w:color w:val="0000FF"/>
                <w:spacing w:val="0"/>
                <w:w w:val="100"/>
                <w:sz w:val="24"/>
                <w:szCs w:val="24"/>
                <w:lang w:val="en-US" w:eastAsia="zh-CN"/>
              </w:rPr>
              <w:t>折合约74.87亩</w:t>
            </w:r>
            <w:r>
              <w:rPr>
                <w:rFonts w:hint="eastAsia" w:ascii="Arial" w:hAnsi="Arial" w:cs="Arial"/>
                <w:color w:val="0000FF"/>
                <w:spacing w:val="0"/>
                <w:w w:val="100"/>
                <w:sz w:val="24"/>
                <w:szCs w:val="24"/>
                <w:highlight w:val="none"/>
                <w:lang w:eastAsia="zh-CN"/>
              </w:rPr>
              <w:t>（</w:t>
            </w:r>
            <w:r>
              <w:rPr>
                <w:rFonts w:hint="eastAsia" w:ascii="Arial" w:hAnsi="Arial" w:cs="Arial"/>
                <w:color w:val="0000FF"/>
                <w:spacing w:val="0"/>
                <w:w w:val="100"/>
                <w:sz w:val="24"/>
                <w:szCs w:val="24"/>
                <w:highlight w:val="none"/>
                <w:lang w:val="en-US" w:eastAsia="zh-CN"/>
              </w:rPr>
              <w:t>耕地7456m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lang w:val="en-US" w:eastAsia="zh-CN"/>
              </w:rPr>
              <w:t>折合约11.2亩；其中：</w:t>
            </w:r>
            <w:r>
              <w:rPr>
                <w:rFonts w:hint="eastAsia" w:ascii="Arial" w:hAnsi="Arial" w:cs="Arial"/>
                <w:color w:val="0000FF"/>
                <w:spacing w:val="0"/>
                <w:w w:val="100"/>
                <w:sz w:val="24"/>
                <w:szCs w:val="24"/>
                <w:highlight w:val="none"/>
                <w:lang w:val="en-US" w:eastAsia="zh-CN"/>
              </w:rPr>
              <w:t>涉及基本农田1509m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lang w:val="en-US" w:eastAsia="zh-CN"/>
              </w:rPr>
              <w:t>折合约2.26亩</w:t>
            </w:r>
            <w:r>
              <w:rPr>
                <w:rFonts w:hint="eastAsia" w:ascii="Arial" w:hAnsi="Arial" w:cs="Arial"/>
                <w:color w:val="0000FF"/>
                <w:spacing w:val="0"/>
                <w:w w:val="100"/>
                <w:sz w:val="24"/>
                <w:szCs w:val="24"/>
                <w:highlight w:val="none"/>
                <w:lang w:eastAsia="zh-CN"/>
              </w:rPr>
              <w:t>），</w:t>
            </w:r>
            <w:r>
              <w:rPr>
                <w:rFonts w:hint="eastAsia" w:ascii="Arial" w:hAnsi="Arial" w:cs="Arial"/>
                <w:color w:val="0000FF"/>
                <w:spacing w:val="0"/>
                <w:w w:val="100"/>
                <w:sz w:val="24"/>
                <w:szCs w:val="24"/>
                <w:highlight w:val="none"/>
                <w:lang w:val="en-US" w:eastAsia="zh-CN"/>
              </w:rPr>
              <w:t>建设用地0m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highlight w:val="none"/>
                <w:lang w:val="en-US" w:eastAsia="zh-CN"/>
              </w:rPr>
              <w:t>未利用地4556m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w:t>
            </w:r>
            <w:r>
              <w:rPr>
                <w:rFonts w:hint="eastAsia" w:ascii="Arial" w:hAnsi="Arial" w:cs="Arial"/>
                <w:color w:val="0000FF"/>
                <w:spacing w:val="0"/>
                <w:w w:val="100"/>
                <w:sz w:val="24"/>
                <w:szCs w:val="24"/>
                <w:lang w:val="en-US" w:eastAsia="zh-CN"/>
              </w:rPr>
              <w:t>折合约6.83亩</w:t>
            </w:r>
            <w:r>
              <w:rPr>
                <w:rFonts w:hint="eastAsia" w:ascii="Arial" w:hAnsi="Arial" w:cs="Arial"/>
                <w:color w:val="0000FF"/>
                <w:spacing w:val="0"/>
                <w:w w:val="100"/>
                <w:sz w:val="24"/>
                <w:szCs w:val="24"/>
                <w:highlight w:val="none"/>
                <w:vertAlign w:val="baseline"/>
                <w:lang w:val="en-US" w:eastAsia="zh-CN"/>
              </w:rPr>
              <w:t>。</w:t>
            </w:r>
            <w:r>
              <w:rPr>
                <w:rFonts w:hint="default" w:ascii="Arial" w:hAnsi="Arial" w:cs="Arial"/>
                <w:color w:val="0000FF"/>
                <w:spacing w:val="0"/>
                <w:w w:val="100"/>
                <w:sz w:val="24"/>
                <w:szCs w:val="24"/>
              </w:rPr>
              <w:t>项目建设未突破土地资源利用上线</w:t>
            </w:r>
            <w:r>
              <w:rPr>
                <w:rFonts w:hint="default" w:ascii="Arial" w:hAnsi="Arial" w:cs="Arial"/>
                <w:spacing w:val="0"/>
                <w:w w:val="100"/>
                <w:sz w:val="24"/>
                <w:szCs w:val="24"/>
              </w:rPr>
              <w:t>。</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default" w:ascii="Arial" w:hAnsi="Arial" w:cs="Arial"/>
                <w:b/>
                <w:bCs/>
                <w:spacing w:val="0"/>
                <w:w w:val="100"/>
                <w:sz w:val="24"/>
                <w:szCs w:val="24"/>
                <w:lang w:val="en-US" w:eastAsia="zh-CN"/>
              </w:rPr>
            </w:pPr>
            <w:r>
              <w:rPr>
                <w:rFonts w:hint="eastAsia" w:ascii="Arial" w:hAnsi="Arial" w:cs="Arial"/>
                <w:b/>
                <w:bCs/>
                <w:spacing w:val="0"/>
                <w:w w:val="100"/>
                <w:sz w:val="24"/>
                <w:szCs w:val="24"/>
                <w:lang w:val="en-US" w:eastAsia="zh-CN"/>
              </w:rPr>
              <w:t xml:space="preserve">⑶ </w:t>
            </w:r>
            <w:r>
              <w:rPr>
                <w:rFonts w:hint="default" w:ascii="Arial" w:hAnsi="Arial" w:cs="Arial"/>
                <w:b/>
                <w:bCs/>
                <w:spacing w:val="0"/>
                <w:w w:val="100"/>
                <w:sz w:val="24"/>
                <w:szCs w:val="24"/>
                <w:lang w:val="en-US" w:eastAsia="zh-CN"/>
              </w:rPr>
              <w:t>能源利用上线</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Arial" w:hAnsi="Arial" w:cs="Arial"/>
                <w:sz w:val="24"/>
                <w:szCs w:val="24"/>
              </w:rPr>
            </w:pPr>
            <w:r>
              <w:rPr>
                <w:rFonts w:hint="default" w:ascii="Arial" w:hAnsi="Arial" w:cs="Arial"/>
                <w:sz w:val="24"/>
                <w:szCs w:val="24"/>
              </w:rPr>
              <w:t>本项目主要消耗的能源为一次能源和二次能源，在建设期内主要消耗的能源</w:t>
            </w:r>
            <w:r>
              <w:rPr>
                <w:rFonts w:hint="default" w:ascii="Arial" w:hAnsi="Arial" w:cs="Arial"/>
                <w:spacing w:val="-1"/>
                <w:sz w:val="24"/>
                <w:szCs w:val="24"/>
              </w:rPr>
              <w:t>为柴油和汽油等；在运行期间主要消耗电力和少量汽油及柴油等。</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default" w:ascii="Arial" w:hAnsi="Arial" w:eastAsia="宋体" w:cs="Arial"/>
                <w:spacing w:val="0"/>
                <w:sz w:val="24"/>
                <w:szCs w:val="24"/>
                <w:lang w:val="en-US" w:eastAsia="zh-CN"/>
              </w:rPr>
            </w:pPr>
            <w:r>
              <w:rPr>
                <w:rFonts w:hint="default" w:ascii="Arial" w:hAnsi="Arial" w:cs="Arial"/>
                <w:spacing w:val="0"/>
                <w:sz w:val="24"/>
                <w:szCs w:val="24"/>
              </w:rPr>
              <w:t>根据本项目可行性研究报告，本项目枢纽工程施工期消耗柴油</w:t>
            </w:r>
            <w:r>
              <w:rPr>
                <w:rFonts w:hint="default" w:ascii="Arial" w:hAnsi="Arial" w:eastAsia="Times New Roman" w:cs="Arial"/>
                <w:spacing w:val="0"/>
                <w:sz w:val="24"/>
                <w:szCs w:val="24"/>
              </w:rPr>
              <w:t>1</w:t>
            </w:r>
            <w:r>
              <w:rPr>
                <w:rFonts w:hint="eastAsia" w:ascii="Arial" w:hAnsi="Arial" w:cs="Arial"/>
                <w:spacing w:val="0"/>
                <w:sz w:val="24"/>
                <w:szCs w:val="24"/>
                <w:lang w:val="en-US" w:eastAsia="zh-CN"/>
              </w:rPr>
              <w:t>066.38</w:t>
            </w:r>
            <w:r>
              <w:rPr>
                <w:rFonts w:hint="default" w:ascii="Arial" w:hAnsi="Arial" w:eastAsia="Times New Roman" w:cs="Arial"/>
                <w:spacing w:val="0"/>
                <w:sz w:val="24"/>
                <w:szCs w:val="24"/>
              </w:rPr>
              <w:t>t</w:t>
            </w:r>
            <w:r>
              <w:rPr>
                <w:rFonts w:hint="default" w:ascii="Arial" w:hAnsi="Arial" w:cs="Arial"/>
                <w:spacing w:val="0"/>
                <w:sz w:val="24"/>
                <w:szCs w:val="24"/>
              </w:rPr>
              <w:t>，折算成标准煤</w:t>
            </w:r>
            <w:r>
              <w:rPr>
                <w:rFonts w:hint="eastAsia" w:ascii="Arial" w:hAnsi="Arial" w:cs="Arial"/>
                <w:spacing w:val="0"/>
                <w:sz w:val="24"/>
                <w:szCs w:val="24"/>
                <w:lang w:val="en-US" w:eastAsia="zh-CN"/>
              </w:rPr>
              <w:t>1553.7</w:t>
            </w:r>
            <w:r>
              <w:rPr>
                <w:rFonts w:hint="default" w:ascii="Arial" w:hAnsi="Arial" w:eastAsia="Times New Roman" w:cs="Arial"/>
                <w:spacing w:val="0"/>
                <w:sz w:val="24"/>
                <w:szCs w:val="24"/>
              </w:rPr>
              <w:t>t</w:t>
            </w:r>
            <w:r>
              <w:rPr>
                <w:rFonts w:hint="default" w:ascii="Arial" w:hAnsi="Arial" w:cs="Arial"/>
                <w:spacing w:val="0"/>
                <w:sz w:val="24"/>
                <w:szCs w:val="24"/>
              </w:rPr>
              <w:t>。工程运行间管理人员</w:t>
            </w:r>
            <w:r>
              <w:rPr>
                <w:rFonts w:hint="eastAsia" w:ascii="Arial" w:hAnsi="Arial" w:cs="Arial"/>
                <w:spacing w:val="0"/>
                <w:sz w:val="24"/>
                <w:szCs w:val="24"/>
                <w:lang w:val="en-US" w:eastAsia="zh-CN"/>
              </w:rPr>
              <w:t>8</w:t>
            </w:r>
            <w:r>
              <w:rPr>
                <w:rFonts w:hint="default" w:ascii="Arial" w:hAnsi="Arial" w:cs="Arial"/>
                <w:spacing w:val="0"/>
                <w:sz w:val="24"/>
                <w:szCs w:val="24"/>
              </w:rPr>
              <w:t>人，日耗水量120升/人，年耗水量为</w:t>
            </w:r>
            <w:r>
              <w:rPr>
                <w:rFonts w:hint="eastAsia" w:ascii="Arial" w:hAnsi="Arial" w:cs="Arial"/>
                <w:spacing w:val="0"/>
                <w:sz w:val="24"/>
                <w:szCs w:val="24"/>
                <w:lang w:val="en-US" w:eastAsia="zh-CN"/>
              </w:rPr>
              <w:t>350.4</w:t>
            </w:r>
            <w:r>
              <w:rPr>
                <w:rFonts w:hint="default" w:ascii="Arial" w:hAnsi="Arial" w:cs="Arial"/>
                <w:spacing w:val="0"/>
                <w:sz w:val="24"/>
                <w:szCs w:val="24"/>
              </w:rPr>
              <w:t>t，折算成标准煤</w:t>
            </w:r>
            <w:r>
              <w:rPr>
                <w:rFonts w:hint="eastAsia" w:ascii="Arial" w:hAnsi="Arial" w:cs="Arial"/>
                <w:spacing w:val="0"/>
                <w:sz w:val="24"/>
                <w:szCs w:val="24"/>
                <w:lang w:val="en-US" w:eastAsia="zh-CN"/>
              </w:rPr>
              <w:t>30.0</w:t>
            </w:r>
            <w:r>
              <w:rPr>
                <w:rFonts w:hint="default" w:ascii="Arial" w:hAnsi="Arial" w:cs="Arial"/>
                <w:spacing w:val="0"/>
                <w:sz w:val="24"/>
                <w:szCs w:val="24"/>
              </w:rPr>
              <w:t>t。</w:t>
            </w:r>
            <w:r>
              <w:rPr>
                <w:rFonts w:hint="eastAsia" w:ascii="Arial" w:hAnsi="Arial" w:cs="Arial"/>
                <w:spacing w:val="0"/>
                <w:sz w:val="24"/>
                <w:szCs w:val="24"/>
                <w:lang w:val="en-US" w:eastAsia="zh-CN"/>
              </w:rPr>
              <w:t>合计约1583.7t标准煤。</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72" w:firstLineChars="200"/>
              <w:textAlignment w:val="auto"/>
              <w:rPr>
                <w:rFonts w:hint="eastAsia" w:ascii="Arial" w:hAnsi="Arial" w:cs="Arial"/>
                <w:spacing w:val="-2"/>
                <w:sz w:val="24"/>
                <w:szCs w:val="24"/>
                <w:lang w:eastAsia="zh-CN"/>
              </w:rPr>
            </w:pPr>
            <w:r>
              <w:rPr>
                <w:rFonts w:hint="default" w:ascii="Arial" w:hAnsi="Arial" w:cs="Arial"/>
                <w:spacing w:val="-2"/>
                <w:sz w:val="24"/>
                <w:szCs w:val="24"/>
              </w:rPr>
              <w:t>根据广元市“三线一单”优化完善研究报告，广元市能源利用上线控制性指标见下表</w:t>
            </w:r>
            <w:r>
              <w:rPr>
                <w:rFonts w:hint="eastAsia" w:ascii="Arial" w:hAnsi="Arial" w:cs="Arial"/>
                <w:spacing w:val="-2"/>
                <w:sz w:val="24"/>
                <w:szCs w:val="24"/>
                <w:lang w:eastAsia="zh-CN"/>
              </w:rPr>
              <w:t>：</w:t>
            </w:r>
          </w:p>
          <w:p>
            <w:pPr>
              <w:tabs>
                <w:tab w:val="left" w:pos="3780"/>
              </w:tabs>
              <w:spacing w:line="360" w:lineRule="auto"/>
              <w:jc w:val="center"/>
              <w:rPr>
                <w:rFonts w:hint="eastAsia"/>
                <w:b/>
                <w:szCs w:val="21"/>
                <w:lang w:eastAsia="zh-CN"/>
              </w:rPr>
            </w:pPr>
            <w:r>
              <w:rPr>
                <w:rFonts w:hint="eastAsia"/>
                <w:b/>
                <w:szCs w:val="21"/>
              </w:rPr>
              <w:t>表1-6  广元市能利用上线控制性指标</w:t>
            </w:r>
          </w:p>
          <w:tbl>
            <w:tblPr>
              <w:tblStyle w:val="7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72"/>
              <w:gridCol w:w="1911"/>
              <w:gridCol w:w="2256"/>
              <w:gridCol w:w="1771"/>
              <w:gridCol w:w="13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689" w:type="pct"/>
                  <w:vMerge w:val="restart"/>
                  <w:tcBorders>
                    <w:bottom w:val="nil"/>
                  </w:tcBorders>
                  <w:vAlign w:val="center"/>
                </w:tcPr>
                <w:p>
                  <w:pPr>
                    <w:pStyle w:val="75"/>
                    <w:spacing w:before="65" w:line="228" w:lineRule="auto"/>
                    <w:ind w:left="249"/>
                    <w:rPr>
                      <w:sz w:val="20"/>
                      <w:szCs w:val="20"/>
                    </w:rPr>
                  </w:pPr>
                  <w:r>
                    <w:rPr>
                      <w:b/>
                      <w:bCs/>
                      <w:spacing w:val="4"/>
                      <w:sz w:val="20"/>
                      <w:szCs w:val="20"/>
                    </w:rPr>
                    <w:t>行政区</w:t>
                  </w:r>
                </w:p>
              </w:tc>
              <w:tc>
                <w:tcPr>
                  <w:tcW w:w="2449" w:type="pct"/>
                  <w:gridSpan w:val="2"/>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b/>
                      <w:bCs/>
                      <w:spacing w:val="5"/>
                      <w:sz w:val="20"/>
                      <w:szCs w:val="20"/>
                    </w:rPr>
                    <w:t>能源消耗控制</w:t>
                  </w:r>
                </w:p>
              </w:tc>
              <w:tc>
                <w:tcPr>
                  <w:tcW w:w="1860" w:type="pct"/>
                  <w:gridSpan w:val="2"/>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b/>
                      <w:bCs/>
                      <w:spacing w:val="5"/>
                      <w:sz w:val="20"/>
                      <w:szCs w:val="20"/>
                    </w:rPr>
                    <w:t>污染物排放控制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89" w:type="pct"/>
                  <w:vMerge w:val="continue"/>
                  <w:tcBorders>
                    <w:top w:val="nil"/>
                    <w:bottom w:val="nil"/>
                  </w:tcBorders>
                  <w:vAlign w:val="center"/>
                </w:tcPr>
                <w:p>
                  <w:pPr>
                    <w:rPr>
                      <w:rFonts w:ascii="Arial"/>
                      <w:sz w:val="21"/>
                    </w:rPr>
                  </w:pPr>
                </w:p>
              </w:tc>
              <w:tc>
                <w:tcPr>
                  <w:tcW w:w="1123" w:type="pct"/>
                  <w:vAlign w:val="center"/>
                </w:tcPr>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万元GDP能耗</w:t>
                  </w:r>
                </w:p>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下降（%）</w:t>
                  </w:r>
                </w:p>
              </w:tc>
              <w:tc>
                <w:tcPr>
                  <w:tcW w:w="1326" w:type="pct"/>
                  <w:vAlign w:val="center"/>
                </w:tcPr>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总能耗增加控制量</w:t>
                  </w:r>
                </w:p>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（万吨标煤）</w:t>
                  </w:r>
                </w:p>
              </w:tc>
              <w:tc>
                <w:tcPr>
                  <w:tcW w:w="1041" w:type="pct"/>
                  <w:vAlign w:val="center"/>
                </w:tcPr>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二氧化硫减排</w:t>
                  </w:r>
                </w:p>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目标（%）</w:t>
                  </w:r>
                </w:p>
              </w:tc>
              <w:tc>
                <w:tcPr>
                  <w:tcW w:w="818" w:type="pct"/>
                  <w:vAlign w:val="center"/>
                </w:tcPr>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b/>
                      <w:bCs/>
                      <w:spacing w:val="7"/>
                      <w:sz w:val="20"/>
                      <w:szCs w:val="20"/>
                    </w:rPr>
                  </w:pPr>
                  <w:r>
                    <w:rPr>
                      <w:b/>
                      <w:bCs/>
                      <w:spacing w:val="7"/>
                      <w:sz w:val="20"/>
                      <w:szCs w:val="20"/>
                    </w:rPr>
                    <w:t>氮氧化物减</w:t>
                  </w:r>
                </w:p>
                <w:p>
                  <w:pPr>
                    <w:pStyle w:val="75"/>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hint="eastAsia" w:eastAsia="宋体"/>
                      <w:sz w:val="20"/>
                      <w:szCs w:val="20"/>
                      <w:lang w:eastAsia="zh-CN"/>
                    </w:rPr>
                  </w:pPr>
                  <w:r>
                    <w:rPr>
                      <w:b/>
                      <w:bCs/>
                      <w:spacing w:val="7"/>
                      <w:sz w:val="20"/>
                      <w:szCs w:val="20"/>
                    </w:rPr>
                    <w:t>排目</w:t>
                  </w:r>
                  <w:r>
                    <w:rPr>
                      <w:b/>
                      <w:bCs/>
                      <w:spacing w:val="3"/>
                      <w:sz w:val="20"/>
                      <w:szCs w:val="20"/>
                    </w:rPr>
                    <w:t>标（</w:t>
                  </w:r>
                  <w:r>
                    <w:rPr>
                      <w:rFonts w:ascii="Times New Roman" w:hAnsi="Times New Roman" w:eastAsia="Times New Roman" w:cs="Times New Roman"/>
                      <w:b/>
                      <w:bCs/>
                      <w:spacing w:val="3"/>
                      <w:sz w:val="20"/>
                      <w:szCs w:val="20"/>
                    </w:rPr>
                    <w:t>%</w:t>
                  </w:r>
                  <w:r>
                    <w:rPr>
                      <w:rFonts w:hint="eastAsia" w:ascii="Times New Roman" w:hAnsi="Times New Roman" w:cs="Times New Roman"/>
                      <w:b/>
                      <w:bCs/>
                      <w:spacing w:val="3"/>
                      <w:sz w:val="20"/>
                      <w:szCs w:val="20"/>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trPr>
              <w:tc>
                <w:tcPr>
                  <w:tcW w:w="689" w:type="pct"/>
                  <w:vMerge w:val="continue"/>
                  <w:tcBorders>
                    <w:top w:val="nil"/>
                  </w:tcBorders>
                  <w:vAlign w:val="center"/>
                </w:tcPr>
                <w:p>
                  <w:pPr>
                    <w:rPr>
                      <w:rFonts w:ascii="Arial"/>
                      <w:sz w:val="21"/>
                    </w:rPr>
                  </w:pPr>
                </w:p>
              </w:tc>
              <w:tc>
                <w:tcPr>
                  <w:tcW w:w="1123"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b/>
                      <w:bCs/>
                      <w:spacing w:val="2"/>
                      <w:sz w:val="20"/>
                      <w:szCs w:val="20"/>
                    </w:rPr>
                  </w:pPr>
                  <w:r>
                    <w:rPr>
                      <w:rFonts w:ascii="Times New Roman" w:hAnsi="Times New Roman" w:eastAsia="Times New Roman" w:cs="Times New Roman"/>
                      <w:b/>
                      <w:bCs/>
                      <w:spacing w:val="2"/>
                      <w:sz w:val="20"/>
                      <w:szCs w:val="20"/>
                    </w:rPr>
                    <w:t>2025年</w:t>
                  </w:r>
                </w:p>
              </w:tc>
              <w:tc>
                <w:tcPr>
                  <w:tcW w:w="1326"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b/>
                      <w:bCs/>
                      <w:spacing w:val="2"/>
                      <w:sz w:val="20"/>
                      <w:szCs w:val="20"/>
                    </w:rPr>
                  </w:pPr>
                  <w:r>
                    <w:rPr>
                      <w:rFonts w:ascii="Times New Roman" w:hAnsi="Times New Roman" w:eastAsia="Times New Roman" w:cs="Times New Roman"/>
                      <w:b/>
                      <w:bCs/>
                      <w:spacing w:val="2"/>
                      <w:sz w:val="20"/>
                      <w:szCs w:val="20"/>
                    </w:rPr>
                    <w:t>2025年</w:t>
                  </w:r>
                </w:p>
              </w:tc>
              <w:tc>
                <w:tcPr>
                  <w:tcW w:w="1041"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b/>
                      <w:bCs/>
                      <w:spacing w:val="2"/>
                      <w:sz w:val="20"/>
                      <w:szCs w:val="20"/>
                    </w:rPr>
                  </w:pPr>
                  <w:r>
                    <w:rPr>
                      <w:rFonts w:ascii="Times New Roman" w:hAnsi="Times New Roman" w:eastAsia="Times New Roman" w:cs="Times New Roman"/>
                      <w:b/>
                      <w:bCs/>
                      <w:spacing w:val="2"/>
                      <w:sz w:val="20"/>
                      <w:szCs w:val="20"/>
                    </w:rPr>
                    <w:t>2025年</w:t>
                  </w:r>
                </w:p>
              </w:tc>
              <w:tc>
                <w:tcPr>
                  <w:tcW w:w="818"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b/>
                      <w:bCs/>
                      <w:spacing w:val="2"/>
                      <w:sz w:val="20"/>
                      <w:szCs w:val="20"/>
                    </w:rPr>
                  </w:pPr>
                  <w:r>
                    <w:rPr>
                      <w:rFonts w:ascii="Times New Roman" w:hAnsi="Times New Roman" w:eastAsia="Times New Roman" w:cs="Times New Roman"/>
                      <w:b/>
                      <w:bCs/>
                      <w:spacing w:val="2"/>
                      <w:sz w:val="20"/>
                      <w:szCs w:val="20"/>
                    </w:rPr>
                    <w:t>2025年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689" w:type="pct"/>
                  <w:vAlign w:val="center"/>
                </w:tcPr>
                <w:p>
                  <w:pPr>
                    <w:pStyle w:val="75"/>
                    <w:spacing w:before="92" w:line="227" w:lineRule="auto"/>
                    <w:ind w:left="246"/>
                    <w:rPr>
                      <w:sz w:val="20"/>
                      <w:szCs w:val="20"/>
                    </w:rPr>
                  </w:pPr>
                  <w:r>
                    <w:rPr>
                      <w:spacing w:val="6"/>
                      <w:sz w:val="20"/>
                      <w:szCs w:val="20"/>
                    </w:rPr>
                    <w:t>广元市</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 w:hRule="atLeast"/>
              </w:trPr>
              <w:tc>
                <w:tcPr>
                  <w:tcW w:w="689" w:type="pct"/>
                  <w:vAlign w:val="center"/>
                </w:tcPr>
                <w:p>
                  <w:pPr>
                    <w:pStyle w:val="75"/>
                    <w:spacing w:before="93" w:line="227" w:lineRule="auto"/>
                    <w:ind w:left="246"/>
                    <w:rPr>
                      <w:sz w:val="20"/>
                      <w:szCs w:val="20"/>
                    </w:rPr>
                  </w:pPr>
                  <w:r>
                    <w:rPr>
                      <w:spacing w:val="6"/>
                      <w:sz w:val="20"/>
                      <w:szCs w:val="20"/>
                    </w:rPr>
                    <w:t>利州区</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trPr>
              <w:tc>
                <w:tcPr>
                  <w:tcW w:w="689" w:type="pct"/>
                  <w:vAlign w:val="center"/>
                </w:tcPr>
                <w:p>
                  <w:pPr>
                    <w:pStyle w:val="75"/>
                    <w:spacing w:before="92" w:line="229" w:lineRule="auto"/>
                    <w:ind w:left="256"/>
                    <w:rPr>
                      <w:sz w:val="20"/>
                      <w:szCs w:val="20"/>
                    </w:rPr>
                  </w:pPr>
                  <w:r>
                    <w:rPr>
                      <w:spacing w:val="3"/>
                      <w:sz w:val="20"/>
                      <w:szCs w:val="20"/>
                    </w:rPr>
                    <w:t>昭化区</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689" w:type="pct"/>
                  <w:vAlign w:val="center"/>
                </w:tcPr>
                <w:p>
                  <w:pPr>
                    <w:pStyle w:val="75"/>
                    <w:spacing w:before="91" w:line="227" w:lineRule="auto"/>
                    <w:ind w:left="245"/>
                    <w:rPr>
                      <w:sz w:val="20"/>
                      <w:szCs w:val="20"/>
                    </w:rPr>
                  </w:pPr>
                  <w:r>
                    <w:rPr>
                      <w:spacing w:val="7"/>
                      <w:sz w:val="20"/>
                      <w:szCs w:val="20"/>
                    </w:rPr>
                    <w:t>朝天区</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689" w:type="pct"/>
                  <w:vAlign w:val="center"/>
                </w:tcPr>
                <w:p>
                  <w:pPr>
                    <w:pStyle w:val="75"/>
                    <w:spacing w:before="93" w:line="232" w:lineRule="auto"/>
                    <w:ind w:left="255"/>
                    <w:rPr>
                      <w:sz w:val="20"/>
                      <w:szCs w:val="20"/>
                    </w:rPr>
                  </w:pPr>
                  <w:r>
                    <w:rPr>
                      <w:b/>
                      <w:bCs/>
                      <w:spacing w:val="2"/>
                      <w:sz w:val="20"/>
                      <w:szCs w:val="20"/>
                    </w:rPr>
                    <w:t>旺苍县</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 w:hRule="atLeast"/>
              </w:trPr>
              <w:tc>
                <w:tcPr>
                  <w:tcW w:w="689" w:type="pct"/>
                  <w:vAlign w:val="center"/>
                </w:tcPr>
                <w:p>
                  <w:pPr>
                    <w:pStyle w:val="75"/>
                    <w:spacing w:before="92" w:line="227" w:lineRule="auto"/>
                    <w:ind w:left="246"/>
                    <w:rPr>
                      <w:sz w:val="20"/>
                      <w:szCs w:val="20"/>
                    </w:rPr>
                  </w:pPr>
                  <w:r>
                    <w:rPr>
                      <w:spacing w:val="6"/>
                      <w:sz w:val="20"/>
                      <w:szCs w:val="20"/>
                    </w:rPr>
                    <w:t>青川县</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689" w:type="pct"/>
                  <w:vAlign w:val="center"/>
                </w:tcPr>
                <w:p>
                  <w:pPr>
                    <w:pStyle w:val="75"/>
                    <w:spacing w:before="91" w:line="227" w:lineRule="auto"/>
                    <w:ind w:left="246"/>
                    <w:rPr>
                      <w:sz w:val="20"/>
                      <w:szCs w:val="20"/>
                    </w:rPr>
                  </w:pPr>
                  <w:r>
                    <w:rPr>
                      <w:spacing w:val="6"/>
                      <w:sz w:val="20"/>
                      <w:szCs w:val="20"/>
                    </w:rPr>
                    <w:t>剑阁县</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689" w:type="pct"/>
                  <w:vAlign w:val="center"/>
                </w:tcPr>
                <w:p>
                  <w:pPr>
                    <w:pStyle w:val="75"/>
                    <w:spacing w:before="92" w:line="230" w:lineRule="auto"/>
                    <w:ind w:left="247"/>
                    <w:rPr>
                      <w:sz w:val="20"/>
                      <w:szCs w:val="20"/>
                    </w:rPr>
                  </w:pPr>
                  <w:r>
                    <w:rPr>
                      <w:spacing w:val="6"/>
                      <w:sz w:val="20"/>
                      <w:szCs w:val="20"/>
                    </w:rPr>
                    <w:t>苍溪县</w:t>
                  </w:r>
                </w:p>
              </w:tc>
              <w:tc>
                <w:tcPr>
                  <w:tcW w:w="112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2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18"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72" w:firstLineChars="200"/>
              <w:textAlignment w:val="auto"/>
              <w:rPr>
                <w:rFonts w:hint="default" w:ascii="Arial" w:hAnsi="Arial" w:cs="Arial"/>
                <w:spacing w:val="-2"/>
                <w:sz w:val="24"/>
                <w:szCs w:val="24"/>
              </w:rPr>
            </w:pPr>
            <w:r>
              <w:rPr>
                <w:rFonts w:hint="default" w:ascii="Arial" w:hAnsi="Arial" w:cs="Arial"/>
                <w:spacing w:val="-2"/>
                <w:sz w:val="24"/>
                <w:szCs w:val="24"/>
              </w:rPr>
              <w:t>综上所述，本项目建设未突破能源利用上线。</w:t>
            </w:r>
          </w:p>
          <w:p>
            <w:pPr>
              <w:pStyle w:val="75"/>
              <w:keepNext w:val="0"/>
              <w:keepLines w:val="0"/>
              <w:pageBreakBefore w:val="0"/>
              <w:widowControl w:val="0"/>
              <w:kinsoku/>
              <w:wordWrap/>
              <w:overflowPunct/>
              <w:topLinePunct w:val="0"/>
              <w:bidi w:val="0"/>
              <w:adjustRightInd/>
              <w:snapToGrid/>
              <w:spacing w:line="360" w:lineRule="auto"/>
              <w:ind w:left="0" w:right="0" w:firstLine="464" w:firstLineChars="200"/>
              <w:textAlignment w:val="auto"/>
              <w:rPr>
                <w:sz w:val="24"/>
                <w:szCs w:val="24"/>
              </w:rPr>
            </w:pPr>
            <w:r>
              <w:rPr>
                <w:rFonts w:ascii="Times New Roman" w:hAnsi="Times New Roman" w:eastAsia="Times New Roman" w:cs="Times New Roman"/>
                <w:b/>
                <w:bCs/>
                <w:spacing w:val="-4"/>
                <w:sz w:val="24"/>
                <w:szCs w:val="24"/>
              </w:rPr>
              <w:t>4</w:t>
            </w:r>
            <w:r>
              <w:rPr>
                <w:b/>
                <w:bCs/>
                <w:spacing w:val="-4"/>
                <w:sz w:val="24"/>
                <w:szCs w:val="24"/>
              </w:rPr>
              <w:t>、</w:t>
            </w:r>
            <w:r>
              <w:rPr>
                <w:b/>
                <w:bCs/>
                <w:sz w:val="24"/>
                <w:szCs w:val="24"/>
              </w:rPr>
              <w:t>本项目与《四川省国家重点生态功能区产业准入负面清单（第一批）</w:t>
            </w:r>
            <w:r>
              <w:rPr>
                <w:b/>
                <w:bCs/>
                <w:spacing w:val="-4"/>
                <w:sz w:val="24"/>
                <w:szCs w:val="24"/>
              </w:rPr>
              <w:t>（试行）》的符合性分析</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spacing w:val="0"/>
                <w:sz w:val="24"/>
                <w:szCs w:val="24"/>
                <w:lang w:eastAsia="zh-CN"/>
              </w:rPr>
            </w:pPr>
            <w:r>
              <w:rPr>
                <w:spacing w:val="0"/>
                <w:sz w:val="24"/>
                <w:szCs w:val="24"/>
              </w:rPr>
              <w:t>本项目与《四川省国家重点生态功能区产业准入负面清单（第一批）（试行）》 中旺苍县产业准入负面清单禁止类新建建设项目清单符合性分析见下表</w:t>
            </w:r>
            <w:r>
              <w:rPr>
                <w:rFonts w:hint="eastAsia"/>
                <w:spacing w:val="0"/>
                <w:sz w:val="24"/>
                <w:szCs w:val="24"/>
                <w:lang w:eastAsia="zh-CN"/>
              </w:rPr>
              <w:t>：</w:t>
            </w:r>
          </w:p>
          <w:p>
            <w:pPr>
              <w:tabs>
                <w:tab w:val="left" w:pos="3780"/>
              </w:tabs>
              <w:spacing w:line="360" w:lineRule="auto"/>
              <w:jc w:val="center"/>
              <w:rPr>
                <w:rFonts w:hint="eastAsia"/>
                <w:b/>
                <w:szCs w:val="21"/>
                <w:lang w:eastAsia="zh-CN"/>
              </w:rPr>
            </w:pPr>
            <w:r>
              <w:rPr>
                <w:rFonts w:hint="eastAsia"/>
                <w:b/>
                <w:szCs w:val="21"/>
              </w:rPr>
              <w:t>表1-7</w:t>
            </w:r>
            <w:r>
              <w:rPr>
                <w:rFonts w:hint="eastAsia"/>
                <w:b/>
                <w:szCs w:val="21"/>
                <w:lang w:val="en-US" w:eastAsia="zh-CN"/>
              </w:rPr>
              <w:t xml:space="preserve">  </w:t>
            </w:r>
            <w:r>
              <w:rPr>
                <w:rFonts w:hint="eastAsia"/>
                <w:b/>
                <w:szCs w:val="21"/>
              </w:rPr>
              <w:t>本项目与四川省国家重点生态功能区产业禁止类新建建设项目清单符合性分析</w:t>
            </w:r>
          </w:p>
          <w:tbl>
            <w:tblPr>
              <w:tblStyle w:val="76"/>
              <w:tblW w:w="485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1188"/>
              <w:gridCol w:w="1880"/>
              <w:gridCol w:w="2180"/>
              <w:gridCol w:w="1595"/>
              <w:gridCol w:w="9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293"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b/>
                      <w:bCs/>
                      <w:spacing w:val="5"/>
                      <w:sz w:val="20"/>
                      <w:szCs w:val="20"/>
                    </w:rPr>
                  </w:pPr>
                  <w:r>
                    <w:rPr>
                      <w:b/>
                      <w:bCs/>
                      <w:spacing w:val="5"/>
                      <w:sz w:val="20"/>
                      <w:szCs w:val="20"/>
                    </w:rPr>
                    <w:t>序号</w:t>
                  </w:r>
                </w:p>
              </w:tc>
              <w:tc>
                <w:tcPr>
                  <w:tcW w:w="7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5"/>
                      <w:sz w:val="20"/>
                      <w:szCs w:val="20"/>
                    </w:rPr>
                  </w:pPr>
                  <w:r>
                    <w:rPr>
                      <w:b/>
                      <w:bCs/>
                      <w:spacing w:val="5"/>
                      <w:sz w:val="20"/>
                      <w:szCs w:val="20"/>
                    </w:rPr>
                    <w:t>门类</w:t>
                  </w: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5"/>
                      <w:sz w:val="20"/>
                      <w:szCs w:val="20"/>
                    </w:rPr>
                  </w:pPr>
                  <w:r>
                    <w:rPr>
                      <w:b/>
                      <w:bCs/>
                      <w:spacing w:val="5"/>
                      <w:sz w:val="20"/>
                      <w:szCs w:val="20"/>
                    </w:rPr>
                    <w:t>大类</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5"/>
                      <w:sz w:val="20"/>
                      <w:szCs w:val="20"/>
                    </w:rPr>
                  </w:pPr>
                  <w:r>
                    <w:rPr>
                      <w:b/>
                      <w:bCs/>
                      <w:spacing w:val="5"/>
                      <w:sz w:val="20"/>
                      <w:szCs w:val="20"/>
                    </w:rPr>
                    <w:t>中类</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5"/>
                      <w:sz w:val="20"/>
                      <w:szCs w:val="20"/>
                    </w:rPr>
                  </w:pPr>
                  <w:r>
                    <w:rPr>
                      <w:b/>
                      <w:bCs/>
                      <w:spacing w:val="5"/>
                      <w:sz w:val="20"/>
                      <w:szCs w:val="20"/>
                    </w:rPr>
                    <w:t>小类</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5"/>
                      <w:sz w:val="20"/>
                      <w:szCs w:val="20"/>
                    </w:rPr>
                    <w:t>是否属于禁止类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2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11"/>
                      <w:sz w:val="20"/>
                      <w:szCs w:val="20"/>
                    </w:rPr>
                    <w:t>A</w:t>
                  </w:r>
                  <w:r>
                    <w:rPr>
                      <w:spacing w:val="-11"/>
                      <w:sz w:val="20"/>
                      <w:szCs w:val="20"/>
                    </w:rPr>
                    <w:t>农、林、牧、</w:t>
                  </w:r>
                  <w:r>
                    <w:rPr>
                      <w:spacing w:val="4"/>
                      <w:sz w:val="20"/>
                      <w:szCs w:val="20"/>
                    </w:rPr>
                    <w:t>渔业</w:t>
                  </w: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2"/>
                      <w:sz w:val="20"/>
                      <w:szCs w:val="20"/>
                    </w:rPr>
                    <w:t>03</w:t>
                  </w:r>
                  <w:r>
                    <w:rPr>
                      <w:spacing w:val="2"/>
                      <w:sz w:val="20"/>
                      <w:szCs w:val="20"/>
                    </w:rPr>
                    <w:t>畜牧业</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 xml:space="preserve">033 </w:t>
                  </w:r>
                  <w:r>
                    <w:rPr>
                      <w:spacing w:val="6"/>
                      <w:sz w:val="20"/>
                      <w:szCs w:val="20"/>
                    </w:rPr>
                    <w:t>狩猎和捕捉</w:t>
                  </w:r>
                  <w:r>
                    <w:rPr>
                      <w:spacing w:val="4"/>
                      <w:sz w:val="20"/>
                      <w:szCs w:val="20"/>
                    </w:rPr>
                    <w:t>动物</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0330</w:t>
                  </w:r>
                  <w:r>
                    <w:rPr>
                      <w:spacing w:val="6"/>
                      <w:sz w:val="20"/>
                      <w:szCs w:val="20"/>
                    </w:rPr>
                    <w:t>狩猎和捕捉</w:t>
                  </w:r>
                  <w:r>
                    <w:rPr>
                      <w:sz w:val="20"/>
                      <w:szCs w:val="20"/>
                    </w:rPr>
                    <w:t xml:space="preserve"> </w:t>
                  </w:r>
                  <w:r>
                    <w:rPr>
                      <w:spacing w:val="4"/>
                      <w:sz w:val="20"/>
                      <w:szCs w:val="20"/>
                    </w:rPr>
                    <w:t>动物</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2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5"/>
                      <w:sz w:val="20"/>
                      <w:szCs w:val="20"/>
                    </w:rPr>
                    <w:t>B</w:t>
                  </w:r>
                  <w:r>
                    <w:rPr>
                      <w:spacing w:val="5"/>
                      <w:sz w:val="20"/>
                      <w:szCs w:val="20"/>
                    </w:rPr>
                    <w:t>采矿业</w:t>
                  </w: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7"/>
                      <w:sz w:val="20"/>
                      <w:szCs w:val="20"/>
                    </w:rPr>
                    <w:t>06</w:t>
                  </w:r>
                  <w:r>
                    <w:rPr>
                      <w:spacing w:val="7"/>
                      <w:sz w:val="20"/>
                      <w:szCs w:val="20"/>
                    </w:rPr>
                    <w:t>煤炭开采和洗</w:t>
                  </w:r>
                  <w:r>
                    <w:rPr>
                      <w:spacing w:val="5"/>
                      <w:sz w:val="20"/>
                      <w:szCs w:val="20"/>
                    </w:rPr>
                    <w:t>选业</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 xml:space="preserve">062 </w:t>
                  </w:r>
                  <w:r>
                    <w:rPr>
                      <w:spacing w:val="6"/>
                      <w:sz w:val="20"/>
                      <w:szCs w:val="20"/>
                    </w:rPr>
                    <w:t>褐煤开采洗</w:t>
                  </w:r>
                  <w:r>
                    <w:rPr>
                      <w:spacing w:val="1"/>
                      <w:sz w:val="20"/>
                      <w:szCs w:val="20"/>
                    </w:rPr>
                    <w:t>选</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 xml:space="preserve">062 </w:t>
                  </w:r>
                  <w:r>
                    <w:rPr>
                      <w:spacing w:val="6"/>
                      <w:sz w:val="20"/>
                      <w:szCs w:val="20"/>
                    </w:rPr>
                    <w:t>褐煤开采洗</w:t>
                  </w:r>
                  <w:r>
                    <w:rPr>
                      <w:spacing w:val="3"/>
                      <w:sz w:val="20"/>
                      <w:szCs w:val="20"/>
                    </w:rPr>
                    <w:t xml:space="preserve"> </w:t>
                  </w:r>
                  <w:r>
                    <w:rPr>
                      <w:spacing w:val="1"/>
                      <w:sz w:val="20"/>
                      <w:szCs w:val="20"/>
                    </w:rPr>
                    <w:t>选</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2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19"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4"/>
                      <w:sz w:val="20"/>
                      <w:szCs w:val="20"/>
                    </w:rPr>
                    <w:t>C</w:t>
                  </w:r>
                  <w:r>
                    <w:rPr>
                      <w:spacing w:val="4"/>
                      <w:sz w:val="20"/>
                      <w:szCs w:val="20"/>
                    </w:rPr>
                    <w:t>制造业</w:t>
                  </w: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7"/>
                      <w:sz w:val="20"/>
                      <w:szCs w:val="20"/>
                    </w:rPr>
                    <w:t>22</w:t>
                  </w:r>
                  <w:r>
                    <w:rPr>
                      <w:spacing w:val="7"/>
                      <w:sz w:val="20"/>
                      <w:szCs w:val="20"/>
                    </w:rPr>
                    <w:t>造纸和纸制品</w:t>
                  </w:r>
                  <w:r>
                    <w:rPr>
                      <w:spacing w:val="1"/>
                      <w:sz w:val="20"/>
                      <w:szCs w:val="20"/>
                    </w:rPr>
                    <w:t>业</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 xml:space="preserve">221 </w:t>
                  </w:r>
                  <w:r>
                    <w:rPr>
                      <w:spacing w:val="6"/>
                      <w:sz w:val="20"/>
                      <w:szCs w:val="20"/>
                    </w:rPr>
                    <w:t>纸浆制造</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sz w:val="20"/>
                      <w:szCs w:val="20"/>
                    </w:rPr>
                  </w:pPr>
                  <w:r>
                    <w:rPr>
                      <w:rFonts w:ascii="Times New Roman" w:hAnsi="Times New Roman" w:eastAsia="Times New Roman" w:cs="Times New Roman"/>
                      <w:spacing w:val="6"/>
                      <w:sz w:val="20"/>
                      <w:szCs w:val="20"/>
                    </w:rPr>
                    <w:t>2211</w:t>
                  </w:r>
                  <w:r>
                    <w:rPr>
                      <w:spacing w:val="6"/>
                      <w:sz w:val="20"/>
                      <w:szCs w:val="20"/>
                    </w:rPr>
                    <w:t>木竹浆</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rPr>
                    <w:t>制造</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jc w:val="center"/>
              </w:trPr>
              <w:tc>
                <w:tcPr>
                  <w:tcW w:w="2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1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7"/>
                      <w:sz w:val="20"/>
                      <w:szCs w:val="20"/>
                    </w:rPr>
                    <w:t>26</w:t>
                  </w:r>
                  <w:r>
                    <w:rPr>
                      <w:spacing w:val="7"/>
                      <w:sz w:val="20"/>
                      <w:szCs w:val="20"/>
                    </w:rPr>
                    <w:t>化学原料和化学制品制造业</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2"/>
                      <w:sz w:val="20"/>
                      <w:szCs w:val="20"/>
                    </w:rPr>
                    <w:t xml:space="preserve">267 </w:t>
                  </w:r>
                  <w:r>
                    <w:rPr>
                      <w:spacing w:val="2"/>
                      <w:sz w:val="20"/>
                      <w:szCs w:val="20"/>
                    </w:rPr>
                    <w:t>炸药、火工及</w:t>
                  </w:r>
                  <w:r>
                    <w:rPr>
                      <w:spacing w:val="8"/>
                      <w:sz w:val="20"/>
                      <w:szCs w:val="20"/>
                    </w:rPr>
                    <w:t>焰火制品制造</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6"/>
                      <w:sz w:val="20"/>
                      <w:szCs w:val="20"/>
                    </w:rPr>
                    <w:t>2672</w:t>
                  </w:r>
                  <w:r>
                    <w:rPr>
                      <w:spacing w:val="6"/>
                      <w:sz w:val="20"/>
                      <w:szCs w:val="20"/>
                    </w:rPr>
                    <w:t>焰火、鞭炮</w:t>
                  </w:r>
                  <w:r>
                    <w:rPr>
                      <w:spacing w:val="3"/>
                      <w:sz w:val="20"/>
                      <w:szCs w:val="20"/>
                    </w:rPr>
                    <w:t xml:space="preserve"> </w:t>
                  </w:r>
                  <w:r>
                    <w:rPr>
                      <w:spacing w:val="7"/>
                      <w:sz w:val="20"/>
                      <w:szCs w:val="20"/>
                    </w:rPr>
                    <w:t>产品制造</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2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1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13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7"/>
                      <w:sz w:val="20"/>
                      <w:szCs w:val="20"/>
                    </w:rPr>
                    <w:t>32</w:t>
                  </w:r>
                  <w:r>
                    <w:rPr>
                      <w:spacing w:val="7"/>
                      <w:sz w:val="20"/>
                      <w:szCs w:val="20"/>
                    </w:rPr>
                    <w:t>有色金属冶炼</w:t>
                  </w:r>
                  <w:r>
                    <w:rPr>
                      <w:spacing w:val="8"/>
                      <w:sz w:val="20"/>
                      <w:szCs w:val="20"/>
                    </w:rPr>
                    <w:t>和压延加工业</w:t>
                  </w:r>
                </w:p>
              </w:tc>
              <w:tc>
                <w:tcPr>
                  <w:tcW w:w="1319"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6"/>
                      <w:sz w:val="20"/>
                      <w:szCs w:val="20"/>
                    </w:rPr>
                  </w:pPr>
                  <w:r>
                    <w:rPr>
                      <w:rFonts w:ascii="Times New Roman" w:hAnsi="Times New Roman" w:eastAsia="Times New Roman" w:cs="Times New Roman"/>
                      <w:spacing w:val="5"/>
                      <w:sz w:val="20"/>
                      <w:szCs w:val="20"/>
                    </w:rPr>
                    <w:t>321</w:t>
                  </w:r>
                  <w:r>
                    <w:rPr>
                      <w:rFonts w:ascii="Times New Roman" w:hAnsi="Times New Roman" w:eastAsia="Times New Roman" w:cs="Times New Roman"/>
                      <w:spacing w:val="16"/>
                      <w:w w:val="101"/>
                      <w:sz w:val="20"/>
                      <w:szCs w:val="20"/>
                    </w:rPr>
                    <w:t xml:space="preserve"> </w:t>
                  </w:r>
                  <w:r>
                    <w:rPr>
                      <w:spacing w:val="5"/>
                      <w:sz w:val="20"/>
                      <w:szCs w:val="20"/>
                    </w:rPr>
                    <w:t>常用有色金</w:t>
                  </w:r>
                  <w:r>
                    <w:rPr>
                      <w:spacing w:val="6"/>
                      <w:sz w:val="20"/>
                      <w:szCs w:val="20"/>
                    </w:rPr>
                    <w:t>属</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6"/>
                      <w:sz w:val="20"/>
                      <w:szCs w:val="20"/>
                    </w:rPr>
                    <w:t>冶炼</w:t>
                  </w:r>
                </w:p>
              </w:tc>
              <w:tc>
                <w:tcPr>
                  <w:tcW w:w="96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5"/>
                      <w:sz w:val="20"/>
                      <w:szCs w:val="20"/>
                    </w:rPr>
                    <w:t>3212</w:t>
                  </w:r>
                  <w:r>
                    <w:rPr>
                      <w:spacing w:val="5"/>
                      <w:sz w:val="20"/>
                      <w:szCs w:val="20"/>
                    </w:rPr>
                    <w:t>铅锌冶炼</w:t>
                  </w:r>
                </w:p>
              </w:tc>
              <w:tc>
                <w:tcPr>
                  <w:tcW w:w="562"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0"/>
                      <w:szCs w:val="20"/>
                    </w:rPr>
                  </w:pPr>
                  <w:r>
                    <w:rPr>
                      <w:spacing w:val="5"/>
                      <w:sz w:val="20"/>
                      <w:szCs w:val="20"/>
                    </w:rPr>
                    <w:t>不属于</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spacing w:val="0"/>
                <w:kern w:val="2"/>
                <w:sz w:val="24"/>
                <w:szCs w:val="24"/>
                <w:lang w:val="en-US" w:eastAsia="zh-CN" w:bidi="ar-SA"/>
              </w:rPr>
            </w:pPr>
            <w:r>
              <w:rPr>
                <w:rFonts w:ascii="宋体" w:hAnsi="宋体" w:eastAsia="宋体" w:cs="宋体"/>
                <w:spacing w:val="0"/>
                <w:kern w:val="2"/>
                <w:sz w:val="24"/>
                <w:szCs w:val="24"/>
                <w:lang w:val="en-US" w:eastAsia="en-US" w:bidi="ar-SA"/>
              </w:rPr>
              <w:t>本项目与《四川省国家重点生态功能区产业准入负面清单（第一批）（试行）》中旺苍县产业准入负面清单限制类新建建设项目清单符合性分析见下表</w:t>
            </w:r>
            <w:r>
              <w:rPr>
                <w:rFonts w:hint="eastAsia" w:ascii="宋体" w:hAnsi="宋体" w:cs="宋体"/>
                <w:spacing w:val="0"/>
                <w:kern w:val="2"/>
                <w:sz w:val="24"/>
                <w:szCs w:val="24"/>
                <w:lang w:val="en-US" w:eastAsia="zh-CN" w:bidi="ar-SA"/>
              </w:rPr>
              <w:t>：</w:t>
            </w:r>
          </w:p>
          <w:p>
            <w:pPr>
              <w:tabs>
                <w:tab w:val="left" w:pos="3780"/>
              </w:tabs>
              <w:spacing w:line="360" w:lineRule="auto"/>
              <w:jc w:val="center"/>
              <w:rPr>
                <w:rFonts w:hint="eastAsia"/>
                <w:b/>
                <w:szCs w:val="21"/>
              </w:rPr>
            </w:pPr>
            <w:r>
              <w:rPr>
                <w:rFonts w:hint="eastAsia"/>
                <w:b/>
                <w:szCs w:val="21"/>
              </w:rPr>
              <w:t>表1-8  本项目与四川省国家重点生态功能区产业限制准入类新建建设项目清单的分析</w:t>
            </w:r>
          </w:p>
          <w:tbl>
            <w:tblPr>
              <w:tblStyle w:val="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6"/>
              <w:gridCol w:w="1351"/>
              <w:gridCol w:w="1692"/>
              <w:gridCol w:w="2037"/>
              <w:gridCol w:w="1886"/>
              <w:gridCol w:w="9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32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6"/>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7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8"/>
                      <w:sz w:val="20"/>
                      <w:szCs w:val="20"/>
                    </w:rPr>
                    <w:t>门类</w:t>
                  </w: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2"/>
                      <w:sz w:val="20"/>
                      <w:szCs w:val="20"/>
                    </w:rPr>
                    <w:t>大类</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6"/>
                      <w:sz w:val="20"/>
                      <w:szCs w:val="20"/>
                    </w:rPr>
                    <w:t>中类</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1"/>
                      <w:sz w:val="20"/>
                      <w:szCs w:val="20"/>
                    </w:rPr>
                    <w:t>小类</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b/>
                      <w:bCs/>
                      <w:spacing w:val="4"/>
                      <w:sz w:val="20"/>
                      <w:szCs w:val="20"/>
                    </w:rPr>
                    <w:t>是否属</w:t>
                  </w:r>
                  <w:r>
                    <w:rPr>
                      <w:b/>
                      <w:bCs/>
                      <w:spacing w:val="5"/>
                      <w:sz w:val="20"/>
                      <w:szCs w:val="20"/>
                    </w:rPr>
                    <w:t>于限制准入类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16"/>
                      <w:sz w:val="20"/>
                      <w:szCs w:val="20"/>
                    </w:rPr>
                    <w:t>A</w:t>
                  </w:r>
                  <w:r>
                    <w:rPr>
                      <w:spacing w:val="-16"/>
                      <w:sz w:val="20"/>
                      <w:szCs w:val="20"/>
                    </w:rPr>
                    <w:t>农、林、牧、</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4"/>
                      <w:sz w:val="20"/>
                      <w:szCs w:val="20"/>
                    </w:rPr>
                    <w:t>渔业</w:t>
                  </w:r>
                </w:p>
              </w:tc>
              <w:tc>
                <w:tcPr>
                  <w:tcW w:w="9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01</w:t>
                  </w:r>
                  <w:r>
                    <w:rPr>
                      <w:spacing w:val="3"/>
                      <w:sz w:val="20"/>
                      <w:szCs w:val="20"/>
                    </w:rPr>
                    <w:t>农业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011</w:t>
                  </w:r>
                  <w:r>
                    <w:rPr>
                      <w:spacing w:val="5"/>
                      <w:sz w:val="20"/>
                      <w:szCs w:val="20"/>
                    </w:rPr>
                    <w:t>谷物种植</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012</w:t>
                  </w:r>
                  <w:r>
                    <w:rPr>
                      <w:spacing w:val="6"/>
                      <w:sz w:val="20"/>
                      <w:szCs w:val="20"/>
                    </w:rPr>
                    <w:t>豆类、油料和薯类种植</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014</w:t>
                  </w:r>
                  <w:r>
                    <w:rPr>
                      <w:spacing w:val="6"/>
                      <w:sz w:val="20"/>
                      <w:szCs w:val="20"/>
                    </w:rPr>
                    <w:t>蔬菜、食用菌</w:t>
                  </w:r>
                  <w:r>
                    <w:rPr>
                      <w:spacing w:val="8"/>
                      <w:sz w:val="20"/>
                      <w:szCs w:val="20"/>
                    </w:rPr>
                    <w:t>及园艺作物种植</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017</w:t>
                  </w:r>
                  <w:r>
                    <w:rPr>
                      <w:spacing w:val="3"/>
                      <w:sz w:val="20"/>
                      <w:szCs w:val="20"/>
                    </w:rPr>
                    <w:t>中药材种植</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0170</w:t>
                  </w:r>
                  <w:r>
                    <w:rPr>
                      <w:spacing w:val="3"/>
                      <w:sz w:val="20"/>
                      <w:szCs w:val="20"/>
                    </w:rPr>
                    <w:t>中药材种植</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2"/>
                      <w:sz w:val="20"/>
                      <w:szCs w:val="20"/>
                    </w:rPr>
                    <w:t>02</w:t>
                  </w:r>
                  <w:r>
                    <w:rPr>
                      <w:spacing w:val="2"/>
                      <w:sz w:val="20"/>
                      <w:szCs w:val="20"/>
                    </w:rPr>
                    <w:t>林业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024</w:t>
                  </w:r>
                  <w:r>
                    <w:rPr>
                      <w:spacing w:val="6"/>
                      <w:sz w:val="20"/>
                      <w:szCs w:val="20"/>
                    </w:rPr>
                    <w:t>木材和竹材采</w:t>
                  </w:r>
                  <w:r>
                    <w:rPr>
                      <w:sz w:val="20"/>
                      <w:szCs w:val="20"/>
                    </w:rPr>
                    <w:t>运</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0241</w:t>
                  </w:r>
                  <w:r>
                    <w:rPr>
                      <w:spacing w:val="5"/>
                      <w:sz w:val="20"/>
                      <w:szCs w:val="20"/>
                    </w:rPr>
                    <w:t>木材采运</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2"/>
                      <w:sz w:val="20"/>
                      <w:szCs w:val="20"/>
                    </w:rPr>
                    <w:t>03</w:t>
                  </w:r>
                  <w:r>
                    <w:rPr>
                      <w:spacing w:val="2"/>
                      <w:sz w:val="20"/>
                      <w:szCs w:val="20"/>
                    </w:rPr>
                    <w:t>畜牧业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031</w:t>
                  </w:r>
                  <w:r>
                    <w:rPr>
                      <w:spacing w:val="5"/>
                      <w:sz w:val="20"/>
                      <w:szCs w:val="20"/>
                    </w:rPr>
                    <w:t>牲畜饲养</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032</w:t>
                  </w:r>
                  <w:r>
                    <w:rPr>
                      <w:spacing w:val="5"/>
                      <w:sz w:val="20"/>
                      <w:szCs w:val="20"/>
                    </w:rPr>
                    <w:t>家禽饲养</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5"/>
                      <w:sz w:val="20"/>
                      <w:szCs w:val="20"/>
                    </w:rPr>
                    <w:t>B</w:t>
                  </w:r>
                  <w:r>
                    <w:rPr>
                      <w:spacing w:val="5"/>
                      <w:sz w:val="20"/>
                      <w:szCs w:val="20"/>
                    </w:rPr>
                    <w:t>采矿业</w:t>
                  </w: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06</w:t>
                  </w:r>
                  <w:r>
                    <w:rPr>
                      <w:spacing w:val="6"/>
                      <w:sz w:val="20"/>
                      <w:szCs w:val="20"/>
                    </w:rPr>
                    <w:t>煤炭开采和</w:t>
                  </w:r>
                  <w:r>
                    <w:rPr>
                      <w:spacing w:val="7"/>
                      <w:sz w:val="20"/>
                      <w:szCs w:val="20"/>
                    </w:rPr>
                    <w:t>洗选业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061</w:t>
                  </w:r>
                  <w:r>
                    <w:rPr>
                      <w:spacing w:val="6"/>
                      <w:sz w:val="20"/>
                      <w:szCs w:val="20"/>
                    </w:rPr>
                    <w:t>烟煤和无烟煤</w:t>
                  </w:r>
                  <w:r>
                    <w:rPr>
                      <w:spacing w:val="7"/>
                      <w:sz w:val="20"/>
                      <w:szCs w:val="20"/>
                    </w:rPr>
                    <w:t>开采洗选</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0610</w:t>
                  </w:r>
                  <w:r>
                    <w:rPr>
                      <w:spacing w:val="6"/>
                      <w:sz w:val="20"/>
                      <w:szCs w:val="20"/>
                    </w:rPr>
                    <w:t xml:space="preserve">烟煤和无烟煤 </w:t>
                  </w:r>
                  <w:r>
                    <w:rPr>
                      <w:spacing w:val="7"/>
                      <w:sz w:val="20"/>
                      <w:szCs w:val="20"/>
                    </w:rPr>
                    <w:t>开采洗选</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08</w:t>
                  </w:r>
                  <w:r>
                    <w:rPr>
                      <w:spacing w:val="5"/>
                      <w:sz w:val="20"/>
                      <w:szCs w:val="20"/>
                    </w:rPr>
                    <w:t>黑色金属矿</w:t>
                  </w:r>
                  <w:r>
                    <w:rPr>
                      <w:spacing w:val="7"/>
                      <w:sz w:val="20"/>
                      <w:szCs w:val="20"/>
                    </w:rPr>
                    <w:t>采选业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081</w:t>
                  </w:r>
                  <w:r>
                    <w:rPr>
                      <w:spacing w:val="5"/>
                      <w:sz w:val="20"/>
                      <w:szCs w:val="20"/>
                    </w:rPr>
                    <w:t>铁矿采选</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0810</w:t>
                  </w:r>
                  <w:r>
                    <w:rPr>
                      <w:spacing w:val="5"/>
                      <w:sz w:val="20"/>
                      <w:szCs w:val="20"/>
                    </w:rPr>
                    <w:t>铁矿采选</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10</w:t>
                  </w:r>
                  <w:r>
                    <w:rPr>
                      <w:spacing w:val="3"/>
                      <w:sz w:val="20"/>
                      <w:szCs w:val="20"/>
                    </w:rPr>
                    <w:t>非金属矿采</w:t>
                  </w:r>
                  <w:r>
                    <w:rPr>
                      <w:spacing w:val="5"/>
                      <w:sz w:val="20"/>
                      <w:szCs w:val="20"/>
                    </w:rPr>
                    <w:t>选业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4"/>
                      <w:sz w:val="20"/>
                      <w:szCs w:val="20"/>
                    </w:rPr>
                    <w:t>101</w:t>
                  </w:r>
                  <w:r>
                    <w:rPr>
                      <w:spacing w:val="4"/>
                      <w:sz w:val="20"/>
                      <w:szCs w:val="20"/>
                    </w:rPr>
                    <w:t>土砂石开采</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1012</w:t>
                  </w:r>
                  <w:r>
                    <w:rPr>
                      <w:spacing w:val="5"/>
                      <w:sz w:val="20"/>
                      <w:szCs w:val="20"/>
                    </w:rPr>
                    <w:t>建筑装饰用石</w:t>
                  </w:r>
                  <w:r>
                    <w:rPr>
                      <w:sz w:val="20"/>
                      <w:szCs w:val="20"/>
                    </w:rPr>
                    <w:t xml:space="preserve"> </w:t>
                  </w:r>
                  <w:r>
                    <w:rPr>
                      <w:spacing w:val="4"/>
                      <w:sz w:val="20"/>
                      <w:szCs w:val="20"/>
                    </w:rPr>
                    <w:t>开采</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109</w:t>
                  </w:r>
                  <w:r>
                    <w:rPr>
                      <w:spacing w:val="5"/>
                      <w:sz w:val="20"/>
                      <w:szCs w:val="20"/>
                    </w:rPr>
                    <w:t>石棉及其他非</w:t>
                  </w:r>
                  <w:r>
                    <w:rPr>
                      <w:sz w:val="20"/>
                      <w:szCs w:val="20"/>
                    </w:rPr>
                    <w:t xml:space="preserve"> </w:t>
                  </w:r>
                  <w:r>
                    <w:rPr>
                      <w:spacing w:val="7"/>
                      <w:sz w:val="20"/>
                      <w:szCs w:val="20"/>
                    </w:rPr>
                    <w:t>金属矿采选</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2"/>
                      <w:sz w:val="20"/>
                      <w:szCs w:val="20"/>
                    </w:rPr>
                    <w:t>1092</w:t>
                  </w:r>
                  <w:r>
                    <w:rPr>
                      <w:spacing w:val="2"/>
                      <w:sz w:val="20"/>
                      <w:szCs w:val="20"/>
                    </w:rPr>
                    <w:t>石墨、滑石采选</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4"/>
                      <w:sz w:val="20"/>
                      <w:szCs w:val="20"/>
                    </w:rPr>
                    <w:t>C</w:t>
                  </w:r>
                  <w:r>
                    <w:rPr>
                      <w:spacing w:val="4"/>
                      <w:sz w:val="20"/>
                      <w:szCs w:val="20"/>
                    </w:rPr>
                    <w:t>制造业</w:t>
                  </w: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7"/>
                      <w:sz w:val="20"/>
                      <w:szCs w:val="20"/>
                    </w:rPr>
                    <w:t>22</w:t>
                  </w:r>
                  <w:r>
                    <w:rPr>
                      <w:spacing w:val="7"/>
                      <w:sz w:val="20"/>
                      <w:szCs w:val="20"/>
                    </w:rPr>
                    <w:t>造纸和纸制</w:t>
                  </w:r>
                  <w:r>
                    <w:rPr>
                      <w:spacing w:val="-4"/>
                      <w:sz w:val="20"/>
                      <w:szCs w:val="20"/>
                    </w:rPr>
                    <w:t>品业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223</w:t>
                  </w:r>
                  <w:r>
                    <w:rPr>
                      <w:spacing w:val="6"/>
                      <w:sz w:val="20"/>
                      <w:szCs w:val="20"/>
                    </w:rPr>
                    <w:t>纸制品制造</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25</w:t>
                  </w:r>
                  <w:r>
                    <w:rPr>
                      <w:spacing w:val="5"/>
                      <w:sz w:val="20"/>
                      <w:szCs w:val="20"/>
                    </w:rPr>
                    <w:t>石油加工、</w:t>
                  </w:r>
                  <w:r>
                    <w:rPr>
                      <w:spacing w:val="7"/>
                      <w:sz w:val="20"/>
                      <w:szCs w:val="20"/>
                    </w:rPr>
                    <w:t>炼焦和核燃料</w:t>
                  </w:r>
                  <w:r>
                    <w:rPr>
                      <w:spacing w:val="6"/>
                      <w:sz w:val="20"/>
                      <w:szCs w:val="20"/>
                    </w:rPr>
                    <w:t>加工业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252</w:t>
                  </w:r>
                  <w:r>
                    <w:rPr>
                      <w:spacing w:val="3"/>
                      <w:sz w:val="20"/>
                      <w:szCs w:val="20"/>
                    </w:rPr>
                    <w:t>炼焦</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4"/>
                      <w:sz w:val="20"/>
                      <w:szCs w:val="20"/>
                    </w:rPr>
                    <w:t>2520</w:t>
                  </w:r>
                  <w:r>
                    <w:rPr>
                      <w:spacing w:val="4"/>
                      <w:sz w:val="20"/>
                      <w:szCs w:val="20"/>
                    </w:rPr>
                    <w:t>炼焦</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27</w:t>
                  </w:r>
                  <w:r>
                    <w:rPr>
                      <w:spacing w:val="5"/>
                      <w:sz w:val="20"/>
                      <w:szCs w:val="20"/>
                    </w:rPr>
                    <w:t>医药制造业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4"/>
                      <w:sz w:val="20"/>
                      <w:szCs w:val="20"/>
                    </w:rPr>
                    <w:t>273</w:t>
                  </w:r>
                  <w:r>
                    <w:rPr>
                      <w:spacing w:val="4"/>
                      <w:sz w:val="20"/>
                      <w:szCs w:val="20"/>
                    </w:rPr>
                    <w:t>中药饮片加工</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4"/>
                      <w:sz w:val="20"/>
                      <w:szCs w:val="20"/>
                    </w:rPr>
                    <w:t>2730</w:t>
                  </w:r>
                  <w:r>
                    <w:rPr>
                      <w:spacing w:val="4"/>
                      <w:sz w:val="20"/>
                      <w:szCs w:val="20"/>
                    </w:rPr>
                    <w:t>中药饮片加工</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30</w:t>
                  </w:r>
                  <w:r>
                    <w:rPr>
                      <w:spacing w:val="5"/>
                      <w:sz w:val="20"/>
                      <w:szCs w:val="20"/>
                    </w:rPr>
                    <w:t>非金属矿物</w:t>
                  </w:r>
                  <w:r>
                    <w:rPr>
                      <w:spacing w:val="6"/>
                      <w:sz w:val="20"/>
                      <w:szCs w:val="20"/>
                    </w:rPr>
                    <w:t>制品业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301</w:t>
                  </w:r>
                  <w:r>
                    <w:rPr>
                      <w:spacing w:val="6"/>
                      <w:sz w:val="20"/>
                      <w:szCs w:val="20"/>
                    </w:rPr>
                    <w:t>水泥、石灰和</w:t>
                  </w:r>
                  <w:r>
                    <w:rPr>
                      <w:spacing w:val="5"/>
                      <w:sz w:val="20"/>
                      <w:szCs w:val="20"/>
                    </w:rPr>
                    <w:t xml:space="preserve"> </w:t>
                  </w:r>
                  <w:r>
                    <w:rPr>
                      <w:spacing w:val="7"/>
                      <w:sz w:val="20"/>
                      <w:szCs w:val="20"/>
                    </w:rPr>
                    <w:t>石膏制造</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3011</w:t>
                  </w:r>
                  <w:r>
                    <w:rPr>
                      <w:spacing w:val="5"/>
                      <w:sz w:val="20"/>
                      <w:szCs w:val="20"/>
                    </w:rPr>
                    <w:t>水泥制造</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303</w:t>
                  </w:r>
                  <w:r>
                    <w:rPr>
                      <w:spacing w:val="6"/>
                      <w:sz w:val="20"/>
                      <w:szCs w:val="20"/>
                    </w:rPr>
                    <w:t>砖瓦、石材等</w:t>
                  </w:r>
                  <w:r>
                    <w:rPr>
                      <w:spacing w:val="7"/>
                      <w:sz w:val="20"/>
                      <w:szCs w:val="20"/>
                    </w:rPr>
                    <w:t>建筑材料制造</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3032</w:t>
                  </w:r>
                  <w:r>
                    <w:rPr>
                      <w:spacing w:val="6"/>
                      <w:sz w:val="20"/>
                      <w:szCs w:val="20"/>
                    </w:rPr>
                    <w:t>建筑陶瓷制品</w:t>
                  </w:r>
                  <w:r>
                    <w:rPr>
                      <w:spacing w:val="4"/>
                      <w:sz w:val="20"/>
                      <w:szCs w:val="20"/>
                    </w:rPr>
                    <w:t xml:space="preserve"> 制造</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308</w:t>
                  </w:r>
                  <w:r>
                    <w:rPr>
                      <w:spacing w:val="6"/>
                      <w:sz w:val="20"/>
                      <w:szCs w:val="20"/>
                    </w:rPr>
                    <w:t>耐火材料制品</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3089</w:t>
                  </w:r>
                  <w:r>
                    <w:rPr>
                      <w:spacing w:val="6"/>
                      <w:sz w:val="20"/>
                      <w:szCs w:val="20"/>
                    </w:rPr>
                    <w:t>耐火陶瓷制品</w:t>
                  </w:r>
                  <w:r>
                    <w:rPr>
                      <w:spacing w:val="4"/>
                      <w:sz w:val="20"/>
                      <w:szCs w:val="20"/>
                    </w:rPr>
                    <w:t xml:space="preserve"> </w:t>
                  </w:r>
                  <w:r>
                    <w:rPr>
                      <w:spacing w:val="9"/>
                      <w:sz w:val="20"/>
                      <w:szCs w:val="20"/>
                    </w:rPr>
                    <w:t>及其他耐火材料制造</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 xml:space="preserve">309 </w:t>
                  </w:r>
                  <w:r>
                    <w:rPr>
                      <w:spacing w:val="6"/>
                      <w:sz w:val="20"/>
                      <w:szCs w:val="20"/>
                    </w:rPr>
                    <w:t>石墨及其他非</w:t>
                  </w:r>
                  <w:r>
                    <w:rPr>
                      <w:spacing w:val="8"/>
                      <w:sz w:val="20"/>
                      <w:szCs w:val="20"/>
                    </w:rPr>
                    <w:t>金属矿物制品制</w:t>
                  </w:r>
                  <w:r>
                    <w:rPr>
                      <w:spacing w:val="1"/>
                      <w:sz w:val="20"/>
                      <w:szCs w:val="20"/>
                    </w:rPr>
                    <w:t>造</w:t>
                  </w:r>
                </w:p>
              </w:tc>
              <w:tc>
                <w:tcPr>
                  <w:tcW w:w="1108"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31</w:t>
                  </w:r>
                  <w:r>
                    <w:rPr>
                      <w:spacing w:val="5"/>
                      <w:sz w:val="20"/>
                      <w:szCs w:val="20"/>
                    </w:rPr>
                    <w:t>黑色金属冶</w:t>
                  </w:r>
                  <w:r>
                    <w:rPr>
                      <w:spacing w:val="7"/>
                      <w:sz w:val="20"/>
                      <w:szCs w:val="20"/>
                    </w:rPr>
                    <w:t>炼和压延加工</w:t>
                  </w:r>
                  <w:r>
                    <w:rPr>
                      <w:spacing w:val="1"/>
                      <w:sz w:val="20"/>
                      <w:szCs w:val="20"/>
                    </w:rPr>
                    <w:t>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311</w:t>
                  </w:r>
                  <w:r>
                    <w:rPr>
                      <w:spacing w:val="5"/>
                      <w:sz w:val="20"/>
                      <w:szCs w:val="20"/>
                    </w:rPr>
                    <w:t>黑色金属冶炼</w:t>
                  </w:r>
                  <w:r>
                    <w:rPr>
                      <w:spacing w:val="8"/>
                      <w:sz w:val="20"/>
                      <w:szCs w:val="20"/>
                    </w:rPr>
                    <w:t>和压延加工业</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3110</w:t>
                  </w:r>
                  <w:r>
                    <w:rPr>
                      <w:spacing w:val="3"/>
                      <w:sz w:val="20"/>
                      <w:szCs w:val="20"/>
                    </w:rPr>
                    <w:t>炼铁</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9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rPr>
                  </w:pP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313</w:t>
                  </w:r>
                  <w:r>
                    <w:rPr>
                      <w:spacing w:val="5"/>
                      <w:sz w:val="20"/>
                      <w:szCs w:val="20"/>
                    </w:rPr>
                    <w:t>黑色金属铸造</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3130</w:t>
                  </w:r>
                  <w:r>
                    <w:rPr>
                      <w:spacing w:val="5"/>
                      <w:sz w:val="20"/>
                      <w:szCs w:val="20"/>
                    </w:rPr>
                    <w:t>黑色金属铸造</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16"/>
                      <w:sz w:val="20"/>
                      <w:szCs w:val="20"/>
                    </w:rPr>
                    <w:t>D</w:t>
                  </w:r>
                  <w:r>
                    <w:rPr>
                      <w:spacing w:val="-16"/>
                      <w:sz w:val="20"/>
                      <w:szCs w:val="20"/>
                    </w:rPr>
                    <w:t>电力、热力、</w:t>
                  </w:r>
                  <w:r>
                    <w:rPr>
                      <w:spacing w:val="8"/>
                      <w:sz w:val="20"/>
                      <w:szCs w:val="20"/>
                    </w:rPr>
                    <w:t>燃气及水生产和供应业</w:t>
                  </w: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3"/>
                      <w:sz w:val="20"/>
                      <w:szCs w:val="20"/>
                    </w:rPr>
                    <w:t>44</w:t>
                  </w:r>
                  <w:r>
                    <w:rPr>
                      <w:spacing w:val="3"/>
                      <w:sz w:val="20"/>
                      <w:szCs w:val="20"/>
                    </w:rPr>
                    <w:t>电力、热力</w:t>
                  </w:r>
                  <w:r>
                    <w:rPr>
                      <w:spacing w:val="7"/>
                      <w:sz w:val="20"/>
                      <w:szCs w:val="20"/>
                    </w:rPr>
                    <w:t>生产和供应业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2"/>
                      <w:sz w:val="20"/>
                      <w:szCs w:val="20"/>
                    </w:rPr>
                    <w:t>441</w:t>
                  </w:r>
                  <w:r>
                    <w:rPr>
                      <w:spacing w:val="2"/>
                      <w:sz w:val="20"/>
                      <w:szCs w:val="20"/>
                    </w:rPr>
                    <w:t>电力生产</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4412</w:t>
                  </w:r>
                  <w:r>
                    <w:rPr>
                      <w:spacing w:val="6"/>
                      <w:sz w:val="20"/>
                      <w:szCs w:val="20"/>
                    </w:rPr>
                    <w:t>水力发电</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jc w:val="center"/>
              </w:trPr>
              <w:tc>
                <w:tcPr>
                  <w:tcW w:w="32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0"/>
                      <w:szCs w:val="20"/>
                      <w:lang w:val="en-US" w:eastAsia="zh-CN"/>
                    </w:rPr>
                  </w:pPr>
                  <w:r>
                    <w:rPr>
                      <w:rFonts w:hint="eastAsia" w:cs="Times New Roman"/>
                      <w:spacing w:val="-10"/>
                      <w:sz w:val="20"/>
                      <w:szCs w:val="20"/>
                      <w:lang w:val="en-US" w:eastAsia="zh-CN"/>
                    </w:rPr>
                    <w:t>22</w:t>
                  </w:r>
                </w:p>
              </w:tc>
              <w:tc>
                <w:tcPr>
                  <w:tcW w:w="7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rFonts w:ascii="Times New Roman" w:hAnsi="Times New Roman" w:eastAsia="Times New Roman" w:cs="Times New Roman"/>
                      <w:spacing w:val="7"/>
                      <w:sz w:val="20"/>
                      <w:szCs w:val="20"/>
                    </w:rPr>
                    <w:t>K</w:t>
                  </w:r>
                  <w:r>
                    <w:rPr>
                      <w:spacing w:val="7"/>
                      <w:sz w:val="20"/>
                      <w:szCs w:val="20"/>
                    </w:rPr>
                    <w:t>房地产业</w:t>
                  </w:r>
                </w:p>
              </w:tc>
              <w:tc>
                <w:tcPr>
                  <w:tcW w:w="994"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5"/>
                      <w:sz w:val="20"/>
                      <w:szCs w:val="20"/>
                    </w:rPr>
                    <w:t>70</w:t>
                  </w:r>
                  <w:r>
                    <w:rPr>
                      <w:spacing w:val="5"/>
                      <w:sz w:val="20"/>
                      <w:szCs w:val="20"/>
                    </w:rPr>
                    <w:t>房地产业</w:t>
                  </w:r>
                </w:p>
              </w:tc>
              <w:tc>
                <w:tcPr>
                  <w:tcW w:w="119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701</w:t>
                  </w:r>
                  <w:r>
                    <w:rPr>
                      <w:spacing w:val="6"/>
                      <w:sz w:val="20"/>
                      <w:szCs w:val="20"/>
                    </w:rPr>
                    <w:t>房地产开发经</w:t>
                  </w:r>
                  <w:r>
                    <w:rPr>
                      <w:sz w:val="20"/>
                      <w:szCs w:val="20"/>
                    </w:rPr>
                    <w:t>营</w:t>
                  </w:r>
                </w:p>
              </w:tc>
              <w:tc>
                <w:tcPr>
                  <w:tcW w:w="1108"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sz w:val="20"/>
                      <w:szCs w:val="20"/>
                    </w:rPr>
                  </w:pPr>
                  <w:r>
                    <w:rPr>
                      <w:rFonts w:ascii="Times New Roman" w:hAnsi="Times New Roman" w:eastAsia="Times New Roman" w:cs="Times New Roman"/>
                      <w:spacing w:val="6"/>
                      <w:sz w:val="20"/>
                      <w:szCs w:val="20"/>
                    </w:rPr>
                    <w:t>7010</w:t>
                  </w:r>
                  <w:r>
                    <w:rPr>
                      <w:spacing w:val="6"/>
                      <w:sz w:val="20"/>
                      <w:szCs w:val="20"/>
                    </w:rPr>
                    <w:t>房地产开发经</w:t>
                  </w:r>
                  <w:r>
                    <w:rPr>
                      <w:spacing w:val="5"/>
                      <w:sz w:val="20"/>
                      <w:szCs w:val="20"/>
                    </w:rPr>
                    <w:t xml:space="preserve"> </w:t>
                  </w:r>
                  <w:r>
                    <w:rPr>
                      <w:sz w:val="20"/>
                      <w:szCs w:val="20"/>
                    </w:rPr>
                    <w:t>营</w:t>
                  </w:r>
                </w:p>
              </w:tc>
              <w:tc>
                <w:tcPr>
                  <w:tcW w:w="577"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0"/>
                      <w:szCs w:val="20"/>
                    </w:rPr>
                  </w:pPr>
                  <w:r>
                    <w:rPr>
                      <w:spacing w:val="5"/>
                      <w:sz w:val="20"/>
                      <w:szCs w:val="20"/>
                    </w:rPr>
                    <w:t>不属于</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spacing w:val="0"/>
                <w:kern w:val="2"/>
                <w:sz w:val="24"/>
                <w:szCs w:val="24"/>
                <w:lang w:val="en-US" w:eastAsia="en-US" w:bidi="ar-SA"/>
              </w:rPr>
            </w:pPr>
            <w:r>
              <w:rPr>
                <w:rFonts w:hint="eastAsia" w:ascii="宋体" w:hAnsi="宋体" w:cs="宋体"/>
                <w:spacing w:val="0"/>
                <w:kern w:val="2"/>
                <w:sz w:val="24"/>
                <w:szCs w:val="24"/>
                <w:lang w:val="en-US" w:eastAsia="zh-CN" w:bidi="ar-SA"/>
              </w:rPr>
              <w:t>由上对照分析可以看出</w:t>
            </w:r>
            <w:r>
              <w:rPr>
                <w:rFonts w:ascii="宋体" w:hAnsi="宋体" w:eastAsia="宋体" w:cs="宋体"/>
                <w:spacing w:val="0"/>
                <w:kern w:val="2"/>
                <w:sz w:val="24"/>
                <w:szCs w:val="24"/>
                <w:lang w:val="en-US" w:eastAsia="en-US" w:bidi="ar-SA"/>
              </w:rPr>
              <w:t>，本项目</w:t>
            </w:r>
            <w:r>
              <w:rPr>
                <w:rFonts w:hint="eastAsia" w:ascii="宋体" w:hAnsi="宋体" w:cs="宋体"/>
                <w:spacing w:val="0"/>
                <w:kern w:val="2"/>
                <w:sz w:val="24"/>
                <w:szCs w:val="24"/>
                <w:lang w:val="en-US" w:eastAsia="zh-CN" w:bidi="ar-SA"/>
              </w:rPr>
              <w:t>建设</w:t>
            </w:r>
            <w:r>
              <w:rPr>
                <w:rFonts w:ascii="宋体" w:hAnsi="宋体" w:eastAsia="宋体" w:cs="宋体"/>
                <w:spacing w:val="0"/>
                <w:kern w:val="2"/>
                <w:sz w:val="24"/>
                <w:szCs w:val="24"/>
                <w:lang w:val="en-US" w:eastAsia="en-US" w:bidi="ar-SA"/>
              </w:rPr>
              <w:t>不属于《四川省国家重点生态功能区产业准入负面清单（第一批）（试行）》中禁止类、限制准入类项目</w:t>
            </w:r>
            <w:r>
              <w:rPr>
                <w:rFonts w:hint="eastAsia" w:ascii="宋体" w:hAnsi="宋体" w:cs="宋体"/>
                <w:spacing w:val="0"/>
                <w:kern w:val="2"/>
                <w:sz w:val="24"/>
                <w:szCs w:val="24"/>
                <w:lang w:val="en-US" w:eastAsia="zh-CN" w:bidi="ar-SA"/>
              </w:rPr>
              <w:t>，</w:t>
            </w:r>
            <w:r>
              <w:rPr>
                <w:rFonts w:ascii="宋体" w:hAnsi="宋体" w:eastAsia="宋体" w:cs="宋体"/>
                <w:spacing w:val="0"/>
                <w:kern w:val="2"/>
                <w:sz w:val="24"/>
                <w:szCs w:val="24"/>
                <w:lang w:val="en-US" w:eastAsia="en-US" w:bidi="ar-SA"/>
              </w:rPr>
              <w:t>因此，本项目不在环境准入负面清单内。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spacing w:val="0"/>
                <w:kern w:val="2"/>
                <w:sz w:val="24"/>
                <w:szCs w:val="24"/>
                <w:lang w:val="en-US" w:eastAsia="en-US" w:bidi="ar-SA"/>
              </w:rPr>
            </w:pPr>
            <w:r>
              <w:rPr>
                <w:rFonts w:ascii="宋体" w:hAnsi="宋体" w:eastAsia="宋体" w:cs="宋体"/>
                <w:spacing w:val="0"/>
                <w:kern w:val="2"/>
                <w:sz w:val="24"/>
                <w:szCs w:val="24"/>
                <w:lang w:val="en-US" w:eastAsia="en-US" w:bidi="ar-SA"/>
              </w:rPr>
              <w:t>综上所述，本项目不在生态保护红线内、未超出资源利用底线及资源利用上线、未列入环境准入负面清单。</w:t>
            </w:r>
          </w:p>
          <w:p>
            <w:pPr>
              <w:pStyle w:val="75"/>
              <w:keepNext w:val="0"/>
              <w:keepLines w:val="0"/>
              <w:pageBreakBefore w:val="0"/>
              <w:widowControl w:val="0"/>
              <w:kinsoku/>
              <w:wordWrap/>
              <w:overflowPunct/>
              <w:topLinePunct w:val="0"/>
              <w:bidi w:val="0"/>
              <w:adjustRightInd/>
              <w:snapToGrid/>
              <w:spacing w:line="360" w:lineRule="auto"/>
              <w:ind w:left="0" w:right="0" w:firstLine="464" w:firstLineChars="200"/>
              <w:textAlignment w:val="auto"/>
              <w:rPr>
                <w:rFonts w:ascii="Times New Roman" w:hAnsi="Times New Roman" w:eastAsia="Times New Roman" w:cs="Times New Roman"/>
                <w:b/>
                <w:bCs/>
                <w:spacing w:val="-4"/>
                <w:sz w:val="24"/>
                <w:szCs w:val="24"/>
              </w:rPr>
            </w:pPr>
            <w:r>
              <w:rPr>
                <w:rFonts w:ascii="Times New Roman" w:hAnsi="Times New Roman" w:eastAsia="Times New Roman" w:cs="Times New Roman"/>
                <w:b/>
                <w:bCs/>
                <w:spacing w:val="-4"/>
                <w:sz w:val="24"/>
                <w:szCs w:val="24"/>
              </w:rPr>
              <w:t>5、本项目与“三线一单”管控要求的符合性分析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spacing w:val="0"/>
                <w:kern w:val="2"/>
                <w:sz w:val="24"/>
                <w:szCs w:val="24"/>
                <w:lang w:val="en-US" w:eastAsia="en-US" w:bidi="ar-SA"/>
              </w:rPr>
            </w:pPr>
            <w:r>
              <w:rPr>
                <w:rFonts w:ascii="宋体" w:hAnsi="宋体" w:eastAsia="宋体" w:cs="宋体"/>
                <w:spacing w:val="0"/>
                <w:kern w:val="2"/>
                <w:sz w:val="24"/>
                <w:szCs w:val="24"/>
                <w:lang w:val="en-US" w:eastAsia="en-US" w:bidi="ar-SA"/>
              </w:rPr>
              <w:t>根据《四川省人民政府关于落实生态保护红线、环境质量底线、资源利用上线制定生态环境准入清单实施生态环境分区管控的通知》（川府发〔2020〕9号）关于“生态环境分区管控及其要求”的规定，将全省行政区域从生态环境保护角度划分为优先保护区、重点管控和一般管控三类环境管控单元。生态保护红线、环境质量底线、资源利用上线、生态环境准入清单，简称“三线一单”。</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eastAsia" w:ascii="Arial" w:hAnsi="Arial" w:cs="Arial"/>
                <w:b/>
                <w:bCs/>
                <w:spacing w:val="0"/>
                <w:w w:val="100"/>
                <w:sz w:val="24"/>
                <w:szCs w:val="24"/>
                <w:lang w:val="en-US" w:eastAsia="zh-CN"/>
              </w:rPr>
            </w:pPr>
            <w:r>
              <w:rPr>
                <w:rFonts w:hint="eastAsia" w:ascii="Arial" w:hAnsi="Arial" w:cs="Arial"/>
                <w:b/>
                <w:bCs/>
                <w:spacing w:val="0"/>
                <w:w w:val="100"/>
                <w:sz w:val="24"/>
                <w:szCs w:val="24"/>
                <w:lang w:val="en-US" w:eastAsia="zh-CN"/>
              </w:rPr>
              <w:t>⑴ 与《四川省人民政府关于落实生态保护红线、环境质量底线、资源利 用上线制定生态环境准入清单实施生态环境分区管控的通知》（川府发〔2020〕9号）符合性分析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spacing w:val="0"/>
                <w:kern w:val="2"/>
                <w:sz w:val="24"/>
                <w:szCs w:val="24"/>
                <w:lang w:val="en-US" w:eastAsia="en-US" w:bidi="ar-SA"/>
              </w:rPr>
            </w:pPr>
            <w:r>
              <w:rPr>
                <w:rFonts w:ascii="宋体" w:hAnsi="宋体" w:eastAsia="宋体" w:cs="宋体"/>
                <w:spacing w:val="0"/>
                <w:kern w:val="2"/>
                <w:sz w:val="24"/>
                <w:szCs w:val="24"/>
                <w:lang w:val="en-US" w:eastAsia="en-US" w:bidi="ar-SA"/>
              </w:rPr>
              <w:t>2020年6月28日，四川省人民政府办公厅印发《四川省人民政府关于落实生态保护红线、环境质量底线、资源利用上线制定生态环境准入清单实施生态环境分区管控的通知》（川府发〔2020〕9号），就落实生态保护红线、环境质量底线、资源利用上线，制定生态环境准入清单（简称“三线一单”），建立生态环境分区管控体系并监督实施提出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pacing w:val="0"/>
                <w:kern w:val="2"/>
                <w:sz w:val="24"/>
                <w:szCs w:val="24"/>
                <w:lang w:val="en-US" w:eastAsia="zh-CN" w:bidi="ar-SA"/>
              </w:rPr>
            </w:pPr>
            <w:r>
              <w:rPr>
                <w:rFonts w:ascii="宋体" w:hAnsi="宋体" w:eastAsia="宋体" w:cs="宋体"/>
                <w:spacing w:val="0"/>
                <w:kern w:val="2"/>
                <w:sz w:val="24"/>
                <w:szCs w:val="24"/>
                <w:lang w:val="en-US" w:eastAsia="en-US" w:bidi="ar-SA"/>
              </w:rPr>
              <w:t>根据本项目“三线一单”符合性分析结果，本项目涉及3个环境管控单元，如下图所示</w:t>
            </w:r>
            <w:r>
              <w:rPr>
                <w:rFonts w:hint="eastAsia" w:ascii="宋体" w:hAnsi="宋体" w:cs="宋体"/>
                <w:spacing w:val="0"/>
                <w:kern w:val="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spacing w:val="0"/>
                <w:kern w:val="2"/>
                <w:sz w:val="24"/>
                <w:szCs w:val="24"/>
                <w:lang w:val="en-US" w:eastAsia="zh-CN" w:bidi="ar-SA"/>
              </w:rPr>
            </w:pPr>
            <w:r>
              <w:rPr>
                <w:rFonts w:hint="eastAsia" w:ascii="宋体" w:hAnsi="宋体" w:cs="宋体"/>
                <w:spacing w:val="0"/>
                <w:kern w:val="2"/>
                <w:sz w:val="24"/>
                <w:szCs w:val="24"/>
                <w:lang w:val="en-US" w:eastAsia="zh-CN" w:bidi="ar-SA"/>
              </w:rPr>
              <w:drawing>
                <wp:inline distT="0" distB="0" distL="114300" distR="114300">
                  <wp:extent cx="5377180" cy="2985770"/>
                  <wp:effectExtent l="0" t="0" r="2540" b="1270"/>
                  <wp:docPr id="9" name="图片 9" descr="QQ截图2024071315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713155604"/>
                          <pic:cNvPicPr>
                            <a:picLocks noChangeAspect="1"/>
                          </pic:cNvPicPr>
                        </pic:nvPicPr>
                        <pic:blipFill>
                          <a:blip r:embed="rId7"/>
                          <a:stretch>
                            <a:fillRect/>
                          </a:stretch>
                        </pic:blipFill>
                        <pic:spPr>
                          <a:xfrm>
                            <a:off x="0" y="0"/>
                            <a:ext cx="5377180" cy="2985770"/>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sz w:val="20"/>
                <w:szCs w:val="20"/>
              </w:rPr>
            </w:pPr>
            <w:r>
              <w:rPr>
                <w:b/>
                <w:bCs/>
                <w:spacing w:val="4"/>
                <w:sz w:val="20"/>
                <w:szCs w:val="20"/>
              </w:rPr>
              <w:t>图</w:t>
            </w:r>
            <w:r>
              <w:rPr>
                <w:rFonts w:ascii="Times New Roman" w:hAnsi="Times New Roman" w:eastAsia="Times New Roman" w:cs="Times New Roman"/>
                <w:b/>
                <w:bCs/>
                <w:spacing w:val="4"/>
                <w:sz w:val="20"/>
                <w:szCs w:val="20"/>
              </w:rPr>
              <w:t>1-2</w:t>
            </w:r>
            <w:r>
              <w:rPr>
                <w:rFonts w:ascii="Times New Roman" w:hAnsi="Times New Roman" w:eastAsia="Times New Roman" w:cs="Times New Roman"/>
                <w:b/>
                <w:bCs/>
                <w:sz w:val="20"/>
                <w:szCs w:val="20"/>
              </w:rPr>
              <w:t xml:space="preserve">  </w:t>
            </w:r>
            <w:r>
              <w:rPr>
                <w:b/>
                <w:bCs/>
                <w:spacing w:val="4"/>
                <w:sz w:val="20"/>
                <w:szCs w:val="20"/>
              </w:rPr>
              <w:t>本项目管控单元涉及情况图</w:t>
            </w:r>
          </w:p>
          <w:p>
            <w:pPr>
              <w:autoSpaceDE w:val="0"/>
              <w:autoSpaceDN w:val="0"/>
              <w:adjustRightInd w:val="0"/>
              <w:snapToGrid w:val="0"/>
              <w:spacing w:line="360" w:lineRule="auto"/>
              <w:ind w:firstLine="480" w:firstLineChars="200"/>
              <w:rPr>
                <w:rFonts w:hint="eastAsia" w:ascii="Arial" w:cs="Arial"/>
                <w:kern w:val="0"/>
                <w:sz w:val="24"/>
                <w:lang w:eastAsia="zh-CN"/>
              </w:rPr>
            </w:pPr>
            <w:r>
              <w:rPr>
                <w:rFonts w:hint="eastAsia" w:ascii="Arial" w:cs="Arial"/>
                <w:kern w:val="0"/>
                <w:sz w:val="24"/>
              </w:rPr>
              <w:t>旺苍县</w:t>
            </w:r>
            <w:r>
              <w:rPr>
                <w:rFonts w:hint="eastAsia" w:ascii="Arial" w:cs="Arial"/>
                <w:kern w:val="0"/>
                <w:sz w:val="24"/>
                <w:lang w:eastAsia="zh-CN"/>
              </w:rPr>
              <w:t>三合水库</w:t>
            </w:r>
            <w:r>
              <w:rPr>
                <w:rFonts w:hint="eastAsia" w:ascii="Arial" w:cs="Arial"/>
                <w:kern w:val="0"/>
                <w:sz w:val="24"/>
              </w:rPr>
              <w:t>工程项目位于广元市旺苍县环境综合管控单元一般管控单元（管控单元名称：旺苍县一般管控单元，管控单元编号：ZH51082130001）项目与管控单元相对位置如下图所示：（图中▼表示项目位置）</w:t>
            </w:r>
            <w:r>
              <w:rPr>
                <w:rFonts w:hint="eastAsia" w:ascii="Arial" w:cs="Arial"/>
                <w:kern w:val="0"/>
                <w:sz w:val="24"/>
                <w:lang w:eastAsia="zh-CN"/>
              </w:rPr>
              <w:t>：</w:t>
            </w: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pStyle w:val="22"/>
              <w:rPr>
                <w:rFonts w:hint="eastAsia" w:ascii="Arial" w:cs="Arial"/>
                <w:kern w:val="0"/>
                <w:sz w:val="24"/>
                <w:lang w:eastAsia="zh-CN"/>
              </w:rPr>
            </w:pPr>
          </w:p>
          <w:p>
            <w:pPr>
              <w:autoSpaceDE w:val="0"/>
              <w:autoSpaceDN w:val="0"/>
              <w:adjustRightInd w:val="0"/>
              <w:snapToGrid w:val="0"/>
              <w:spacing w:line="360" w:lineRule="auto"/>
              <w:jc w:val="center"/>
              <w:rPr>
                <w:spacing w:val="-2"/>
              </w:rPr>
            </w:pPr>
            <w:r>
              <w:rPr>
                <w:rFonts w:hint="default" w:ascii="Helvetica" w:hAnsi="Helvetica" w:eastAsia="Helvetica"/>
                <w:sz w:val="28"/>
                <w:szCs w:val="24"/>
              </w:rPr>
              <w:drawing>
                <wp:inline distT="0" distB="0" distL="114300" distR="114300">
                  <wp:extent cx="5340350" cy="3204210"/>
                  <wp:effectExtent l="0" t="0" r="1270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340350" cy="3204210"/>
                          </a:xfrm>
                          <a:prstGeom prst="rect">
                            <a:avLst/>
                          </a:prstGeom>
                          <a:noFill/>
                          <a:ln>
                            <a:noFill/>
                          </a:ln>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0"/>
                <w:szCs w:val="20"/>
              </w:rPr>
            </w:pPr>
            <w:r>
              <w:rPr>
                <w:b/>
                <w:bCs/>
                <w:spacing w:val="7"/>
                <w:sz w:val="20"/>
                <w:szCs w:val="20"/>
              </w:rPr>
              <w:t>图</w:t>
            </w:r>
            <w:r>
              <w:rPr>
                <w:spacing w:val="-31"/>
                <w:sz w:val="20"/>
                <w:szCs w:val="20"/>
              </w:rPr>
              <w:t xml:space="preserve"> </w:t>
            </w:r>
            <w:r>
              <w:rPr>
                <w:rFonts w:ascii="Times New Roman" w:hAnsi="Times New Roman" w:eastAsia="Times New Roman" w:cs="Times New Roman"/>
                <w:b/>
                <w:bCs/>
                <w:spacing w:val="7"/>
                <w:sz w:val="20"/>
                <w:szCs w:val="20"/>
              </w:rPr>
              <w:t xml:space="preserve">1-3  </w:t>
            </w:r>
            <w:r>
              <w:rPr>
                <w:b/>
                <w:bCs/>
                <w:spacing w:val="7"/>
                <w:sz w:val="20"/>
                <w:szCs w:val="20"/>
              </w:rPr>
              <w:t>本项目在四川省</w:t>
            </w:r>
            <w:r>
              <w:rPr>
                <w:rFonts w:ascii="Times New Roman" w:hAnsi="Times New Roman" w:eastAsia="Times New Roman" w:cs="Times New Roman"/>
                <w:b/>
                <w:bCs/>
                <w:spacing w:val="7"/>
                <w:sz w:val="20"/>
                <w:szCs w:val="20"/>
              </w:rPr>
              <w:t>“</w:t>
            </w:r>
            <w:r>
              <w:rPr>
                <w:b/>
                <w:bCs/>
                <w:spacing w:val="7"/>
                <w:sz w:val="20"/>
                <w:szCs w:val="20"/>
              </w:rPr>
              <w:t>三线一单</w:t>
            </w:r>
            <w:r>
              <w:rPr>
                <w:rFonts w:ascii="Times New Roman" w:hAnsi="Times New Roman" w:eastAsia="Times New Roman" w:cs="Times New Roman"/>
                <w:b/>
                <w:bCs/>
                <w:spacing w:val="7"/>
                <w:sz w:val="20"/>
                <w:szCs w:val="20"/>
              </w:rPr>
              <w:t>”</w:t>
            </w:r>
            <w:r>
              <w:rPr>
                <w:b/>
                <w:bCs/>
                <w:spacing w:val="7"/>
                <w:sz w:val="20"/>
                <w:szCs w:val="20"/>
              </w:rPr>
              <w:t>数</w:t>
            </w:r>
            <w:r>
              <w:rPr>
                <w:b/>
                <w:bCs/>
                <w:spacing w:val="6"/>
                <w:sz w:val="20"/>
                <w:szCs w:val="20"/>
              </w:rPr>
              <w:t>据分析系统中的位置</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20"/>
                <w:szCs w:val="20"/>
              </w:rPr>
            </w:pPr>
            <w:r>
              <w:rPr>
                <w:b/>
                <w:bCs/>
                <w:spacing w:val="6"/>
                <w:sz w:val="20"/>
                <w:szCs w:val="20"/>
              </w:rPr>
              <w:t>（</w:t>
            </w:r>
            <w:r>
              <w:rPr>
                <w:rFonts w:ascii="Times New Roman" w:hAnsi="Times New Roman" w:eastAsia="Times New Roman" w:cs="Times New Roman"/>
                <w:b/>
                <w:bCs/>
                <w:sz w:val="20"/>
                <w:szCs w:val="20"/>
              </w:rPr>
              <w:t>http</w:t>
            </w:r>
            <w:r>
              <w:rPr>
                <w:rFonts w:ascii="Times New Roman" w:hAnsi="Times New Roman" w:eastAsia="Times New Roman" w:cs="Times New Roman"/>
                <w:b/>
                <w:bCs/>
                <w:spacing w:val="6"/>
                <w:sz w:val="20"/>
                <w:szCs w:val="20"/>
              </w:rPr>
              <w:t>://</w:t>
            </w:r>
            <w:r>
              <w:fldChar w:fldCharType="begin"/>
            </w:r>
            <w:r>
              <w:instrText xml:space="preserve"> HYPERLINK "103.203.219.138" </w:instrText>
            </w:r>
            <w:r>
              <w:fldChar w:fldCharType="separate"/>
            </w:r>
            <w:r>
              <w:rPr>
                <w:rFonts w:ascii="Times New Roman" w:hAnsi="Times New Roman" w:eastAsia="Times New Roman" w:cs="Times New Roman"/>
                <w:b/>
                <w:bCs/>
                <w:spacing w:val="6"/>
                <w:sz w:val="20"/>
                <w:szCs w:val="20"/>
              </w:rPr>
              <w:t>103.203.219.138</w:t>
            </w:r>
            <w:r>
              <w:rPr>
                <w:rFonts w:ascii="Times New Roman" w:hAnsi="Times New Roman" w:eastAsia="Times New Roman" w:cs="Times New Roman"/>
                <w:b/>
                <w:bCs/>
                <w:spacing w:val="6"/>
                <w:sz w:val="20"/>
                <w:szCs w:val="20"/>
              </w:rPr>
              <w:fldChar w:fldCharType="end"/>
            </w:r>
            <w:r>
              <w:rPr>
                <w:rFonts w:ascii="Times New Roman" w:hAnsi="Times New Roman" w:eastAsia="Times New Roman" w:cs="Times New Roman"/>
                <w:b/>
                <w:bCs/>
                <w:spacing w:val="6"/>
                <w:sz w:val="20"/>
                <w:szCs w:val="20"/>
              </w:rPr>
              <w:t>:8083/</w:t>
            </w:r>
            <w:r>
              <w:rPr>
                <w:rFonts w:ascii="Times New Roman" w:hAnsi="Times New Roman" w:eastAsia="Times New Roman" w:cs="Times New Roman"/>
                <w:b/>
                <w:bCs/>
                <w:sz w:val="20"/>
                <w:szCs w:val="20"/>
              </w:rPr>
              <w:t>gis</w:t>
            </w:r>
            <w:r>
              <w:rPr>
                <w:rFonts w:ascii="Times New Roman" w:hAnsi="Times New Roman" w:eastAsia="Times New Roman" w:cs="Times New Roman"/>
                <w:b/>
                <w:bCs/>
                <w:spacing w:val="6"/>
                <w:sz w:val="20"/>
                <w:szCs w:val="20"/>
              </w:rPr>
              <w:t>2</w:t>
            </w:r>
            <w:r>
              <w:rPr>
                <w:rFonts w:ascii="Times New Roman" w:hAnsi="Times New Roman" w:eastAsia="Times New Roman" w:cs="Times New Roman"/>
                <w:b/>
                <w:bCs/>
                <w:spacing w:val="5"/>
                <w:sz w:val="20"/>
                <w:szCs w:val="20"/>
              </w:rPr>
              <w:t>/n_</w:t>
            </w:r>
            <w:r>
              <w:rPr>
                <w:rFonts w:ascii="Times New Roman" w:hAnsi="Times New Roman" w:eastAsia="Times New Roman" w:cs="Times New Roman"/>
                <w:b/>
                <w:bCs/>
                <w:sz w:val="20"/>
                <w:szCs w:val="20"/>
              </w:rPr>
              <w:t>index</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html</w:t>
            </w:r>
            <w:r>
              <w:rPr>
                <w:b/>
                <w:bCs/>
                <w:spacing w:val="5"/>
                <w:sz w:val="20"/>
                <w:szCs w:val="20"/>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Arial" w:cs="Arial"/>
                <w:kern w:val="0"/>
                <w:sz w:val="24"/>
                <w:lang w:eastAsia="zh-CN"/>
              </w:rPr>
            </w:pPr>
            <w:r>
              <w:rPr>
                <w:rFonts w:hint="eastAsia" w:ascii="Arial" w:cs="Arial"/>
                <w:kern w:val="0"/>
                <w:sz w:val="24"/>
              </w:rPr>
              <w:t>本项目</w:t>
            </w:r>
            <w:r>
              <w:rPr>
                <w:rFonts w:hint="eastAsia" w:ascii="Arial" w:cs="Arial"/>
                <w:kern w:val="0"/>
                <w:sz w:val="24"/>
                <w:lang w:val="en-US" w:eastAsia="zh-CN"/>
              </w:rPr>
              <w:t>灌区</w:t>
            </w:r>
            <w:r>
              <w:rPr>
                <w:rFonts w:hint="eastAsia" w:ascii="Arial" w:cs="Arial"/>
                <w:kern w:val="0"/>
                <w:sz w:val="24"/>
              </w:rPr>
              <w:t>工程在四川省“三线一单”数据分析系统中的位置如下图所示</w:t>
            </w:r>
            <w:r>
              <w:rPr>
                <w:rFonts w:hint="eastAsia" w:ascii="Arial" w:cs="Arial"/>
                <w:kern w:val="0"/>
                <w:sz w:val="24"/>
                <w:lang w:eastAsia="zh-CN"/>
              </w:rPr>
              <w:t>：</w:t>
            </w:r>
          </w:p>
          <w:p>
            <w:pPr>
              <w:autoSpaceDE w:val="0"/>
              <w:autoSpaceDN w:val="0"/>
              <w:adjustRightInd w:val="0"/>
              <w:snapToGrid w:val="0"/>
              <w:spacing w:line="360" w:lineRule="auto"/>
              <w:rPr>
                <w:rFonts w:hint="eastAsia" w:ascii="Arial" w:cs="Arial"/>
                <w:kern w:val="0"/>
                <w:sz w:val="24"/>
                <w:lang w:eastAsia="zh-CN"/>
              </w:rPr>
            </w:pPr>
            <w:r>
              <w:rPr>
                <w:rFonts w:hint="eastAsia" w:ascii="Arial" w:cs="Arial"/>
                <w:kern w:val="0"/>
                <w:sz w:val="24"/>
                <w:lang w:eastAsia="zh-CN"/>
              </w:rPr>
              <w:drawing>
                <wp:inline distT="0" distB="0" distL="114300" distR="114300">
                  <wp:extent cx="5356225" cy="3077210"/>
                  <wp:effectExtent l="0" t="0" r="8255" b="1270"/>
                  <wp:docPr id="11" name="图片 11" descr="渠系在生态保护红线的位置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渠系在生态保护红线的位置副本"/>
                          <pic:cNvPicPr>
                            <a:picLocks noChangeAspect="1"/>
                          </pic:cNvPicPr>
                        </pic:nvPicPr>
                        <pic:blipFill>
                          <a:blip r:embed="rId9"/>
                          <a:stretch>
                            <a:fillRect/>
                          </a:stretch>
                        </pic:blipFill>
                        <pic:spPr>
                          <a:xfrm>
                            <a:off x="0" y="0"/>
                            <a:ext cx="5356225" cy="3077210"/>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b/>
                <w:bCs/>
                <w:spacing w:val="7"/>
                <w:sz w:val="20"/>
                <w:szCs w:val="20"/>
              </w:rPr>
            </w:pPr>
            <w:r>
              <w:rPr>
                <w:b/>
                <w:bCs/>
                <w:spacing w:val="7"/>
                <w:sz w:val="20"/>
                <w:szCs w:val="20"/>
              </w:rPr>
              <w:t>图1-4   本项目在四川省“三线一单”数据分析系统中的位置</w:t>
            </w:r>
          </w:p>
          <w:p>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Ansi="宋体"/>
              </w:rPr>
            </w:pPr>
            <w:r>
              <w:rPr>
                <w:rFonts w:hint="eastAsia" w:ascii="Arial" w:cs="Arial"/>
                <w:color w:val="0000FF"/>
                <w:kern w:val="0"/>
                <w:sz w:val="24"/>
              </w:rPr>
              <w:t>根据《四川省生态环境厅办公室关于印发〈产业园区规划环评“三线一单”符合性分析技术要点（试行）〉和〈项目环评“三线一单”〉符合性分析技术要点（试行）的通知》（川环办函〔2021〕469号）要求，现根据《项目环评“三线一单”符合性分析技术要点（试行）》，将本项目与生态环境准入清单管控单元“三线一单”相关要求的符合性分析如下</w:t>
            </w:r>
            <w:r>
              <w:rPr>
                <w:rFonts w:hint="eastAsia" w:ascii="Arial" w:cs="Arial"/>
                <w:color w:val="0000FF"/>
                <w:kern w:val="0"/>
                <w:sz w:val="24"/>
                <w:lang w:eastAsia="zh-CN"/>
              </w:rPr>
              <w:t>：</w:t>
            </w:r>
          </w:p>
        </w:tc>
      </w:tr>
    </w:tbl>
    <w:p>
      <w:pPr>
        <w:spacing w:line="360" w:lineRule="auto"/>
        <w:outlineLvl w:val="0"/>
        <w:rPr>
          <w:rFonts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spacing w:before="65" w:line="227" w:lineRule="auto"/>
        <w:ind w:left="4981"/>
        <w:rPr>
          <w:rFonts w:ascii="宋体" w:hAnsi="宋体" w:eastAsia="宋体" w:cs="宋体"/>
          <w:sz w:val="20"/>
          <w:szCs w:val="20"/>
        </w:rPr>
      </w:pPr>
      <w:r>
        <w:rPr>
          <w:b/>
          <w:bCs/>
          <w:spacing w:val="-11"/>
          <w:sz w:val="20"/>
          <w:szCs w:val="20"/>
        </w:rPr>
        <w:t>表1-</w:t>
      </w:r>
      <w:r>
        <w:rPr>
          <w:rFonts w:hint="eastAsia"/>
          <w:b/>
          <w:bCs/>
          <w:spacing w:val="-11"/>
          <w:sz w:val="20"/>
          <w:szCs w:val="20"/>
          <w:lang w:val="en-US" w:eastAsia="zh-CN"/>
        </w:rPr>
        <w:t>8</w:t>
      </w:r>
      <w:r>
        <w:rPr>
          <w:b/>
          <w:bCs/>
          <w:spacing w:val="-11"/>
          <w:sz w:val="20"/>
          <w:szCs w:val="20"/>
        </w:rPr>
        <w:t xml:space="preserve"> </w:t>
      </w:r>
      <w:r>
        <w:rPr>
          <w:rFonts w:hint="eastAsia"/>
          <w:b/>
          <w:bCs/>
          <w:spacing w:val="-11"/>
          <w:sz w:val="20"/>
          <w:szCs w:val="20"/>
          <w:lang w:val="en-US" w:eastAsia="zh-CN"/>
        </w:rPr>
        <w:t xml:space="preserve">  </w:t>
      </w:r>
      <w:r>
        <w:rPr>
          <w:rFonts w:ascii="宋体" w:hAnsi="宋体" w:eastAsia="宋体" w:cs="宋体"/>
          <w:b/>
          <w:bCs/>
          <w:spacing w:val="6"/>
          <w:sz w:val="20"/>
          <w:szCs w:val="20"/>
        </w:rPr>
        <w:t>本项目与</w:t>
      </w:r>
      <w:r>
        <w:rPr>
          <w:rFonts w:ascii="Times New Roman" w:hAnsi="Times New Roman" w:eastAsia="Times New Roman" w:cs="Times New Roman"/>
          <w:b/>
          <w:bCs/>
          <w:spacing w:val="6"/>
          <w:sz w:val="20"/>
          <w:szCs w:val="20"/>
        </w:rPr>
        <w:t>“</w:t>
      </w:r>
      <w:r>
        <w:rPr>
          <w:rFonts w:ascii="宋体" w:hAnsi="宋体" w:eastAsia="宋体" w:cs="宋体"/>
          <w:b/>
          <w:bCs/>
          <w:spacing w:val="6"/>
          <w:sz w:val="20"/>
          <w:szCs w:val="20"/>
        </w:rPr>
        <w:t>三线一单</w:t>
      </w:r>
      <w:r>
        <w:rPr>
          <w:rFonts w:ascii="Times New Roman" w:hAnsi="Times New Roman" w:eastAsia="Times New Roman" w:cs="Times New Roman"/>
          <w:b/>
          <w:bCs/>
          <w:spacing w:val="6"/>
          <w:sz w:val="20"/>
          <w:szCs w:val="20"/>
        </w:rPr>
        <w:t>”</w:t>
      </w:r>
      <w:r>
        <w:rPr>
          <w:rFonts w:ascii="宋体" w:hAnsi="宋体" w:eastAsia="宋体" w:cs="宋体"/>
          <w:b/>
          <w:bCs/>
          <w:spacing w:val="6"/>
          <w:sz w:val="20"/>
          <w:szCs w:val="20"/>
        </w:rPr>
        <w:t>相关要求的符合性分析</w:t>
      </w:r>
    </w:p>
    <w:p>
      <w:pPr>
        <w:spacing w:line="57" w:lineRule="exact"/>
      </w:pPr>
    </w:p>
    <w:tbl>
      <w:tblPr>
        <w:tblStyle w:val="76"/>
        <w:tblW w:w="137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575"/>
        <w:gridCol w:w="420"/>
        <w:gridCol w:w="6820"/>
        <w:gridCol w:w="4550"/>
        <w:gridCol w:w="8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8403" w:type="dxa"/>
            <w:gridSpan w:val="4"/>
            <w:tcBorders>
              <w:tl2br w:val="nil"/>
              <w:tr2bl w:val="nil"/>
            </w:tcBorders>
            <w:vAlign w:val="center"/>
          </w:tcPr>
          <w:p>
            <w:pPr>
              <w:pStyle w:val="75"/>
              <w:spacing w:before="98" w:line="220" w:lineRule="auto"/>
              <w:ind w:left="3774"/>
              <w:rPr>
                <w:sz w:val="18"/>
                <w:szCs w:val="18"/>
              </w:rPr>
            </w:pPr>
            <w:r>
              <w:rPr>
                <w:rFonts w:ascii="Times New Roman" w:hAnsi="Times New Roman" w:eastAsia="Times New Roman" w:cs="Times New Roman"/>
                <w:b/>
                <w:bCs/>
                <w:spacing w:val="2"/>
                <w:sz w:val="18"/>
                <w:szCs w:val="18"/>
              </w:rPr>
              <w:t>“</w:t>
            </w:r>
            <w:r>
              <w:rPr>
                <w:b/>
                <w:bCs/>
                <w:spacing w:val="2"/>
                <w:sz w:val="18"/>
                <w:szCs w:val="18"/>
              </w:rPr>
              <w:t>三线一单</w:t>
            </w:r>
            <w:r>
              <w:rPr>
                <w:rFonts w:ascii="Times New Roman" w:hAnsi="Times New Roman" w:eastAsia="Times New Roman" w:cs="Times New Roman"/>
                <w:b/>
                <w:bCs/>
                <w:spacing w:val="2"/>
                <w:sz w:val="18"/>
                <w:szCs w:val="18"/>
              </w:rPr>
              <w:t>”</w:t>
            </w:r>
            <w:r>
              <w:rPr>
                <w:b/>
                <w:bCs/>
                <w:spacing w:val="2"/>
                <w:sz w:val="18"/>
                <w:szCs w:val="18"/>
              </w:rPr>
              <w:t>的具体要求</w:t>
            </w:r>
          </w:p>
        </w:tc>
        <w:tc>
          <w:tcPr>
            <w:tcW w:w="4550" w:type="dxa"/>
            <w:vMerge w:val="restart"/>
            <w:tcBorders>
              <w:tl2br w:val="nil"/>
              <w:tr2bl w:val="nil"/>
            </w:tcBorders>
            <w:vAlign w:val="center"/>
          </w:tcPr>
          <w:p>
            <w:pPr>
              <w:pStyle w:val="75"/>
              <w:spacing w:before="280" w:line="219" w:lineRule="auto"/>
              <w:ind w:left="1559"/>
              <w:rPr>
                <w:sz w:val="18"/>
                <w:szCs w:val="18"/>
              </w:rPr>
            </w:pPr>
            <w:r>
              <w:rPr>
                <w:b/>
                <w:bCs/>
                <w:spacing w:val="-3"/>
                <w:sz w:val="18"/>
                <w:szCs w:val="18"/>
              </w:rPr>
              <w:t>项目对应情况介绍</w:t>
            </w:r>
          </w:p>
        </w:tc>
        <w:tc>
          <w:tcPr>
            <w:tcW w:w="809" w:type="dxa"/>
            <w:vMerge w:val="restart"/>
            <w:tcBorders>
              <w:tl2br w:val="nil"/>
              <w:tr2bl w:val="nil"/>
            </w:tcBorders>
            <w:vAlign w:val="center"/>
          </w:tcPr>
          <w:p>
            <w:pPr>
              <w:pStyle w:val="75"/>
              <w:spacing w:before="166" w:line="229" w:lineRule="auto"/>
              <w:ind w:left="229" w:right="132" w:hanging="91"/>
              <w:rPr>
                <w:sz w:val="18"/>
                <w:szCs w:val="18"/>
              </w:rPr>
            </w:pPr>
            <w:r>
              <w:rPr>
                <w:b/>
                <w:bCs/>
                <w:spacing w:val="-4"/>
                <w:sz w:val="18"/>
                <w:szCs w:val="18"/>
              </w:rPr>
              <w:t>符合性</w:t>
            </w:r>
            <w:r>
              <w:rPr>
                <w:sz w:val="18"/>
                <w:szCs w:val="18"/>
              </w:rPr>
              <w:t xml:space="preserve"> </w:t>
            </w:r>
            <w:r>
              <w:rPr>
                <w:b/>
                <w:bCs/>
                <w:spacing w:val="-7"/>
                <w:sz w:val="18"/>
                <w:szCs w:val="18"/>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583"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b/>
                <w:bCs/>
                <w:spacing w:val="-3"/>
                <w:sz w:val="18"/>
                <w:szCs w:val="18"/>
              </w:rPr>
              <w:t>类别</w:t>
            </w:r>
          </w:p>
        </w:tc>
        <w:tc>
          <w:tcPr>
            <w:tcW w:w="6820" w:type="dxa"/>
            <w:tcBorders>
              <w:tl2br w:val="nil"/>
              <w:tr2bl w:val="nil"/>
            </w:tcBorders>
            <w:vAlign w:val="center"/>
          </w:tcPr>
          <w:p>
            <w:pPr>
              <w:pStyle w:val="75"/>
              <w:spacing w:before="90" w:line="219" w:lineRule="auto"/>
              <w:ind w:left="2410"/>
              <w:rPr>
                <w:sz w:val="18"/>
                <w:szCs w:val="18"/>
              </w:rPr>
            </w:pPr>
            <w:r>
              <w:rPr>
                <w:b/>
                <w:bCs/>
                <w:spacing w:val="-3"/>
                <w:sz w:val="18"/>
                <w:szCs w:val="18"/>
              </w:rPr>
              <w:t>对应管控要求</w:t>
            </w:r>
          </w:p>
        </w:tc>
        <w:tc>
          <w:tcPr>
            <w:tcW w:w="4550" w:type="dxa"/>
            <w:vMerge w:val="continue"/>
            <w:tcBorders>
              <w:tl2br w:val="nil"/>
              <w:tr2bl w:val="nil"/>
            </w:tcBorders>
            <w:vAlign w:val="center"/>
          </w:tcPr>
          <w:p>
            <w:pPr>
              <w:rPr>
                <w:rFonts w:ascii="Arial"/>
                <w:sz w:val="21"/>
              </w:rPr>
            </w:pPr>
          </w:p>
        </w:tc>
        <w:tc>
          <w:tcPr>
            <w:tcW w:w="809" w:type="dxa"/>
            <w:vMerge w:val="continue"/>
            <w:tcBorders>
              <w:tl2br w:val="nil"/>
              <w:tr2bl w:val="nil"/>
            </w:tcBorders>
            <w:vAlign w:val="center"/>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3"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广</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元</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3"/>
                <w:sz w:val="18"/>
                <w:szCs w:val="18"/>
              </w:rPr>
              <w:t>市</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普适</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性清</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单管</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控要</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0"/>
                <w:sz w:val="18"/>
                <w:szCs w:val="18"/>
              </w:rPr>
              <w:t>求</w:t>
            </w: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空</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间</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布</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局</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约</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0"/>
                <w:sz w:val="18"/>
                <w:szCs w:val="18"/>
              </w:rPr>
              <w:t>束</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禁止开发建设活动的要求：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rPr>
              <w:t>禁止在长江干支流岸线一公里范围内新建、扩建化工园区和化工项目。</w:t>
            </w:r>
            <w:r>
              <w:rPr>
                <w:spacing w:val="-2"/>
                <w:sz w:val="18"/>
                <w:szCs w:val="18"/>
              </w:rPr>
              <w:t>（《中华人民共和国长江保护法》）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3"/>
                <w:sz w:val="18"/>
                <w:szCs w:val="18"/>
              </w:rPr>
              <w:t>禁止在长江流域开放水域养殖、投放外来物种或者其他非本地物种种质资源。禁止在长江流域禁止采砂区和禁止采砂期从事采砂活动。全面停止小</w:t>
            </w:r>
            <w:r>
              <w:rPr>
                <w:spacing w:val="14"/>
                <w:sz w:val="18"/>
                <w:szCs w:val="18"/>
              </w:rPr>
              <w:t xml:space="preserve"> </w:t>
            </w:r>
            <w:r>
              <w:rPr>
                <w:spacing w:val="-3"/>
                <w:sz w:val="18"/>
                <w:szCs w:val="18"/>
              </w:rPr>
              <w:t>型水电项目开发，已建成的中小型水电站不再扩容。（《中华人民共和国长江保护法》、《四川省人民政府关于进一步加强和规范水电建设管理的</w:t>
            </w:r>
            <w:r>
              <w:rPr>
                <w:spacing w:val="-2"/>
                <w:sz w:val="18"/>
                <w:szCs w:val="18"/>
              </w:rPr>
              <w:t>意见》）。</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3"/>
                <w:sz w:val="18"/>
                <w:szCs w:val="18"/>
              </w:rPr>
              <w:t>对全部基本农田按禁止开发的要求进行管理，禁止占用基本农田发展林果业和挖塘养鱼。禁止任何单位和个人在基本农田保护区内建窑、建房、建坟、挖砂、采石、采矿、取土、堆放固体废弃物或者进行其他破坏基本农</w:t>
            </w:r>
            <w:r>
              <w:rPr>
                <w:spacing w:val="-1"/>
                <w:sz w:val="18"/>
                <w:szCs w:val="18"/>
              </w:rPr>
              <w:t>田的活动。（《中华人民共和国土地管理法》、《基本农</w:t>
            </w:r>
            <w:r>
              <w:rPr>
                <w:spacing w:val="-2"/>
                <w:sz w:val="18"/>
                <w:szCs w:val="18"/>
              </w:rPr>
              <w:t>田保护条例》、</w:t>
            </w:r>
            <w:r>
              <w:rPr>
                <w:spacing w:val="-1"/>
                <w:sz w:val="18"/>
                <w:szCs w:val="18"/>
              </w:rPr>
              <w:t>《全国主体功能区规划》）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7"/>
                <w:sz w:val="18"/>
                <w:szCs w:val="18"/>
              </w:rPr>
              <w:t>永久基本农田，实行严格保护，确保其面积不减少、土壤环境质量不下降，</w:t>
            </w:r>
            <w:r>
              <w:rPr>
                <w:spacing w:val="3"/>
                <w:sz w:val="18"/>
                <w:szCs w:val="18"/>
              </w:rPr>
              <w:t>除法律规定的重点建设项目选址确实无法避让外，其他任何建设不得占</w:t>
            </w:r>
            <w:r>
              <w:rPr>
                <w:spacing w:val="-1"/>
                <w:sz w:val="18"/>
                <w:szCs w:val="18"/>
              </w:rPr>
              <w:t>用。在永久基本农田集中区域，不得新建可能造成土壤污染</w:t>
            </w:r>
            <w:r>
              <w:rPr>
                <w:spacing w:val="-2"/>
                <w:sz w:val="18"/>
                <w:szCs w:val="18"/>
              </w:rPr>
              <w:t>的建设项目；</w:t>
            </w:r>
            <w:r>
              <w:rPr>
                <w:spacing w:val="-3"/>
                <w:sz w:val="18"/>
                <w:szCs w:val="18"/>
              </w:rPr>
              <w:t>已经建成的，应当限期关闭拆除。（《土壤污染防治行动计划》、《中华</w:t>
            </w:r>
            <w:r>
              <w:rPr>
                <w:spacing w:val="12"/>
                <w:sz w:val="18"/>
                <w:szCs w:val="18"/>
              </w:rPr>
              <w:t xml:space="preserve"> </w:t>
            </w:r>
            <w:r>
              <w:rPr>
                <w:spacing w:val="-1"/>
                <w:sz w:val="18"/>
                <w:szCs w:val="18"/>
              </w:rPr>
              <w:t>人民共和国土壤污染防治法》）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3"/>
                <w:sz w:val="18"/>
                <w:szCs w:val="18"/>
              </w:rPr>
              <w:t>畜禽养殖严格按照广元市各区县畜禽养殖区域划定方案执行，依法关闭或搬迁禁养区内的畜禽养殖场（小区）和养殖专业户。禁止在禁采区内开采</w:t>
            </w:r>
            <w:r>
              <w:rPr>
                <w:spacing w:val="-1"/>
                <w:sz w:val="18"/>
                <w:szCs w:val="18"/>
              </w:rPr>
              <w:t>矿产；禁止土法采、选、冶严重污染环境的矿产资源。</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3"/>
                <w:sz w:val="18"/>
                <w:szCs w:val="18"/>
              </w:rPr>
              <w:t>禁止在永久基本农田集中区域和其他需要特别保护的区域选址建设尾矿</w:t>
            </w:r>
            <w:r>
              <w:rPr>
                <w:spacing w:val="-1"/>
                <w:sz w:val="18"/>
                <w:szCs w:val="18"/>
              </w:rPr>
              <w:t>库、冶炼渣库、磷石膏库。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3"/>
                <w:sz w:val="18"/>
                <w:szCs w:val="18"/>
              </w:rPr>
              <w:t>禁止在长江干流岸线三公里范围内和重要支流岸线一公里范围内新建、改建、扩建尾矿库、冶炼渣库、磷石膏库，以提升安全、生态环境保护水平</w:t>
            </w:r>
            <w:r>
              <w:rPr>
                <w:spacing w:val="-2"/>
                <w:sz w:val="18"/>
                <w:szCs w:val="18"/>
              </w:rPr>
              <w:t>为目的的改建除外。</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1、本项目不属于新建、扩建的化工园区和化工项目；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2、本项目不属于水域养殖项目，本次评价要求建设单位 严格执行相关要求，禁止投放外来物种或者其他非本地 物种种质资源；本项目不涉及采砂；不属于小型水电项 目，不属于已建成的中小型水电站；</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3、</w:t>
            </w:r>
            <w:r>
              <w:rPr>
                <w:rFonts w:hint="eastAsia"/>
                <w:color w:val="0000FF"/>
                <w:spacing w:val="2"/>
                <w:sz w:val="18"/>
                <w:szCs w:val="18"/>
                <w:lang w:val="en-US" w:eastAsia="zh-CN"/>
              </w:rPr>
              <w:t>目前已取得旺苍县自然资源局《建设项目选址意见书》（用字第510821202300006号），对此，评价要求项目应取得合法的用地手续，并做到占补平衡</w:t>
            </w:r>
            <w:r>
              <w:rPr>
                <w:spacing w:val="2"/>
                <w:sz w:val="18"/>
                <w:szCs w:val="18"/>
              </w:rPr>
              <w:t>；</w:t>
            </w:r>
            <w:r>
              <w:rPr>
                <w:rFonts w:hint="eastAsia"/>
                <w:spacing w:val="2"/>
                <w:sz w:val="18"/>
                <w:szCs w:val="18"/>
                <w:lang w:val="en-US" w:eastAsia="zh-CN"/>
              </w:rPr>
              <w:t>另外，</w:t>
            </w:r>
            <w:r>
              <w:rPr>
                <w:spacing w:val="2"/>
                <w:sz w:val="18"/>
                <w:szCs w:val="18"/>
              </w:rPr>
              <w:t>本项目渠系工程设置的施工场地、弃渣场、拌和站等临时工程均不占用基本农田；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4、本项目建设不属于可能造成土壤污染的建设项目；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5、本项目不属于畜禽养殖项目；不涉及矿产开采；</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rPr>
              <w:t>6、本项目不属于新建、改建、扩建的尾矿库、冶炼渣库、 磷石膏库。</w:t>
            </w:r>
          </w:p>
        </w:tc>
        <w:tc>
          <w:tcPr>
            <w:tcW w:w="809" w:type="dxa"/>
            <w:tcBorders>
              <w:tl2br w:val="nil"/>
              <w:tr2bl w:val="nil"/>
            </w:tcBorders>
            <w:vAlign w:val="center"/>
          </w:tcPr>
          <w:p>
            <w:pPr>
              <w:spacing w:line="242" w:lineRule="auto"/>
              <w:rPr>
                <w:rFonts w:ascii="Arial"/>
                <w:sz w:val="21"/>
              </w:rPr>
            </w:pPr>
          </w:p>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textAlignment w:val="auto"/>
              <w:rPr>
                <w:sz w:val="18"/>
                <w:szCs w:val="18"/>
              </w:rPr>
            </w:pPr>
            <w:r>
              <w:rPr>
                <w:b/>
                <w:bCs/>
                <w:spacing w:val="-3"/>
                <w:sz w:val="18"/>
                <w:szCs w:val="18"/>
              </w:rPr>
              <w:t>限制开发建设活动的要求：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对四川省主体功能区划中的限制开发区域（农产品主产区），应限制大规模高强度工业化城镇化开发。</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配套旅游、基础设施等建设项目，在符合规划和相关保护要求的前提下，应实施生态避让、减缓影响及生态恢复措施。</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现有化工、有色等工业企业，原则上限制发展，污染物排放只降不增，允许以提升安全、生态环境保护水平为目的的改建，引导企业结合产业升级等适时搬迁入园。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四川省长江经济带发展负面清单实施细则（试行）》）</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坚持最严格的耕地保护制度，对全部耕地按限制开发的要求进行管理。严 格限制农用地转为建设用地，控制建设用地总量，对耕地实行特殊保护。（《中华人民共和国土地管理法（2004修正）》）。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新建大中型水电工程，应当经科学论证，并报国务院或者国务院授权的部门批准。除与生态环境保护相协调的且是国务院及其相关部门、省级人民 政府认可的脱贫攻坚项目外，严控新建商业开发的小水电项目。（《中华人民共和国长江保护法》、《关于开展长江经济带小水电清理整改工作的意见》）</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长江流域河道采砂应当依法取得国务院水行政主管部门有关流域管理机 构或者县级以上地方人民政府水行政主管部门的许可。严格控制采砂区域、采砂总量和采砂区域内的采砂船舶数量。（《中华人民共和国长江保护法》）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b/>
                <w:bCs/>
                <w:spacing w:val="2"/>
                <w:sz w:val="18"/>
                <w:szCs w:val="18"/>
                <w:u w:val="single"/>
              </w:rPr>
              <w:t>大气环境布局敏感重点管控区</w:t>
            </w:r>
            <w:r>
              <w:rPr>
                <w:spacing w:val="2"/>
                <w:sz w:val="18"/>
                <w:szCs w:val="18"/>
              </w:rPr>
              <w:t>：（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75"/>
              <w:spacing w:before="28" w:line="234" w:lineRule="auto"/>
              <w:ind w:right="45"/>
              <w:jc w:val="both"/>
              <w:rPr>
                <w:sz w:val="18"/>
                <w:szCs w:val="18"/>
              </w:rPr>
            </w:pPr>
            <w:r>
              <w:rPr>
                <w:b/>
                <w:bCs/>
                <w:spacing w:val="2"/>
                <w:sz w:val="18"/>
                <w:szCs w:val="18"/>
                <w:u w:val="single"/>
              </w:rPr>
              <w:t>大气弱扩散重点管控区</w:t>
            </w:r>
            <w:r>
              <w:rPr>
                <w:spacing w:val="2"/>
                <w:sz w:val="18"/>
                <w:szCs w:val="18"/>
              </w:rPr>
              <w:t>：强化落后产能退出机制，对能耗、环保、安全、技术达不到标准，生产不合格或淘汰类产品的企业和产能，依法予以关闭淘汰，推动重污染企业搬迁入园或依法关闭。对长江及重要支流沿线存在</w:t>
            </w:r>
            <w:r>
              <w:rPr>
                <w:spacing w:val="-1"/>
                <w:sz w:val="18"/>
                <w:szCs w:val="18"/>
              </w:rPr>
              <w:t>重大环境安全隐患的生产企业，加快推进就地改造异地迁建、关闭退出。</w:t>
            </w:r>
            <w:r>
              <w:rPr>
                <w:spacing w:val="-3"/>
                <w:sz w:val="18"/>
                <w:szCs w:val="18"/>
              </w:rPr>
              <w:t>开展差别化环境管理，对能耗、物耗、污染物排放等指标提出最严格管控</w:t>
            </w:r>
            <w:r>
              <w:rPr>
                <w:spacing w:val="13"/>
                <w:sz w:val="18"/>
                <w:szCs w:val="18"/>
              </w:rPr>
              <w:t xml:space="preserve"> </w:t>
            </w:r>
            <w:r>
              <w:rPr>
                <w:spacing w:val="-3"/>
                <w:sz w:val="18"/>
                <w:szCs w:val="18"/>
              </w:rPr>
              <w:t>要求，倒逼竞争乏力的产能退出。支持现有钢铁、水泥、焦化等废气排放</w:t>
            </w:r>
            <w:r>
              <w:rPr>
                <w:spacing w:val="-6"/>
                <w:sz w:val="18"/>
                <w:szCs w:val="18"/>
              </w:rPr>
              <w:t>量大的产业向有刚性需求、具有资源优势、环境容量允许的地区</w:t>
            </w:r>
            <w:r>
              <w:rPr>
                <w:spacing w:val="-7"/>
                <w:sz w:val="18"/>
                <w:szCs w:val="18"/>
              </w:rPr>
              <w:t>转移布局。</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1"/>
                <w:sz w:val="18"/>
                <w:szCs w:val="18"/>
                <w:u w:val="single"/>
              </w:rPr>
              <w:t>水环境农业污染重点管控区</w:t>
            </w:r>
            <w:r>
              <w:rPr>
                <w:spacing w:val="-12"/>
                <w:sz w:val="18"/>
                <w:szCs w:val="18"/>
              </w:rPr>
              <w:t>：（</w:t>
            </w:r>
            <w:r>
              <w:rPr>
                <w:rFonts w:ascii="Times New Roman" w:hAnsi="Times New Roman" w:eastAsia="Times New Roman" w:cs="Times New Roman"/>
                <w:spacing w:val="1"/>
                <w:sz w:val="18"/>
                <w:szCs w:val="18"/>
              </w:rPr>
              <w:t>1</w:t>
            </w:r>
            <w:r>
              <w:rPr>
                <w:spacing w:val="1"/>
                <w:sz w:val="18"/>
                <w:szCs w:val="18"/>
              </w:rPr>
              <w:t>）稳步推进建制镇污水处理设施建设，</w:t>
            </w:r>
            <w:r>
              <w:rPr>
                <w:spacing w:val="-3"/>
                <w:sz w:val="18"/>
                <w:szCs w:val="18"/>
              </w:rPr>
              <w:t>适当预留发展空间，宜集中则集中，宜分散则分散。农村生活污水处理设</w:t>
            </w:r>
            <w:r>
              <w:rPr>
                <w:spacing w:val="39"/>
                <w:sz w:val="18"/>
                <w:szCs w:val="18"/>
              </w:rPr>
              <w:t>施排水执行《农村生活污水处理设施水污染物排放标准》</w:t>
            </w:r>
            <w:r>
              <w:rPr>
                <w:spacing w:val="2"/>
                <w:sz w:val="18"/>
                <w:szCs w:val="18"/>
              </w:rPr>
              <w:t>（</w:t>
            </w:r>
            <w:r>
              <w:rPr>
                <w:rFonts w:ascii="Times New Roman" w:hAnsi="Times New Roman" w:eastAsia="Times New Roman" w:cs="Times New Roman"/>
                <w:sz w:val="18"/>
                <w:szCs w:val="18"/>
              </w:rPr>
              <w:t>DB</w:t>
            </w:r>
            <w:r>
              <w:rPr>
                <w:rFonts w:ascii="Times New Roman" w:hAnsi="Times New Roman" w:eastAsia="Times New Roman" w:cs="Times New Roman"/>
                <w:spacing w:val="2"/>
                <w:sz w:val="18"/>
                <w:szCs w:val="18"/>
              </w:rPr>
              <w:t>512626-2019</w:t>
            </w:r>
            <w:r>
              <w:rPr>
                <w:spacing w:val="2"/>
                <w:sz w:val="18"/>
                <w:szCs w:val="18"/>
              </w:rPr>
              <w:t>）要求。（</w:t>
            </w:r>
            <w:r>
              <w:rPr>
                <w:rFonts w:ascii="Times New Roman" w:hAnsi="Times New Roman" w:eastAsia="Times New Roman" w:cs="Times New Roman"/>
                <w:spacing w:val="2"/>
                <w:sz w:val="18"/>
                <w:szCs w:val="18"/>
              </w:rPr>
              <w:t>2</w:t>
            </w:r>
            <w:r>
              <w:rPr>
                <w:spacing w:val="2"/>
                <w:sz w:val="18"/>
                <w:szCs w:val="18"/>
              </w:rPr>
              <w:t>）</w:t>
            </w:r>
            <w:r>
              <w:rPr>
                <w:spacing w:val="1"/>
                <w:sz w:val="18"/>
                <w:szCs w:val="18"/>
              </w:rPr>
              <w:t>深入推进化肥减量增效。鼓励以循环利</w:t>
            </w:r>
            <w:r>
              <w:rPr>
                <w:spacing w:val="3"/>
                <w:sz w:val="18"/>
                <w:szCs w:val="18"/>
              </w:rPr>
              <w:t>用与生态净化相结合的方式控制种植业污染，农企合作推进测土配方施</w:t>
            </w:r>
            <w:r>
              <w:rPr>
                <w:spacing w:val="-4"/>
                <w:sz w:val="18"/>
                <w:szCs w:val="18"/>
              </w:rPr>
              <w:t>肥。</w:t>
            </w:r>
          </w:p>
        </w:tc>
        <w:tc>
          <w:tcPr>
            <w:tcW w:w="4550" w:type="dxa"/>
            <w:vMerge w:val="restart"/>
            <w:tcBorders>
              <w:tl2br w:val="nil"/>
              <w:tr2bl w:val="nil"/>
            </w:tcBorders>
            <w:vAlign w:val="center"/>
          </w:tcPr>
          <w:p>
            <w:pPr>
              <w:pStyle w:val="75"/>
              <w:numPr>
                <w:ilvl w:val="0"/>
                <w:numId w:val="2"/>
              </w:numPr>
              <w:spacing w:before="27" w:line="219" w:lineRule="auto"/>
              <w:ind w:left="108"/>
              <w:rPr>
                <w:spacing w:val="-1"/>
                <w:sz w:val="18"/>
                <w:szCs w:val="18"/>
              </w:rPr>
            </w:pPr>
            <w:r>
              <w:rPr>
                <w:spacing w:val="2"/>
                <w:sz w:val="18"/>
                <w:szCs w:val="18"/>
              </w:rPr>
              <w:t>本项目属于四川省主体功能区划中的秦巴生物多样</w:t>
            </w:r>
            <w:r>
              <w:rPr>
                <w:sz w:val="18"/>
                <w:szCs w:val="18"/>
              </w:rPr>
              <w:t xml:space="preserve"> </w:t>
            </w:r>
            <w:r>
              <w:rPr>
                <w:spacing w:val="-3"/>
                <w:sz w:val="18"/>
                <w:szCs w:val="18"/>
              </w:rPr>
              <w:t>性生态功能区，不属于限制开发区域（农产品主产区</w:t>
            </w:r>
            <w:r>
              <w:rPr>
                <w:spacing w:val="-31"/>
                <w:sz w:val="18"/>
                <w:szCs w:val="18"/>
              </w:rPr>
              <w:t>），</w:t>
            </w:r>
            <w:r>
              <w:rPr>
                <w:spacing w:val="-1"/>
                <w:sz w:val="18"/>
                <w:szCs w:val="18"/>
              </w:rPr>
              <w:t>项目建设不涉及大规模高强度工业化城镇化开发；</w:t>
            </w:r>
          </w:p>
          <w:p>
            <w:pPr>
              <w:pStyle w:val="75"/>
              <w:numPr>
                <w:ilvl w:val="0"/>
                <w:numId w:val="2"/>
              </w:numPr>
              <w:spacing w:before="27" w:line="219" w:lineRule="auto"/>
              <w:ind w:left="108"/>
              <w:rPr>
                <w:spacing w:val="2"/>
                <w:sz w:val="18"/>
                <w:szCs w:val="18"/>
              </w:rPr>
            </w:pPr>
            <w:r>
              <w:rPr>
                <w:spacing w:val="2"/>
                <w:sz w:val="18"/>
                <w:szCs w:val="18"/>
              </w:rPr>
              <w:t>本项目建设不属于配套旅游、基础设施等建设项目；</w:t>
            </w:r>
          </w:p>
          <w:p>
            <w:pPr>
              <w:pStyle w:val="75"/>
              <w:numPr>
                <w:ilvl w:val="0"/>
                <w:numId w:val="2"/>
              </w:numPr>
              <w:spacing w:before="27" w:line="219" w:lineRule="auto"/>
              <w:ind w:left="108"/>
              <w:rPr>
                <w:spacing w:val="2"/>
                <w:sz w:val="18"/>
                <w:szCs w:val="18"/>
              </w:rPr>
            </w:pPr>
            <w:r>
              <w:rPr>
                <w:spacing w:val="2"/>
                <w:sz w:val="18"/>
                <w:szCs w:val="18"/>
              </w:rPr>
              <w:t>本项目不属于现有化工、有色等工业企业；</w:t>
            </w:r>
          </w:p>
          <w:p>
            <w:pPr>
              <w:pStyle w:val="75"/>
              <w:numPr>
                <w:ilvl w:val="0"/>
                <w:numId w:val="2"/>
              </w:numPr>
              <w:spacing w:before="27" w:line="219" w:lineRule="auto"/>
              <w:ind w:left="108"/>
              <w:rPr>
                <w:spacing w:val="2"/>
                <w:sz w:val="18"/>
                <w:szCs w:val="18"/>
              </w:rPr>
            </w:pPr>
            <w:r>
              <w:rPr>
                <w:spacing w:val="2"/>
                <w:sz w:val="18"/>
                <w:szCs w:val="18"/>
              </w:rPr>
              <w:t>本项目不涉及新布局的工业园区；</w:t>
            </w:r>
          </w:p>
          <w:p>
            <w:pPr>
              <w:pStyle w:val="75"/>
              <w:numPr>
                <w:ilvl w:val="0"/>
                <w:numId w:val="2"/>
              </w:numPr>
              <w:spacing w:before="27" w:line="219" w:lineRule="auto"/>
              <w:ind w:left="108"/>
              <w:rPr>
                <w:spacing w:val="2"/>
                <w:sz w:val="18"/>
                <w:szCs w:val="18"/>
              </w:rPr>
            </w:pPr>
            <w:r>
              <w:rPr>
                <w:spacing w:val="2"/>
                <w:sz w:val="18"/>
                <w:szCs w:val="18"/>
                <w:highlight w:val="none"/>
              </w:rPr>
              <w:t>本项目建设涉及永久基本农田</w:t>
            </w:r>
            <w:r>
              <w:rPr>
                <w:rFonts w:hint="eastAsia"/>
                <w:spacing w:val="2"/>
                <w:sz w:val="18"/>
                <w:szCs w:val="18"/>
                <w:highlight w:val="none"/>
                <w:lang w:val="en-US" w:eastAsia="zh-CN"/>
              </w:rPr>
              <w:t>1509m</w:t>
            </w:r>
            <w:r>
              <w:rPr>
                <w:rFonts w:hint="eastAsia"/>
                <w:spacing w:val="2"/>
                <w:sz w:val="18"/>
                <w:szCs w:val="18"/>
                <w:highlight w:val="none"/>
                <w:vertAlign w:val="superscript"/>
                <w:lang w:val="en-US" w:eastAsia="zh-CN"/>
              </w:rPr>
              <w:t>2</w:t>
            </w:r>
            <w:r>
              <w:rPr>
                <w:rFonts w:hint="eastAsia"/>
                <w:spacing w:val="2"/>
                <w:sz w:val="18"/>
                <w:szCs w:val="18"/>
                <w:highlight w:val="none"/>
                <w:lang w:val="en-US" w:eastAsia="zh-CN"/>
              </w:rPr>
              <w:t>，</w:t>
            </w:r>
            <w:r>
              <w:rPr>
                <w:spacing w:val="2"/>
                <w:sz w:val="18"/>
                <w:szCs w:val="18"/>
                <w:highlight w:val="none"/>
              </w:rPr>
              <w:t>建设单位正在办理相关</w:t>
            </w:r>
            <w:r>
              <w:rPr>
                <w:rFonts w:hint="eastAsia"/>
                <w:spacing w:val="2"/>
                <w:sz w:val="18"/>
                <w:szCs w:val="18"/>
                <w:highlight w:val="none"/>
                <w:lang w:val="en-US" w:eastAsia="zh-CN"/>
              </w:rPr>
              <w:t>用</w:t>
            </w:r>
            <w:r>
              <w:rPr>
                <w:spacing w:val="2"/>
                <w:sz w:val="18"/>
                <w:szCs w:val="18"/>
                <w:highlight w:val="none"/>
              </w:rPr>
              <w:t>地手续</w:t>
            </w:r>
            <w:r>
              <w:rPr>
                <w:spacing w:val="2"/>
                <w:sz w:val="18"/>
                <w:szCs w:val="18"/>
              </w:rPr>
              <w:t>；</w:t>
            </w:r>
          </w:p>
          <w:p>
            <w:pPr>
              <w:pStyle w:val="75"/>
              <w:numPr>
                <w:ilvl w:val="0"/>
                <w:numId w:val="2"/>
              </w:numPr>
              <w:spacing w:before="27" w:line="219" w:lineRule="auto"/>
              <w:ind w:left="108"/>
              <w:rPr>
                <w:spacing w:val="2"/>
                <w:sz w:val="18"/>
                <w:szCs w:val="18"/>
              </w:rPr>
            </w:pPr>
            <w:r>
              <w:rPr>
                <w:spacing w:val="2"/>
                <w:sz w:val="18"/>
                <w:szCs w:val="18"/>
              </w:rPr>
              <w:t>本项目不属于新建的大中型水电工程、不属于小水电 项目；</w:t>
            </w:r>
          </w:p>
          <w:p>
            <w:pPr>
              <w:pStyle w:val="75"/>
              <w:numPr>
                <w:ilvl w:val="0"/>
                <w:numId w:val="2"/>
              </w:numPr>
              <w:spacing w:before="27" w:line="219" w:lineRule="auto"/>
              <w:ind w:left="108"/>
              <w:rPr>
                <w:spacing w:val="2"/>
                <w:sz w:val="18"/>
                <w:szCs w:val="18"/>
              </w:rPr>
            </w:pPr>
            <w:r>
              <w:rPr>
                <w:spacing w:val="2"/>
                <w:sz w:val="18"/>
                <w:szCs w:val="18"/>
              </w:rPr>
              <w:t>本项目不涉及河道采砂；</w:t>
            </w:r>
          </w:p>
          <w:p>
            <w:pPr>
              <w:pStyle w:val="75"/>
              <w:numPr>
                <w:ilvl w:val="0"/>
                <w:numId w:val="2"/>
              </w:numPr>
              <w:spacing w:before="27" w:line="219" w:lineRule="auto"/>
              <w:ind w:left="108"/>
              <w:rPr>
                <w:sz w:val="18"/>
                <w:szCs w:val="18"/>
              </w:rPr>
            </w:pPr>
            <w:r>
              <w:rPr>
                <w:spacing w:val="2"/>
                <w:sz w:val="18"/>
                <w:szCs w:val="18"/>
              </w:rPr>
              <w:t>本项目拟建地不涉及大气环境布局敏感重点管控区、大气弱扩散重点管控区及水环境农业污染重点管控区。</w:t>
            </w:r>
          </w:p>
        </w:tc>
        <w:tc>
          <w:tcPr>
            <w:tcW w:w="809" w:type="dxa"/>
            <w:vMerge w:val="restart"/>
            <w:tcBorders>
              <w:tl2br w:val="nil"/>
              <w:tr2bl w:val="nil"/>
            </w:tcBorders>
            <w:vAlign w:val="center"/>
          </w:tcPr>
          <w:p>
            <w:pPr>
              <w:jc w:val="center"/>
              <w:rPr>
                <w:rFonts w:ascii="Arial"/>
                <w:sz w:val="21"/>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8" w:hRule="atLeast"/>
          <w:jc w:val="center"/>
        </w:trPr>
        <w:tc>
          <w:tcPr>
            <w:tcW w:w="588"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广</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元</w:t>
            </w:r>
          </w:p>
          <w:p>
            <w:pPr>
              <w:jc w:val="center"/>
              <w:rPr>
                <w:rFonts w:ascii="Arial"/>
                <w:sz w:val="21"/>
              </w:rPr>
            </w:pPr>
            <w:r>
              <w:rPr>
                <w:spacing w:val="-3"/>
                <w:sz w:val="18"/>
                <w:szCs w:val="18"/>
              </w:rPr>
              <w:t>市</w:t>
            </w:r>
          </w:p>
        </w:tc>
        <w:tc>
          <w:tcPr>
            <w:tcW w:w="57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普适</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性清</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单管</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控要</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sz w:val="21"/>
              </w:rPr>
            </w:pPr>
            <w:r>
              <w:rPr>
                <w:spacing w:val="0"/>
                <w:sz w:val="18"/>
                <w:szCs w:val="18"/>
              </w:rPr>
              <w:t>求</w:t>
            </w: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空</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间</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布</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局</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约</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Arial"/>
                <w:sz w:val="21"/>
              </w:rPr>
            </w:pPr>
            <w:r>
              <w:rPr>
                <w:spacing w:val="0"/>
                <w:sz w:val="18"/>
                <w:szCs w:val="18"/>
              </w:rPr>
              <w:t>束</w:t>
            </w:r>
          </w:p>
        </w:tc>
        <w:tc>
          <w:tcPr>
            <w:tcW w:w="6820" w:type="dxa"/>
            <w:vMerge w:val="continue"/>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p>
        </w:tc>
        <w:tc>
          <w:tcPr>
            <w:tcW w:w="4550" w:type="dxa"/>
            <w:vMerge w:val="continue"/>
            <w:tcBorders>
              <w:tl2br w:val="nil"/>
              <w:tr2bl w:val="nil"/>
            </w:tcBorders>
            <w:vAlign w:val="center"/>
          </w:tcPr>
          <w:p>
            <w:pPr>
              <w:pStyle w:val="75"/>
              <w:spacing w:before="82" w:line="229" w:lineRule="auto"/>
              <w:ind w:left="113" w:right="59" w:hanging="1"/>
              <w:rPr>
                <w:sz w:val="18"/>
                <w:szCs w:val="18"/>
              </w:rPr>
            </w:pPr>
          </w:p>
        </w:tc>
        <w:tc>
          <w:tcPr>
            <w:tcW w:w="809" w:type="dxa"/>
            <w:vMerge w:val="continue"/>
            <w:tcBorders>
              <w:tl2br w:val="nil"/>
              <w:tr2bl w:val="nil"/>
            </w:tcBorders>
            <w:vAlign w:val="center"/>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广</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元</w:t>
            </w:r>
          </w:p>
          <w:p>
            <w:pPr>
              <w:jc w:val="center"/>
              <w:rPr>
                <w:rFonts w:ascii="Arial"/>
                <w:sz w:val="21"/>
              </w:rPr>
            </w:pPr>
            <w:r>
              <w:rPr>
                <w:spacing w:val="-3"/>
                <w:sz w:val="18"/>
                <w:szCs w:val="18"/>
              </w:rPr>
              <w:t>市</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普适</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性清</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单管</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控要</w:t>
            </w:r>
          </w:p>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Arial"/>
                <w:sz w:val="21"/>
              </w:rPr>
            </w:pPr>
            <w:r>
              <w:rPr>
                <w:spacing w:val="0"/>
                <w:sz w:val="18"/>
                <w:szCs w:val="18"/>
              </w:rPr>
              <w:t>求</w:t>
            </w: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空</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间</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布</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局</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约</w:t>
            </w:r>
          </w:p>
          <w:p>
            <w:pPr>
              <w:jc w:val="center"/>
              <w:rPr>
                <w:rFonts w:ascii="Arial"/>
                <w:sz w:val="21"/>
              </w:rPr>
            </w:pPr>
            <w:r>
              <w:rPr>
                <w:spacing w:val="0"/>
                <w:sz w:val="18"/>
                <w:szCs w:val="18"/>
              </w:rPr>
              <w:t>束</w:t>
            </w:r>
          </w:p>
        </w:tc>
        <w:tc>
          <w:tcPr>
            <w:tcW w:w="6820" w:type="dxa"/>
            <w:tcBorders>
              <w:tl2br w:val="nil"/>
              <w:tr2bl w:val="nil"/>
            </w:tcBorders>
            <w:vAlign w:val="center"/>
          </w:tcPr>
          <w:p>
            <w:pPr>
              <w:pStyle w:val="75"/>
              <w:spacing w:before="89" w:line="219" w:lineRule="auto"/>
              <w:rPr>
                <w:sz w:val="18"/>
                <w:szCs w:val="18"/>
              </w:rPr>
            </w:pPr>
            <w:r>
              <w:rPr>
                <w:b/>
                <w:bCs/>
                <w:spacing w:val="-2"/>
                <w:sz w:val="18"/>
                <w:szCs w:val="18"/>
              </w:rPr>
              <w:t>不符合空间布局要求活动的退出要求：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对长江流域已建小水电工程，不符合生态保护要求的，县级以上地方人民政府应当组织分类整改或者采取措施逐步退出。（《中华人民共和国长江保护法》）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涉及自然保护区、风景名胜区、森林公园、饮用水源保护区等法定自然保护地，现有不符合相关保护区法律法规和规划的项目，应限期整改或关闭。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rPr>
              <w:t>全面取缔禁养区内规模化畜禽养殖场。嘉陵江岸线延伸至陆域200米范围内基本消除畜禽养殖场（小区）。（《水污染防治行动计划》四川省工作方案、《四川省打好长江保护修复攻坚战实施方案》）</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1、本项目不属于已建小水电工程；</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spacing w:val="2"/>
                <w:sz w:val="18"/>
                <w:szCs w:val="18"/>
              </w:rPr>
              <w:t>2、本项目建设不涉及自然保护区、风景名胜区、森林公 园、饮用水源保护区等法定自然保护地；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sz w:val="21"/>
              </w:rPr>
            </w:pPr>
            <w:r>
              <w:rPr>
                <w:spacing w:val="2"/>
                <w:sz w:val="18"/>
                <w:szCs w:val="18"/>
              </w:rPr>
              <w:t>3、本项目不属于规模化畜禽养殖场。</w:t>
            </w:r>
          </w:p>
        </w:tc>
        <w:tc>
          <w:tcPr>
            <w:tcW w:w="809" w:type="dxa"/>
            <w:tcBorders>
              <w:tl2br w:val="nil"/>
              <w:tr2bl w:val="nil"/>
            </w:tcBorders>
            <w:vAlign w:val="center"/>
          </w:tcPr>
          <w:p>
            <w:pPr>
              <w:rPr>
                <w:rFonts w:ascii="Arial"/>
                <w:sz w:val="21"/>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其他空间布局约束要求：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z w:val="18"/>
                <w:szCs w:val="18"/>
              </w:rPr>
            </w:pPr>
            <w:r>
              <w:rPr>
                <w:spacing w:val="2"/>
                <w:sz w:val="18"/>
                <w:szCs w:val="18"/>
              </w:rPr>
              <w:t>位于城镇空间外的区外工业企业：①具有合法手续的企业，且污染物排放及环境风险满足管理要求的企业，可继续保留。其中，钢铁、石化、化工、焦化、有色等高污染项目原则上限制发展，要求污染物排放只降不增，并进一步加强日常环保监管；允许以提升安全、生态环境保护水平为目的的改建，以及不增加污染物排放和环境风险的产品升级调整，引导企业结合 产业升级、化解过剩产能等，搬迁入园。②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tc>
        <w:tc>
          <w:tcPr>
            <w:tcW w:w="4550" w:type="dxa"/>
            <w:tcBorders>
              <w:tl2br w:val="nil"/>
              <w:tr2bl w:val="nil"/>
            </w:tcBorders>
            <w:vAlign w:val="center"/>
          </w:tcPr>
          <w:p>
            <w:pPr>
              <w:spacing w:line="320" w:lineRule="auto"/>
              <w:rPr>
                <w:sz w:val="18"/>
                <w:szCs w:val="18"/>
              </w:rPr>
            </w:pPr>
            <w:r>
              <w:rPr>
                <w:spacing w:val="-1"/>
                <w:sz w:val="18"/>
                <w:szCs w:val="18"/>
              </w:rPr>
              <w:t>本项目不属于位于城镇空间外的区外工业企业</w:t>
            </w:r>
          </w:p>
        </w:tc>
        <w:tc>
          <w:tcPr>
            <w:tcW w:w="809" w:type="dxa"/>
            <w:tcBorders>
              <w:tl2br w:val="nil"/>
              <w:tr2bl w:val="nil"/>
            </w:tcBorders>
            <w:vAlign w:val="center"/>
          </w:tcPr>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广</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元</w:t>
            </w:r>
          </w:p>
          <w:p>
            <w:pPr>
              <w:jc w:val="center"/>
              <w:rPr>
                <w:rFonts w:ascii="Arial"/>
                <w:sz w:val="21"/>
              </w:rPr>
            </w:pPr>
            <w:r>
              <w:rPr>
                <w:spacing w:val="-3"/>
                <w:sz w:val="18"/>
                <w:szCs w:val="18"/>
              </w:rPr>
              <w:t>市</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普适</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性清</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单管</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控要</w:t>
            </w:r>
          </w:p>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Arial"/>
                <w:sz w:val="21"/>
              </w:rPr>
            </w:pPr>
            <w:r>
              <w:rPr>
                <w:spacing w:val="0"/>
                <w:sz w:val="18"/>
                <w:szCs w:val="18"/>
              </w:rPr>
              <w:t>求</w:t>
            </w:r>
          </w:p>
        </w:tc>
        <w:tc>
          <w:tcPr>
            <w:tcW w:w="4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rPr>
            </w:pPr>
            <w:r>
              <w:rPr>
                <w:spacing w:val="-3"/>
                <w:sz w:val="18"/>
                <w:szCs w:val="18"/>
              </w:rPr>
              <w:t>污染物排</w:t>
            </w:r>
            <w:r>
              <w:rPr>
                <w:spacing w:val="2"/>
                <w:sz w:val="18"/>
                <w:szCs w:val="18"/>
              </w:rPr>
              <w:t xml:space="preserve"> </w:t>
            </w:r>
            <w:r>
              <w:rPr>
                <w:spacing w:val="-3"/>
                <w:sz w:val="18"/>
                <w:szCs w:val="18"/>
              </w:rPr>
              <w:t>放管</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3"/>
                <w:sz w:val="18"/>
                <w:szCs w:val="18"/>
              </w:rPr>
              <w:t>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rPr>
              <w:t>现有源提标升级改造：</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b/>
                <w:bCs/>
                <w:sz w:val="18"/>
                <w:szCs w:val="18"/>
                <w:u w:val="single"/>
              </w:rPr>
              <w:t>水环境</w:t>
            </w:r>
            <w:r>
              <w:rPr>
                <w:sz w:val="18"/>
                <w:szCs w:val="18"/>
              </w:rPr>
              <w:t>：加快城镇污水处理厂工艺升级改造，至</w:t>
            </w:r>
            <w:r>
              <w:rPr>
                <w:spacing w:val="-38"/>
                <w:sz w:val="18"/>
                <w:szCs w:val="18"/>
              </w:rPr>
              <w:t xml:space="preserve"> </w:t>
            </w:r>
            <w:r>
              <w:rPr>
                <w:rFonts w:ascii="Times New Roman" w:hAnsi="Times New Roman" w:eastAsia="Times New Roman" w:cs="Times New Roman"/>
                <w:sz w:val="18"/>
                <w:szCs w:val="18"/>
              </w:rPr>
              <w:t>2023</w:t>
            </w:r>
            <w:r>
              <w:rPr>
                <w:sz w:val="18"/>
                <w:szCs w:val="18"/>
              </w:rPr>
              <w:t>年，达《城镇污水</w:t>
            </w:r>
            <w:r>
              <w:rPr>
                <w:spacing w:val="-4"/>
                <w:sz w:val="18"/>
                <w:szCs w:val="18"/>
              </w:rPr>
              <w:t>处理厂污染物排放标准》一级</w:t>
            </w:r>
            <w:r>
              <w:rPr>
                <w:spacing w:val="-37"/>
                <w:sz w:val="18"/>
                <w:szCs w:val="18"/>
              </w:rPr>
              <w:t xml:space="preserve"> </w:t>
            </w:r>
            <w:r>
              <w:rPr>
                <w:rFonts w:ascii="Times New Roman" w:hAnsi="Times New Roman" w:eastAsia="Times New Roman" w:cs="Times New Roman"/>
                <w:spacing w:val="-4"/>
                <w:sz w:val="18"/>
                <w:szCs w:val="18"/>
              </w:rPr>
              <w:t xml:space="preserve">A </w:t>
            </w:r>
            <w:r>
              <w:rPr>
                <w:spacing w:val="-4"/>
                <w:sz w:val="18"/>
                <w:szCs w:val="18"/>
              </w:rPr>
              <w:t>标或相关规定的水质标准。（依据：《广</w:t>
            </w:r>
            <w:r>
              <w:rPr>
                <w:spacing w:val="1"/>
                <w:sz w:val="18"/>
                <w:szCs w:val="18"/>
              </w:rPr>
              <w:t>元市城镇污水处理设施建设三年推进实施方案（</w:t>
            </w:r>
            <w:r>
              <w:rPr>
                <w:rFonts w:ascii="Times New Roman" w:hAnsi="Times New Roman" w:eastAsia="Times New Roman" w:cs="Times New Roman"/>
                <w:spacing w:val="1"/>
                <w:sz w:val="18"/>
                <w:szCs w:val="18"/>
              </w:rPr>
              <w:t>2021-2023</w:t>
            </w:r>
            <w:r>
              <w:rPr>
                <w:spacing w:val="1"/>
                <w:sz w:val="18"/>
                <w:szCs w:val="18"/>
              </w:rPr>
              <w:t>年）》《四川</w:t>
            </w:r>
            <w:r>
              <w:rPr>
                <w:spacing w:val="-1"/>
                <w:sz w:val="18"/>
                <w:szCs w:val="18"/>
              </w:rPr>
              <w:t>省打好环保基础设施建设攻坚战实施方案》）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u w:val="single"/>
              </w:rPr>
              <w:t>大气环境</w:t>
            </w:r>
            <w:r>
              <w:rPr>
                <w:spacing w:val="-3"/>
                <w:sz w:val="18"/>
                <w:szCs w:val="18"/>
              </w:rPr>
              <w:t>：火电、水泥等行业的燃煤锅炉按相关要求实施大气污染物超低</w:t>
            </w:r>
            <w:r>
              <w:rPr>
                <w:spacing w:val="-1"/>
                <w:sz w:val="18"/>
                <w:szCs w:val="18"/>
              </w:rPr>
              <w:t>排放。（《四川省打赢蓝天保卫战实施方案》）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3"/>
                <w:sz w:val="18"/>
                <w:szCs w:val="18"/>
              </w:rPr>
              <w:t>砖瓦行业实施脱硫、除尘升级改造，污染物排放达到《砖瓦工业大气污染</w:t>
            </w:r>
            <w:r>
              <w:rPr>
                <w:spacing w:val="-1"/>
                <w:sz w:val="18"/>
                <w:szCs w:val="18"/>
              </w:rPr>
              <w:t>物排放标准》相关要求。（《四川省大气污染防治行动</w:t>
            </w:r>
            <w:r>
              <w:rPr>
                <w:spacing w:val="-2"/>
                <w:sz w:val="18"/>
                <w:szCs w:val="18"/>
              </w:rPr>
              <w:t>计划实施细则》、</w:t>
            </w:r>
            <w:r>
              <w:rPr>
                <w:spacing w:val="-1"/>
                <w:sz w:val="18"/>
                <w:szCs w:val="18"/>
              </w:rPr>
              <w:t>《砖瓦行业大气污染物排放标准》）</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1、本项目不属于城镇污水处理厂；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2、本项目不属于火电、水泥等行业，不涉及燃煤锅炉；</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lang w:val="en-US" w:eastAsia="zh-CN"/>
              </w:rPr>
              <w:t>3、本项目不属于砖瓦行业。</w:t>
            </w:r>
          </w:p>
        </w:tc>
        <w:tc>
          <w:tcPr>
            <w:tcW w:w="809" w:type="dxa"/>
            <w:tcBorders>
              <w:tl2br w:val="nil"/>
              <w:tr2bl w:val="nil"/>
            </w:tcBorders>
            <w:vAlign w:val="center"/>
          </w:tcPr>
          <w:p>
            <w:pPr>
              <w:pStyle w:val="75"/>
              <w:spacing w:before="59"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spacing w:before="92" w:line="219" w:lineRule="auto"/>
              <w:rPr>
                <w:sz w:val="18"/>
                <w:szCs w:val="18"/>
              </w:rPr>
            </w:pPr>
            <w:r>
              <w:rPr>
                <w:b/>
                <w:bCs/>
                <w:spacing w:val="-2"/>
                <w:sz w:val="18"/>
                <w:szCs w:val="18"/>
              </w:rPr>
              <w:t>新增源等量或倍量替代：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-若上一年度空气质量年平均浓度不达标、水环境质量未达到要求，则建设项目新增相关污染物按照总量管控要求进行倍量削减替代。（依据：《建设项目主要污染物排放总量指标审核及管理暂行办法》）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-若上一年度空气环境质量、水环境质量达标，则建设项目新增相关污染物按照总量管控要求进行等量替代。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z w:val="18"/>
                <w:szCs w:val="18"/>
              </w:rPr>
            </w:pPr>
            <w:r>
              <w:rPr>
                <w:spacing w:val="2"/>
                <w:sz w:val="18"/>
                <w:szCs w:val="18"/>
              </w:rPr>
              <w:t>-新增VOCs排放的建设项目实行等量替代。（《四川省打赢蓝天保卫战实施方案》）</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1、本项目所在地水环境质量、空气质量均属于达标区；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lang w:val="en-US" w:eastAsia="zh-CN"/>
              </w:rPr>
              <w:t>2、本项目不涉及VOCs排放。</w:t>
            </w:r>
          </w:p>
        </w:tc>
        <w:tc>
          <w:tcPr>
            <w:tcW w:w="809" w:type="dxa"/>
            <w:tcBorders>
              <w:tl2br w:val="nil"/>
              <w:tr2bl w:val="nil"/>
            </w:tcBorders>
            <w:vAlign w:val="center"/>
          </w:tcPr>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9"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spacing w:before="92" w:line="219" w:lineRule="auto"/>
              <w:rPr>
                <w:sz w:val="18"/>
                <w:szCs w:val="18"/>
              </w:rPr>
            </w:pPr>
            <w:r>
              <w:rPr>
                <w:b/>
                <w:bCs/>
                <w:spacing w:val="-2"/>
                <w:sz w:val="18"/>
                <w:szCs w:val="18"/>
              </w:rPr>
              <w:t>污染物排放绩效水平准入要求：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b/>
                <w:bCs/>
                <w:spacing w:val="2"/>
                <w:sz w:val="18"/>
                <w:szCs w:val="18"/>
                <w:u w:val="single"/>
              </w:rPr>
              <w:t>水环境污染物</w:t>
            </w:r>
            <w:r>
              <w:rPr>
                <w:spacing w:val="2"/>
                <w:sz w:val="18"/>
                <w:szCs w:val="18"/>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-到2023年底，所有建制镇具备污水处理能力。（《广元市城镇污水处理设施建设三年推进实施方案（2021-2023年）》）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鼓励畜禽粪污还田利用。粪污经无害化处理后还田利用具体要求及限量应符合《畜禽粪便无害化处理技术规范》、《畜禽粪便还田技术规范》、《畜禽粪污土地承载力测算技术指南》。用于农田灌溉的，应符合《农田 灌溉水质标准》（GB5084）。（《关于进一步明确畜禽粪污还田利用要 求强化养殖污染监管的通知》）</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-屠宰项目应配套污水处理设施或进入城镇污水管网。鼓励新、改扩白酒酿造企业满足《四川省白酒产业环境准入指标体系分析》中提出的相应区域污染物排放约束性管控指标。</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b/>
                <w:bCs/>
                <w:spacing w:val="2"/>
                <w:sz w:val="18"/>
                <w:szCs w:val="18"/>
                <w:u w:val="single"/>
              </w:rPr>
              <w:t>大气环境</w:t>
            </w:r>
            <w:r>
              <w:rPr>
                <w:spacing w:val="2"/>
                <w:sz w:val="18"/>
                <w:szCs w:val="18"/>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严格控制道路扬尘。国省道路、高速路连接线等重点通行线路和建成区城乡结合部每天机械化清扫、冲洗不少于1次。强化城郊结合部扬尘污染管控。重点抓好重点交通建筑工地扬尘治理，切实加强城郊结合部重点货 车绕行道路扬尘治理。严控城市垃圾、落叶露天焚烧。（《四川省机动车和非道路移动机械排气污染防治办法》）</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固体废物：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到2023年底，乡镇及行政村生活垃圾收转运处置体系基本实现全覆盖。大力推进农村生活垃圾就地分类减量和资源化利用，因地制宜选择农村生活垃圾治理模式。建制镇污水处理设施产生的污泥原则上应纳入城市集中无害化处置范围。（广元市城乡生活垃圾处理设施建设三年推进实施方案 （2021-2023年））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spacing w:val="2"/>
                <w:sz w:val="18"/>
                <w:szCs w:val="18"/>
              </w:rPr>
            </w:pPr>
            <w:r>
              <w:rPr>
                <w:spacing w:val="2"/>
                <w:sz w:val="18"/>
                <w:szCs w:val="18"/>
              </w:rPr>
              <w:t>-力争2025年大中型矿山达到绿色矿山标准，引导小型矿山按照绿色矿山标准规范发展；加强矿山采选废水的处理和综合利用工作，选矿废水全部综合利用，不外排，采矿废水应尽量回用。（《国家绿色矿山建设规范》、《土壤污染防治行动计划》）</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rFonts w:ascii="Times New Roman" w:hAnsi="Times New Roman" w:eastAsia="Times New Roman" w:cs="Times New Roman"/>
                <w:spacing w:val="-3"/>
                <w:sz w:val="18"/>
                <w:szCs w:val="18"/>
              </w:rPr>
              <w:t>1</w:t>
            </w:r>
            <w:r>
              <w:rPr>
                <w:spacing w:val="2"/>
                <w:sz w:val="18"/>
                <w:szCs w:val="18"/>
                <w:lang w:val="en-US" w:eastAsia="zh-CN"/>
              </w:rPr>
              <w:t>、本项目不属于污水处理厂建设项目；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2、本项目不涉及畜禽粪污还田利用；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3、本项目不属于屠宰项目，不属于新、改扩建白酒酿造企业；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4、本次评价要求建设单位在施工期严控扬尘，对临时施 工道路定期清扫、冲洗；本项目不涉及城市垃圾、落叶露天焚烧；</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lang w:val="en-US" w:eastAsia="zh-CN"/>
              </w:rPr>
            </w:pPr>
            <w:r>
              <w:rPr>
                <w:spacing w:val="2"/>
                <w:sz w:val="18"/>
                <w:szCs w:val="18"/>
                <w:lang w:val="en-US" w:eastAsia="zh-CN"/>
              </w:rPr>
              <w:t>5、本项目生活垃圾由环卫部门定期清运；</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lang w:val="en-US" w:eastAsia="zh-CN"/>
              </w:rPr>
              <w:t>6、本项目不属于矿山项目。</w:t>
            </w:r>
          </w:p>
        </w:tc>
        <w:tc>
          <w:tcPr>
            <w:tcW w:w="809" w:type="dxa"/>
            <w:tcBorders>
              <w:tl2br w:val="nil"/>
              <w:tr2bl w:val="nil"/>
            </w:tcBorders>
            <w:vAlign w:val="center"/>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rPr>
              <w:t>环境风险</w:t>
            </w:r>
            <w:r>
              <w:rPr>
                <w:sz w:val="18"/>
                <w:szCs w:val="18"/>
              </w:rPr>
              <w:t xml:space="preserve"> </w:t>
            </w:r>
            <w:r>
              <w:rPr>
                <w:spacing w:val="-10"/>
                <w:sz w:val="18"/>
                <w:szCs w:val="18"/>
              </w:rPr>
              <w:t>防控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3"/>
                <w:sz w:val="18"/>
                <w:szCs w:val="18"/>
              </w:rPr>
              <w:t>联防联控要求：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1"/>
                <w:sz w:val="18"/>
                <w:szCs w:val="18"/>
              </w:rPr>
              <w:t>加强与嘉陵江上游甘肃陇南市、陕西汉中市环境风险联防联控</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1"/>
                <w:sz w:val="18"/>
                <w:szCs w:val="18"/>
              </w:rPr>
              <w:t>本次评价要求建设单位加强与嘉陵江上游甘肃陇南市、</w:t>
            </w:r>
            <w:r>
              <w:rPr>
                <w:spacing w:val="-2"/>
                <w:sz w:val="18"/>
                <w:szCs w:val="18"/>
              </w:rPr>
              <w:t>陕西汉中市环境风险联防联控。</w:t>
            </w:r>
          </w:p>
        </w:tc>
        <w:tc>
          <w:tcPr>
            <w:tcW w:w="809" w:type="dxa"/>
            <w:tcBorders>
              <w:tl2br w:val="nil"/>
              <w:tr2bl w:val="nil"/>
            </w:tcBorders>
            <w:vAlign w:val="center"/>
          </w:tcPr>
          <w:p>
            <w:pPr>
              <w:pStyle w:val="75"/>
              <w:spacing w:before="240"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9"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其他环境风险防控要求：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2"/>
                <w:sz w:val="18"/>
                <w:szCs w:val="18"/>
              </w:rPr>
            </w:pPr>
            <w:r>
              <w:rPr>
                <w:b/>
                <w:bCs/>
                <w:spacing w:val="2"/>
                <w:sz w:val="18"/>
                <w:szCs w:val="18"/>
                <w:u w:val="single"/>
              </w:rPr>
              <w:t>企业环境风险防控要求</w:t>
            </w:r>
            <w:r>
              <w:rPr>
                <w:spacing w:val="2"/>
                <w:sz w:val="18"/>
                <w:szCs w:val="18"/>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2"/>
                <w:sz w:val="18"/>
                <w:szCs w:val="18"/>
              </w:rPr>
              <w:t>-</w:t>
            </w:r>
            <w:r>
              <w:rPr>
                <w:spacing w:val="2"/>
                <w:sz w:val="18"/>
                <w:szCs w:val="18"/>
              </w:rPr>
              <w:t>工业企业退出用地，应</w:t>
            </w:r>
            <w:r>
              <w:rPr>
                <w:spacing w:val="1"/>
                <w:sz w:val="18"/>
                <w:szCs w:val="18"/>
              </w:rPr>
              <w:t>按相关要求进行评估、</w:t>
            </w:r>
            <w:r>
              <w:rPr>
                <w:spacing w:val="-11"/>
                <w:sz w:val="18"/>
                <w:szCs w:val="18"/>
              </w:rPr>
              <w:t>修复，满足相应用地功能后，方可改变用途。（《土壤污染防治行动计划》）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2"/>
                <w:sz w:val="18"/>
                <w:szCs w:val="18"/>
              </w:rPr>
              <w:t>-</w:t>
            </w:r>
            <w:r>
              <w:rPr>
                <w:spacing w:val="2"/>
                <w:sz w:val="18"/>
                <w:szCs w:val="18"/>
              </w:rPr>
              <w:t>加强</w:t>
            </w:r>
            <w:r>
              <w:rPr>
                <w:rFonts w:ascii="Times New Roman" w:hAnsi="Times New Roman" w:eastAsia="Times New Roman" w:cs="Times New Roman"/>
                <w:spacing w:val="2"/>
                <w:sz w:val="18"/>
                <w:szCs w:val="18"/>
              </w:rPr>
              <w:t>“</w:t>
            </w:r>
            <w:r>
              <w:rPr>
                <w:spacing w:val="2"/>
                <w:sz w:val="18"/>
                <w:szCs w:val="18"/>
              </w:rPr>
              <w:t>散乱污</w:t>
            </w:r>
            <w:r>
              <w:rPr>
                <w:rFonts w:ascii="Times New Roman" w:hAnsi="Times New Roman" w:eastAsia="Times New Roman" w:cs="Times New Roman"/>
                <w:spacing w:val="2"/>
                <w:sz w:val="18"/>
                <w:szCs w:val="18"/>
              </w:rPr>
              <w:t>”</w:t>
            </w:r>
            <w:r>
              <w:rPr>
                <w:spacing w:val="2"/>
                <w:sz w:val="18"/>
                <w:szCs w:val="18"/>
              </w:rPr>
              <w:t>企业环境风险防控。（《四川省打好</w:t>
            </w:r>
            <w:r>
              <w:rPr>
                <w:rFonts w:ascii="Times New Roman" w:hAnsi="Times New Roman" w:eastAsia="Times New Roman" w:cs="Times New Roman"/>
                <w:spacing w:val="2"/>
                <w:sz w:val="18"/>
                <w:szCs w:val="18"/>
              </w:rPr>
              <w:t>“</w:t>
            </w:r>
            <w:r>
              <w:rPr>
                <w:spacing w:val="2"/>
                <w:sz w:val="18"/>
                <w:szCs w:val="18"/>
              </w:rPr>
              <w:t>散乱污</w:t>
            </w:r>
            <w:r>
              <w:rPr>
                <w:rFonts w:ascii="Times New Roman" w:hAnsi="Times New Roman" w:eastAsia="Times New Roman" w:cs="Times New Roman"/>
                <w:spacing w:val="2"/>
                <w:sz w:val="18"/>
                <w:szCs w:val="18"/>
              </w:rPr>
              <w:t>”</w:t>
            </w:r>
            <w:r>
              <w:rPr>
                <w:spacing w:val="2"/>
                <w:sz w:val="18"/>
                <w:szCs w:val="18"/>
              </w:rPr>
              <w:t>企业整治攻</w:t>
            </w:r>
            <w:r>
              <w:rPr>
                <w:spacing w:val="9"/>
                <w:sz w:val="18"/>
                <w:szCs w:val="18"/>
              </w:rPr>
              <w:t xml:space="preserve"> </w:t>
            </w:r>
            <w:r>
              <w:rPr>
                <w:spacing w:val="-2"/>
                <w:sz w:val="18"/>
                <w:szCs w:val="18"/>
              </w:rPr>
              <w:t>坚战实施方案》）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1"/>
                <w:sz w:val="18"/>
                <w:szCs w:val="18"/>
              </w:rPr>
              <w:t>-</w:t>
            </w:r>
            <w:r>
              <w:rPr>
                <w:spacing w:val="1"/>
                <w:sz w:val="18"/>
                <w:szCs w:val="18"/>
              </w:rPr>
              <w:t>严禁新增铅、汞、镉、铬、砷五类重金属污染物排放，引导现有排放重</w:t>
            </w:r>
            <w:r>
              <w:rPr>
                <w:spacing w:val="-1"/>
                <w:sz w:val="18"/>
                <w:szCs w:val="18"/>
              </w:rPr>
              <w:t>金属企业结合产业升级等适时搬迁入园。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bCs/>
                <w:spacing w:val="-2"/>
                <w:sz w:val="18"/>
                <w:szCs w:val="18"/>
                <w:u w:val="single"/>
              </w:rPr>
            </w:pPr>
            <w:r>
              <w:rPr>
                <w:b/>
                <w:bCs/>
                <w:spacing w:val="-2"/>
                <w:sz w:val="18"/>
                <w:szCs w:val="18"/>
                <w:u w:val="single"/>
              </w:rPr>
              <w:t>用地环境风险防控要求：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建设用地</w:t>
            </w:r>
            <w:r>
              <w:rPr>
                <w:spacing w:val="-2"/>
                <w:sz w:val="18"/>
                <w:szCs w:val="18"/>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rFonts w:ascii="Times New Roman" w:hAnsi="Times New Roman" w:eastAsia="Times New Roman" w:cs="Times New Roman"/>
                <w:spacing w:val="1"/>
                <w:sz w:val="18"/>
                <w:szCs w:val="18"/>
              </w:rPr>
              <w:t>-</w:t>
            </w:r>
            <w:r>
              <w:rPr>
                <w:spacing w:val="1"/>
                <w:sz w:val="18"/>
                <w:szCs w:val="18"/>
              </w:rPr>
              <w:t>对拟收回土地使用权的有色金属矿采选、有色金属冶炼、石油加工、化</w:t>
            </w:r>
            <w:r>
              <w:rPr>
                <w:spacing w:val="-3"/>
                <w:sz w:val="18"/>
                <w:szCs w:val="18"/>
              </w:rPr>
              <w:t>工、焦化、电镀、制革、天然（页岩）气开采、铅蓄电池、汽车制造、农</w:t>
            </w:r>
            <w:r>
              <w:rPr>
                <w:spacing w:val="-6"/>
                <w:sz w:val="18"/>
                <w:szCs w:val="18"/>
              </w:rPr>
              <w:t>药、危废处置、电子拆解等行业企业用地，以及用途拟变更</w:t>
            </w:r>
            <w:r>
              <w:rPr>
                <w:spacing w:val="-7"/>
                <w:sz w:val="18"/>
                <w:szCs w:val="18"/>
              </w:rPr>
              <w:t>为居住和商业、</w:t>
            </w:r>
            <w:r>
              <w:rPr>
                <w:spacing w:val="-3"/>
                <w:sz w:val="18"/>
                <w:szCs w:val="18"/>
              </w:rPr>
              <w:t>学校、医疗、养老机构等公共设施的上述企业用地，由土地使用权人按照</w:t>
            </w:r>
            <w:r>
              <w:rPr>
                <w:spacing w:val="9"/>
                <w:sz w:val="18"/>
                <w:szCs w:val="18"/>
              </w:rPr>
              <w:t xml:space="preserve"> </w:t>
            </w:r>
            <w:r>
              <w:rPr>
                <w:spacing w:val="-3"/>
                <w:sz w:val="18"/>
                <w:szCs w:val="18"/>
              </w:rPr>
              <w:t>国家发布的建设用地土壤环境调查评估技术规定，开展土壤环境状况调查</w:t>
            </w:r>
            <w:r>
              <w:rPr>
                <w:spacing w:val="-13"/>
                <w:sz w:val="18"/>
                <w:szCs w:val="18"/>
              </w:rPr>
              <w:t>评估，符合相应规划用地土壤环境质量要求的地块，可进入用地程序。（《土</w:t>
            </w:r>
            <w:r>
              <w:rPr>
                <w:spacing w:val="-1"/>
                <w:sz w:val="18"/>
                <w:szCs w:val="18"/>
              </w:rPr>
              <w:t>壤污染防治行动计划广元市工作方案》）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农用地</w:t>
            </w:r>
            <w:r>
              <w:rPr>
                <w:spacing w:val="-2"/>
                <w:sz w:val="18"/>
                <w:szCs w:val="18"/>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2"/>
                <w:sz w:val="18"/>
                <w:szCs w:val="18"/>
              </w:rPr>
              <w:t>-</w:t>
            </w:r>
            <w:r>
              <w:rPr>
                <w:spacing w:val="-2"/>
                <w:sz w:val="18"/>
                <w:szCs w:val="18"/>
              </w:rPr>
              <w:t>到</w:t>
            </w:r>
            <w:r>
              <w:rPr>
                <w:spacing w:val="-28"/>
                <w:sz w:val="18"/>
                <w:szCs w:val="18"/>
              </w:rPr>
              <w:t xml:space="preserve"> </w:t>
            </w:r>
            <w:r>
              <w:rPr>
                <w:rFonts w:ascii="Times New Roman" w:hAnsi="Times New Roman" w:eastAsia="Times New Roman" w:cs="Times New Roman"/>
                <w:spacing w:val="-2"/>
                <w:sz w:val="18"/>
                <w:szCs w:val="18"/>
              </w:rPr>
              <w:t>2035</w:t>
            </w:r>
            <w:r>
              <w:rPr>
                <w:spacing w:val="-2"/>
                <w:sz w:val="18"/>
                <w:szCs w:val="18"/>
              </w:rPr>
              <w:t>年，全市受污染耕地安全利用率得到有效保障，污染地块安全利</w:t>
            </w:r>
            <w:r>
              <w:rPr>
                <w:spacing w:val="-7"/>
                <w:sz w:val="18"/>
                <w:szCs w:val="18"/>
              </w:rPr>
              <w:t>用率得到有效保障。严禁将城镇生活垃圾、污泥、工业废物直接用作肥料，</w:t>
            </w:r>
            <w:r>
              <w:rPr>
                <w:spacing w:val="-1"/>
                <w:sz w:val="18"/>
                <w:szCs w:val="18"/>
              </w:rPr>
              <w:t>禁止处理不达标的污泥进入耕地；禁止在农用地排放、倾倒、</w:t>
            </w:r>
            <w:r>
              <w:rPr>
                <w:spacing w:val="-2"/>
                <w:sz w:val="18"/>
                <w:szCs w:val="18"/>
              </w:rPr>
              <w:t>使用污泥、</w:t>
            </w:r>
            <w:r>
              <w:rPr>
                <w:spacing w:val="-3"/>
                <w:sz w:val="18"/>
                <w:szCs w:val="18"/>
              </w:rPr>
              <w:t>清淤底泥、尾矿（渣）等可能对土壤造成污染的固体废物。（《土壤污染</w:t>
            </w:r>
            <w:r>
              <w:rPr>
                <w:spacing w:val="-1"/>
                <w:sz w:val="18"/>
                <w:szCs w:val="18"/>
              </w:rPr>
              <w:t>防治行动计划》）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rFonts w:ascii="Times New Roman" w:hAnsi="Times New Roman" w:eastAsia="Times New Roman" w:cs="Times New Roman"/>
                <w:spacing w:val="1"/>
                <w:sz w:val="18"/>
                <w:szCs w:val="18"/>
              </w:rPr>
              <w:t>-</w:t>
            </w:r>
            <w:r>
              <w:rPr>
                <w:spacing w:val="1"/>
                <w:sz w:val="18"/>
                <w:szCs w:val="18"/>
              </w:rPr>
              <w:t>严格控制在优先保护类耕地集中的区县新建有色金属矿采选、有色金属</w:t>
            </w:r>
            <w:r>
              <w:rPr>
                <w:spacing w:val="-3"/>
                <w:sz w:val="18"/>
                <w:szCs w:val="18"/>
              </w:rPr>
              <w:t>冶炼、石油加工、化工、焦化、电镀、制革、天然（页岩）气开采、铅蓄电池、汽车制造、农药、危废处置、电子拆解、涉重等行业企业。严格控制林地、草地、园地的农药使用量，禁止使用高毒、高残留农药。（《土</w:t>
            </w:r>
            <w:r>
              <w:rPr>
                <w:sz w:val="18"/>
                <w:szCs w:val="18"/>
              </w:rPr>
              <w:t>壤污染防治行动计划》、《土壤污染防治行动计</w:t>
            </w:r>
            <w:r>
              <w:rPr>
                <w:spacing w:val="-1"/>
                <w:sz w:val="18"/>
                <w:szCs w:val="18"/>
              </w:rPr>
              <w:t>划广元市工作方案》</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2"/>
                <w:sz w:val="18"/>
                <w:szCs w:val="18"/>
              </w:rPr>
              <w:t>1</w:t>
            </w:r>
            <w:r>
              <w:rPr>
                <w:spacing w:val="-2"/>
                <w:sz w:val="18"/>
                <w:szCs w:val="18"/>
              </w:rPr>
              <w:t>、本项目建设不涉及工业企业退出用地，不新增用地；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4"/>
                <w:sz w:val="18"/>
                <w:szCs w:val="18"/>
              </w:rPr>
              <w:t>2</w:t>
            </w:r>
            <w:r>
              <w:rPr>
                <w:spacing w:val="-4"/>
                <w:sz w:val="18"/>
                <w:szCs w:val="18"/>
              </w:rPr>
              <w:t>、本项目不涉及铅、汞、镉、铬、砷五类重金属污染物</w:t>
            </w:r>
            <w:r>
              <w:rPr>
                <w:sz w:val="18"/>
                <w:szCs w:val="18"/>
              </w:rPr>
              <w:t xml:space="preserve"> </w:t>
            </w:r>
            <w:r>
              <w:rPr>
                <w:spacing w:val="-3"/>
                <w:sz w:val="18"/>
                <w:szCs w:val="18"/>
              </w:rPr>
              <w:t>排放；</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3"/>
                <w:sz w:val="18"/>
                <w:szCs w:val="18"/>
              </w:rPr>
              <w:t>3</w:t>
            </w:r>
            <w:r>
              <w:rPr>
                <w:spacing w:val="3"/>
                <w:sz w:val="18"/>
                <w:szCs w:val="18"/>
              </w:rPr>
              <w:t>、本项目用地不属于拟收回土地使用权的有色金属矿</w:t>
            </w:r>
            <w:r>
              <w:rPr>
                <w:sz w:val="18"/>
                <w:szCs w:val="18"/>
              </w:rPr>
              <w:t xml:space="preserve"> 采选、有色金属冶炼、石油加工、化工、焦化、电镀、制革、天然（页岩）气开采、铅蓄电池、汽车制造、农</w:t>
            </w:r>
            <w:r>
              <w:rPr>
                <w:spacing w:val="9"/>
                <w:sz w:val="18"/>
                <w:szCs w:val="18"/>
              </w:rPr>
              <w:t xml:space="preserve"> </w:t>
            </w:r>
            <w:r>
              <w:rPr>
                <w:sz w:val="18"/>
                <w:szCs w:val="18"/>
              </w:rPr>
              <w:t>药、危废处置、电子拆解等行业企业用地，以及用途拟</w:t>
            </w:r>
            <w:r>
              <w:rPr>
                <w:spacing w:val="9"/>
                <w:sz w:val="18"/>
                <w:szCs w:val="18"/>
              </w:rPr>
              <w:t xml:space="preserve"> </w:t>
            </w:r>
            <w:r>
              <w:rPr>
                <w:sz w:val="18"/>
                <w:szCs w:val="18"/>
              </w:rPr>
              <w:t>变更为居住和商业、学校、医疗、养老机构等公共设施</w:t>
            </w:r>
            <w:r>
              <w:rPr>
                <w:spacing w:val="-1"/>
                <w:sz w:val="18"/>
                <w:szCs w:val="18"/>
              </w:rPr>
              <w:t>的上述企业用地；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3"/>
                <w:sz w:val="18"/>
                <w:szCs w:val="18"/>
              </w:rPr>
              <w:t>4</w:t>
            </w:r>
            <w:r>
              <w:rPr>
                <w:spacing w:val="3"/>
                <w:sz w:val="18"/>
                <w:szCs w:val="18"/>
              </w:rPr>
              <w:t>、本次评价要求建设单位严格落实本报告提出的固废</w:t>
            </w:r>
            <w:r>
              <w:rPr>
                <w:sz w:val="18"/>
                <w:szCs w:val="18"/>
              </w:rPr>
              <w:t xml:space="preserve"> 治理措施，严禁将城镇生活垃圾、污泥、工业废物直接</w:t>
            </w:r>
            <w:r>
              <w:rPr>
                <w:spacing w:val="4"/>
                <w:sz w:val="18"/>
                <w:szCs w:val="18"/>
              </w:rPr>
              <w:t xml:space="preserve"> </w:t>
            </w:r>
            <w:r>
              <w:rPr>
                <w:sz w:val="18"/>
                <w:szCs w:val="18"/>
              </w:rPr>
              <w:t>用作肥料，禁止处理不达标的污泥进入耕地；禁止在农</w:t>
            </w:r>
            <w:r>
              <w:rPr>
                <w:spacing w:val="7"/>
                <w:sz w:val="18"/>
                <w:szCs w:val="18"/>
              </w:rPr>
              <w:t xml:space="preserve"> </w:t>
            </w:r>
            <w:r>
              <w:rPr>
                <w:sz w:val="18"/>
                <w:szCs w:val="18"/>
              </w:rPr>
              <w:t>用地排放、倾倒、使用污泥、清淤底泥、尾矿（渣）等</w:t>
            </w:r>
            <w:r>
              <w:rPr>
                <w:spacing w:val="-1"/>
                <w:sz w:val="18"/>
                <w:szCs w:val="18"/>
              </w:rPr>
              <w:t>可能对土壤造成污染的固体废物；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3"/>
                <w:sz w:val="18"/>
                <w:szCs w:val="18"/>
              </w:rPr>
              <w:t>5</w:t>
            </w:r>
            <w:r>
              <w:rPr>
                <w:spacing w:val="3"/>
                <w:sz w:val="18"/>
                <w:szCs w:val="18"/>
              </w:rPr>
              <w:t>、本项目不属于新建的有色金属矿采选、有色金属冶</w:t>
            </w:r>
            <w:r>
              <w:rPr>
                <w:sz w:val="18"/>
                <w:szCs w:val="18"/>
              </w:rPr>
              <w:t xml:space="preserve">  </w:t>
            </w:r>
            <w:r>
              <w:rPr>
                <w:spacing w:val="-4"/>
                <w:sz w:val="18"/>
                <w:szCs w:val="18"/>
              </w:rPr>
              <w:t>炼、石油加工、化工、焦化、电镀、制革、天然（页岩）</w:t>
            </w:r>
            <w:r>
              <w:rPr>
                <w:sz w:val="18"/>
                <w:szCs w:val="18"/>
              </w:rPr>
              <w:t>气开采、铅蓄电池、汽车制造、农药、危废处置、电子</w:t>
            </w:r>
            <w:r>
              <w:rPr>
                <w:spacing w:val="-1"/>
                <w:sz w:val="18"/>
                <w:szCs w:val="18"/>
              </w:rPr>
              <w:t>拆解、涉重等行业企业；不涉及农药使用。</w:t>
            </w:r>
          </w:p>
        </w:tc>
        <w:tc>
          <w:tcPr>
            <w:tcW w:w="809" w:type="dxa"/>
            <w:tcBorders>
              <w:tl2br w:val="nil"/>
              <w:tr2bl w:val="nil"/>
            </w:tcBorders>
            <w:vAlign w:val="center"/>
          </w:tcPr>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广</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3"/>
                <w:sz w:val="18"/>
                <w:szCs w:val="18"/>
              </w:rPr>
            </w:pPr>
            <w:r>
              <w:rPr>
                <w:spacing w:val="-3"/>
                <w:sz w:val="18"/>
                <w:szCs w:val="18"/>
              </w:rPr>
              <w:t>元</w:t>
            </w:r>
          </w:p>
          <w:p>
            <w:pPr>
              <w:jc w:val="center"/>
              <w:rPr>
                <w:rFonts w:ascii="Arial"/>
                <w:sz w:val="21"/>
              </w:rPr>
            </w:pPr>
            <w:r>
              <w:rPr>
                <w:spacing w:val="-3"/>
                <w:sz w:val="18"/>
                <w:szCs w:val="18"/>
              </w:rPr>
              <w:t>市</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普适</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性清</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单管</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0"/>
                <w:sz w:val="18"/>
                <w:szCs w:val="18"/>
              </w:rPr>
            </w:pPr>
            <w:r>
              <w:rPr>
                <w:spacing w:val="0"/>
                <w:sz w:val="18"/>
                <w:szCs w:val="18"/>
              </w:rPr>
              <w:t>控要</w:t>
            </w:r>
          </w:p>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Arial"/>
                <w:sz w:val="21"/>
              </w:rPr>
            </w:pPr>
            <w:r>
              <w:rPr>
                <w:spacing w:val="0"/>
                <w:sz w:val="18"/>
                <w:szCs w:val="18"/>
              </w:rPr>
              <w:t>求</w:t>
            </w:r>
          </w:p>
        </w:tc>
        <w:tc>
          <w:tcPr>
            <w:tcW w:w="420" w:type="dxa"/>
            <w:vMerge w:val="restart"/>
            <w:tcBorders>
              <w:tl2br w:val="nil"/>
              <w:tr2bl w:val="nil"/>
            </w:tcBorders>
            <w:vAlign w:val="center"/>
          </w:tcPr>
          <w:p>
            <w:pPr>
              <w:pStyle w:val="75"/>
              <w:spacing w:before="59" w:line="229" w:lineRule="auto"/>
              <w:ind w:left="196" w:right="194" w:firstLine="7"/>
              <w:jc w:val="both"/>
              <w:rPr>
                <w:sz w:val="18"/>
                <w:szCs w:val="18"/>
              </w:rPr>
            </w:pPr>
            <w:r>
              <w:rPr>
                <w:spacing w:val="-2"/>
                <w:sz w:val="18"/>
                <w:szCs w:val="18"/>
              </w:rPr>
              <w:t>资源开发利用效率</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3"/>
                <w:sz w:val="18"/>
                <w:szCs w:val="18"/>
              </w:rPr>
              <w:t>水资源利用总量要求：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105"/>
              <w:jc w:val="both"/>
              <w:textAlignment w:val="auto"/>
              <w:rPr>
                <w:sz w:val="18"/>
                <w:szCs w:val="18"/>
              </w:rPr>
            </w:pPr>
            <w:r>
              <w:rPr>
                <w:spacing w:val="-3"/>
                <w:sz w:val="18"/>
                <w:szCs w:val="18"/>
              </w:rPr>
              <w:t>加强农业灌溉管理，发展喷灌、微灌、管道输水灌溉、水肥一体化等高效农业节水灌溉方式和农耕农艺节水技术，提高输配水效率和调度水平。发展节水渔业、牧业，组织实施规模养殖场节水建设和改造，推行节水型畜</w:t>
            </w:r>
            <w:r>
              <w:rPr>
                <w:spacing w:val="-1"/>
                <w:sz w:val="18"/>
                <w:szCs w:val="18"/>
              </w:rPr>
              <w:t>禽养殖技术和方式。（《四川省节约用水办法》）</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1"/>
                <w:sz w:val="18"/>
                <w:szCs w:val="18"/>
              </w:rPr>
              <w:t>本项目不涉及大型灌区续建配套和节水改造。</w:t>
            </w:r>
          </w:p>
        </w:tc>
        <w:tc>
          <w:tcPr>
            <w:tcW w:w="809" w:type="dxa"/>
            <w:tcBorders>
              <w:tl2br w:val="nil"/>
              <w:tr2bl w:val="nil"/>
            </w:tcBorders>
            <w:vAlign w:val="center"/>
          </w:tcPr>
          <w:p>
            <w:pPr>
              <w:pStyle w:val="75"/>
              <w:spacing w:before="59"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3"/>
                <w:sz w:val="18"/>
                <w:szCs w:val="18"/>
              </w:rPr>
              <w:t>地下水开采要求：</w:t>
            </w: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1"/>
                <w:sz w:val="18"/>
                <w:szCs w:val="18"/>
              </w:rPr>
              <w:t>参照现行法律法规执行</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1"/>
                <w:sz w:val="18"/>
                <w:szCs w:val="18"/>
              </w:rPr>
              <w:t>本项目建设不涉及地下水开采。</w:t>
            </w:r>
          </w:p>
        </w:tc>
        <w:tc>
          <w:tcPr>
            <w:tcW w:w="809" w:type="dxa"/>
            <w:tcBorders>
              <w:tl2br w:val="nil"/>
              <w:tr2bl w:val="nil"/>
            </w:tcBorders>
            <w:vAlign w:val="center"/>
          </w:tcPr>
          <w:p>
            <w:pPr>
              <w:pStyle w:val="75"/>
              <w:spacing w:before="241"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rPr>
              <w:t>禁燃区要求：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1"/>
                <w:sz w:val="18"/>
                <w:szCs w:val="18"/>
              </w:rPr>
              <w:t>不再新建每小时</w:t>
            </w:r>
            <w:r>
              <w:rPr>
                <w:rFonts w:ascii="Times New Roman" w:hAnsi="Times New Roman" w:eastAsia="Times New Roman" w:cs="Times New Roman"/>
                <w:spacing w:val="-1"/>
                <w:sz w:val="18"/>
                <w:szCs w:val="18"/>
              </w:rPr>
              <w:t>10</w:t>
            </w:r>
            <w:r>
              <w:rPr>
                <w:spacing w:val="-1"/>
                <w:sz w:val="18"/>
                <w:szCs w:val="18"/>
              </w:rPr>
              <w:t>蒸吨以下的燃煤锅炉。积极实施煤改电、有序推进煤</w:t>
            </w:r>
            <w:r>
              <w:rPr>
                <w:spacing w:val="-3"/>
                <w:sz w:val="18"/>
                <w:szCs w:val="18"/>
              </w:rPr>
              <w:t>改气。鼓励工业窑炉煤改电、煤改气或集中供热。（《四川省打赢蓝天保</w:t>
            </w:r>
            <w:r>
              <w:rPr>
                <w:spacing w:val="-2"/>
                <w:sz w:val="18"/>
                <w:szCs w:val="18"/>
              </w:rPr>
              <w:t>卫战实施方案》</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1"/>
                <w:sz w:val="18"/>
                <w:szCs w:val="18"/>
              </w:rPr>
              <w:t>本项目不涉及燃煤锅炉建设，不涉及工业窑炉。</w:t>
            </w:r>
          </w:p>
        </w:tc>
        <w:tc>
          <w:tcPr>
            <w:tcW w:w="809" w:type="dxa"/>
            <w:tcBorders>
              <w:tl2br w:val="nil"/>
              <w:tr2bl w:val="nil"/>
            </w:tcBorders>
            <w:vAlign w:val="center"/>
          </w:tcPr>
          <w:p>
            <w:pPr>
              <w:pStyle w:val="75"/>
              <w:spacing w:before="58" w:line="219" w:lineRule="auto"/>
              <w:ind w:left="229"/>
              <w:rPr>
                <w:spacing w:val="-5"/>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2"/>
                <w:sz w:val="18"/>
                <w:szCs w:val="18"/>
              </w:rPr>
              <w:t>旺苍县一般管控单元</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z w:val="18"/>
                <w:szCs w:val="18"/>
              </w:rPr>
              <w:t>环境综合管控单元一</w:t>
            </w:r>
            <w:r>
              <w:rPr>
                <w:spacing w:val="-2"/>
                <w:sz w:val="18"/>
                <w:szCs w:val="18"/>
              </w:rPr>
              <w:t>般管控单元</w:t>
            </w:r>
            <w:r>
              <w:rPr>
                <w:rFonts w:ascii="Times New Roman" w:hAnsi="Times New Roman" w:eastAsia="Times New Roman" w:cs="Times New Roman"/>
                <w:spacing w:val="-1"/>
                <w:sz w:val="18"/>
                <w:szCs w:val="18"/>
              </w:rPr>
              <w:t>ZH51082130001</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pacing w:val="-2"/>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2"/>
                <w:sz w:val="18"/>
                <w:szCs w:val="18"/>
              </w:rPr>
              <w:t>单元级清单管控要求</w:t>
            </w: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sz w:val="18"/>
                <w:szCs w:val="18"/>
              </w:rPr>
            </w:pP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0"/>
                <w:sz w:val="18"/>
                <w:szCs w:val="18"/>
              </w:rPr>
              <w:t>空间布局 约束</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禁止开发建设活动的要求：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pacing w:val="-2"/>
                <w:sz w:val="18"/>
                <w:szCs w:val="18"/>
              </w:rPr>
              <w:t>同一般管控单元总体准入要求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spacing w:before="239"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b/>
                <w:bCs/>
                <w:spacing w:val="-3"/>
                <w:sz w:val="18"/>
                <w:szCs w:val="18"/>
              </w:rPr>
            </w:pPr>
            <w:r>
              <w:rPr>
                <w:b/>
                <w:bCs/>
                <w:spacing w:val="-3"/>
                <w:sz w:val="18"/>
                <w:szCs w:val="18"/>
              </w:rPr>
              <w:t>限制开发建设活动的要求：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pacing w:val="-2"/>
                <w:sz w:val="18"/>
                <w:szCs w:val="18"/>
              </w:rPr>
              <w:t>同一般管控单元总体准入要求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3"/>
                <w:sz w:val="18"/>
                <w:szCs w:val="18"/>
              </w:rPr>
              <w:t>允许开发建设活动的要求：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pacing w:val="-2"/>
                <w:sz w:val="18"/>
                <w:szCs w:val="18"/>
              </w:rPr>
              <w:t>同一般管控单元总体准入要求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不符合空间布局要求活动的退出要求：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pacing w:val="-2"/>
                <w:sz w:val="18"/>
                <w:szCs w:val="18"/>
              </w:rPr>
              <w:t>同一般管控单元总体准入要求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0"/>
                <w:sz w:val="18"/>
                <w:szCs w:val="18"/>
              </w:rPr>
              <w:t>污染物排 放管</w:t>
            </w:r>
            <w:r>
              <w:rPr>
                <w:spacing w:val="-3"/>
                <w:sz w:val="18"/>
                <w:szCs w:val="18"/>
              </w:rPr>
              <w:t>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3"/>
                <w:sz w:val="18"/>
                <w:szCs w:val="18"/>
              </w:rPr>
              <w:t>现有源提标升级改造：</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8"/>
              <w:textAlignment w:val="auto"/>
              <w:rPr>
                <w:sz w:val="18"/>
                <w:szCs w:val="18"/>
              </w:rPr>
            </w:pPr>
            <w:r>
              <w:rPr>
                <w:spacing w:val="-3"/>
                <w:sz w:val="18"/>
                <w:szCs w:val="18"/>
              </w:rPr>
              <w:t>同一般管控单元总体准入要求。单元内的大气重点管控区执行</w:t>
            </w:r>
            <w:r>
              <w:rPr>
                <w:spacing w:val="-4"/>
                <w:sz w:val="18"/>
                <w:szCs w:val="18"/>
              </w:rPr>
              <w:t>要素重点管</w:t>
            </w:r>
            <w:r>
              <w:rPr>
                <w:spacing w:val="-2"/>
                <w:sz w:val="18"/>
                <w:szCs w:val="18"/>
              </w:rPr>
              <w:t>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新增源等量或倍量替代：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8"/>
              <w:textAlignment w:val="auto"/>
              <w:rPr>
                <w:sz w:val="18"/>
                <w:szCs w:val="18"/>
              </w:rPr>
            </w:pPr>
            <w:r>
              <w:rPr>
                <w:spacing w:val="-3"/>
                <w:sz w:val="18"/>
                <w:szCs w:val="18"/>
              </w:rPr>
              <w:t>同一般管控单元总体准入要求。单元内的大气重点管控区执行</w:t>
            </w:r>
            <w:r>
              <w:rPr>
                <w:spacing w:val="-4"/>
                <w:sz w:val="18"/>
                <w:szCs w:val="18"/>
              </w:rPr>
              <w:t>要素重点管</w:t>
            </w:r>
            <w:r>
              <w:rPr>
                <w:spacing w:val="-2"/>
                <w:sz w:val="18"/>
                <w:szCs w:val="18"/>
              </w:rPr>
              <w:t>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污染物排放绩效水平准入要求：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8"/>
              <w:textAlignment w:val="auto"/>
              <w:rPr>
                <w:sz w:val="18"/>
                <w:szCs w:val="18"/>
              </w:rPr>
            </w:pPr>
            <w:r>
              <w:rPr>
                <w:spacing w:val="-3"/>
                <w:sz w:val="18"/>
                <w:szCs w:val="18"/>
              </w:rPr>
              <w:t>同一般管控单元总体准入要求。单元内的大气重点管控区执行</w:t>
            </w:r>
            <w:r>
              <w:rPr>
                <w:spacing w:val="-4"/>
                <w:sz w:val="18"/>
                <w:szCs w:val="18"/>
              </w:rPr>
              <w:t>要素重点管</w:t>
            </w:r>
            <w:r>
              <w:rPr>
                <w:spacing w:val="-2"/>
                <w:sz w:val="18"/>
                <w:szCs w:val="18"/>
              </w:rPr>
              <w:t>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其他污染物排放管控要求：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8"/>
              <w:textAlignment w:val="auto"/>
              <w:rPr>
                <w:sz w:val="18"/>
                <w:szCs w:val="18"/>
              </w:rPr>
            </w:pPr>
            <w:r>
              <w:rPr>
                <w:spacing w:val="-3"/>
                <w:sz w:val="18"/>
                <w:szCs w:val="18"/>
              </w:rPr>
              <w:t>同一般管控单元总体准入要求。单元内的大气重点管控区执行</w:t>
            </w:r>
            <w:r>
              <w:rPr>
                <w:spacing w:val="-4"/>
                <w:sz w:val="18"/>
                <w:szCs w:val="18"/>
              </w:rPr>
              <w:t>要素重点管</w:t>
            </w:r>
            <w:r>
              <w:rPr>
                <w:spacing w:val="-2"/>
                <w:sz w:val="18"/>
                <w:szCs w:val="18"/>
              </w:rPr>
              <w:t>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2"/>
                <w:sz w:val="18"/>
                <w:szCs w:val="18"/>
              </w:rPr>
              <w:t>环境风险</w:t>
            </w:r>
            <w:r>
              <w:rPr>
                <w:sz w:val="18"/>
                <w:szCs w:val="18"/>
              </w:rPr>
              <w:t xml:space="preserve"> </w:t>
            </w:r>
            <w:r>
              <w:rPr>
                <w:spacing w:val="-10"/>
                <w:sz w:val="18"/>
                <w:szCs w:val="18"/>
              </w:rPr>
              <w:t>防控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2"/>
                <w:sz w:val="18"/>
                <w:szCs w:val="18"/>
              </w:rPr>
              <w:t>严格管控类农用地管控要求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4"/>
              <w:textAlignment w:val="auto"/>
              <w:rPr>
                <w:sz w:val="18"/>
                <w:szCs w:val="18"/>
              </w:rPr>
            </w:pPr>
            <w:r>
              <w:rPr>
                <w:spacing w:val="-3"/>
                <w:sz w:val="18"/>
                <w:szCs w:val="18"/>
              </w:rPr>
              <w:t>同一般管控单元总体准入要求。单元内的土壤优先保护区执行</w:t>
            </w:r>
            <w:r>
              <w:rPr>
                <w:spacing w:val="-4"/>
                <w:sz w:val="18"/>
                <w:szCs w:val="18"/>
              </w:rPr>
              <w:t>土壤要素优</w:t>
            </w:r>
            <w:r>
              <w:rPr>
                <w:spacing w:val="-2"/>
                <w:sz w:val="18"/>
                <w:szCs w:val="18"/>
              </w:rPr>
              <w:t>先保护管控要求。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b/>
                <w:bCs/>
                <w:spacing w:val="-3"/>
                <w:sz w:val="18"/>
                <w:szCs w:val="18"/>
              </w:rPr>
              <w:t>安全利用类农用地管控要求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14"/>
              <w:textAlignment w:val="auto"/>
              <w:rPr>
                <w:sz w:val="18"/>
                <w:szCs w:val="18"/>
              </w:rPr>
            </w:pPr>
            <w:r>
              <w:rPr>
                <w:spacing w:val="-3"/>
                <w:sz w:val="18"/>
                <w:szCs w:val="18"/>
              </w:rPr>
              <w:t>同一般管控单元总体准入要求。单元内的土壤优先保护区执行</w:t>
            </w:r>
            <w:r>
              <w:rPr>
                <w:spacing w:val="-4"/>
                <w:sz w:val="18"/>
                <w:szCs w:val="18"/>
              </w:rPr>
              <w:t>土壤要素优</w:t>
            </w:r>
            <w:r>
              <w:rPr>
                <w:spacing w:val="-2"/>
                <w:sz w:val="18"/>
                <w:szCs w:val="18"/>
              </w:rPr>
              <w:t>先保护管控要求。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w:t>
            </w:r>
            <w:r>
              <w:rPr>
                <w:spacing w:val="8"/>
                <w:sz w:val="18"/>
                <w:szCs w:val="18"/>
              </w:rPr>
              <w:t xml:space="preserve"> </w:t>
            </w:r>
            <w:r>
              <w:rPr>
                <w:spacing w:val="-3"/>
                <w:sz w:val="18"/>
                <w:szCs w:val="18"/>
              </w:rPr>
              <w:t>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rPr>
              <w:t>污染地块管控要求：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3"/>
                <w:sz w:val="18"/>
                <w:szCs w:val="18"/>
              </w:rPr>
              <w:t>同一般管控单元总体准入要求。单元内的土壤优先保护区执行</w:t>
            </w:r>
            <w:r>
              <w:rPr>
                <w:spacing w:val="-4"/>
                <w:sz w:val="18"/>
                <w:szCs w:val="18"/>
              </w:rPr>
              <w:t>土壤要素优</w:t>
            </w:r>
            <w:r>
              <w:rPr>
                <w:spacing w:val="-2"/>
                <w:sz w:val="18"/>
                <w:szCs w:val="18"/>
              </w:rPr>
              <w:t>先保护管控要求。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本次评价要求建设单位严格执行一般管控单元总体准入 要求。</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spacing w:val="-5"/>
                <w:kern w:val="2"/>
                <w:sz w:val="18"/>
                <w:szCs w:val="18"/>
                <w:lang w:val="en-US" w:eastAsia="en-US" w:bidi="ar-SA"/>
              </w:rPr>
            </w:pPr>
            <w:r>
              <w:rPr>
                <w:rFonts w:ascii="宋体" w:hAnsi="宋体" w:eastAsia="宋体" w:cs="宋体"/>
                <w:spacing w:val="-5"/>
                <w:kern w:val="2"/>
                <w:sz w:val="18"/>
                <w:szCs w:val="18"/>
                <w:lang w:val="en-US" w:eastAsia="en-US"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2"/>
                <w:sz w:val="18"/>
                <w:szCs w:val="18"/>
              </w:rPr>
              <w:t>资源开发利用效率</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3"/>
                <w:sz w:val="18"/>
                <w:szCs w:val="18"/>
              </w:rPr>
              <w:t>水资源利用效率要求：</w:t>
            </w: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2"/>
                <w:sz w:val="18"/>
                <w:szCs w:val="18"/>
              </w:rPr>
              <w:t>同广元市、旺苍县总体准入要求。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z w:val="18"/>
                <w:szCs w:val="18"/>
              </w:rPr>
              <w:t>本次评价要求建设单位广元市、旺苍县总体准入要求。</w:t>
            </w:r>
          </w:p>
        </w:tc>
        <w:tc>
          <w:tcPr>
            <w:tcW w:w="809" w:type="dxa"/>
            <w:tcBorders>
              <w:tl2br w:val="nil"/>
              <w:tr2bl w:val="nil"/>
            </w:tcBorders>
            <w:vAlign w:val="center"/>
          </w:tcPr>
          <w:p>
            <w:pPr>
              <w:pStyle w:val="75"/>
              <w:spacing w:before="237"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Times New Roman" w:hAnsi="Times New Roman" w:eastAsia="Times New Roman" w:cs="Times New Roman"/>
                <w:sz w:val="18"/>
                <w:szCs w:val="18"/>
              </w:rPr>
            </w:pPr>
            <w:r>
              <w:rPr>
                <w:spacing w:val="-3"/>
                <w:sz w:val="18"/>
                <w:szCs w:val="18"/>
              </w:rPr>
              <w:t>东河-旺苍县-喻家咀-控制单元-控制单元水环境一般管控区 YS5108213210002</w:t>
            </w:r>
          </w:p>
        </w:tc>
        <w:tc>
          <w:tcPr>
            <w:tcW w:w="57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3"/>
                <w:sz w:val="18"/>
                <w:szCs w:val="18"/>
              </w:rPr>
              <w:t>单元级清单管控要求</w:t>
            </w: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4"/>
                <w:sz w:val="18"/>
                <w:szCs w:val="18"/>
              </w:rPr>
              <w:t>空间布局</w:t>
            </w:r>
            <w:r>
              <w:rPr>
                <w:spacing w:val="2"/>
                <w:sz w:val="18"/>
                <w:szCs w:val="18"/>
              </w:rPr>
              <w:t xml:space="preserve"> </w:t>
            </w:r>
            <w:r>
              <w:rPr>
                <w:spacing w:val="-6"/>
                <w:sz w:val="18"/>
                <w:szCs w:val="18"/>
              </w:rPr>
              <w:t>约束</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2"/>
                <w:sz w:val="18"/>
                <w:szCs w:val="18"/>
              </w:rPr>
              <w:t>禁止开发建设活动的要求：</w:t>
            </w:r>
          </w:p>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pacing w:val="-2"/>
                <w:sz w:val="18"/>
                <w:szCs w:val="18"/>
              </w:rPr>
              <w:t>不再新建、改扩建开采规模在</w:t>
            </w:r>
            <w:r>
              <w:rPr>
                <w:rFonts w:ascii="Times New Roman" w:hAnsi="Times New Roman" w:eastAsia="Times New Roman" w:cs="Times New Roman"/>
                <w:spacing w:val="-2"/>
                <w:sz w:val="18"/>
                <w:szCs w:val="18"/>
              </w:rPr>
              <w:t>50</w:t>
            </w:r>
            <w:r>
              <w:rPr>
                <w:spacing w:val="-2"/>
                <w:sz w:val="18"/>
                <w:szCs w:val="18"/>
              </w:rPr>
              <w:t>万吨</w:t>
            </w:r>
            <w:r>
              <w:rPr>
                <w:rFonts w:ascii="Times New Roman" w:hAnsi="Times New Roman" w:eastAsia="Times New Roman" w:cs="Times New Roman"/>
                <w:spacing w:val="-2"/>
                <w:sz w:val="18"/>
                <w:szCs w:val="18"/>
              </w:rPr>
              <w:t>/</w:t>
            </w:r>
            <w:r>
              <w:rPr>
                <w:spacing w:val="-2"/>
                <w:sz w:val="18"/>
                <w:szCs w:val="18"/>
              </w:rPr>
              <w:t>年以下的磷矿，不再新建露天磷矿</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z w:val="18"/>
                <w:szCs w:val="18"/>
              </w:rPr>
              <w:t>本项目建设不属于新、改扩建的磷矿开采项目。</w:t>
            </w:r>
          </w:p>
        </w:tc>
        <w:tc>
          <w:tcPr>
            <w:tcW w:w="809" w:type="dxa"/>
            <w:tcBorders>
              <w:tl2br w:val="nil"/>
              <w:tr2bl w:val="nil"/>
            </w:tcBorders>
            <w:vAlign w:val="center"/>
          </w:tcPr>
          <w:p>
            <w:pPr>
              <w:pStyle w:val="75"/>
              <w:spacing w:before="236"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3"/>
                <w:sz w:val="18"/>
                <w:szCs w:val="18"/>
              </w:rPr>
              <w:t>污染物排</w:t>
            </w:r>
            <w:r>
              <w:rPr>
                <w:spacing w:val="2"/>
                <w:sz w:val="18"/>
                <w:szCs w:val="18"/>
              </w:rPr>
              <w:t xml:space="preserve"> </w:t>
            </w:r>
            <w:r>
              <w:rPr>
                <w:spacing w:val="-3"/>
                <w:sz w:val="18"/>
                <w:szCs w:val="18"/>
              </w:rPr>
              <w:t>放管控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b/>
                <w:bCs/>
                <w:spacing w:val="-2"/>
                <w:sz w:val="18"/>
                <w:szCs w:val="18"/>
              </w:rPr>
              <w:t>城镇污水污染控制措施要求：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105" w:firstLine="12"/>
              <w:jc w:val="both"/>
              <w:textAlignment w:val="auto"/>
              <w:rPr>
                <w:sz w:val="18"/>
                <w:szCs w:val="18"/>
              </w:rPr>
            </w:pPr>
            <w:r>
              <w:rPr>
                <w:rFonts w:ascii="Times New Roman" w:hAnsi="Times New Roman" w:eastAsia="Times New Roman" w:cs="Times New Roman"/>
                <w:spacing w:val="-3"/>
                <w:sz w:val="18"/>
                <w:szCs w:val="18"/>
              </w:rPr>
              <w:t>1</w:t>
            </w:r>
            <w:r>
              <w:rPr>
                <w:spacing w:val="-3"/>
                <w:sz w:val="18"/>
                <w:szCs w:val="18"/>
              </w:rPr>
              <w:t>、持续推进环保基础设施补短板，完善污水收集处理系统。</w:t>
            </w:r>
            <w:r>
              <w:rPr>
                <w:rFonts w:ascii="Times New Roman" w:hAnsi="Times New Roman" w:eastAsia="Times New Roman" w:cs="Times New Roman"/>
                <w:spacing w:val="-3"/>
                <w:sz w:val="18"/>
                <w:szCs w:val="18"/>
              </w:rPr>
              <w:t>2</w:t>
            </w:r>
            <w:r>
              <w:rPr>
                <w:spacing w:val="-3"/>
                <w:sz w:val="18"/>
                <w:szCs w:val="18"/>
              </w:rPr>
              <w:t>、保障乡镇</w:t>
            </w:r>
            <w:r>
              <w:rPr>
                <w:spacing w:val="-2"/>
                <w:sz w:val="18"/>
                <w:szCs w:val="18"/>
              </w:rPr>
              <w:t>污水收集处理设施顺畅运行。</w:t>
            </w:r>
            <w:r>
              <w:rPr>
                <w:rFonts w:ascii="Times New Roman" w:hAnsi="Times New Roman" w:eastAsia="Times New Roman" w:cs="Times New Roman"/>
                <w:spacing w:val="-2"/>
                <w:sz w:val="18"/>
                <w:szCs w:val="18"/>
              </w:rPr>
              <w:t>3</w:t>
            </w:r>
            <w:r>
              <w:rPr>
                <w:spacing w:val="-2"/>
                <w:sz w:val="18"/>
                <w:szCs w:val="18"/>
              </w:rPr>
              <w:t>、推进污水直排口排查与</w:t>
            </w:r>
            <w:r>
              <w:rPr>
                <w:spacing w:val="-3"/>
                <w:sz w:val="18"/>
                <w:szCs w:val="18"/>
              </w:rPr>
              <w:t>整治，落实</w:t>
            </w:r>
            <w:r>
              <w:rPr>
                <w:rFonts w:ascii="Times New Roman" w:hAnsi="Times New Roman" w:eastAsia="Times New Roman" w:cs="Times New Roman"/>
                <w:spacing w:val="-3"/>
                <w:sz w:val="18"/>
                <w:szCs w:val="18"/>
              </w:rPr>
              <w:t>“</w:t>
            </w:r>
            <w:r>
              <w:rPr>
                <w:spacing w:val="-3"/>
                <w:sz w:val="18"/>
                <w:szCs w:val="18"/>
              </w:rPr>
              <w:t>一口</w:t>
            </w:r>
            <w:r>
              <w:rPr>
                <w:spacing w:val="-2"/>
                <w:sz w:val="18"/>
                <w:szCs w:val="18"/>
              </w:rPr>
              <w:t>一策</w:t>
            </w:r>
            <w:r>
              <w:rPr>
                <w:rFonts w:ascii="Times New Roman" w:hAnsi="Times New Roman" w:eastAsia="Times New Roman" w:cs="Times New Roman"/>
                <w:spacing w:val="-2"/>
                <w:sz w:val="18"/>
                <w:szCs w:val="18"/>
              </w:rPr>
              <w:t>”</w:t>
            </w:r>
            <w:r>
              <w:rPr>
                <w:spacing w:val="-2"/>
                <w:sz w:val="18"/>
                <w:szCs w:val="18"/>
              </w:rPr>
              <w:t>整改措施。</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18"/>
                <w:szCs w:val="18"/>
              </w:rPr>
            </w:pPr>
            <w:r>
              <w:rPr>
                <w:sz w:val="18"/>
                <w:szCs w:val="18"/>
              </w:rPr>
              <w:t>本项目施工期废水经施工营地简易化粪池处理后用于周边农田施肥</w:t>
            </w:r>
            <w:r>
              <w:rPr>
                <w:rFonts w:hint="eastAsia"/>
                <w:sz w:val="18"/>
                <w:szCs w:val="18"/>
                <w:lang w:eastAsia="zh-CN"/>
              </w:rPr>
              <w:t>；</w:t>
            </w:r>
            <w:r>
              <w:rPr>
                <w:sz w:val="18"/>
                <w:szCs w:val="18"/>
              </w:rPr>
              <w:t>运营期生活污水经</w:t>
            </w:r>
            <w:r>
              <w:rPr>
                <w:spacing w:val="2"/>
                <w:sz w:val="18"/>
                <w:szCs w:val="18"/>
              </w:rPr>
              <w:t>化粪池处理达《污水综合排放标准》（</w:t>
            </w:r>
            <w:r>
              <w:rPr>
                <w:rFonts w:ascii="Times New Roman" w:hAnsi="Times New Roman" w:eastAsia="Times New Roman" w:cs="Times New Roman"/>
                <w:sz w:val="18"/>
                <w:szCs w:val="18"/>
              </w:rPr>
              <w:t>GB</w:t>
            </w:r>
            <w:r>
              <w:rPr>
                <w:rFonts w:ascii="Times New Roman" w:hAnsi="Times New Roman" w:eastAsia="Times New Roman" w:cs="Times New Roman"/>
                <w:spacing w:val="2"/>
                <w:sz w:val="18"/>
                <w:szCs w:val="18"/>
              </w:rPr>
              <w:t>8978-1996</w:t>
            </w:r>
            <w:r>
              <w:rPr>
                <w:spacing w:val="2"/>
                <w:sz w:val="18"/>
                <w:szCs w:val="18"/>
              </w:rPr>
              <w:t>）</w:t>
            </w:r>
            <w:r>
              <w:rPr>
                <w:sz w:val="18"/>
                <w:szCs w:val="18"/>
              </w:rPr>
              <w:t>三级标准后委托市政环卫部门采用密闭罐车清运至附近</w:t>
            </w:r>
            <w:r>
              <w:rPr>
                <w:spacing w:val="-1"/>
                <w:sz w:val="18"/>
                <w:szCs w:val="18"/>
              </w:rPr>
              <w:t>乡镇污水处理厂处置。</w:t>
            </w:r>
          </w:p>
        </w:tc>
        <w:tc>
          <w:tcPr>
            <w:tcW w:w="809" w:type="dxa"/>
            <w:tcBorders>
              <w:tl2br w:val="nil"/>
              <w:tr2bl w:val="nil"/>
            </w:tcBorders>
            <w:vAlign w:val="center"/>
          </w:tcPr>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rPr>
              <w:t>工业废水污染控制措施要求：</w:t>
            </w:r>
          </w:p>
          <w:p>
            <w:pPr>
              <w:pStyle w:val="75"/>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right="0" w:firstLine="0"/>
              <w:jc w:val="both"/>
              <w:textAlignment w:val="auto"/>
              <w:rPr>
                <w:spacing w:val="-1"/>
                <w:sz w:val="18"/>
                <w:szCs w:val="18"/>
              </w:rPr>
            </w:pPr>
            <w:r>
              <w:rPr>
                <w:spacing w:val="-1"/>
                <w:sz w:val="18"/>
                <w:szCs w:val="18"/>
              </w:rPr>
              <w:t>落实主要污染物排放总量指标控制要求，加强入河排污口登记、审批和监督管理。</w:t>
            </w:r>
          </w:p>
          <w:p>
            <w:pPr>
              <w:pStyle w:val="75"/>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right="0" w:firstLine="0"/>
              <w:jc w:val="both"/>
              <w:textAlignment w:val="auto"/>
              <w:rPr>
                <w:sz w:val="18"/>
                <w:szCs w:val="18"/>
              </w:rPr>
            </w:pPr>
            <w:r>
              <w:rPr>
                <w:spacing w:val="-1"/>
                <w:sz w:val="18"/>
                <w:szCs w:val="18"/>
              </w:rPr>
              <w:t>强化流域内工业点源、规模化畜禽养殖场运行监管，避</w:t>
            </w:r>
            <w:r>
              <w:rPr>
                <w:spacing w:val="-2"/>
                <w:sz w:val="18"/>
                <w:szCs w:val="18"/>
              </w:rPr>
              <w:t>免偷排、漏排。</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1"/>
                <w:sz w:val="18"/>
                <w:szCs w:val="18"/>
              </w:rPr>
              <w:t>本项目建设不涉及工业废水排放。</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8"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vMerge w:val="continue"/>
            <w:tcBorders>
              <w:tl2br w:val="nil"/>
              <w:tr2bl w:val="nil"/>
            </w:tcBorders>
            <w:vAlign w:val="center"/>
          </w:tcPr>
          <w:p>
            <w:pP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农业面源水污染控制措施要求：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rFonts w:ascii="Times New Roman" w:hAnsi="Times New Roman" w:eastAsia="Times New Roman" w:cs="Times New Roman"/>
                <w:spacing w:val="-4"/>
                <w:sz w:val="18"/>
                <w:szCs w:val="18"/>
              </w:rPr>
              <w:t>1</w:t>
            </w:r>
            <w:r>
              <w:rPr>
                <w:spacing w:val="-4"/>
                <w:sz w:val="18"/>
                <w:szCs w:val="18"/>
              </w:rPr>
              <w:t>、推进农村污染治理，稳步农村污水处理设施建设，</w:t>
            </w:r>
            <w:r>
              <w:rPr>
                <w:spacing w:val="-5"/>
                <w:sz w:val="18"/>
                <w:szCs w:val="18"/>
              </w:rPr>
              <w:t>适当预留发展空间，</w:t>
            </w:r>
            <w:r>
              <w:rPr>
                <w:spacing w:val="-3"/>
                <w:sz w:val="18"/>
                <w:szCs w:val="18"/>
              </w:rPr>
              <w:t>宜集中则集中，宜分散则分散。大力推进农村生活垃圾就地分类减量和资</w:t>
            </w:r>
            <w:r>
              <w:rPr>
                <w:spacing w:val="-2"/>
                <w:sz w:val="18"/>
                <w:szCs w:val="18"/>
              </w:rPr>
              <w:t>源化利用，因地制宜选择农村生活垃圾治理模式。严格做好</w:t>
            </w:r>
            <w:r>
              <w:rPr>
                <w:rFonts w:ascii="Times New Roman" w:hAnsi="Times New Roman" w:eastAsia="Times New Roman" w:cs="Times New Roman"/>
                <w:spacing w:val="-2"/>
                <w:sz w:val="18"/>
                <w:szCs w:val="18"/>
              </w:rPr>
              <w:t>“</w:t>
            </w:r>
            <w:r>
              <w:rPr>
                <w:spacing w:val="-2"/>
                <w:sz w:val="18"/>
                <w:szCs w:val="18"/>
              </w:rPr>
              <w:t>农家乐</w:t>
            </w:r>
            <w:r>
              <w:rPr>
                <w:rFonts w:ascii="Times New Roman" w:hAnsi="Times New Roman" w:eastAsia="Times New Roman" w:cs="Times New Roman"/>
                <w:spacing w:val="-2"/>
                <w:sz w:val="18"/>
                <w:szCs w:val="18"/>
              </w:rPr>
              <w:t>”</w:t>
            </w:r>
            <w:r>
              <w:rPr>
                <w:spacing w:val="-2"/>
                <w:sz w:val="18"/>
                <w:szCs w:val="18"/>
              </w:rPr>
              <w:t>、种</w:t>
            </w:r>
            <w:r>
              <w:rPr>
                <w:sz w:val="18"/>
                <w:szCs w:val="18"/>
              </w:rPr>
              <w:t>植采摘园等范围内的生活及农产品产生污水</w:t>
            </w:r>
            <w:r>
              <w:rPr>
                <w:spacing w:val="-1"/>
                <w:sz w:val="18"/>
                <w:szCs w:val="18"/>
              </w:rPr>
              <w:t>及垃圾治理。</w:t>
            </w:r>
            <w:r>
              <w:rPr>
                <w:rFonts w:ascii="Times New Roman" w:hAnsi="Times New Roman" w:eastAsia="Times New Roman" w:cs="Times New Roman"/>
                <w:spacing w:val="-1"/>
                <w:sz w:val="18"/>
                <w:szCs w:val="18"/>
              </w:rPr>
              <w:t>2</w:t>
            </w:r>
            <w:r>
              <w:rPr>
                <w:spacing w:val="-1"/>
                <w:sz w:val="18"/>
                <w:szCs w:val="18"/>
              </w:rPr>
              <w:t>、以环境承载</w:t>
            </w:r>
            <w:r>
              <w:rPr>
                <w:spacing w:val="-3"/>
                <w:sz w:val="18"/>
                <w:szCs w:val="18"/>
              </w:rPr>
              <w:t>能力为约束，合理规划水产养殖空间及规模；推进水产生态健康养殖，加强渔业生产过程中抗菌药物使用管控。推进水产养殖治理，水产养殖废水应处理达到《四川省水产养殖业水污染物排放标准》后排放；实施池塘标</w:t>
            </w:r>
            <w:r>
              <w:rPr>
                <w:sz w:val="18"/>
                <w:szCs w:val="18"/>
              </w:rPr>
              <w:t>准化改造，完善循环水和进排水处理设施；推进养殖尾水节水减排。</w:t>
            </w:r>
            <w:r>
              <w:rPr>
                <w:rFonts w:ascii="Times New Roman" w:hAnsi="Times New Roman" w:eastAsia="Times New Roman" w:cs="Times New Roman"/>
                <w:sz w:val="18"/>
                <w:szCs w:val="18"/>
              </w:rPr>
              <w:t>3</w:t>
            </w:r>
            <w:r>
              <w:rPr>
                <w:sz w:val="18"/>
                <w:szCs w:val="18"/>
              </w:rPr>
              <w:t>、</w:t>
            </w:r>
            <w:r>
              <w:rPr>
                <w:spacing w:val="-3"/>
                <w:sz w:val="18"/>
                <w:szCs w:val="18"/>
              </w:rPr>
              <w:t>以环境承载能力为约束，合理规划畜禽养殖空间及规模；推进畜禽粪污分类处置，根据排放去向或利用方式的不同执行相应的标准规范。不断提高</w:t>
            </w:r>
            <w:r>
              <w:rPr>
                <w:spacing w:val="14"/>
                <w:sz w:val="18"/>
                <w:szCs w:val="18"/>
              </w:rPr>
              <w:t xml:space="preserve"> </w:t>
            </w:r>
            <w:r>
              <w:rPr>
                <w:spacing w:val="-3"/>
                <w:sz w:val="18"/>
                <w:szCs w:val="18"/>
              </w:rPr>
              <w:t>畜禽养殖粪污资源化利用率及利用水平；设有污水排放口的规模化畜禽养</w:t>
            </w:r>
            <w:r>
              <w:rPr>
                <w:spacing w:val="-1"/>
                <w:sz w:val="18"/>
                <w:szCs w:val="18"/>
              </w:rPr>
              <w:t>殖场应当依法申领排污许可证。</w:t>
            </w:r>
            <w:r>
              <w:rPr>
                <w:rFonts w:ascii="Times New Roman" w:hAnsi="Times New Roman" w:eastAsia="Times New Roman" w:cs="Times New Roman"/>
                <w:spacing w:val="-1"/>
                <w:sz w:val="18"/>
                <w:szCs w:val="18"/>
              </w:rPr>
              <w:t>4</w:t>
            </w:r>
            <w:r>
              <w:rPr>
                <w:spacing w:val="-1"/>
                <w:sz w:val="18"/>
                <w:szCs w:val="18"/>
              </w:rPr>
              <w:t>、推进化肥、农药使用量</w:t>
            </w:r>
            <w:r>
              <w:rPr>
                <w:rFonts w:ascii="Times New Roman" w:hAnsi="Times New Roman" w:eastAsia="Times New Roman" w:cs="Times New Roman"/>
                <w:spacing w:val="-1"/>
                <w:sz w:val="18"/>
                <w:szCs w:val="18"/>
              </w:rPr>
              <w:t>“</w:t>
            </w:r>
            <w:r>
              <w:rPr>
                <w:spacing w:val="-1"/>
                <w:sz w:val="18"/>
                <w:szCs w:val="18"/>
              </w:rPr>
              <w:t>零增长</w:t>
            </w:r>
            <w:r>
              <w:rPr>
                <w:rFonts w:ascii="Times New Roman" w:hAnsi="Times New Roman" w:eastAsia="Times New Roman" w:cs="Times New Roman"/>
                <w:spacing w:val="-1"/>
                <w:sz w:val="18"/>
                <w:szCs w:val="18"/>
              </w:rPr>
              <w:t>”</w:t>
            </w:r>
            <w:r>
              <w:rPr>
                <w:spacing w:val="-1"/>
                <w:sz w:val="18"/>
                <w:szCs w:val="18"/>
              </w:rPr>
              <w:t>，逐步推进农田径流拦截及治理。</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z w:val="18"/>
                <w:szCs w:val="18"/>
              </w:rPr>
              <w:t>本项目建设不涉及</w:t>
            </w:r>
            <w:r>
              <w:rPr>
                <w:rFonts w:ascii="Times New Roman" w:hAnsi="Times New Roman" w:eastAsia="Times New Roman" w:cs="Times New Roman"/>
                <w:sz w:val="18"/>
                <w:szCs w:val="18"/>
              </w:rPr>
              <w:t>“</w:t>
            </w:r>
            <w:r>
              <w:rPr>
                <w:sz w:val="18"/>
                <w:szCs w:val="18"/>
              </w:rPr>
              <w:t>农家乐</w:t>
            </w:r>
            <w:r>
              <w:rPr>
                <w:rFonts w:ascii="Times New Roman" w:hAnsi="Times New Roman" w:eastAsia="Times New Roman" w:cs="Times New Roman"/>
                <w:sz w:val="18"/>
                <w:szCs w:val="18"/>
              </w:rPr>
              <w:t>”</w:t>
            </w:r>
            <w:r>
              <w:rPr>
                <w:sz w:val="18"/>
                <w:szCs w:val="18"/>
              </w:rPr>
              <w:t>、种植采摘园等，不涉及水</w:t>
            </w:r>
            <w:r>
              <w:rPr>
                <w:spacing w:val="-1"/>
                <w:sz w:val="18"/>
                <w:szCs w:val="18"/>
              </w:rPr>
              <w:t>产养殖、畜禽养殖及化肥、农药使用。</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textDirection w:val="tbRlV"/>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2"/>
                <w:sz w:val="18"/>
                <w:szCs w:val="18"/>
              </w:rPr>
              <w:t>环境风险</w:t>
            </w:r>
            <w:r>
              <w:rPr>
                <w:sz w:val="18"/>
                <w:szCs w:val="18"/>
              </w:rPr>
              <w:t xml:space="preserve"> </w:t>
            </w:r>
            <w:r>
              <w:rPr>
                <w:spacing w:val="-10"/>
                <w:sz w:val="18"/>
                <w:szCs w:val="18"/>
              </w:rPr>
              <w:t>防控</w:t>
            </w:r>
          </w:p>
        </w:tc>
        <w:tc>
          <w:tcPr>
            <w:tcW w:w="6820" w:type="dxa"/>
            <w:tcBorders>
              <w:tl2br w:val="nil"/>
              <w:tr2bl w:val="nil"/>
            </w:tcBorders>
            <w:vAlign w:val="center"/>
          </w:tcPr>
          <w:p>
            <w:pPr>
              <w:pStyle w:val="75"/>
              <w:spacing w:before="96" w:line="232" w:lineRule="auto"/>
              <w:ind w:left="113" w:right="105" w:hanging="5"/>
              <w:jc w:val="both"/>
              <w:rPr>
                <w:sz w:val="18"/>
                <w:szCs w:val="18"/>
              </w:rPr>
            </w:pPr>
            <w:r>
              <w:rPr>
                <w:spacing w:val="-3"/>
                <w:sz w:val="18"/>
                <w:szCs w:val="18"/>
              </w:rPr>
              <w:t>进一步完善工业企业和矿山环境风险防范和管理体系建设，开展企业风险隐患排查与风险评估，增强企业的环境风险意识，守住环境安全底线。落</w:t>
            </w:r>
            <w:r>
              <w:rPr>
                <w:sz w:val="18"/>
                <w:szCs w:val="18"/>
              </w:rPr>
              <w:t>实</w:t>
            </w:r>
            <w:r>
              <w:rPr>
                <w:rFonts w:ascii="Times New Roman" w:hAnsi="Times New Roman" w:eastAsia="Times New Roman" w:cs="Times New Roman"/>
                <w:sz w:val="18"/>
                <w:szCs w:val="18"/>
              </w:rPr>
              <w:t>“</w:t>
            </w:r>
            <w:r>
              <w:rPr>
                <w:sz w:val="18"/>
                <w:szCs w:val="18"/>
              </w:rPr>
              <w:t>一河一策一图</w:t>
            </w:r>
            <w:r>
              <w:rPr>
                <w:rFonts w:ascii="Times New Roman" w:hAnsi="Times New Roman" w:eastAsia="Times New Roman" w:cs="Times New Roman"/>
                <w:sz w:val="18"/>
                <w:szCs w:val="18"/>
              </w:rPr>
              <w:t>”</w:t>
            </w:r>
            <w:r>
              <w:rPr>
                <w:sz w:val="18"/>
                <w:szCs w:val="18"/>
              </w:rPr>
              <w:t>风险管理和应急响应方案</w:t>
            </w:r>
            <w:r>
              <w:rPr>
                <w:spacing w:val="-1"/>
                <w:sz w:val="18"/>
                <w:szCs w:val="18"/>
              </w:rPr>
              <w:t>，提升风险应急管理水平。</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textAlignment w:val="auto"/>
              <w:rPr>
                <w:sz w:val="18"/>
                <w:szCs w:val="18"/>
              </w:rPr>
            </w:pPr>
            <w:r>
              <w:rPr>
                <w:sz w:val="18"/>
                <w:szCs w:val="18"/>
              </w:rPr>
              <w:t>本项目建设不属于工业企业和矿山项目。</w:t>
            </w:r>
          </w:p>
        </w:tc>
        <w:tc>
          <w:tcPr>
            <w:tcW w:w="809" w:type="dxa"/>
            <w:tcBorders>
              <w:tl2br w:val="nil"/>
              <w:tr2bl w:val="nil"/>
            </w:tcBorders>
            <w:vAlign w:val="center"/>
          </w:tcPr>
          <w:p>
            <w:pPr>
              <w:pStyle w:val="75"/>
              <w:spacing w:before="58" w:line="219" w:lineRule="auto"/>
              <w:ind w:left="229"/>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bottom w:val="single" w:color="auto" w:sz="4" w:space="0"/>
              <w:tl2br w:val="nil"/>
              <w:tr2bl w:val="nil"/>
            </w:tcBorders>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4"/>
                <w:sz w:val="18"/>
                <w:szCs w:val="18"/>
              </w:rPr>
              <w:t>资源开发</w:t>
            </w:r>
            <w:r>
              <w:rPr>
                <w:sz w:val="18"/>
                <w:szCs w:val="18"/>
              </w:rPr>
              <w:t xml:space="preserve"> </w:t>
            </w:r>
            <w:r>
              <w:rPr>
                <w:spacing w:val="-2"/>
                <w:sz w:val="18"/>
                <w:szCs w:val="18"/>
              </w:rPr>
              <w:t>利用效率</w:t>
            </w:r>
          </w:p>
        </w:tc>
        <w:tc>
          <w:tcPr>
            <w:tcW w:w="6820" w:type="dxa"/>
            <w:tcBorders>
              <w:tl2br w:val="nil"/>
              <w:tr2bl w:val="nil"/>
            </w:tcBorders>
            <w:vAlign w:val="center"/>
          </w:tcPr>
          <w:p>
            <w:pPr>
              <w:pStyle w:val="75"/>
              <w:spacing w:before="58" w:line="219" w:lineRule="auto"/>
              <w:ind w:left="113"/>
              <w:rPr>
                <w:sz w:val="18"/>
                <w:szCs w:val="18"/>
              </w:rPr>
            </w:pPr>
            <w:r>
              <w:rPr>
                <w:spacing w:val="-1"/>
                <w:sz w:val="18"/>
                <w:szCs w:val="18"/>
              </w:rPr>
              <w:t>强化种植业节水；推进农村污水分质资源化利用。</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z w:val="18"/>
                <w:szCs w:val="18"/>
              </w:rPr>
              <w:t>本项目不属于种植业</w:t>
            </w:r>
            <w:r>
              <w:rPr>
                <w:spacing w:val="-1"/>
                <w:sz w:val="18"/>
                <w:szCs w:val="18"/>
              </w:rPr>
              <w:t>。</w:t>
            </w:r>
          </w:p>
        </w:tc>
        <w:tc>
          <w:tcPr>
            <w:tcW w:w="809" w:type="dxa"/>
            <w:tcBorders>
              <w:tl2br w:val="nil"/>
              <w:tr2bl w:val="nil"/>
            </w:tcBorders>
            <w:vAlign w:val="center"/>
          </w:tcPr>
          <w:p>
            <w:pPr>
              <w:spacing w:before="51"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2"/>
                <w:sz w:val="18"/>
                <w:szCs w:val="18"/>
              </w:rPr>
              <w:t>旺苍县大气环境一般</w:t>
            </w:r>
            <w:r>
              <w:rPr>
                <w:spacing w:val="1"/>
                <w:sz w:val="18"/>
                <w:szCs w:val="18"/>
              </w:rPr>
              <w:t xml:space="preserve"> </w:t>
            </w:r>
            <w:r>
              <w:rPr>
                <w:spacing w:val="-4"/>
                <w:sz w:val="18"/>
                <w:szCs w:val="18"/>
              </w:rPr>
              <w:t>管控区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Times New Roman" w:cs="Times New Roman"/>
                <w:sz w:val="18"/>
                <w:szCs w:val="18"/>
              </w:rPr>
            </w:pPr>
            <w:r>
              <w:rPr>
                <w:spacing w:val="-2"/>
                <w:sz w:val="18"/>
                <w:szCs w:val="18"/>
              </w:rPr>
              <w:t>YS5108213310001</w:t>
            </w:r>
          </w:p>
        </w:tc>
        <w:tc>
          <w:tcPr>
            <w:tcW w:w="575" w:type="dxa"/>
            <w:vMerge w:val="restart"/>
            <w:tcBorders>
              <w:top w:val="single" w:color="auto" w:sz="4" w:space="0"/>
              <w:tl2br w:val="nil"/>
              <w:tr2bl w:val="nil"/>
            </w:tcBorders>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4"/>
                <w:sz w:val="18"/>
                <w:szCs w:val="18"/>
              </w:rPr>
              <w:t>空间布局</w:t>
            </w:r>
            <w:r>
              <w:rPr>
                <w:spacing w:val="2"/>
                <w:sz w:val="18"/>
                <w:szCs w:val="18"/>
              </w:rPr>
              <w:t xml:space="preserve"> </w:t>
            </w:r>
            <w:r>
              <w:rPr>
                <w:spacing w:val="-6"/>
                <w:sz w:val="18"/>
                <w:szCs w:val="18"/>
              </w:rPr>
              <w:t>约束</w:t>
            </w:r>
          </w:p>
        </w:tc>
        <w:tc>
          <w:tcPr>
            <w:tcW w:w="6820" w:type="dxa"/>
            <w:tcBorders>
              <w:tl2br w:val="nil"/>
              <w:tr2bl w:val="nil"/>
            </w:tcBorders>
            <w:vAlign w:val="center"/>
          </w:tcPr>
          <w:p>
            <w:pPr>
              <w:spacing w:before="232" w:line="192" w:lineRule="auto"/>
              <w:ind w:left="292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550" w:type="dxa"/>
            <w:tcBorders>
              <w:tl2br w:val="nil"/>
              <w:tr2bl w:val="nil"/>
            </w:tcBorders>
            <w:vAlign w:val="center"/>
          </w:tcPr>
          <w:p>
            <w:pPr>
              <w:spacing w:before="232" w:line="192" w:lineRule="auto"/>
              <w:ind w:left="224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09" w:type="dxa"/>
            <w:tcBorders>
              <w:tl2br w:val="nil"/>
              <w:tr2bl w:val="nil"/>
            </w:tcBorders>
            <w:vAlign w:val="center"/>
          </w:tcPr>
          <w:p>
            <w:pPr>
              <w:spacing w:before="232"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3"/>
                <w:sz w:val="18"/>
                <w:szCs w:val="18"/>
              </w:rPr>
              <w:t>污染物排</w:t>
            </w:r>
            <w:r>
              <w:rPr>
                <w:spacing w:val="2"/>
                <w:sz w:val="18"/>
                <w:szCs w:val="18"/>
              </w:rPr>
              <w:t xml:space="preserve"> </w:t>
            </w:r>
            <w:r>
              <w:rPr>
                <w:spacing w:val="-3"/>
                <w:sz w:val="18"/>
                <w:szCs w:val="18"/>
              </w:rPr>
              <w:t>放管控</w:t>
            </w: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3"/>
                <w:sz w:val="18"/>
                <w:szCs w:val="18"/>
              </w:rPr>
              <w:t>大气环境质量执行标准：</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1"/>
                <w:sz w:val="18"/>
                <w:szCs w:val="18"/>
              </w:rPr>
              <w:t>《环境空气质量标准》（</w:t>
            </w:r>
            <w:r>
              <w:rPr>
                <w:rFonts w:ascii="Times New Roman" w:hAnsi="Times New Roman" w:eastAsia="Times New Roman" w:cs="Times New Roman"/>
                <w:spacing w:val="-1"/>
                <w:sz w:val="18"/>
                <w:szCs w:val="18"/>
              </w:rPr>
              <w:t>GB3095-2012</w:t>
            </w:r>
            <w:r>
              <w:rPr>
                <w:spacing w:val="4"/>
                <w:sz w:val="18"/>
                <w:szCs w:val="18"/>
              </w:rPr>
              <w:t>）：</w:t>
            </w:r>
            <w:r>
              <w:rPr>
                <w:spacing w:val="-1"/>
                <w:sz w:val="18"/>
                <w:szCs w:val="18"/>
              </w:rPr>
              <w:t>二级</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37"/>
                <w:sz w:val="18"/>
                <w:szCs w:val="18"/>
              </w:rPr>
              <w:t>本项目所在区域执行《环境空气质量标准》</w:t>
            </w:r>
            <w:r>
              <w:rPr>
                <w:spacing w:val="-1"/>
                <w:sz w:val="18"/>
                <w:szCs w:val="18"/>
              </w:rPr>
              <w:t>（</w:t>
            </w:r>
            <w:r>
              <w:rPr>
                <w:rFonts w:ascii="Times New Roman" w:hAnsi="Times New Roman" w:eastAsia="Times New Roman" w:cs="Times New Roman"/>
                <w:spacing w:val="-1"/>
                <w:sz w:val="18"/>
                <w:szCs w:val="18"/>
              </w:rPr>
              <w:t>GB3095-2012</w:t>
            </w:r>
            <w:r>
              <w:rPr>
                <w:spacing w:val="-1"/>
                <w:sz w:val="18"/>
                <w:szCs w:val="18"/>
              </w:rPr>
              <w:t>）二级标准。</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vMerge w:val="continue"/>
            <w:tcBorders>
              <w:tl2br w:val="nil"/>
              <w:tr2bl w:val="nil"/>
            </w:tcBorders>
            <w:vAlign w:val="center"/>
          </w:tcPr>
          <w:p>
            <w:pPr>
              <w:jc w:val="center"/>
              <w:rPr>
                <w:rFonts w:ascii="Arial"/>
                <w:sz w:val="21"/>
              </w:rPr>
            </w:pPr>
          </w:p>
        </w:tc>
        <w:tc>
          <w:tcPr>
            <w:tcW w:w="68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b/>
                <w:bCs/>
                <w:spacing w:val="-2"/>
                <w:sz w:val="18"/>
                <w:szCs w:val="18"/>
              </w:rPr>
              <w:t>其他大气污染物排放管控要求：</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3"/>
                <w:sz w:val="18"/>
                <w:szCs w:val="18"/>
              </w:rPr>
              <w:t>减少工业化、城镇化对大气环境的影响，严格执行国家、省、市下达的相</w:t>
            </w:r>
            <w:r>
              <w:rPr>
                <w:spacing w:val="-1"/>
                <w:sz w:val="18"/>
                <w:szCs w:val="18"/>
              </w:rPr>
              <w:t>关大气污染防治要求。</w:t>
            </w:r>
          </w:p>
        </w:tc>
        <w:tc>
          <w:tcPr>
            <w:tcW w:w="455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z w:val="18"/>
                <w:szCs w:val="18"/>
              </w:rPr>
              <w:t>本次评价要求建设单位严格落实大气污染防治法律法规</w:t>
            </w:r>
            <w:r>
              <w:rPr>
                <w:spacing w:val="8"/>
                <w:sz w:val="18"/>
                <w:szCs w:val="18"/>
              </w:rPr>
              <w:t xml:space="preserve"> </w:t>
            </w:r>
            <w:r>
              <w:rPr>
                <w:spacing w:val="-1"/>
                <w:sz w:val="18"/>
                <w:szCs w:val="18"/>
              </w:rPr>
              <w:t>要求，加强绿色管控，加强绿化建设。</w:t>
            </w:r>
          </w:p>
        </w:tc>
        <w:tc>
          <w:tcPr>
            <w:tcW w:w="809"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18"/>
                <w:szCs w:val="18"/>
              </w:rPr>
            </w:pPr>
            <w:r>
              <w:rPr>
                <w:spacing w:val="-2"/>
                <w:sz w:val="18"/>
                <w:szCs w:val="18"/>
              </w:rPr>
              <w:t>环境风险</w:t>
            </w:r>
            <w:r>
              <w:rPr>
                <w:sz w:val="18"/>
                <w:szCs w:val="18"/>
              </w:rPr>
              <w:t xml:space="preserve"> </w:t>
            </w:r>
            <w:r>
              <w:rPr>
                <w:spacing w:val="-10"/>
                <w:sz w:val="18"/>
                <w:szCs w:val="18"/>
              </w:rPr>
              <w:t>防控</w:t>
            </w:r>
          </w:p>
        </w:tc>
        <w:tc>
          <w:tcPr>
            <w:tcW w:w="6820" w:type="dxa"/>
            <w:tcBorders>
              <w:tl2br w:val="nil"/>
              <w:tr2bl w:val="nil"/>
            </w:tcBorders>
            <w:vAlign w:val="center"/>
          </w:tcPr>
          <w:p>
            <w:pPr>
              <w:spacing w:before="235" w:line="192" w:lineRule="auto"/>
              <w:ind w:left="292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550" w:type="dxa"/>
            <w:tcBorders>
              <w:tl2br w:val="nil"/>
              <w:tr2bl w:val="nil"/>
            </w:tcBorders>
            <w:vAlign w:val="center"/>
          </w:tcPr>
          <w:p>
            <w:pPr>
              <w:spacing w:before="235" w:line="192" w:lineRule="auto"/>
              <w:ind w:left="224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09" w:type="dxa"/>
            <w:tcBorders>
              <w:tl2br w:val="nil"/>
              <w:tr2bl w:val="nil"/>
            </w:tcBorders>
            <w:vAlign w:val="center"/>
          </w:tcPr>
          <w:p>
            <w:pPr>
              <w:spacing w:before="235"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jc w:val="center"/>
        </w:trPr>
        <w:tc>
          <w:tcPr>
            <w:tcW w:w="588" w:type="dxa"/>
            <w:vMerge w:val="continue"/>
            <w:tcBorders>
              <w:tl2br w:val="nil"/>
              <w:tr2bl w:val="nil"/>
            </w:tcBorders>
            <w:vAlign w:val="center"/>
          </w:tcPr>
          <w:p>
            <w:pPr>
              <w:rPr>
                <w:rFonts w:ascii="Arial"/>
                <w:sz w:val="21"/>
              </w:rPr>
            </w:pPr>
          </w:p>
        </w:tc>
        <w:tc>
          <w:tcPr>
            <w:tcW w:w="575" w:type="dxa"/>
            <w:vMerge w:val="continue"/>
            <w:tcBorders>
              <w:tl2br w:val="nil"/>
              <w:tr2bl w:val="nil"/>
            </w:tcBorders>
            <w:vAlign w:val="center"/>
          </w:tcPr>
          <w:p>
            <w:pPr>
              <w:rPr>
                <w:rFonts w:ascii="Arial"/>
                <w:sz w:val="21"/>
              </w:rPr>
            </w:pPr>
          </w:p>
        </w:tc>
        <w:tc>
          <w:tcPr>
            <w:tcW w:w="4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18"/>
                <w:szCs w:val="18"/>
              </w:rPr>
            </w:pPr>
            <w:r>
              <w:rPr>
                <w:spacing w:val="-4"/>
                <w:sz w:val="18"/>
                <w:szCs w:val="18"/>
              </w:rPr>
              <w:t>资源开发</w:t>
            </w:r>
            <w:r>
              <w:rPr>
                <w:sz w:val="18"/>
                <w:szCs w:val="18"/>
              </w:rPr>
              <w:t xml:space="preserve"> </w:t>
            </w:r>
            <w:r>
              <w:rPr>
                <w:spacing w:val="-2"/>
                <w:sz w:val="18"/>
                <w:szCs w:val="18"/>
              </w:rPr>
              <w:t>利用效率</w:t>
            </w:r>
          </w:p>
        </w:tc>
        <w:tc>
          <w:tcPr>
            <w:tcW w:w="6820" w:type="dxa"/>
            <w:tcBorders>
              <w:tl2br w:val="nil"/>
              <w:tr2bl w:val="nil"/>
            </w:tcBorders>
            <w:vAlign w:val="center"/>
          </w:tcPr>
          <w:p>
            <w:pPr>
              <w:spacing w:before="235" w:line="192" w:lineRule="auto"/>
              <w:ind w:left="292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550" w:type="dxa"/>
            <w:tcBorders>
              <w:tl2br w:val="nil"/>
              <w:tr2bl w:val="nil"/>
            </w:tcBorders>
            <w:vAlign w:val="center"/>
          </w:tcPr>
          <w:p>
            <w:pPr>
              <w:spacing w:before="235" w:line="192" w:lineRule="auto"/>
              <w:ind w:left="2248"/>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09" w:type="dxa"/>
            <w:tcBorders>
              <w:tl2br w:val="nil"/>
              <w:tr2bl w:val="nil"/>
            </w:tcBorders>
            <w:vAlign w:val="center"/>
          </w:tcPr>
          <w:p>
            <w:pPr>
              <w:spacing w:before="235" w:line="192" w:lineRule="auto"/>
              <w:ind w:left="37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eastAsia="黑体"/>
          <w:sz w:val="30"/>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eastAsia="黑体"/>
          <w:sz w:val="30"/>
        </w:rPr>
        <w:sectPr>
          <w:pgSz w:w="16838" w:h="11905" w:orient="landscape"/>
          <w:pgMar w:top="1531" w:right="1701" w:bottom="1531" w:left="1701" w:header="851" w:footer="1077" w:gutter="0"/>
          <w:pgBorders>
            <w:top w:val="none" w:sz="0" w:space="0"/>
            <w:left w:val="none" w:sz="0" w:space="0"/>
            <w:bottom w:val="none" w:sz="0" w:space="0"/>
            <w:right w:val="none" w:sz="0" w:space="0"/>
          </w:pgBorders>
          <w:cols w:space="0" w:num="1"/>
          <w:rtlGutter w:val="0"/>
          <w:docGrid w:linePitch="312" w:charSpace="0"/>
        </w:sectPr>
      </w:pPr>
    </w:p>
    <w:tbl>
      <w:tblPr>
        <w:tblStyle w:val="23"/>
        <w:tblW w:w="9346"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29"/>
        <w:gridCol w:w="8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 w:hRule="atLeast"/>
        </w:trPr>
        <w:tc>
          <w:tcPr>
            <w:tcW w:w="829" w:type="dxa"/>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8517" w:type="dxa"/>
            <w:tcMar>
              <w:top w:w="16" w:type="dxa"/>
              <w:left w:w="16" w:type="dxa"/>
              <w:right w:w="16" w:type="dxa"/>
            </w:tcMar>
            <w:vAlign w:val="center"/>
          </w:tcPr>
          <w:p>
            <w:pPr>
              <w:autoSpaceDE w:val="0"/>
              <w:autoSpaceDN w:val="0"/>
              <w:adjustRightInd w:val="0"/>
              <w:snapToGrid w:val="0"/>
              <w:spacing w:line="360" w:lineRule="auto"/>
              <w:rPr>
                <w:b/>
                <w:bCs/>
                <w:kern w:val="0"/>
                <w:sz w:val="24"/>
              </w:rPr>
            </w:pPr>
            <w:r>
              <w:rPr>
                <w:rFonts w:hint="eastAsia"/>
                <w:b/>
                <w:bCs/>
                <w:kern w:val="0"/>
                <w:sz w:val="24"/>
                <w:lang w:val="en-US" w:eastAsia="zh-CN"/>
              </w:rPr>
              <w:t>三</w:t>
            </w:r>
            <w:r>
              <w:rPr>
                <w:rFonts w:hint="eastAsia"/>
                <w:b/>
                <w:bCs/>
                <w:kern w:val="0"/>
                <w:sz w:val="24"/>
              </w:rPr>
              <w:t>、</w:t>
            </w:r>
            <w:r>
              <w:rPr>
                <w:b/>
                <w:bCs/>
                <w:kern w:val="0"/>
                <w:sz w:val="24"/>
              </w:rPr>
              <w:t>与</w:t>
            </w:r>
            <w:r>
              <w:rPr>
                <w:rFonts w:hint="eastAsia"/>
                <w:b/>
                <w:bCs/>
                <w:kern w:val="0"/>
                <w:sz w:val="24"/>
                <w:lang w:val="en-US" w:eastAsia="zh-CN"/>
              </w:rPr>
              <w:t>广元市</w:t>
            </w:r>
            <w:r>
              <w:rPr>
                <w:b/>
                <w:bCs/>
                <w:kern w:val="0"/>
                <w:sz w:val="24"/>
              </w:rPr>
              <w:t>“三线一单”符合性分析</w:t>
            </w:r>
          </w:p>
          <w:p>
            <w:pPr>
              <w:pStyle w:val="75"/>
              <w:keepNext w:val="0"/>
              <w:keepLines w:val="0"/>
              <w:pageBreakBefore w:val="0"/>
              <w:widowControl w:val="0"/>
              <w:kinsoku/>
              <w:wordWrap/>
              <w:overflowPunct/>
              <w:topLinePunct w:val="0"/>
              <w:bidi w:val="0"/>
              <w:adjustRightInd/>
              <w:snapToGrid/>
              <w:spacing w:line="360" w:lineRule="auto"/>
              <w:ind w:left="0" w:right="0" w:firstLine="482" w:firstLineChars="200"/>
              <w:textAlignment w:val="auto"/>
              <w:rPr>
                <w:rFonts w:hint="eastAsia" w:ascii="Arial" w:hAnsi="Arial" w:cs="Arial"/>
                <w:b/>
                <w:bCs/>
                <w:spacing w:val="0"/>
                <w:w w:val="100"/>
                <w:sz w:val="24"/>
                <w:szCs w:val="24"/>
                <w:lang w:val="en-US" w:eastAsia="zh-CN"/>
              </w:rPr>
            </w:pPr>
            <w:r>
              <w:rPr>
                <w:rFonts w:hint="eastAsia" w:ascii="Arial" w:hAnsi="Arial" w:cs="Arial"/>
                <w:b/>
                <w:bCs/>
                <w:spacing w:val="0"/>
                <w:w w:val="100"/>
                <w:sz w:val="24"/>
                <w:szCs w:val="24"/>
                <w:lang w:val="en-US" w:eastAsia="zh-CN"/>
              </w:rPr>
              <w:t>1、与《广元市人民政府关于落实生态保护红线、环境质量底线、资源利用上线和生态环境准入清单要求实施生态环境分区管控的通知》（广府发〔2021〕4号）符合性分析</w:t>
            </w:r>
          </w:p>
          <w:p>
            <w:pPr>
              <w:pStyle w:val="75"/>
              <w:keepNext w:val="0"/>
              <w:keepLines w:val="0"/>
              <w:pageBreakBefore w:val="0"/>
              <w:widowControl w:val="0"/>
              <w:kinsoku/>
              <w:wordWrap/>
              <w:overflowPunct/>
              <w:topLinePunct w:val="0"/>
              <w:bidi w:val="0"/>
              <w:adjustRightInd/>
              <w:snapToGrid/>
              <w:spacing w:line="360" w:lineRule="auto"/>
              <w:ind w:left="0" w:right="0" w:firstLine="468" w:firstLineChars="200"/>
              <w:jc w:val="both"/>
              <w:textAlignment w:val="auto"/>
              <w:rPr>
                <w:sz w:val="24"/>
                <w:szCs w:val="24"/>
              </w:rPr>
            </w:pPr>
            <w:r>
              <w:rPr>
                <w:spacing w:val="-3"/>
                <w:sz w:val="24"/>
                <w:szCs w:val="24"/>
              </w:rPr>
              <w:t>广府发〔</w:t>
            </w:r>
            <w:r>
              <w:rPr>
                <w:rFonts w:ascii="Times New Roman" w:hAnsi="Times New Roman" w:eastAsia="Times New Roman" w:cs="Times New Roman"/>
                <w:spacing w:val="-3"/>
                <w:sz w:val="24"/>
                <w:szCs w:val="24"/>
              </w:rPr>
              <w:t>2021</w:t>
            </w:r>
            <w:r>
              <w:rPr>
                <w:spacing w:val="-3"/>
                <w:sz w:val="24"/>
                <w:szCs w:val="24"/>
              </w:rPr>
              <w:t>〕</w:t>
            </w:r>
            <w:r>
              <w:rPr>
                <w:rFonts w:ascii="Times New Roman" w:hAnsi="Times New Roman" w:eastAsia="Times New Roman" w:cs="Times New Roman"/>
                <w:spacing w:val="-3"/>
                <w:sz w:val="24"/>
                <w:szCs w:val="24"/>
              </w:rPr>
              <w:t>4</w:t>
            </w:r>
            <w:r>
              <w:rPr>
                <w:spacing w:val="-3"/>
                <w:sz w:val="24"/>
                <w:szCs w:val="24"/>
              </w:rPr>
              <w:t>号结合广元市实际，就落实生态保护红线、环境质量底线、</w:t>
            </w:r>
            <w:r>
              <w:rPr>
                <w:sz w:val="24"/>
                <w:szCs w:val="24"/>
              </w:rPr>
              <w:t>资源利用上线，制定生态环境准入清单（简称</w:t>
            </w:r>
            <w:r>
              <w:rPr>
                <w:rFonts w:ascii="Times New Roman" w:hAnsi="Times New Roman" w:eastAsia="Times New Roman" w:cs="Times New Roman"/>
                <w:sz w:val="24"/>
                <w:szCs w:val="24"/>
              </w:rPr>
              <w:t>“</w:t>
            </w:r>
            <w:r>
              <w:rPr>
                <w:sz w:val="24"/>
                <w:szCs w:val="24"/>
              </w:rPr>
              <w:t>三线一单</w:t>
            </w:r>
            <w:r>
              <w:rPr>
                <w:rFonts w:ascii="Times New Roman" w:hAnsi="Times New Roman" w:eastAsia="Times New Roman" w:cs="Times New Roman"/>
                <w:sz w:val="24"/>
                <w:szCs w:val="24"/>
              </w:rPr>
              <w:t>”</w:t>
            </w:r>
            <w:r>
              <w:rPr>
                <w:spacing w:val="14"/>
                <w:sz w:val="24"/>
                <w:szCs w:val="24"/>
              </w:rPr>
              <w:t>），</w:t>
            </w:r>
            <w:r>
              <w:rPr>
                <w:sz w:val="24"/>
                <w:szCs w:val="24"/>
              </w:rPr>
              <w:t>建立生态环境分区</w:t>
            </w:r>
            <w:r>
              <w:rPr>
                <w:spacing w:val="-1"/>
                <w:sz w:val="24"/>
                <w:szCs w:val="24"/>
              </w:rPr>
              <w:t>管控体系并监督实施提出如下要求。</w:t>
            </w:r>
          </w:p>
          <w:p>
            <w:pPr>
              <w:pStyle w:val="75"/>
              <w:keepNext w:val="0"/>
              <w:keepLines w:val="0"/>
              <w:pageBreakBefore w:val="0"/>
              <w:widowControl w:val="0"/>
              <w:kinsoku/>
              <w:wordWrap/>
              <w:overflowPunct/>
              <w:topLinePunct w:val="0"/>
              <w:bidi w:val="0"/>
              <w:adjustRightInd/>
              <w:snapToGrid/>
              <w:spacing w:line="360" w:lineRule="auto"/>
              <w:ind w:left="0" w:right="0" w:firstLine="470" w:firstLineChars="200"/>
              <w:textAlignment w:val="auto"/>
              <w:rPr>
                <w:sz w:val="24"/>
                <w:szCs w:val="24"/>
              </w:rPr>
            </w:pPr>
            <w:r>
              <w:rPr>
                <w:b/>
                <w:bCs/>
                <w:spacing w:val="-3"/>
                <w:sz w:val="24"/>
                <w:szCs w:val="24"/>
              </w:rPr>
              <w:t>①</w:t>
            </w:r>
            <w:r>
              <w:rPr>
                <w:rFonts w:hint="eastAsia"/>
                <w:b/>
                <w:bCs/>
                <w:spacing w:val="-3"/>
                <w:sz w:val="24"/>
                <w:szCs w:val="24"/>
                <w:lang w:val="en-US" w:eastAsia="zh-CN"/>
              </w:rPr>
              <w:t xml:space="preserve"> </w:t>
            </w:r>
            <w:r>
              <w:rPr>
                <w:b/>
                <w:bCs/>
                <w:spacing w:val="-3"/>
                <w:sz w:val="24"/>
                <w:szCs w:val="24"/>
              </w:rPr>
              <w:t>广元市环境管控单元生态环境管控要求</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sz w:val="24"/>
                <w:szCs w:val="24"/>
              </w:rPr>
            </w:pPr>
            <w:r>
              <w:rPr>
                <w:sz w:val="24"/>
                <w:szCs w:val="24"/>
              </w:rPr>
              <w:t>根据《广元市人民政府关于落实生态保护红线、环境质量底线、资源利用上</w:t>
            </w:r>
            <w:r>
              <w:rPr>
                <w:spacing w:val="4"/>
                <w:sz w:val="24"/>
                <w:szCs w:val="24"/>
              </w:rPr>
              <w:t>线和生态环境准入清单要求实施生态环境分区管</w:t>
            </w:r>
            <w:r>
              <w:rPr>
                <w:spacing w:val="3"/>
                <w:sz w:val="24"/>
                <w:szCs w:val="24"/>
              </w:rPr>
              <w:t>控的通知》（广府发〔</w:t>
            </w:r>
            <w:r>
              <w:rPr>
                <w:rFonts w:ascii="Times New Roman" w:hAnsi="Times New Roman" w:eastAsia="Times New Roman" w:cs="Times New Roman"/>
                <w:spacing w:val="3"/>
                <w:sz w:val="24"/>
                <w:szCs w:val="24"/>
              </w:rPr>
              <w:t>2021</w:t>
            </w:r>
            <w:r>
              <w:rPr>
                <w:spacing w:val="3"/>
                <w:sz w:val="24"/>
                <w:szCs w:val="24"/>
              </w:rPr>
              <w:t>〕</w:t>
            </w:r>
            <w:r>
              <w:rPr>
                <w:rFonts w:ascii="Times New Roman" w:hAnsi="Times New Roman" w:eastAsia="Times New Roman" w:cs="Times New Roman"/>
                <w:spacing w:val="3"/>
                <w:sz w:val="24"/>
                <w:szCs w:val="24"/>
              </w:rPr>
              <w:t>4</w:t>
            </w:r>
            <w:r>
              <w:rPr>
                <w:sz w:val="24"/>
                <w:szCs w:val="24"/>
              </w:rPr>
              <w:t>号）要求，将广元市全市行政区域从生态环境保护角度划分为优先保护、重点管</w:t>
            </w:r>
            <w:r>
              <w:rPr>
                <w:spacing w:val="12"/>
                <w:sz w:val="24"/>
                <w:szCs w:val="24"/>
              </w:rPr>
              <w:t xml:space="preserve"> </w:t>
            </w:r>
            <w:r>
              <w:rPr>
                <w:spacing w:val="-1"/>
                <w:sz w:val="24"/>
                <w:szCs w:val="24"/>
              </w:rPr>
              <w:t>控和一般管控三类环境管控单元。</w:t>
            </w:r>
          </w:p>
          <w:p>
            <w:pPr>
              <w:pStyle w:val="29"/>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spacing w:val="-1"/>
                <w:sz w:val="24"/>
                <w:szCs w:val="24"/>
                <w:lang w:eastAsia="zh-CN"/>
              </w:rPr>
            </w:pPr>
            <w:r>
              <w:drawing>
                <wp:anchor distT="0" distB="0" distL="0" distR="0" simplePos="0" relativeHeight="251665408" behindDoc="1" locked="0" layoutInCell="1" allowOverlap="1">
                  <wp:simplePos x="0" y="0"/>
                  <wp:positionH relativeFrom="column">
                    <wp:posOffset>68580</wp:posOffset>
                  </wp:positionH>
                  <wp:positionV relativeFrom="paragraph">
                    <wp:posOffset>230505</wp:posOffset>
                  </wp:positionV>
                  <wp:extent cx="5303520" cy="3376930"/>
                  <wp:effectExtent l="0" t="0" r="0" b="6350"/>
                  <wp:wrapNone/>
                  <wp:docPr id="12" name="IM 22"/>
                  <wp:cNvGraphicFramePr/>
                  <a:graphic xmlns:a="http://schemas.openxmlformats.org/drawingml/2006/main">
                    <a:graphicData uri="http://schemas.openxmlformats.org/drawingml/2006/picture">
                      <pic:pic xmlns:pic="http://schemas.openxmlformats.org/drawingml/2006/picture">
                        <pic:nvPicPr>
                          <pic:cNvPr id="12" name="IM 22"/>
                          <pic:cNvPicPr/>
                        </pic:nvPicPr>
                        <pic:blipFill>
                          <a:blip r:embed="rId10"/>
                          <a:stretch>
                            <a:fillRect/>
                          </a:stretch>
                        </pic:blipFill>
                        <pic:spPr>
                          <a:xfrm>
                            <a:off x="0" y="0"/>
                            <a:ext cx="5303520" cy="3376930"/>
                          </a:xfrm>
                          <a:prstGeom prst="rect">
                            <a:avLst/>
                          </a:prstGeom>
                        </pic:spPr>
                      </pic:pic>
                    </a:graphicData>
                  </a:graphic>
                </wp:anchor>
              </w:drawing>
            </w:r>
            <w:r>
              <w:rPr>
                <w:spacing w:val="-1"/>
                <w:sz w:val="24"/>
                <w:szCs w:val="24"/>
              </w:rPr>
              <w:t>本项目所在地与广元市环境管控单元分区位置关系详见下图</w:t>
            </w:r>
            <w:r>
              <w:rPr>
                <w:rFonts w:hint="eastAsia"/>
                <w:spacing w:val="-1"/>
                <w:sz w:val="24"/>
                <w:szCs w:val="24"/>
                <w:lang w:eastAsia="zh-CN"/>
              </w:rPr>
              <w:t>：</w:t>
            </w:r>
          </w:p>
          <w:p>
            <w:pPr>
              <w:pStyle w:val="29"/>
              <w:keepNext w:val="0"/>
              <w:keepLines w:val="0"/>
              <w:pageBreakBefore w:val="0"/>
              <w:widowControl w:val="0"/>
              <w:kinsoku/>
              <w:wordWrap/>
              <w:overflowPunct/>
              <w:topLinePunct w:val="0"/>
              <w:bidi w:val="0"/>
              <w:adjustRightInd/>
              <w:snapToGrid/>
              <w:spacing w:line="360" w:lineRule="auto"/>
              <w:ind w:right="0"/>
              <w:textAlignment w:val="auto"/>
              <w:rPr>
                <w:rFonts w:hint="eastAsia"/>
                <w:spacing w:val="-1"/>
                <w:sz w:val="24"/>
                <w:szCs w:val="24"/>
                <w:lang w:eastAsia="zh-CN"/>
              </w:rPr>
            </w:pPr>
          </w:p>
          <w:p>
            <w:pPr>
              <w:pStyle w:val="29"/>
              <w:keepNext w:val="0"/>
              <w:keepLines w:val="0"/>
              <w:pageBreakBefore w:val="0"/>
              <w:widowControl w:val="0"/>
              <w:kinsoku/>
              <w:wordWrap/>
              <w:overflowPunct/>
              <w:topLinePunct w:val="0"/>
              <w:bidi w:val="0"/>
              <w:adjustRightInd/>
              <w:snapToGrid/>
              <w:spacing w:line="360" w:lineRule="auto"/>
              <w:ind w:left="0" w:right="0" w:firstLine="476" w:firstLineChars="200"/>
              <w:textAlignment w:val="auto"/>
              <w:rPr>
                <w:rFonts w:hint="eastAsia"/>
                <w:spacing w:val="-1"/>
                <w:sz w:val="24"/>
                <w:szCs w:val="24"/>
                <w:lang w:eastAsia="zh-CN"/>
              </w:rPr>
            </w:pPr>
          </w:p>
          <w:p>
            <w:pPr>
              <w:pStyle w:val="29"/>
              <w:keepNext w:val="0"/>
              <w:keepLines w:val="0"/>
              <w:pageBreakBefore w:val="0"/>
              <w:widowControl w:val="0"/>
              <w:kinsoku/>
              <w:wordWrap/>
              <w:overflowPunct/>
              <w:topLinePunct w:val="0"/>
              <w:bidi w:val="0"/>
              <w:adjustRightInd/>
              <w:snapToGrid/>
              <w:spacing w:line="360" w:lineRule="auto"/>
              <w:ind w:left="0" w:right="0" w:firstLine="476" w:firstLineChars="200"/>
              <w:textAlignment w:val="auto"/>
              <w:rPr>
                <w:rFonts w:hint="eastAsia"/>
                <w:spacing w:val="-1"/>
                <w:sz w:val="24"/>
                <w:szCs w:val="24"/>
                <w:lang w:eastAsia="zh-CN"/>
              </w:rPr>
            </w:pPr>
          </w:p>
          <w:p>
            <w:pPr>
              <w:pStyle w:val="29"/>
              <w:keepNext w:val="0"/>
              <w:keepLines w:val="0"/>
              <w:pageBreakBefore w:val="0"/>
              <w:widowControl w:val="0"/>
              <w:kinsoku/>
              <w:wordWrap/>
              <w:overflowPunct/>
              <w:topLinePunct w:val="0"/>
              <w:bidi w:val="0"/>
              <w:adjustRightInd/>
              <w:snapToGrid/>
              <w:spacing w:line="360" w:lineRule="auto"/>
              <w:ind w:left="0" w:right="0" w:firstLine="476" w:firstLineChars="200"/>
              <w:textAlignment w:val="auto"/>
              <w:rPr>
                <w:rFonts w:hint="eastAsia"/>
                <w:spacing w:val="-1"/>
                <w:sz w:val="24"/>
                <w:szCs w:val="24"/>
                <w:lang w:eastAsia="zh-CN"/>
              </w:rPr>
            </w:pPr>
          </w:p>
          <w:p>
            <w:pPr>
              <w:pStyle w:val="29"/>
              <w:spacing w:line="360" w:lineRule="auto"/>
              <w:rPr>
                <w:rFonts w:hint="eastAsia"/>
                <w:spacing w:val="-1"/>
                <w:lang w:val="en-US" w:eastAsia="zh-CN"/>
              </w:rPr>
            </w:pPr>
          </w:p>
          <w:p>
            <w:pPr>
              <w:pStyle w:val="29"/>
              <w:spacing w:line="360" w:lineRule="auto"/>
              <w:rPr>
                <w:rFonts w:hint="eastAsia"/>
                <w:spacing w:val="-1"/>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2832100</wp:posOffset>
                      </wp:positionH>
                      <wp:positionV relativeFrom="paragraph">
                        <wp:posOffset>230505</wp:posOffset>
                      </wp:positionV>
                      <wp:extent cx="700405" cy="236855"/>
                      <wp:effectExtent l="12700" t="188595" r="18415" b="16510"/>
                      <wp:wrapNone/>
                      <wp:docPr id="13" name="矩形标注 13"/>
                      <wp:cNvGraphicFramePr/>
                      <a:graphic xmlns:a="http://schemas.openxmlformats.org/drawingml/2006/main">
                        <a:graphicData uri="http://schemas.microsoft.com/office/word/2010/wordprocessingShape">
                          <wps:wsp>
                            <wps:cNvSpPr/>
                            <wps:spPr>
                              <a:xfrm>
                                <a:off x="4545965" y="6377305"/>
                                <a:ext cx="700405" cy="236855"/>
                              </a:xfrm>
                              <a:prstGeom prst="wedgeRectCallout">
                                <a:avLst>
                                  <a:gd name="adj1" fmla="val -40909"/>
                                  <a:gd name="adj2" fmla="val -124396"/>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val="0"/>
                                    <w:snapToGrid w:val="0"/>
                                    <w:jc w:val="both"/>
                                    <w:textAlignment w:val="auto"/>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3pt;margin-top:18.15pt;height:18.65pt;width:55.15pt;z-index:251666432;v-text-anchor:middle;mso-width-relative:page;mso-height-relative:page;" fillcolor="#FFFFFF [3212]" filled="t" stroked="t" coordsize="21600,21600" o:gfxdata="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RDdHitkAAAAJAQAADwAAAAAAAAABACAAAAAiAAAAZHJzL2Rvd25y&#10;ZXYueG1sUEsBAhQAFAAAAAgAh07iQOO0g52oAgAALwUAAA4AAAAAAAAAAQAgAAAAKAEAAGRycy9l&#10;Mm9Eb2MueG1sUEsFBgAAAAAGAAYAWQEAAEIGAAAAAA==&#10;" adj="1964,-16070">
                      <v:fill on="t" focussize="0,0"/>
                      <v:stroke weight="2pt" color="#376092 [2404]" joinstyle="round"/>
                      <v:imagedata o:title=""/>
                      <o:lock v:ext="edit" aspectratio="f"/>
                      <v:textbox>
                        <w:txbxContent>
                          <w:p>
                            <w:pPr>
                              <w:keepNext w:val="0"/>
                              <w:keepLines w:val="0"/>
                              <w:pageBreakBefore w:val="0"/>
                              <w:widowControl w:val="0"/>
                              <w:kinsoku/>
                              <w:wordWrap/>
                              <w:overflowPunct/>
                              <w:topLinePunct w:val="0"/>
                              <w:bidi w:val="0"/>
                              <w:adjustRightInd w:val="0"/>
                              <w:snapToGrid w:val="0"/>
                              <w:jc w:val="both"/>
                              <w:textAlignment w:val="auto"/>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本项目所在地</w:t>
                            </w:r>
                          </w:p>
                        </w:txbxContent>
                      </v:textbox>
                    </v:shape>
                  </w:pict>
                </mc:Fallback>
              </mc:AlternateContent>
            </w:r>
          </w:p>
          <w:p>
            <w:pPr>
              <w:pStyle w:val="29"/>
              <w:spacing w:line="360" w:lineRule="auto"/>
              <w:rPr>
                <w:rFonts w:hint="eastAsia"/>
                <w:spacing w:val="-1"/>
                <w:lang w:val="en-US" w:eastAsia="zh-CN"/>
              </w:rPr>
            </w:pPr>
          </w:p>
          <w:p>
            <w:pPr>
              <w:pStyle w:val="29"/>
              <w:spacing w:line="360" w:lineRule="auto"/>
              <w:rPr>
                <w:rFonts w:hint="eastAsia"/>
                <w:color w:val="000000" w:themeColor="text1"/>
                <w:sz w:val="24"/>
                <w:lang w:val="en-US" w:eastAsia="zh-CN"/>
                <w14:textFill>
                  <w14:solidFill>
                    <w14:schemeClr w14:val="tx1"/>
                  </w14:solidFill>
                </w14:textFill>
              </w:rPr>
            </w:pPr>
          </w:p>
          <w:p>
            <w:pPr>
              <w:pStyle w:val="29"/>
              <w:spacing w:line="360" w:lineRule="auto"/>
              <w:rPr>
                <w:rFonts w:hint="eastAsia"/>
                <w:color w:val="000000" w:themeColor="text1"/>
                <w:sz w:val="24"/>
                <w:lang w:val="en-US" w:eastAsia="zh-CN"/>
                <w14:textFill>
                  <w14:solidFill>
                    <w14:schemeClr w14:val="tx1"/>
                  </w14:solidFill>
                </w14:textFill>
              </w:rPr>
            </w:pPr>
          </w:p>
          <w:p>
            <w:pPr>
              <w:pStyle w:val="75"/>
              <w:spacing w:before="97" w:line="227" w:lineRule="auto"/>
              <w:ind w:left="1815"/>
              <w:rPr>
                <w:b/>
                <w:bCs/>
                <w:spacing w:val="6"/>
                <w:sz w:val="20"/>
                <w:szCs w:val="20"/>
              </w:rPr>
            </w:pPr>
          </w:p>
          <w:p>
            <w:pPr>
              <w:pStyle w:val="75"/>
              <w:spacing w:before="97" w:line="227" w:lineRule="auto"/>
              <w:ind w:left="1815"/>
              <w:rPr>
                <w:b/>
                <w:bCs/>
                <w:spacing w:val="6"/>
                <w:sz w:val="20"/>
                <w:szCs w:val="20"/>
              </w:rPr>
            </w:pPr>
          </w:p>
          <w:p>
            <w:pPr>
              <w:pStyle w:val="75"/>
              <w:spacing w:before="97" w:line="227" w:lineRule="auto"/>
              <w:ind w:left="1815"/>
              <w:rPr>
                <w:b/>
                <w:bCs/>
                <w:spacing w:val="6"/>
                <w:sz w:val="20"/>
                <w:szCs w:val="20"/>
              </w:rPr>
            </w:pP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sz w:val="20"/>
                <w:szCs w:val="20"/>
              </w:rPr>
            </w:pPr>
            <w:r>
              <w:rPr>
                <w:b/>
                <w:bCs/>
                <w:spacing w:val="6"/>
                <w:sz w:val="20"/>
                <w:szCs w:val="20"/>
              </w:rPr>
              <w:t>图</w:t>
            </w:r>
            <w:r>
              <w:rPr>
                <w:spacing w:val="-31"/>
                <w:sz w:val="20"/>
                <w:szCs w:val="20"/>
              </w:rPr>
              <w:t xml:space="preserve"> </w:t>
            </w:r>
            <w:r>
              <w:rPr>
                <w:rFonts w:ascii="Times New Roman" w:hAnsi="Times New Roman" w:eastAsia="Times New Roman" w:cs="Times New Roman"/>
                <w:b/>
                <w:bCs/>
                <w:spacing w:val="6"/>
                <w:sz w:val="20"/>
                <w:szCs w:val="20"/>
              </w:rPr>
              <w:t>1-5</w:t>
            </w:r>
            <w:r>
              <w:rPr>
                <w:rFonts w:ascii="Times New Roman" w:hAnsi="Times New Roman" w:eastAsia="Times New Roman" w:cs="Times New Roman"/>
                <w:b/>
                <w:bCs/>
                <w:spacing w:val="1"/>
                <w:sz w:val="20"/>
                <w:szCs w:val="20"/>
              </w:rPr>
              <w:t xml:space="preserve"> </w:t>
            </w:r>
            <w:r>
              <w:rPr>
                <w:b/>
                <w:bCs/>
                <w:spacing w:val="6"/>
                <w:sz w:val="20"/>
                <w:szCs w:val="20"/>
              </w:rPr>
              <w:t>本项目与广元市环境管控单元分区</w:t>
            </w:r>
            <w:r>
              <w:rPr>
                <w:b/>
                <w:bCs/>
                <w:spacing w:val="5"/>
                <w:sz w:val="20"/>
                <w:szCs w:val="20"/>
              </w:rPr>
              <w:t>位置关系图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Arial" w:hAnsi="Arial" w:cs="Arial"/>
                <w:sz w:val="24"/>
                <w:szCs w:val="24"/>
                <w:lang w:val="en-US" w:eastAsia="zh-CN"/>
              </w:rPr>
            </w:pPr>
            <w:r>
              <w:rPr>
                <w:rFonts w:hint="default" w:ascii="Arial" w:hAnsi="Arial" w:cs="Arial"/>
                <w:sz w:val="24"/>
                <w:szCs w:val="24"/>
              </w:rPr>
              <w:t>由上图可见，本项目所在地属于“一般管控单元”，本项目建设符合广元市环境管控单元生态环境管控要求。本项目与广元市生态环境管控单元划分情况及管控要求的符合性分析见下表</w:t>
            </w:r>
            <w:r>
              <w:rPr>
                <w:rFonts w:hint="eastAsia" w:ascii="Arial" w:hAnsi="Arial" w:cs="Arial"/>
                <w:sz w:val="24"/>
                <w:szCs w:val="24"/>
                <w:lang w:val="en-US" w:eastAsia="zh-CN"/>
              </w:rPr>
              <w:t>：</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hint="eastAsia" w:ascii="Arial" w:hAnsi="Arial" w:cs="Arial"/>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0"/>
                <w:sz w:val="21"/>
                <w:szCs w:val="21"/>
              </w:rPr>
            </w:pPr>
            <w:r>
              <w:rPr>
                <w:rFonts w:hint="default" w:ascii="Arial" w:hAnsi="Arial" w:cs="Arial"/>
                <w:b/>
                <w:bCs/>
                <w:spacing w:val="0"/>
                <w:sz w:val="21"/>
                <w:szCs w:val="21"/>
              </w:rPr>
              <w:t>表1-</w:t>
            </w:r>
            <w:r>
              <w:rPr>
                <w:rFonts w:hint="eastAsia" w:ascii="Arial" w:hAnsi="Arial" w:cs="Arial"/>
                <w:b/>
                <w:bCs/>
                <w:spacing w:val="0"/>
                <w:sz w:val="21"/>
                <w:szCs w:val="21"/>
                <w:lang w:val="en-US" w:eastAsia="zh-CN"/>
              </w:rPr>
              <w:t>9</w:t>
            </w:r>
            <w:r>
              <w:rPr>
                <w:rFonts w:hint="default" w:ascii="Arial" w:hAnsi="Arial" w:cs="Arial"/>
                <w:b/>
                <w:bCs/>
                <w:spacing w:val="0"/>
                <w:sz w:val="21"/>
                <w:szCs w:val="21"/>
              </w:rPr>
              <w:t xml:space="preserve">   本项目与广元市生态环境管控单元划分情况及管控要求分析</w:t>
            </w:r>
          </w:p>
          <w:tbl>
            <w:tblPr>
              <w:tblStyle w:val="76"/>
              <w:tblW w:w="48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47"/>
              <w:gridCol w:w="2198"/>
              <w:gridCol w:w="2427"/>
              <w:gridCol w:w="2032"/>
              <w:gridCol w:w="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63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b/>
                      <w:bCs/>
                      <w:spacing w:val="5"/>
                      <w:sz w:val="21"/>
                      <w:szCs w:val="21"/>
                    </w:rPr>
                    <w:t>环境管控单元</w:t>
                  </w:r>
                </w:p>
              </w:tc>
              <w:tc>
                <w:tcPr>
                  <w:tcW w:w="13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b/>
                      <w:bCs/>
                      <w:spacing w:val="6"/>
                      <w:sz w:val="21"/>
                      <w:szCs w:val="21"/>
                    </w:rPr>
                    <w:t>划分依据</w:t>
                  </w:r>
                </w:p>
              </w:tc>
              <w:tc>
                <w:tcPr>
                  <w:tcW w:w="14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b/>
                      <w:bCs/>
                      <w:spacing w:val="7"/>
                      <w:sz w:val="21"/>
                      <w:szCs w:val="21"/>
                    </w:rPr>
                    <w:t>生态环境管控要求</w:t>
                  </w:r>
                </w:p>
              </w:tc>
              <w:tc>
                <w:tcPr>
                  <w:tcW w:w="12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b/>
                      <w:bCs/>
                      <w:spacing w:val="5"/>
                      <w:sz w:val="21"/>
                      <w:szCs w:val="21"/>
                    </w:rPr>
                    <w:t>本项目</w:t>
                  </w:r>
                </w:p>
              </w:tc>
              <w:tc>
                <w:tcPr>
                  <w:tcW w:w="3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b/>
                      <w:bCs/>
                      <w:spacing w:val="2"/>
                      <w:sz w:val="21"/>
                      <w:szCs w:val="21"/>
                    </w:rPr>
                    <w:t>是否</w:t>
                  </w:r>
                  <w:r>
                    <w:rPr>
                      <w:b/>
                      <w:bCs/>
                      <w:spacing w:val="3"/>
                      <w:sz w:val="21"/>
                      <w:szCs w:val="21"/>
                    </w:rPr>
                    <w:t>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75" w:hRule="atLeast"/>
                <w:jc w:val="center"/>
              </w:trPr>
              <w:tc>
                <w:tcPr>
                  <w:tcW w:w="63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7"/>
                      <w:sz w:val="21"/>
                      <w:szCs w:val="21"/>
                    </w:rPr>
                  </w:pPr>
                  <w:r>
                    <w:rPr>
                      <w:spacing w:val="7"/>
                      <w:sz w:val="21"/>
                      <w:szCs w:val="21"/>
                    </w:rPr>
                    <w:t>优先保</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6"/>
                      <w:sz w:val="21"/>
                      <w:szCs w:val="21"/>
                    </w:rPr>
                    <w:t>护单元</w:t>
                  </w:r>
                </w:p>
              </w:tc>
              <w:tc>
                <w:tcPr>
                  <w:tcW w:w="13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6"/>
                      <w:sz w:val="21"/>
                      <w:szCs w:val="21"/>
                    </w:rPr>
                  </w:pPr>
                  <w:r>
                    <w:rPr>
                      <w:spacing w:val="6"/>
                      <w:sz w:val="21"/>
                      <w:szCs w:val="21"/>
                    </w:rPr>
                    <w:t>以生态环境保护为主</w:t>
                  </w:r>
                  <w:r>
                    <w:rPr>
                      <w:spacing w:val="2"/>
                      <w:sz w:val="21"/>
                      <w:szCs w:val="21"/>
                    </w:rPr>
                    <w:t xml:space="preserve"> </w:t>
                  </w:r>
                  <w:r>
                    <w:rPr>
                      <w:spacing w:val="-4"/>
                      <w:sz w:val="21"/>
                      <w:szCs w:val="21"/>
                    </w:rPr>
                    <w:t>的区域，全市划分优先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21"/>
                      <w:szCs w:val="21"/>
                    </w:rPr>
                  </w:pPr>
                  <w:r>
                    <w:rPr>
                      <w:spacing w:val="6"/>
                      <w:sz w:val="21"/>
                      <w:szCs w:val="21"/>
                    </w:rPr>
                    <w:t>保护单元</w:t>
                  </w:r>
                  <w:r>
                    <w:rPr>
                      <w:rFonts w:ascii="Times New Roman" w:hAnsi="Times New Roman" w:eastAsia="Times New Roman" w:cs="Times New Roman"/>
                      <w:spacing w:val="6"/>
                      <w:sz w:val="21"/>
                      <w:szCs w:val="21"/>
                    </w:rPr>
                    <w:t>26</w:t>
                  </w:r>
                  <w:r>
                    <w:rPr>
                      <w:spacing w:val="6"/>
                      <w:sz w:val="21"/>
                      <w:szCs w:val="21"/>
                    </w:rPr>
                    <w:t>个。主要</w:t>
                  </w:r>
                  <w:r>
                    <w:rPr>
                      <w:sz w:val="21"/>
                      <w:szCs w:val="21"/>
                    </w:rPr>
                    <w:t xml:space="preserve"> </w:t>
                  </w:r>
                  <w:r>
                    <w:rPr>
                      <w:spacing w:val="-2"/>
                      <w:sz w:val="21"/>
                      <w:szCs w:val="21"/>
                    </w:rPr>
                    <w:t>包括生态保护红线、饮用水水源保护区、国家公园、湿地公园、自然</w:t>
                  </w:r>
                  <w:r>
                    <w:rPr>
                      <w:spacing w:val="5"/>
                      <w:sz w:val="21"/>
                      <w:szCs w:val="21"/>
                    </w:rPr>
                    <w:t>保护区等。</w:t>
                  </w:r>
                </w:p>
              </w:tc>
              <w:tc>
                <w:tcPr>
                  <w:tcW w:w="14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szCs w:val="21"/>
                    </w:rPr>
                  </w:pPr>
                  <w:r>
                    <w:rPr>
                      <w:spacing w:val="-1"/>
                      <w:sz w:val="21"/>
                      <w:szCs w:val="21"/>
                    </w:rPr>
                    <w:t>以生态环境保护为主，依</w:t>
                  </w:r>
                  <w:r>
                    <w:rPr>
                      <w:spacing w:val="1"/>
                      <w:sz w:val="21"/>
                      <w:szCs w:val="21"/>
                    </w:rPr>
                    <w:t>法禁止或限制大规模、高</w:t>
                  </w:r>
                  <w:r>
                    <w:rPr>
                      <w:spacing w:val="5"/>
                      <w:sz w:val="21"/>
                      <w:szCs w:val="21"/>
                    </w:rPr>
                    <w:t>强度的工业和城镇建设，</w:t>
                  </w:r>
                  <w:r>
                    <w:rPr>
                      <w:spacing w:val="15"/>
                      <w:sz w:val="21"/>
                      <w:szCs w:val="21"/>
                    </w:rPr>
                    <w:t>在功能受损的优先保护单元优先开展生态保护</w:t>
                  </w:r>
                  <w:r>
                    <w:rPr>
                      <w:spacing w:val="1"/>
                      <w:sz w:val="21"/>
                      <w:szCs w:val="21"/>
                    </w:rPr>
                    <w:t>修复活动，恢复生态系统服务功能。生态保护红线</w:t>
                  </w:r>
                  <w:r>
                    <w:rPr>
                      <w:spacing w:val="15"/>
                      <w:sz w:val="21"/>
                      <w:szCs w:val="21"/>
                    </w:rPr>
                    <w:t>原则上按禁止开发或依现行法律法规规定有条</w:t>
                  </w:r>
                  <w:r>
                    <w:rPr>
                      <w:spacing w:val="6"/>
                      <w:sz w:val="21"/>
                      <w:szCs w:val="21"/>
                    </w:rPr>
                    <w:t>件开发的区域进行管理。</w:t>
                  </w:r>
                  <w:r>
                    <w:rPr>
                      <w:spacing w:val="15"/>
                      <w:sz w:val="21"/>
                      <w:szCs w:val="21"/>
                    </w:rPr>
                    <w:t>严禁不符合国家有关规</w:t>
                  </w:r>
                  <w:r>
                    <w:rPr>
                      <w:spacing w:val="1"/>
                      <w:sz w:val="21"/>
                      <w:szCs w:val="21"/>
                    </w:rPr>
                    <w:t>定的各类开发活动，严禁任意改变用途，严禁任何</w:t>
                  </w:r>
                  <w:r>
                    <w:rPr>
                      <w:spacing w:val="15"/>
                      <w:sz w:val="21"/>
                      <w:szCs w:val="21"/>
                    </w:rPr>
                    <w:t>单位和个人擅自占用和</w:t>
                  </w:r>
                  <w:r>
                    <w:rPr>
                      <w:spacing w:val="6"/>
                      <w:sz w:val="21"/>
                      <w:szCs w:val="21"/>
                    </w:rPr>
                    <w:t>改变用地性质。</w:t>
                  </w:r>
                </w:p>
              </w:tc>
              <w:tc>
                <w:tcPr>
                  <w:tcW w:w="12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szCs w:val="21"/>
                    </w:rPr>
                  </w:pPr>
                  <w:r>
                    <w:rPr>
                      <w:spacing w:val="8"/>
                      <w:sz w:val="21"/>
                      <w:szCs w:val="21"/>
                    </w:rPr>
                    <w:t>本项目所在区域不</w:t>
                  </w:r>
                  <w:r>
                    <w:rPr>
                      <w:spacing w:val="1"/>
                      <w:sz w:val="21"/>
                      <w:szCs w:val="21"/>
                    </w:rPr>
                    <w:t xml:space="preserve">  </w:t>
                  </w:r>
                  <w:r>
                    <w:rPr>
                      <w:spacing w:val="4"/>
                      <w:sz w:val="21"/>
                      <w:szCs w:val="21"/>
                    </w:rPr>
                    <w:t>涉及生态保护红线、</w:t>
                  </w:r>
                  <w:r>
                    <w:rPr>
                      <w:spacing w:val="7"/>
                      <w:sz w:val="21"/>
                      <w:szCs w:val="21"/>
                    </w:rPr>
                    <w:t>饮用水水源保护区、</w:t>
                  </w:r>
                  <w:r>
                    <w:rPr>
                      <w:spacing w:val="6"/>
                      <w:sz w:val="21"/>
                      <w:szCs w:val="21"/>
                    </w:rPr>
                    <w:t>国家公园、湿地公</w:t>
                  </w:r>
                  <w:r>
                    <w:rPr>
                      <w:sz w:val="21"/>
                      <w:szCs w:val="21"/>
                    </w:rPr>
                    <w:t>园、</w:t>
                  </w:r>
                  <w:r>
                    <w:rPr>
                      <w:spacing w:val="-49"/>
                      <w:sz w:val="21"/>
                      <w:szCs w:val="21"/>
                    </w:rPr>
                    <w:t xml:space="preserve"> </w:t>
                  </w:r>
                  <w:r>
                    <w:rPr>
                      <w:sz w:val="21"/>
                      <w:szCs w:val="21"/>
                    </w:rPr>
                    <w:t>自然保护区等，</w:t>
                  </w:r>
                  <w:r>
                    <w:rPr>
                      <w:spacing w:val="8"/>
                      <w:sz w:val="21"/>
                      <w:szCs w:val="21"/>
                    </w:rPr>
                    <w:t>不属于优先保护单</w:t>
                  </w:r>
                  <w:r>
                    <w:rPr>
                      <w:spacing w:val="-1"/>
                      <w:sz w:val="21"/>
                      <w:szCs w:val="21"/>
                    </w:rPr>
                    <w:t>元。</w:t>
                  </w:r>
                </w:p>
              </w:tc>
              <w:tc>
                <w:tcPr>
                  <w:tcW w:w="3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3"/>
                      <w:sz w:val="21"/>
                      <w:szCs w:val="21"/>
                    </w:rPr>
                  </w:pPr>
                  <w:r>
                    <w:rPr>
                      <w:spacing w:val="3"/>
                      <w:sz w:val="21"/>
                      <w:szCs w:val="21"/>
                    </w:rPr>
                    <w:t>不属</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z w:val="21"/>
                      <w:szCs w:val="21"/>
                    </w:rPr>
                    <w:t>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2" w:hRule="atLeast"/>
                <w:jc w:val="center"/>
              </w:trPr>
              <w:tc>
                <w:tcPr>
                  <w:tcW w:w="63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6"/>
                      <w:sz w:val="21"/>
                      <w:szCs w:val="21"/>
                    </w:rPr>
                  </w:pPr>
                  <w:r>
                    <w:rPr>
                      <w:spacing w:val="6"/>
                      <w:sz w:val="21"/>
                      <w:szCs w:val="21"/>
                    </w:rPr>
                    <w:t>重点管</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7"/>
                      <w:sz w:val="21"/>
                      <w:szCs w:val="21"/>
                    </w:rPr>
                    <w:t>控单元</w:t>
                  </w:r>
                </w:p>
              </w:tc>
              <w:tc>
                <w:tcPr>
                  <w:tcW w:w="13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21"/>
                      <w:szCs w:val="21"/>
                    </w:rPr>
                  </w:pPr>
                  <w:r>
                    <w:rPr>
                      <w:spacing w:val="5"/>
                      <w:sz w:val="21"/>
                      <w:szCs w:val="21"/>
                    </w:rPr>
                    <w:t>涉及水、大气、土壤、</w:t>
                  </w:r>
                  <w:r>
                    <w:rPr>
                      <w:spacing w:val="14"/>
                      <w:sz w:val="21"/>
                      <w:szCs w:val="21"/>
                    </w:rPr>
                    <w:t>自然资源等资源环境</w:t>
                  </w:r>
                  <w:r>
                    <w:rPr>
                      <w:spacing w:val="5"/>
                      <w:sz w:val="21"/>
                      <w:szCs w:val="21"/>
                    </w:rPr>
                    <w:t>要素重点管控的区域，</w:t>
                  </w:r>
                  <w:r>
                    <w:rPr>
                      <w:spacing w:val="14"/>
                      <w:sz w:val="21"/>
                      <w:szCs w:val="21"/>
                    </w:rPr>
                    <w:t>全市划分重点管控单</w:t>
                  </w:r>
                  <w:r>
                    <w:rPr>
                      <w:spacing w:val="6"/>
                      <w:sz w:val="21"/>
                      <w:szCs w:val="21"/>
                    </w:rPr>
                    <w:t>元</w:t>
                  </w:r>
                  <w:r>
                    <w:rPr>
                      <w:spacing w:val="-32"/>
                      <w:sz w:val="21"/>
                      <w:szCs w:val="21"/>
                    </w:rPr>
                    <w:t xml:space="preserve"> </w:t>
                  </w:r>
                  <w:r>
                    <w:rPr>
                      <w:rFonts w:ascii="Times New Roman" w:hAnsi="Times New Roman" w:eastAsia="Times New Roman" w:cs="Times New Roman"/>
                      <w:spacing w:val="6"/>
                      <w:sz w:val="21"/>
                      <w:szCs w:val="21"/>
                    </w:rPr>
                    <w:t>33</w:t>
                  </w:r>
                  <w:r>
                    <w:rPr>
                      <w:spacing w:val="6"/>
                      <w:sz w:val="21"/>
                      <w:szCs w:val="21"/>
                    </w:rPr>
                    <w:t>个。其中：城镇</w:t>
                  </w:r>
                  <w:r>
                    <w:rPr>
                      <w:spacing w:val="-4"/>
                      <w:sz w:val="21"/>
                      <w:szCs w:val="21"/>
                    </w:rPr>
                    <w:t>重点单元</w:t>
                  </w:r>
                  <w:r>
                    <w:rPr>
                      <w:spacing w:val="-36"/>
                      <w:sz w:val="21"/>
                      <w:szCs w:val="21"/>
                    </w:rPr>
                    <w:t xml:space="preserve"> </w:t>
                  </w:r>
                  <w:r>
                    <w:rPr>
                      <w:rFonts w:ascii="Times New Roman" w:hAnsi="Times New Roman" w:eastAsia="Times New Roman" w:cs="Times New Roman"/>
                      <w:spacing w:val="-4"/>
                      <w:sz w:val="21"/>
                      <w:szCs w:val="21"/>
                    </w:rPr>
                    <w:t>7</w:t>
                  </w:r>
                  <w:r>
                    <w:rPr>
                      <w:spacing w:val="-4"/>
                      <w:sz w:val="21"/>
                      <w:szCs w:val="21"/>
                    </w:rPr>
                    <w:t>个，工业重</w:t>
                  </w:r>
                  <w:r>
                    <w:rPr>
                      <w:sz w:val="21"/>
                      <w:szCs w:val="21"/>
                    </w:rPr>
                    <w:t xml:space="preserve"> </w:t>
                  </w:r>
                  <w:r>
                    <w:rPr>
                      <w:spacing w:val="7"/>
                      <w:sz w:val="21"/>
                      <w:szCs w:val="21"/>
                    </w:rPr>
                    <w:t>点单元</w:t>
                  </w:r>
                  <w:r>
                    <w:rPr>
                      <w:spacing w:val="-43"/>
                      <w:sz w:val="21"/>
                      <w:szCs w:val="21"/>
                    </w:rPr>
                    <w:t xml:space="preserve"> </w:t>
                  </w:r>
                  <w:r>
                    <w:rPr>
                      <w:rFonts w:ascii="Times New Roman" w:hAnsi="Times New Roman" w:eastAsia="Times New Roman" w:cs="Times New Roman"/>
                      <w:spacing w:val="7"/>
                      <w:sz w:val="21"/>
                      <w:szCs w:val="21"/>
                    </w:rPr>
                    <w:t>23</w:t>
                  </w:r>
                  <w:r>
                    <w:rPr>
                      <w:spacing w:val="7"/>
                      <w:sz w:val="21"/>
                      <w:szCs w:val="21"/>
                    </w:rPr>
                    <w:t>个，环境要</w:t>
                  </w:r>
                  <w:r>
                    <w:rPr>
                      <w:spacing w:val="-4"/>
                      <w:sz w:val="21"/>
                      <w:szCs w:val="21"/>
                    </w:rPr>
                    <w:t>素重点单元</w:t>
                  </w:r>
                  <w:r>
                    <w:rPr>
                      <w:spacing w:val="-38"/>
                      <w:sz w:val="21"/>
                      <w:szCs w:val="21"/>
                    </w:rPr>
                    <w:t xml:space="preserve"> </w:t>
                  </w:r>
                  <w:r>
                    <w:rPr>
                      <w:rFonts w:ascii="Times New Roman" w:hAnsi="Times New Roman" w:eastAsia="Times New Roman" w:cs="Times New Roman"/>
                      <w:spacing w:val="-4"/>
                      <w:sz w:val="21"/>
                      <w:szCs w:val="21"/>
                    </w:rPr>
                    <w:t>3</w:t>
                  </w:r>
                  <w:r>
                    <w:rPr>
                      <w:spacing w:val="-4"/>
                      <w:sz w:val="21"/>
                      <w:szCs w:val="21"/>
                    </w:rPr>
                    <w:t>个。主要</w:t>
                  </w:r>
                  <w:r>
                    <w:rPr>
                      <w:spacing w:val="14"/>
                      <w:sz w:val="21"/>
                      <w:szCs w:val="21"/>
                    </w:rPr>
                    <w:t>包括人口密集的城镇规划区和产业集聚的</w:t>
                  </w:r>
                  <w:r>
                    <w:rPr>
                      <w:spacing w:val="-13"/>
                      <w:sz w:val="21"/>
                      <w:szCs w:val="21"/>
                    </w:rPr>
                    <w:t>工业园区（集聚区）等。</w:t>
                  </w:r>
                </w:p>
              </w:tc>
              <w:tc>
                <w:tcPr>
                  <w:tcW w:w="14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21"/>
                      <w:szCs w:val="21"/>
                    </w:rPr>
                  </w:pPr>
                  <w:r>
                    <w:rPr>
                      <w:spacing w:val="6"/>
                      <w:sz w:val="21"/>
                      <w:szCs w:val="21"/>
                    </w:rPr>
                    <w:t>以环境污染治理和风险</w:t>
                  </w:r>
                  <w:r>
                    <w:rPr>
                      <w:spacing w:val="4"/>
                      <w:sz w:val="21"/>
                      <w:szCs w:val="21"/>
                    </w:rPr>
                    <w:t xml:space="preserve"> </w:t>
                  </w:r>
                  <w:r>
                    <w:rPr>
                      <w:spacing w:val="1"/>
                      <w:sz w:val="21"/>
                      <w:szCs w:val="21"/>
                    </w:rPr>
                    <w:t>防范为主，促进产业转型</w:t>
                  </w:r>
                  <w:r>
                    <w:rPr>
                      <w:spacing w:val="7"/>
                      <w:sz w:val="21"/>
                      <w:szCs w:val="21"/>
                    </w:rPr>
                    <w:t xml:space="preserve"> </w:t>
                  </w:r>
                  <w:r>
                    <w:rPr>
                      <w:spacing w:val="1"/>
                      <w:sz w:val="21"/>
                      <w:szCs w:val="21"/>
                    </w:rPr>
                    <w:t>升级，加强污染排放控制</w:t>
                  </w:r>
                  <w:r>
                    <w:rPr>
                      <w:spacing w:val="7"/>
                      <w:sz w:val="21"/>
                      <w:szCs w:val="21"/>
                    </w:rPr>
                    <w:t xml:space="preserve"> </w:t>
                  </w:r>
                  <w:r>
                    <w:rPr>
                      <w:spacing w:val="1"/>
                      <w:sz w:val="21"/>
                      <w:szCs w:val="21"/>
                    </w:rPr>
                    <w:t>和环境风险防控，不断提</w:t>
                  </w:r>
                  <w:r>
                    <w:rPr>
                      <w:spacing w:val="7"/>
                      <w:sz w:val="21"/>
                      <w:szCs w:val="21"/>
                    </w:rPr>
                    <w:t xml:space="preserve"> </w:t>
                  </w:r>
                  <w:r>
                    <w:rPr>
                      <w:spacing w:val="1"/>
                      <w:sz w:val="21"/>
                      <w:szCs w:val="21"/>
                    </w:rPr>
                    <w:t>升资源利用效率，解决生</w:t>
                  </w:r>
                  <w:r>
                    <w:rPr>
                      <w:spacing w:val="7"/>
                      <w:sz w:val="21"/>
                      <w:szCs w:val="21"/>
                    </w:rPr>
                    <w:t xml:space="preserve"> </w:t>
                  </w:r>
                  <w:r>
                    <w:rPr>
                      <w:spacing w:val="1"/>
                      <w:sz w:val="21"/>
                      <w:szCs w:val="21"/>
                    </w:rPr>
                    <w:t>态环境质量不达标、生态</w:t>
                  </w:r>
                  <w:r>
                    <w:rPr>
                      <w:spacing w:val="7"/>
                      <w:sz w:val="21"/>
                      <w:szCs w:val="21"/>
                    </w:rPr>
                    <w:t xml:space="preserve"> </w:t>
                  </w:r>
                  <w:r>
                    <w:rPr>
                      <w:spacing w:val="1"/>
                      <w:sz w:val="21"/>
                      <w:szCs w:val="21"/>
                    </w:rPr>
                    <w:t>环境风险高等问题，严格</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szCs w:val="21"/>
                    </w:rPr>
                  </w:pPr>
                  <w:r>
                    <w:rPr>
                      <w:spacing w:val="8"/>
                      <w:sz w:val="21"/>
                      <w:szCs w:val="21"/>
                    </w:rPr>
                    <w:t>落实区域及重点行业污</w:t>
                  </w:r>
                  <w:r>
                    <w:rPr>
                      <w:spacing w:val="6"/>
                      <w:sz w:val="21"/>
                      <w:szCs w:val="21"/>
                    </w:rPr>
                    <w:t xml:space="preserve"> </w:t>
                  </w:r>
                  <w:r>
                    <w:rPr>
                      <w:spacing w:val="7"/>
                      <w:sz w:val="21"/>
                      <w:szCs w:val="21"/>
                    </w:rPr>
                    <w:t>染物允许排放量。</w:t>
                  </w:r>
                </w:p>
              </w:tc>
              <w:tc>
                <w:tcPr>
                  <w:tcW w:w="12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8"/>
                      <w:sz w:val="21"/>
                      <w:szCs w:val="21"/>
                    </w:rPr>
                    <w:t>本项目所在区域不</w:t>
                  </w:r>
                  <w:r>
                    <w:rPr>
                      <w:spacing w:val="16"/>
                      <w:sz w:val="21"/>
                      <w:szCs w:val="21"/>
                    </w:rPr>
                    <w:t>属于人口密集的城镇规划区和产业集</w:t>
                  </w:r>
                  <w:r>
                    <w:rPr>
                      <w:spacing w:val="1"/>
                      <w:sz w:val="21"/>
                      <w:szCs w:val="21"/>
                    </w:rPr>
                    <w:t>聚的工业园区（集聚</w:t>
                  </w:r>
                  <w:r>
                    <w:rPr>
                      <w:spacing w:val="5"/>
                      <w:sz w:val="21"/>
                      <w:szCs w:val="21"/>
                    </w:rPr>
                    <w:t>区</w:t>
                  </w:r>
                  <w:r>
                    <w:rPr>
                      <w:spacing w:val="-13"/>
                      <w:sz w:val="21"/>
                      <w:szCs w:val="21"/>
                    </w:rPr>
                    <w:t>），</w:t>
                  </w:r>
                  <w:r>
                    <w:rPr>
                      <w:spacing w:val="5"/>
                      <w:sz w:val="21"/>
                      <w:szCs w:val="21"/>
                    </w:rPr>
                    <w:t>不属于重点管控单元。</w:t>
                  </w:r>
                </w:p>
              </w:tc>
              <w:tc>
                <w:tcPr>
                  <w:tcW w:w="3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3"/>
                      <w:sz w:val="21"/>
                      <w:szCs w:val="21"/>
                    </w:rPr>
                    <w:t>不属</w:t>
                  </w:r>
                  <w:r>
                    <w:rPr>
                      <w:sz w:val="21"/>
                      <w:szCs w:val="21"/>
                    </w:rPr>
                    <w:t xml:space="preserve"> 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jc w:val="center"/>
              </w:trPr>
              <w:tc>
                <w:tcPr>
                  <w:tcW w:w="63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5"/>
                      <w:sz w:val="21"/>
                      <w:szCs w:val="21"/>
                    </w:rPr>
                  </w:pPr>
                  <w:r>
                    <w:rPr>
                      <w:spacing w:val="5"/>
                      <w:sz w:val="21"/>
                      <w:szCs w:val="21"/>
                    </w:rPr>
                    <w:t>一般管</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7"/>
                      <w:sz w:val="21"/>
                      <w:szCs w:val="21"/>
                    </w:rPr>
                    <w:t>控单元</w:t>
                  </w:r>
                </w:p>
              </w:tc>
              <w:tc>
                <w:tcPr>
                  <w:tcW w:w="13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szCs w:val="21"/>
                    </w:rPr>
                  </w:pPr>
                  <w:r>
                    <w:rPr>
                      <w:spacing w:val="-2"/>
                      <w:sz w:val="21"/>
                      <w:szCs w:val="21"/>
                    </w:rPr>
                    <w:t>一般管控单元。除优先</w:t>
                  </w:r>
                  <w:r>
                    <w:rPr>
                      <w:spacing w:val="8"/>
                      <w:sz w:val="21"/>
                      <w:szCs w:val="21"/>
                    </w:rPr>
                    <w:t>保护单元和重点管控</w:t>
                  </w:r>
                  <w:r>
                    <w:rPr>
                      <w:spacing w:val="7"/>
                      <w:sz w:val="21"/>
                      <w:szCs w:val="21"/>
                    </w:rPr>
                    <w:t>单元之外的其他区域，</w:t>
                  </w:r>
                  <w:r>
                    <w:rPr>
                      <w:spacing w:val="8"/>
                      <w:sz w:val="21"/>
                      <w:szCs w:val="21"/>
                    </w:rPr>
                    <w:t>全市划分一般管控单</w:t>
                  </w:r>
                  <w:r>
                    <w:rPr>
                      <w:spacing w:val="-1"/>
                      <w:sz w:val="21"/>
                      <w:szCs w:val="21"/>
                    </w:rPr>
                    <w:t>元</w:t>
                  </w:r>
                  <w:r>
                    <w:rPr>
                      <w:spacing w:val="-40"/>
                      <w:sz w:val="21"/>
                      <w:szCs w:val="21"/>
                    </w:rPr>
                    <w:t xml:space="preserve"> </w:t>
                  </w:r>
                  <w:r>
                    <w:rPr>
                      <w:rFonts w:ascii="Times New Roman" w:hAnsi="Times New Roman" w:eastAsia="Times New Roman" w:cs="Times New Roman"/>
                      <w:spacing w:val="-1"/>
                      <w:sz w:val="21"/>
                      <w:szCs w:val="21"/>
                    </w:rPr>
                    <w:t>7</w:t>
                  </w:r>
                  <w:r>
                    <w:rPr>
                      <w:spacing w:val="-1"/>
                      <w:sz w:val="21"/>
                      <w:szCs w:val="21"/>
                    </w:rPr>
                    <w:t>个。</w:t>
                  </w:r>
                </w:p>
              </w:tc>
              <w:tc>
                <w:tcPr>
                  <w:tcW w:w="14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z w:val="21"/>
                      <w:szCs w:val="21"/>
                    </w:rPr>
                  </w:pPr>
                  <w:r>
                    <w:rPr>
                      <w:spacing w:val="6"/>
                      <w:sz w:val="21"/>
                      <w:szCs w:val="21"/>
                    </w:rPr>
                    <w:t>以生态环境保护与适度</w:t>
                  </w:r>
                  <w:r>
                    <w:rPr>
                      <w:spacing w:val="4"/>
                      <w:sz w:val="21"/>
                      <w:szCs w:val="21"/>
                    </w:rPr>
                    <w:t xml:space="preserve"> </w:t>
                  </w:r>
                  <w:r>
                    <w:rPr>
                      <w:spacing w:val="1"/>
                      <w:sz w:val="21"/>
                      <w:szCs w:val="21"/>
                    </w:rPr>
                    <w:t>开发相结合，开发建设中</w:t>
                  </w:r>
                  <w:r>
                    <w:rPr>
                      <w:spacing w:val="6"/>
                      <w:sz w:val="21"/>
                      <w:szCs w:val="21"/>
                    </w:rPr>
                    <w:t xml:space="preserve"> </w:t>
                  </w:r>
                  <w:r>
                    <w:rPr>
                      <w:spacing w:val="15"/>
                      <w:sz w:val="21"/>
                      <w:szCs w:val="21"/>
                    </w:rPr>
                    <w:t>应落实生态环境保护基</w:t>
                  </w:r>
                  <w:r>
                    <w:rPr>
                      <w:spacing w:val="4"/>
                      <w:sz w:val="21"/>
                      <w:szCs w:val="21"/>
                    </w:rPr>
                    <w:t>本要求。</w:t>
                  </w:r>
                </w:p>
              </w:tc>
              <w:tc>
                <w:tcPr>
                  <w:tcW w:w="122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z w:val="21"/>
                      <w:szCs w:val="21"/>
                    </w:rPr>
                  </w:pPr>
                  <w:r>
                    <w:rPr>
                      <w:spacing w:val="8"/>
                      <w:sz w:val="21"/>
                      <w:szCs w:val="21"/>
                    </w:rPr>
                    <w:t>本项目所在区域属</w:t>
                  </w:r>
                  <w:r>
                    <w:rPr>
                      <w:spacing w:val="1"/>
                      <w:sz w:val="21"/>
                      <w:szCs w:val="21"/>
                    </w:rPr>
                    <w:t>于一般管控单元。本</w:t>
                  </w:r>
                  <w:r>
                    <w:rPr>
                      <w:spacing w:val="17"/>
                      <w:sz w:val="21"/>
                      <w:szCs w:val="21"/>
                    </w:rPr>
                    <w:t>次价要求项目生产建设严格执行区域生态环境保护基</w:t>
                  </w:r>
                  <w:r>
                    <w:rPr>
                      <w:spacing w:val="4"/>
                      <w:sz w:val="21"/>
                      <w:szCs w:val="21"/>
                    </w:rPr>
                    <w:t>本要求。</w:t>
                  </w:r>
                </w:p>
              </w:tc>
              <w:tc>
                <w:tcPr>
                  <w:tcW w:w="36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z w:val="21"/>
                      <w:szCs w:val="21"/>
                    </w:rPr>
                  </w:pPr>
                  <w:r>
                    <w:rPr>
                      <w:spacing w:val="3"/>
                      <w:sz w:val="21"/>
                      <w:szCs w:val="21"/>
                    </w:rPr>
                    <w:t>属于</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sz w:val="24"/>
                <w:szCs w:val="24"/>
              </w:rPr>
            </w:pPr>
            <w:r>
              <w:rPr>
                <w:b/>
                <w:bCs/>
                <w:spacing w:val="-2"/>
                <w:sz w:val="24"/>
                <w:szCs w:val="24"/>
              </w:rPr>
              <w:t>②</w:t>
            </w:r>
            <w:r>
              <w:rPr>
                <w:rFonts w:hint="eastAsia"/>
                <w:b/>
                <w:bCs/>
                <w:spacing w:val="-2"/>
                <w:sz w:val="24"/>
                <w:szCs w:val="24"/>
                <w:lang w:val="en-US" w:eastAsia="zh-CN"/>
              </w:rPr>
              <w:t xml:space="preserve"> </w:t>
            </w:r>
            <w:r>
              <w:rPr>
                <w:b/>
                <w:bCs/>
                <w:spacing w:val="-2"/>
                <w:sz w:val="24"/>
                <w:szCs w:val="24"/>
              </w:rPr>
              <w:t>广元市及各县（市、区）总体生态环境管控要求</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spacing w:val="-1"/>
                <w:sz w:val="24"/>
                <w:szCs w:val="24"/>
                <w:lang w:eastAsia="zh-CN"/>
              </w:rPr>
            </w:pPr>
            <w:r>
              <w:rPr>
                <w:sz w:val="24"/>
                <w:szCs w:val="24"/>
              </w:rPr>
              <w:t>根据广元市及各县（市、区）的区域特征、发展定位和突出生态环境问题，明确广元市及各县（市、区）差异化的总体生态环境管控要求。本项目所在地属于广元市旺苍县，本项目建设与广元市全市总体生态环境管控要求及旺苍县生态</w:t>
            </w:r>
            <w:r>
              <w:rPr>
                <w:spacing w:val="7"/>
                <w:sz w:val="24"/>
                <w:szCs w:val="24"/>
              </w:rPr>
              <w:t xml:space="preserve"> </w:t>
            </w:r>
            <w:r>
              <w:rPr>
                <w:spacing w:val="-1"/>
                <w:sz w:val="24"/>
                <w:szCs w:val="24"/>
              </w:rPr>
              <w:t>环境管控要求符合性分析见下表</w:t>
            </w:r>
            <w:r>
              <w:rPr>
                <w:rFonts w:hint="eastAsia"/>
                <w:spacing w:val="-1"/>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spacing w:val="-1"/>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表1-11    本项目与广元市生态环境管控单元划分情况及管控要求分析</w:t>
            </w:r>
          </w:p>
          <w:tbl>
            <w:tblPr>
              <w:tblStyle w:val="76"/>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32"/>
              <w:gridCol w:w="3829"/>
              <w:gridCol w:w="2780"/>
              <w:gridCol w:w="8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7" w:hRule="atLeast"/>
                <w:jc w:val="center"/>
              </w:trPr>
              <w:tc>
                <w:tcPr>
                  <w:tcW w:w="60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b/>
                      <w:bCs/>
                      <w:spacing w:val="2"/>
                      <w:sz w:val="21"/>
                      <w:szCs w:val="21"/>
                    </w:rPr>
                    <w:t>行政</w:t>
                  </w:r>
                  <w:r>
                    <w:rPr>
                      <w:rFonts w:hint="default" w:ascii="Arial" w:hAnsi="Arial" w:cs="Arial"/>
                      <w:b/>
                      <w:bCs/>
                      <w:spacing w:val="-4"/>
                      <w:sz w:val="21"/>
                      <w:szCs w:val="21"/>
                    </w:rPr>
                    <w:t>区划</w:t>
                  </w: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7"/>
                      <w:sz w:val="21"/>
                      <w:szCs w:val="21"/>
                    </w:rPr>
                    <w:t>总体生态环境管控要求</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5"/>
                      <w:sz w:val="21"/>
                      <w:szCs w:val="21"/>
                    </w:rPr>
                    <w:t>本项目</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5"/>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jc w:val="center"/>
              </w:trPr>
              <w:tc>
                <w:tcPr>
                  <w:tcW w:w="609" w:type="pct"/>
                  <w:vMerge w:val="restar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4"/>
                      <w:sz w:val="21"/>
                      <w:szCs w:val="21"/>
                    </w:rPr>
                    <w:t>广元</w:t>
                  </w:r>
                  <w:r>
                    <w:rPr>
                      <w:rFonts w:hint="default" w:ascii="Arial" w:hAnsi="Arial" w:cs="Arial"/>
                      <w:sz w:val="21"/>
                      <w:szCs w:val="21"/>
                    </w:rPr>
                    <w:t>市</w:t>
                  </w: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1</w:t>
                  </w:r>
                  <w:r>
                    <w:rPr>
                      <w:rFonts w:hint="default" w:ascii="Arial" w:hAnsi="Arial" w:cs="Arial"/>
                      <w:spacing w:val="11"/>
                      <w:sz w:val="21"/>
                      <w:szCs w:val="21"/>
                    </w:rPr>
                    <w:t>）长江干支流岸线一公里范围不得</w:t>
                  </w:r>
                  <w:r>
                    <w:rPr>
                      <w:rFonts w:hint="default" w:ascii="Arial" w:hAnsi="Arial" w:cs="Arial"/>
                      <w:spacing w:val="5"/>
                      <w:sz w:val="21"/>
                      <w:szCs w:val="21"/>
                    </w:rPr>
                    <w:t>新建、扩建化工园区和化工项目。长江</w:t>
                  </w:r>
                  <w:r>
                    <w:rPr>
                      <w:rFonts w:hint="default" w:ascii="Arial" w:hAnsi="Arial" w:cs="Arial"/>
                      <w:spacing w:val="18"/>
                      <w:sz w:val="21"/>
                      <w:szCs w:val="21"/>
                    </w:rPr>
                    <w:t>干流岸线三公里范围内和重要支流岸</w:t>
                  </w:r>
                  <w:r>
                    <w:rPr>
                      <w:rFonts w:hint="default" w:ascii="Arial" w:hAnsi="Arial" w:cs="Arial"/>
                      <w:spacing w:val="5"/>
                      <w:sz w:val="21"/>
                      <w:szCs w:val="21"/>
                    </w:rPr>
                    <w:t>线一公里范围内不得新建、改建、扩建</w:t>
                  </w:r>
                  <w:r>
                    <w:rPr>
                      <w:rFonts w:hint="default" w:ascii="Arial" w:hAnsi="Arial" w:cs="Arial"/>
                      <w:spacing w:val="6"/>
                      <w:sz w:val="21"/>
                      <w:szCs w:val="21"/>
                    </w:rPr>
                    <w:t>尾矿库；但是以提升安全、生态环境保</w:t>
                  </w:r>
                  <w:r>
                    <w:rPr>
                      <w:rFonts w:hint="default" w:ascii="Arial" w:hAnsi="Arial" w:cs="Arial"/>
                      <w:spacing w:val="8"/>
                      <w:sz w:val="21"/>
                      <w:szCs w:val="21"/>
                    </w:rPr>
                    <w:t>护水平为目的的改建除外。</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4"/>
                      <w:sz w:val="21"/>
                      <w:szCs w:val="21"/>
                    </w:rPr>
                    <w:t>本项目属于新建、扩建化工园区</w:t>
                  </w:r>
                  <w:r>
                    <w:rPr>
                      <w:rFonts w:hint="default" w:ascii="Arial" w:hAnsi="Arial" w:cs="Arial"/>
                      <w:spacing w:val="-5"/>
                      <w:sz w:val="21"/>
                      <w:szCs w:val="21"/>
                    </w:rPr>
                    <w:t>和化工项目；不属于新建、改建、</w:t>
                  </w:r>
                  <w:r>
                    <w:rPr>
                      <w:rFonts w:hint="default" w:ascii="Arial" w:hAnsi="Arial" w:cs="Arial"/>
                      <w:spacing w:val="7"/>
                      <w:sz w:val="21"/>
                      <w:szCs w:val="21"/>
                    </w:rPr>
                    <w:t>扩建的尾矿库。</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jc w:val="center"/>
              </w:trPr>
              <w:tc>
                <w:tcPr>
                  <w:tcW w:w="6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2</w:t>
                  </w:r>
                  <w:r>
                    <w:rPr>
                      <w:rFonts w:hint="default" w:ascii="Arial" w:hAnsi="Arial" w:cs="Arial"/>
                      <w:spacing w:val="11"/>
                      <w:sz w:val="21"/>
                      <w:szCs w:val="21"/>
                    </w:rPr>
                    <w:t>）落实《长江流域重点水域禁捕和</w:t>
                  </w:r>
                  <w:r>
                    <w:rPr>
                      <w:rFonts w:hint="default" w:ascii="Arial" w:hAnsi="Arial" w:cs="Arial"/>
                      <w:spacing w:val="5"/>
                      <w:sz w:val="21"/>
                      <w:szCs w:val="21"/>
                    </w:rPr>
                    <w:t>建立补偿制度实施方案》，长江流域重</w:t>
                  </w:r>
                  <w:r>
                    <w:rPr>
                      <w:rFonts w:hint="default" w:ascii="Arial" w:hAnsi="Arial" w:cs="Arial"/>
                      <w:spacing w:val="7"/>
                      <w:sz w:val="21"/>
                      <w:szCs w:val="21"/>
                    </w:rPr>
                    <w:t>点水域实施常年禁捕。</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本次评价要求建设单位严格落</w:t>
                  </w:r>
                  <w:r>
                    <w:rPr>
                      <w:rFonts w:hint="default" w:ascii="Arial" w:hAnsi="Arial" w:cs="Arial"/>
                      <w:spacing w:val="4"/>
                      <w:sz w:val="21"/>
                      <w:szCs w:val="21"/>
                    </w:rPr>
                    <w:t>实《长江流域重点水域禁捕和建</w:t>
                  </w:r>
                  <w:r>
                    <w:rPr>
                      <w:rFonts w:hint="default" w:ascii="Arial" w:hAnsi="Arial" w:cs="Arial"/>
                      <w:spacing w:val="7"/>
                      <w:sz w:val="21"/>
                      <w:szCs w:val="21"/>
                    </w:rPr>
                    <w:t>立补偿制度实施方案》。</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jc w:val="center"/>
              </w:trPr>
              <w:tc>
                <w:tcPr>
                  <w:tcW w:w="6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3</w:t>
                  </w:r>
                  <w:r>
                    <w:rPr>
                      <w:rFonts w:hint="default" w:ascii="Arial" w:hAnsi="Arial" w:cs="Arial"/>
                      <w:spacing w:val="11"/>
                      <w:sz w:val="21"/>
                      <w:szCs w:val="21"/>
                    </w:rPr>
                    <w:t>）结合地区资源环境禀赋，合理布</w:t>
                  </w:r>
                  <w:r>
                    <w:rPr>
                      <w:rFonts w:hint="default" w:ascii="Arial" w:hAnsi="Arial" w:cs="Arial"/>
                      <w:spacing w:val="2"/>
                      <w:sz w:val="21"/>
                      <w:szCs w:val="21"/>
                    </w:rPr>
                    <w:t xml:space="preserve"> </w:t>
                  </w:r>
                  <w:r>
                    <w:rPr>
                      <w:rFonts w:hint="default" w:ascii="Arial" w:hAnsi="Arial" w:cs="Arial"/>
                      <w:spacing w:val="6"/>
                      <w:sz w:val="21"/>
                      <w:szCs w:val="21"/>
                    </w:rPr>
                    <w:t>局承接产业，加强环保基础设施建设，</w:t>
                  </w:r>
                  <w:r>
                    <w:rPr>
                      <w:rFonts w:hint="default" w:ascii="Arial" w:hAnsi="Arial" w:cs="Arial"/>
                      <w:spacing w:val="5"/>
                      <w:sz w:val="21"/>
                      <w:szCs w:val="21"/>
                    </w:rPr>
                    <w:t>确保环境质量不降低。承接钢铁、电解</w:t>
                  </w:r>
                  <w:r>
                    <w:rPr>
                      <w:rFonts w:hint="default" w:ascii="Arial" w:hAnsi="Arial" w:cs="Arial"/>
                      <w:spacing w:val="18"/>
                      <w:sz w:val="21"/>
                      <w:szCs w:val="21"/>
                    </w:rPr>
                    <w:t>铝等产业转移地区应严格落实生态环</w:t>
                  </w:r>
                  <w:r>
                    <w:rPr>
                      <w:rFonts w:hint="default" w:ascii="Arial" w:hAnsi="Arial" w:cs="Arial"/>
                      <w:spacing w:val="6"/>
                      <w:sz w:val="21"/>
                      <w:szCs w:val="21"/>
                    </w:rPr>
                    <w:t>境分区管控要求，将环境质量底线作为</w:t>
                  </w:r>
                  <w:r>
                    <w:rPr>
                      <w:rFonts w:hint="default" w:ascii="Arial" w:hAnsi="Arial" w:cs="Arial"/>
                      <w:spacing w:val="5"/>
                      <w:sz w:val="21"/>
                      <w:szCs w:val="21"/>
                    </w:rPr>
                    <w:t>硬约束。</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4"/>
                      <w:sz w:val="21"/>
                      <w:szCs w:val="21"/>
                    </w:rPr>
                    <w:t>本项目不属于钢铁、电解铝等产</w:t>
                  </w:r>
                  <w:r>
                    <w:rPr>
                      <w:rFonts w:hint="default" w:ascii="Arial" w:hAnsi="Arial" w:cs="Arial"/>
                      <w:sz w:val="21"/>
                      <w:szCs w:val="21"/>
                    </w:rPr>
                    <w:t>业。</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jc w:val="center"/>
              </w:trPr>
              <w:tc>
                <w:tcPr>
                  <w:tcW w:w="6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w:t>
                  </w:r>
                  <w:r>
                    <w:rPr>
                      <w:rFonts w:hint="default" w:ascii="Arial" w:hAnsi="Arial" w:eastAsia="Times New Roman" w:cs="Arial"/>
                      <w:spacing w:val="9"/>
                      <w:sz w:val="21"/>
                      <w:szCs w:val="21"/>
                    </w:rPr>
                    <w:t>4</w:t>
                  </w:r>
                  <w:r>
                    <w:rPr>
                      <w:rFonts w:hint="default" w:ascii="Arial" w:hAnsi="Arial" w:cs="Arial"/>
                      <w:spacing w:val="9"/>
                      <w:sz w:val="21"/>
                      <w:szCs w:val="21"/>
                    </w:rPr>
                    <w:t>）加强与嘉陵江上游甘肃陇南市、</w:t>
                  </w:r>
                  <w:r>
                    <w:rPr>
                      <w:rFonts w:hint="default" w:ascii="Arial" w:hAnsi="Arial" w:cs="Arial"/>
                      <w:spacing w:val="7"/>
                      <w:sz w:val="21"/>
                      <w:szCs w:val="21"/>
                    </w:rPr>
                    <w:t>陕西汉中市环境风险联防联控。</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本次评价要求建设单位加强与</w:t>
                  </w:r>
                  <w:r>
                    <w:rPr>
                      <w:rFonts w:hint="default" w:ascii="Arial" w:hAnsi="Arial" w:cs="Arial"/>
                      <w:spacing w:val="4"/>
                      <w:sz w:val="21"/>
                      <w:szCs w:val="21"/>
                    </w:rPr>
                    <w:t>嘉陵江上游甘肃陇南市、陕西汉</w:t>
                  </w:r>
                  <w:r>
                    <w:rPr>
                      <w:rFonts w:hint="default" w:ascii="Arial" w:hAnsi="Arial" w:cs="Arial"/>
                      <w:spacing w:val="6"/>
                      <w:sz w:val="21"/>
                      <w:szCs w:val="21"/>
                    </w:rPr>
                    <w:t>中市环境风险联防联控。</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z w:val="21"/>
                      <w:szCs w:val="21"/>
                    </w:rPr>
                    <w:t>（</w:t>
                  </w:r>
                  <w:r>
                    <w:rPr>
                      <w:rFonts w:hint="default" w:ascii="Arial" w:hAnsi="Arial" w:eastAsia="Times New Roman" w:cs="Arial"/>
                      <w:sz w:val="21"/>
                      <w:szCs w:val="21"/>
                    </w:rPr>
                    <w:t>5</w:t>
                  </w:r>
                  <w:r>
                    <w:rPr>
                      <w:rFonts w:hint="default" w:ascii="Arial" w:hAnsi="Arial" w:cs="Arial"/>
                      <w:sz w:val="21"/>
                      <w:szCs w:val="21"/>
                    </w:rPr>
                    <w:t>）大熊猫国家公园严格按照《大熊猫</w:t>
                  </w:r>
                  <w:r>
                    <w:rPr>
                      <w:rFonts w:hint="default" w:ascii="Arial" w:hAnsi="Arial" w:cs="Arial"/>
                      <w:spacing w:val="-22"/>
                      <w:sz w:val="21"/>
                      <w:szCs w:val="21"/>
                    </w:rPr>
                    <w:t>国家公园总体规划（试行）》要求进行保护、</w:t>
                  </w:r>
                  <w:r>
                    <w:rPr>
                      <w:rFonts w:hint="default" w:ascii="Arial" w:hAnsi="Arial" w:cs="Arial"/>
                      <w:spacing w:val="-6"/>
                      <w:sz w:val="21"/>
                      <w:szCs w:val="21"/>
                    </w:rPr>
                    <w:t>管理。</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本项目所在地不涉及大熊猫国</w:t>
                  </w:r>
                  <w:r>
                    <w:rPr>
                      <w:rFonts w:hint="default" w:ascii="Arial" w:hAnsi="Arial" w:cs="Arial"/>
                      <w:spacing w:val="4"/>
                      <w:sz w:val="21"/>
                      <w:szCs w:val="21"/>
                    </w:rPr>
                    <w:t>家公园。</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jc w:val="center"/>
              </w:trPr>
              <w:tc>
                <w:tcPr>
                  <w:tcW w:w="609"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1"/>
                      <w:sz w:val="21"/>
                      <w:szCs w:val="21"/>
                    </w:rPr>
                    <w:t>旺苍</w:t>
                  </w:r>
                  <w:r>
                    <w:rPr>
                      <w:rFonts w:hint="default" w:ascii="Arial" w:hAnsi="Arial" w:cs="Arial"/>
                      <w:sz w:val="21"/>
                      <w:szCs w:val="21"/>
                    </w:rPr>
                    <w:t>县</w:t>
                  </w: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1</w:t>
                  </w:r>
                  <w:r>
                    <w:rPr>
                      <w:rFonts w:hint="default" w:ascii="Arial" w:hAnsi="Arial" w:cs="Arial"/>
                      <w:spacing w:val="11"/>
                      <w:sz w:val="21"/>
                      <w:szCs w:val="21"/>
                    </w:rPr>
                    <w:t>）旺苍县属于国家层面限制开发区</w:t>
                  </w:r>
                  <w:r>
                    <w:rPr>
                      <w:rFonts w:hint="default" w:ascii="Arial" w:hAnsi="Arial" w:cs="Arial"/>
                      <w:spacing w:val="7"/>
                      <w:sz w:val="21"/>
                      <w:szCs w:val="21"/>
                    </w:rPr>
                    <w:t>域（重点生态功能区</w:t>
                  </w:r>
                  <w:r>
                    <w:rPr>
                      <w:rFonts w:hint="default" w:ascii="Arial" w:hAnsi="Arial" w:cs="Arial"/>
                      <w:spacing w:val="-3"/>
                      <w:sz w:val="21"/>
                      <w:szCs w:val="21"/>
                    </w:rPr>
                    <w:t>），</w:t>
                  </w:r>
                  <w:r>
                    <w:rPr>
                      <w:rFonts w:hint="default" w:ascii="Arial" w:hAnsi="Arial" w:cs="Arial"/>
                      <w:spacing w:val="7"/>
                      <w:sz w:val="21"/>
                      <w:szCs w:val="21"/>
                    </w:rPr>
                    <w:t>严格控制开发</w:t>
                  </w:r>
                  <w:r>
                    <w:rPr>
                      <w:rFonts w:hint="default" w:ascii="Arial" w:hAnsi="Arial" w:cs="Arial"/>
                      <w:spacing w:val="6"/>
                      <w:sz w:val="21"/>
                      <w:szCs w:val="21"/>
                    </w:rPr>
                    <w:t>强度，执行《四川省重点生态功能区产业准入负面清单》。</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4"/>
                      <w:sz w:val="21"/>
                      <w:szCs w:val="21"/>
                    </w:rPr>
                    <w:t>本项目不属于《四川省重点生态功能区产业准入负面清单》中禁</w:t>
                  </w:r>
                  <w:r>
                    <w:rPr>
                      <w:rFonts w:hint="default" w:ascii="Arial" w:hAnsi="Arial" w:cs="Arial"/>
                      <w:spacing w:val="8"/>
                      <w:sz w:val="21"/>
                      <w:szCs w:val="21"/>
                    </w:rPr>
                    <w:t>止准入和限制准入的产业。</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jc w:val="center"/>
              </w:trPr>
              <w:tc>
                <w:tcPr>
                  <w:tcW w:w="60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2</w:t>
                  </w:r>
                  <w:r>
                    <w:rPr>
                      <w:rFonts w:hint="default" w:ascii="Arial" w:hAnsi="Arial" w:cs="Arial"/>
                      <w:spacing w:val="11"/>
                      <w:sz w:val="21"/>
                      <w:szCs w:val="21"/>
                    </w:rPr>
                    <w:t>）强化建材家居行业挥发性有机物</w:t>
                  </w:r>
                  <w:r>
                    <w:rPr>
                      <w:rFonts w:hint="default" w:ascii="Arial" w:hAnsi="Arial" w:cs="Arial"/>
                      <w:spacing w:val="10"/>
                      <w:sz w:val="21"/>
                      <w:szCs w:val="21"/>
                    </w:rPr>
                    <w:t>控制，推广使用低（无）</w:t>
                  </w:r>
                  <w:r>
                    <w:rPr>
                      <w:rFonts w:hint="default" w:ascii="Arial" w:hAnsi="Arial" w:eastAsia="Times New Roman" w:cs="Arial"/>
                      <w:sz w:val="21"/>
                      <w:szCs w:val="21"/>
                    </w:rPr>
                    <w:t>VOCs</w:t>
                  </w:r>
                  <w:r>
                    <w:rPr>
                      <w:rFonts w:hint="default" w:ascii="Arial" w:hAnsi="Arial" w:cs="Arial"/>
                      <w:spacing w:val="10"/>
                      <w:sz w:val="21"/>
                      <w:szCs w:val="21"/>
                    </w:rPr>
                    <w:t>含量的</w:t>
                  </w:r>
                  <w:r>
                    <w:rPr>
                      <w:rFonts w:hint="default" w:ascii="Arial" w:hAnsi="Arial" w:cs="Arial"/>
                      <w:spacing w:val="5"/>
                      <w:sz w:val="21"/>
                      <w:szCs w:val="21"/>
                    </w:rPr>
                    <w:t>原辅材料和生产工艺、设备。水泥企业</w:t>
                  </w:r>
                  <w:r>
                    <w:rPr>
                      <w:rFonts w:hint="default" w:ascii="Arial" w:hAnsi="Arial" w:cs="Arial"/>
                      <w:spacing w:val="7"/>
                      <w:sz w:val="21"/>
                      <w:szCs w:val="21"/>
                    </w:rPr>
                    <w:t>实施深度治理。</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4"/>
                      <w:sz w:val="21"/>
                      <w:szCs w:val="21"/>
                    </w:rPr>
                    <w:t>本项目不属于建材家居行业、不</w:t>
                  </w:r>
                  <w:r>
                    <w:rPr>
                      <w:rFonts w:hint="default" w:ascii="Arial" w:hAnsi="Arial" w:cs="Arial"/>
                      <w:spacing w:val="6"/>
                      <w:sz w:val="21"/>
                      <w:szCs w:val="21"/>
                    </w:rPr>
                    <w:t>属于水泥企业。</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jc w:val="center"/>
              </w:trPr>
              <w:tc>
                <w:tcPr>
                  <w:tcW w:w="60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2"/>
                      <w:sz w:val="21"/>
                      <w:szCs w:val="21"/>
                    </w:rPr>
                    <w:t>（</w:t>
                  </w:r>
                  <w:r>
                    <w:rPr>
                      <w:rFonts w:hint="default" w:ascii="Arial" w:hAnsi="Arial" w:eastAsia="Times New Roman" w:cs="Arial"/>
                      <w:spacing w:val="2"/>
                      <w:sz w:val="21"/>
                      <w:szCs w:val="21"/>
                    </w:rPr>
                    <w:t>3</w:t>
                  </w:r>
                  <w:r>
                    <w:rPr>
                      <w:rFonts w:hint="default" w:ascii="Arial" w:hAnsi="Arial" w:cs="Arial"/>
                      <w:spacing w:val="2"/>
                      <w:sz w:val="21"/>
                      <w:szCs w:val="21"/>
                    </w:rPr>
                    <w:t>）有条件的工业园区和产业集群等，</w:t>
                  </w:r>
                  <w:r>
                    <w:rPr>
                      <w:rFonts w:hint="default" w:ascii="Arial" w:hAnsi="Arial" w:cs="Arial"/>
                      <w:spacing w:val="6"/>
                      <w:sz w:val="21"/>
                      <w:szCs w:val="21"/>
                    </w:rPr>
                    <w:t>推广集中喷涂、溶剂集中回收、活性炭</w:t>
                  </w:r>
                  <w:r>
                    <w:rPr>
                      <w:rFonts w:hint="default" w:ascii="Arial" w:hAnsi="Arial" w:cs="Arial"/>
                      <w:spacing w:val="-3"/>
                      <w:sz w:val="21"/>
                      <w:szCs w:val="21"/>
                    </w:rPr>
                    <w:t>集中再生等，加强资源共享，提高</w:t>
                  </w:r>
                  <w:r>
                    <w:rPr>
                      <w:rFonts w:hint="default" w:ascii="Arial" w:hAnsi="Arial" w:cs="Arial"/>
                      <w:spacing w:val="-42"/>
                      <w:sz w:val="21"/>
                      <w:szCs w:val="21"/>
                    </w:rPr>
                    <w:t xml:space="preserve"> </w:t>
                  </w:r>
                  <w:r>
                    <w:rPr>
                      <w:rFonts w:hint="default" w:ascii="Arial" w:hAnsi="Arial" w:eastAsia="Times New Roman" w:cs="Arial"/>
                      <w:spacing w:val="-3"/>
                      <w:sz w:val="21"/>
                      <w:szCs w:val="21"/>
                    </w:rPr>
                    <w:t>VOCs</w:t>
                  </w:r>
                  <w:r>
                    <w:rPr>
                      <w:rFonts w:hint="default" w:ascii="Arial" w:hAnsi="Arial" w:eastAsia="Times New Roman" w:cs="Arial"/>
                      <w:sz w:val="21"/>
                      <w:szCs w:val="21"/>
                    </w:rPr>
                    <w:t xml:space="preserve"> </w:t>
                  </w:r>
                  <w:r>
                    <w:rPr>
                      <w:rFonts w:hint="default" w:ascii="Arial" w:hAnsi="Arial" w:cs="Arial"/>
                      <w:spacing w:val="5"/>
                      <w:sz w:val="21"/>
                      <w:szCs w:val="21"/>
                    </w:rPr>
                    <w:t>治理效率。</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本项目拟建地不属于工业园区</w:t>
                  </w:r>
                  <w:r>
                    <w:rPr>
                      <w:rFonts w:hint="default" w:ascii="Arial" w:hAnsi="Arial" w:cs="Arial"/>
                      <w:spacing w:val="10"/>
                      <w:sz w:val="21"/>
                      <w:szCs w:val="21"/>
                    </w:rPr>
                    <w:t>和产业集群，不涉及</w:t>
                  </w:r>
                  <w:r>
                    <w:rPr>
                      <w:rFonts w:hint="default" w:ascii="Arial" w:hAnsi="Arial" w:cs="Arial"/>
                      <w:spacing w:val="-42"/>
                      <w:sz w:val="21"/>
                      <w:szCs w:val="21"/>
                    </w:rPr>
                    <w:t xml:space="preserve"> </w:t>
                  </w:r>
                  <w:r>
                    <w:rPr>
                      <w:rFonts w:hint="default" w:ascii="Arial" w:hAnsi="Arial" w:eastAsia="Times New Roman" w:cs="Arial"/>
                      <w:sz w:val="21"/>
                      <w:szCs w:val="21"/>
                    </w:rPr>
                    <w:t>VOCs</w:t>
                  </w:r>
                  <w:r>
                    <w:rPr>
                      <w:rFonts w:hint="default" w:ascii="Arial" w:hAnsi="Arial" w:eastAsia="Times New Roman" w:cs="Arial"/>
                      <w:spacing w:val="10"/>
                      <w:sz w:val="21"/>
                      <w:szCs w:val="21"/>
                    </w:rPr>
                    <w:t xml:space="preserve"> </w:t>
                  </w:r>
                  <w:r>
                    <w:rPr>
                      <w:rFonts w:hint="default" w:ascii="Arial" w:hAnsi="Arial" w:cs="Arial"/>
                      <w:spacing w:val="10"/>
                      <w:sz w:val="21"/>
                      <w:szCs w:val="21"/>
                    </w:rPr>
                    <w:t>排</w:t>
                  </w:r>
                  <w:r>
                    <w:rPr>
                      <w:rFonts w:hint="default" w:ascii="Arial" w:hAnsi="Arial" w:cs="Arial"/>
                      <w:sz w:val="21"/>
                      <w:szCs w:val="21"/>
                    </w:rPr>
                    <w:t>放。</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jc w:val="center"/>
              </w:trPr>
              <w:tc>
                <w:tcPr>
                  <w:tcW w:w="60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4</w:t>
                  </w:r>
                  <w:r>
                    <w:rPr>
                      <w:rFonts w:hint="default" w:ascii="Arial" w:hAnsi="Arial" w:cs="Arial"/>
                      <w:spacing w:val="11"/>
                      <w:sz w:val="21"/>
                      <w:szCs w:val="21"/>
                    </w:rPr>
                    <w:t>）新建矿山要达到绿色矿山相关标</w:t>
                  </w:r>
                  <w:r>
                    <w:rPr>
                      <w:rFonts w:hint="default" w:ascii="Arial" w:hAnsi="Arial" w:cs="Arial"/>
                      <w:spacing w:val="5"/>
                      <w:sz w:val="21"/>
                      <w:szCs w:val="21"/>
                    </w:rPr>
                    <w:t>准。严格管控矿产资源开发，加强矿山</w:t>
                  </w:r>
                  <w:r>
                    <w:rPr>
                      <w:rFonts w:hint="default" w:ascii="Arial" w:hAnsi="Arial" w:cs="Arial"/>
                      <w:spacing w:val="6"/>
                      <w:sz w:val="21"/>
                      <w:szCs w:val="21"/>
                    </w:rPr>
                    <w:t>生态修复和污染防范，鼓励开展尾矿综</w:t>
                  </w:r>
                  <w:r>
                    <w:rPr>
                      <w:rFonts w:hint="default" w:ascii="Arial" w:hAnsi="Arial" w:cs="Arial"/>
                      <w:spacing w:val="4"/>
                      <w:sz w:val="21"/>
                      <w:szCs w:val="21"/>
                    </w:rPr>
                    <w:t>合利用。</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8"/>
                      <w:sz w:val="21"/>
                      <w:szCs w:val="21"/>
                    </w:rPr>
                    <w:t>本项目不属于矿山项目。</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0" w:hRule="atLeast"/>
                <w:jc w:val="center"/>
              </w:trPr>
              <w:tc>
                <w:tcPr>
                  <w:tcW w:w="60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226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z w:val="21"/>
                      <w:szCs w:val="21"/>
                    </w:rPr>
                  </w:pPr>
                  <w:r>
                    <w:rPr>
                      <w:rFonts w:hint="default" w:ascii="Arial" w:hAnsi="Arial" w:cs="Arial"/>
                      <w:spacing w:val="11"/>
                      <w:sz w:val="21"/>
                      <w:szCs w:val="21"/>
                    </w:rPr>
                    <w:t>（</w:t>
                  </w:r>
                  <w:r>
                    <w:rPr>
                      <w:rFonts w:hint="default" w:ascii="Arial" w:hAnsi="Arial" w:eastAsia="Times New Roman" w:cs="Arial"/>
                      <w:spacing w:val="11"/>
                      <w:sz w:val="21"/>
                      <w:szCs w:val="21"/>
                    </w:rPr>
                    <w:t>5</w:t>
                  </w:r>
                  <w:r>
                    <w:rPr>
                      <w:rFonts w:hint="default" w:ascii="Arial" w:hAnsi="Arial" w:cs="Arial"/>
                      <w:spacing w:val="11"/>
                      <w:sz w:val="21"/>
                      <w:szCs w:val="21"/>
                    </w:rPr>
                    <w:t>）提升城乡污水收集处理能力，因</w:t>
                  </w:r>
                  <w:r>
                    <w:rPr>
                      <w:rFonts w:hint="default" w:ascii="Arial" w:hAnsi="Arial" w:cs="Arial"/>
                      <w:spacing w:val="18"/>
                      <w:sz w:val="21"/>
                      <w:szCs w:val="21"/>
                    </w:rPr>
                    <w:t>地制宜推进城镇生活污水处理设施提</w:t>
                  </w:r>
                  <w:r>
                    <w:rPr>
                      <w:rFonts w:hint="default" w:ascii="Arial" w:hAnsi="Arial" w:cs="Arial"/>
                      <w:spacing w:val="5"/>
                      <w:sz w:val="21"/>
                      <w:szCs w:val="21"/>
                    </w:rPr>
                    <w:t>标改造工作，加快推进《广元市城镇污</w:t>
                  </w:r>
                  <w:r>
                    <w:rPr>
                      <w:rFonts w:hint="default" w:ascii="Arial" w:hAnsi="Arial" w:cs="Arial"/>
                      <w:spacing w:val="33"/>
                      <w:sz w:val="21"/>
                      <w:szCs w:val="21"/>
                    </w:rPr>
                    <w:t>水处理设施建设三年推进实施方案</w:t>
                  </w:r>
                  <w:r>
                    <w:rPr>
                      <w:rFonts w:hint="default" w:ascii="Arial" w:hAnsi="Arial" w:cs="Arial"/>
                      <w:spacing w:val="4"/>
                      <w:sz w:val="21"/>
                      <w:szCs w:val="21"/>
                    </w:rPr>
                    <w:t>（</w:t>
                  </w:r>
                  <w:r>
                    <w:rPr>
                      <w:rFonts w:hint="default" w:ascii="Arial" w:hAnsi="Arial" w:eastAsia="Times New Roman" w:cs="Arial"/>
                      <w:spacing w:val="4"/>
                      <w:sz w:val="21"/>
                      <w:szCs w:val="21"/>
                    </w:rPr>
                    <w:t>2021-2023</w:t>
                  </w:r>
                  <w:r>
                    <w:rPr>
                      <w:rFonts w:hint="default" w:ascii="Arial" w:hAnsi="Arial" w:cs="Arial"/>
                      <w:spacing w:val="4"/>
                      <w:sz w:val="21"/>
                      <w:szCs w:val="21"/>
                    </w:rPr>
                    <w:t>年）》。</w:t>
                  </w:r>
                </w:p>
              </w:tc>
              <w:tc>
                <w:tcPr>
                  <w:tcW w:w="16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9"/>
                      <w:sz w:val="21"/>
                      <w:szCs w:val="21"/>
                    </w:rPr>
                    <w:t>本项目不属于城镇生活污水处</w:t>
                  </w:r>
                  <w:r>
                    <w:rPr>
                      <w:rFonts w:hint="default" w:ascii="Arial" w:hAnsi="Arial" w:cs="Arial"/>
                      <w:spacing w:val="7"/>
                      <w:sz w:val="21"/>
                      <w:szCs w:val="21"/>
                    </w:rPr>
                    <w:t>理设施建设项目。</w:t>
                  </w:r>
                </w:p>
              </w:tc>
              <w:tc>
                <w:tcPr>
                  <w:tcW w:w="48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3"/>
                      <w:sz w:val="21"/>
                      <w:szCs w:val="21"/>
                    </w:rPr>
                    <w:t>符合</w:t>
                  </w:r>
                </w:p>
              </w:tc>
            </w:tr>
          </w:tbl>
          <w:p>
            <w:pPr>
              <w:pStyle w:val="75"/>
              <w:spacing w:before="117" w:line="347" w:lineRule="auto"/>
              <w:ind w:left="113" w:right="107" w:firstLine="480"/>
              <w:rPr>
                <w:rFonts w:hint="default" w:ascii="Arial" w:hAnsi="Arial" w:cs="Arial"/>
                <w:sz w:val="24"/>
                <w:szCs w:val="24"/>
              </w:rPr>
            </w:pPr>
            <w:r>
              <w:rPr>
                <w:rFonts w:hint="default" w:ascii="Arial" w:hAnsi="Arial" w:cs="Arial"/>
                <w:sz w:val="24"/>
                <w:szCs w:val="24"/>
              </w:rPr>
              <w:t>本项目采取严格的环境保护措施，废气、废水、噪声经治理后均可实现达标</w:t>
            </w:r>
            <w:r>
              <w:rPr>
                <w:rFonts w:hint="default" w:ascii="Arial" w:hAnsi="Arial" w:cs="Arial"/>
                <w:spacing w:val="-1"/>
                <w:sz w:val="24"/>
                <w:szCs w:val="24"/>
              </w:rPr>
              <w:t>排放，固废妥善处置，环境风险可控，对当地环境没有明显影响。</w:t>
            </w:r>
          </w:p>
          <w:p>
            <w:pPr>
              <w:pStyle w:val="75"/>
              <w:spacing w:before="34" w:line="351" w:lineRule="auto"/>
              <w:ind w:left="114" w:right="1" w:firstLine="481"/>
              <w:rPr>
                <w:rFonts w:hint="default" w:ascii="Arial" w:hAnsi="Arial" w:cs="Arial"/>
                <w:spacing w:val="0"/>
                <w:sz w:val="24"/>
                <w:szCs w:val="24"/>
              </w:rPr>
            </w:pPr>
            <w:r>
              <w:rPr>
                <w:rFonts w:hint="default" w:ascii="Arial" w:hAnsi="Arial" w:cs="Arial"/>
                <w:spacing w:val="0"/>
                <w:sz w:val="24"/>
                <w:szCs w:val="24"/>
              </w:rPr>
              <w:t>综上所述，本项目建设符合《广元市人民政府关于落实生态保护红线、环境  质量底线、资源利用上线和生态环境准入清单要求实施生态环境分区管控的通知》（广府发〔</w:t>
            </w:r>
            <w:r>
              <w:rPr>
                <w:rFonts w:hint="default" w:ascii="Arial" w:hAnsi="Arial" w:eastAsia="Times New Roman" w:cs="Arial"/>
                <w:spacing w:val="0"/>
                <w:sz w:val="24"/>
                <w:szCs w:val="24"/>
              </w:rPr>
              <w:t>2021</w:t>
            </w:r>
            <w:r>
              <w:rPr>
                <w:rFonts w:hint="default" w:ascii="Arial" w:hAnsi="Arial" w:cs="Arial"/>
                <w:spacing w:val="0"/>
                <w:sz w:val="24"/>
                <w:szCs w:val="24"/>
              </w:rPr>
              <w:t>〕</w:t>
            </w:r>
            <w:r>
              <w:rPr>
                <w:rFonts w:hint="default" w:ascii="Arial" w:hAnsi="Arial" w:eastAsia="Times New Roman" w:cs="Arial"/>
                <w:spacing w:val="0"/>
                <w:sz w:val="24"/>
                <w:szCs w:val="24"/>
              </w:rPr>
              <w:t>4</w:t>
            </w:r>
            <w:r>
              <w:rPr>
                <w:rFonts w:hint="default" w:ascii="Arial" w:hAnsi="Arial" w:cs="Arial"/>
                <w:spacing w:val="0"/>
                <w:sz w:val="24"/>
                <w:szCs w:val="24"/>
              </w:rPr>
              <w:t>号）要求。</w:t>
            </w:r>
          </w:p>
          <w:p>
            <w:pPr>
              <w:pStyle w:val="75"/>
              <w:keepNext w:val="0"/>
              <w:keepLines w:val="0"/>
              <w:pageBreakBefore w:val="0"/>
              <w:widowControl w:val="0"/>
              <w:kinsoku/>
              <w:wordWrap/>
              <w:overflowPunct/>
              <w:topLinePunct w:val="0"/>
              <w:bidi w:val="0"/>
              <w:adjustRightInd/>
              <w:snapToGrid/>
              <w:spacing w:line="360" w:lineRule="auto"/>
              <w:ind w:firstLine="0" w:firstLineChars="0"/>
              <w:textAlignment w:val="auto"/>
              <w:rPr>
                <w:rFonts w:hint="default" w:ascii="Arial" w:hAnsi="Arial" w:cs="Arial"/>
                <w:sz w:val="24"/>
                <w:szCs w:val="24"/>
              </w:rPr>
            </w:pPr>
            <w:r>
              <w:rPr>
                <w:rFonts w:hint="eastAsia" w:ascii="Arial" w:hAnsi="Arial" w:cs="Arial"/>
                <w:b/>
                <w:bCs/>
                <w:spacing w:val="-3"/>
                <w:sz w:val="24"/>
                <w:szCs w:val="24"/>
                <w:lang w:val="en-US" w:eastAsia="zh-CN"/>
              </w:rPr>
              <w:t>四</w:t>
            </w:r>
            <w:r>
              <w:rPr>
                <w:rFonts w:hint="default" w:ascii="Arial" w:hAnsi="Arial" w:cs="Arial"/>
                <w:b/>
                <w:bCs/>
                <w:spacing w:val="-3"/>
                <w:sz w:val="24"/>
                <w:szCs w:val="24"/>
              </w:rPr>
              <w:t>、本项目与其他相关文件的符合性分析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b/>
                <w:bCs/>
                <w:spacing w:val="-2"/>
                <w:sz w:val="24"/>
                <w:szCs w:val="24"/>
              </w:rPr>
            </w:pPr>
            <w:r>
              <w:rPr>
                <w:rFonts w:hint="eastAsia"/>
                <w:b/>
                <w:bCs/>
                <w:spacing w:val="-2"/>
                <w:sz w:val="24"/>
                <w:szCs w:val="24"/>
                <w:lang w:val="en-US" w:eastAsia="zh-CN"/>
              </w:rPr>
              <w:t>1、</w:t>
            </w:r>
            <w:r>
              <w:rPr>
                <w:b/>
                <w:bCs/>
                <w:spacing w:val="-2"/>
                <w:sz w:val="24"/>
                <w:szCs w:val="24"/>
              </w:rPr>
              <w:t>本项目与《中华人民共和国长江保护法》的符合性分析</w:t>
            </w:r>
          </w:p>
          <w:p>
            <w:pPr>
              <w:pStyle w:val="29"/>
              <w:keepNext w:val="0"/>
              <w:keepLines w:val="0"/>
              <w:pageBreakBefore w:val="0"/>
              <w:widowControl w:val="0"/>
              <w:kinsoku/>
              <w:wordWrap/>
              <w:overflowPunct/>
              <w:topLinePunct w:val="0"/>
              <w:autoSpaceDE w:val="0"/>
              <w:autoSpaceDN w:val="0"/>
              <w:bidi w:val="0"/>
              <w:adjustRightInd/>
              <w:snapToGrid/>
              <w:spacing w:line="360" w:lineRule="auto"/>
              <w:ind w:firstLine="476" w:firstLineChars="200"/>
              <w:textAlignment w:val="auto"/>
              <w:rPr>
                <w:rFonts w:hint="eastAsia" w:eastAsia="宋体"/>
                <w:spacing w:val="-1"/>
                <w:lang w:eastAsia="zh-CN"/>
              </w:rPr>
            </w:pPr>
            <w:r>
              <w:rPr>
                <w:spacing w:val="-1"/>
              </w:rPr>
              <w:t>本项目与《中华人民共和国长江保护法》的符合性分析见下表</w:t>
            </w:r>
            <w:r>
              <w:rPr>
                <w:rFonts w:hint="eastAsia"/>
                <w:spacing w:val="-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表1-12   本项目与《中华人民共和国长江保护法》符合性分析</w:t>
            </w:r>
          </w:p>
          <w:tbl>
            <w:tblPr>
              <w:tblStyle w:val="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544"/>
              <w:gridCol w:w="3117"/>
              <w:gridCol w:w="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68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cs="Arial"/>
                      <w:sz w:val="20"/>
                      <w:szCs w:val="20"/>
                    </w:rPr>
                  </w:pPr>
                  <w:r>
                    <w:rPr>
                      <w:rFonts w:hint="default" w:ascii="Arial" w:hAnsi="Arial" w:cs="Arial"/>
                      <w:b/>
                      <w:bCs/>
                      <w:spacing w:val="6"/>
                      <w:sz w:val="20"/>
                      <w:szCs w:val="20"/>
                    </w:rPr>
                    <w:t>主要内容</w:t>
                  </w:r>
                </w:p>
              </w:tc>
              <w:tc>
                <w:tcPr>
                  <w:tcW w:w="18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cs="Arial"/>
                      <w:sz w:val="20"/>
                      <w:szCs w:val="20"/>
                    </w:rPr>
                  </w:pPr>
                  <w:r>
                    <w:rPr>
                      <w:rFonts w:hint="default" w:ascii="Arial" w:hAnsi="Arial" w:cs="Arial"/>
                      <w:b/>
                      <w:bCs/>
                      <w:spacing w:val="6"/>
                      <w:sz w:val="20"/>
                      <w:szCs w:val="20"/>
                    </w:rPr>
                    <w:t>本项目情况</w:t>
                  </w:r>
                </w:p>
              </w:tc>
              <w:tc>
                <w:tcPr>
                  <w:tcW w:w="48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cs="Arial"/>
                      <w:sz w:val="20"/>
                      <w:szCs w:val="20"/>
                    </w:rPr>
                  </w:pPr>
                  <w:r>
                    <w:rPr>
                      <w:rFonts w:hint="default" w:ascii="Arial" w:hAnsi="Arial" w:cs="Arial"/>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jc w:val="center"/>
              </w:trPr>
              <w:tc>
                <w:tcPr>
                  <w:tcW w:w="268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第三十二条 国务院有关部门和长江流域地方各级人民政府应当采取措施，加快病险水库除险加固，推进堤防和蓄滞洪区建设，提升洪涝灾害防御工程标准，加强水工程联合调度，开展河道泥沙观测和河势调查，建立与经济社会发展相适应的防洪减灾工程和非工程体系，提高防御水旱灾害的整体能力。</w:t>
                  </w:r>
                </w:p>
              </w:tc>
              <w:tc>
                <w:tcPr>
                  <w:tcW w:w="18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本项目建设完成后为</w:t>
                  </w:r>
                  <w:r>
                    <w:rPr>
                      <w:rFonts w:hint="default" w:ascii="Arial" w:hAnsi="Arial" w:eastAsia="宋体" w:cs="Arial"/>
                      <w:spacing w:val="0"/>
                      <w:sz w:val="21"/>
                      <w:szCs w:val="21"/>
                      <w:lang w:val="en-US" w:eastAsia="zh-CN"/>
                    </w:rPr>
                    <w:t>东和</w:t>
                  </w:r>
                  <w:r>
                    <w:rPr>
                      <w:rFonts w:hint="default" w:ascii="Arial" w:hAnsi="Arial" w:eastAsia="宋体" w:cs="Arial"/>
                      <w:spacing w:val="0"/>
                      <w:sz w:val="21"/>
                      <w:szCs w:val="21"/>
                    </w:rPr>
                    <w:t>镇、</w:t>
                  </w:r>
                  <w:r>
                    <w:rPr>
                      <w:rFonts w:hint="default" w:ascii="Arial" w:hAnsi="Arial" w:eastAsia="宋体" w:cs="Arial"/>
                      <w:spacing w:val="0"/>
                      <w:sz w:val="21"/>
                      <w:szCs w:val="21"/>
                      <w:lang w:val="en-US" w:eastAsia="zh-CN"/>
                    </w:rPr>
                    <w:t>嘉川</w:t>
                  </w:r>
                  <w:r>
                    <w:rPr>
                      <w:rFonts w:hint="default" w:ascii="Arial" w:hAnsi="Arial" w:eastAsia="宋体" w:cs="Arial"/>
                      <w:spacing w:val="0"/>
                      <w:sz w:val="21"/>
                      <w:szCs w:val="21"/>
                    </w:rPr>
                    <w:t>镇提供生产生活用水，可加强区域水工程联合调度，提高区域防御水旱灾害的整体能力。</w:t>
                  </w:r>
                </w:p>
              </w:tc>
              <w:tc>
                <w:tcPr>
                  <w:tcW w:w="48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spacing w:val="0"/>
                      <w:sz w:val="21"/>
                      <w:szCs w:val="21"/>
                    </w:rPr>
                  </w:pPr>
                  <w:r>
                    <w:rPr>
                      <w:rFonts w:hint="default" w:ascii="Arial" w:hAnsi="Arial" w:eastAsia="宋体" w:cs="Arial"/>
                      <w:spacing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jc w:val="center"/>
              </w:trPr>
              <w:tc>
                <w:tcPr>
                  <w:tcW w:w="268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第五十六条 国务院有关部门会同长江流域有关省级人民政府加强对三峡库区、丹江口库区等重点库区消落区的生态环境保护和修复，因地制宜实施退耕还林还草还湿，禁止施用化肥、农药，科学调控水库水位，加强库区水土保持和地质灾害防治工作，保障消落区良好生态功能。</w:t>
                  </w:r>
                </w:p>
              </w:tc>
              <w:tc>
                <w:tcPr>
                  <w:tcW w:w="18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本次评价按要求项目建设完成后因地制宜实施退耕还林还草还湿；建设单位应联合相关部门禁止在库区内施用化肥、农药；水库营运期应科学调控水库水位，降低对消落区以及下游生态影响。</w:t>
                  </w:r>
                </w:p>
              </w:tc>
              <w:tc>
                <w:tcPr>
                  <w:tcW w:w="48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spacing w:val="0"/>
                      <w:sz w:val="21"/>
                      <w:szCs w:val="21"/>
                    </w:rPr>
                  </w:pPr>
                  <w:r>
                    <w:rPr>
                      <w:rFonts w:hint="default" w:ascii="Arial" w:hAnsi="Arial" w:eastAsia="宋体" w:cs="Arial"/>
                      <w:spacing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4" w:hRule="atLeast"/>
                <w:jc w:val="center"/>
              </w:trPr>
              <w:tc>
                <w:tcPr>
                  <w:tcW w:w="268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第六十一条 长江流域水土流失重点预防区和重点治理区的县级以上地方人民政府应当采取措施，防治水土流失。生态保护红线范围内的水土流失地块，以自然恢复为主，按照规定有计划地实施退耕还林还草还湿；划入自然保护地核心保护区的永久基本农田，依法有序退出并予以补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禁止在长江流域水土流失严重、生态脆弱的区域开展可能造成水土流失的生产建设活动。确因国家发展战略和国计民生需要建设的，应当经科学论证，并依法办理审批手续。</w:t>
                  </w:r>
                </w:p>
              </w:tc>
              <w:tc>
                <w:tcPr>
                  <w:tcW w:w="18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根据《四川省省级水土流失重点预防区和重点治理区划分成果》（四川省水利厅，川水函〔2017〕482号），本项目建设地属于国家水土流失重点预防区，不属于“长江流域水土流失严重、生态脆弱的区域”，本项目通过种植植被，加强绿化等措施进行水土流失防治，以降低水土流失影响。</w:t>
                  </w:r>
                </w:p>
              </w:tc>
              <w:tc>
                <w:tcPr>
                  <w:tcW w:w="48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spacing w:val="0"/>
                      <w:sz w:val="21"/>
                      <w:szCs w:val="21"/>
                    </w:rPr>
                  </w:pPr>
                  <w:r>
                    <w:rPr>
                      <w:rFonts w:hint="default" w:ascii="Arial" w:hAnsi="Arial" w:eastAsia="宋体" w:cs="Arial"/>
                      <w:spacing w:val="0"/>
                      <w:sz w:val="21"/>
                      <w:szCs w:val="21"/>
                    </w:rPr>
                    <w:t>符合</w:t>
                  </w:r>
                </w:p>
              </w:tc>
            </w:tr>
          </w:tbl>
          <w:p>
            <w:pPr>
              <w:pStyle w:val="75"/>
              <w:spacing w:before="119" w:line="218" w:lineRule="auto"/>
              <w:ind w:left="600"/>
              <w:rPr>
                <w:rFonts w:hint="default" w:ascii="Arial" w:hAnsi="Arial" w:cs="Arial"/>
                <w:spacing w:val="0"/>
                <w:sz w:val="24"/>
                <w:szCs w:val="24"/>
              </w:rPr>
            </w:pPr>
            <w:r>
              <w:rPr>
                <w:rFonts w:hint="default" w:ascii="Arial" w:hAnsi="Arial" w:cs="Arial"/>
                <w:spacing w:val="0"/>
                <w:sz w:val="24"/>
                <w:szCs w:val="24"/>
              </w:rPr>
              <w:t>综上所述，本项目建设符合《中华人民共和国长江保护法》相关要求。</w:t>
            </w:r>
          </w:p>
          <w:p>
            <w:pPr>
              <w:pStyle w:val="75"/>
              <w:spacing w:before="183" w:line="347" w:lineRule="auto"/>
              <w:ind w:left="118" w:firstLine="490"/>
              <w:rPr>
                <w:rFonts w:hint="default" w:ascii="Arial" w:hAnsi="Arial" w:cs="Arial"/>
                <w:spacing w:val="0"/>
                <w:sz w:val="24"/>
                <w:szCs w:val="24"/>
              </w:rPr>
            </w:pPr>
            <w:r>
              <w:rPr>
                <w:rFonts w:hint="eastAsia" w:ascii="Arial" w:hAnsi="Arial" w:cs="Arial"/>
                <w:b/>
                <w:bCs/>
                <w:spacing w:val="0"/>
                <w:sz w:val="24"/>
                <w:szCs w:val="24"/>
                <w:lang w:val="en-US" w:eastAsia="zh-CN"/>
              </w:rPr>
              <w:t>2、</w:t>
            </w:r>
            <w:r>
              <w:rPr>
                <w:rFonts w:hint="default" w:ascii="Arial" w:hAnsi="Arial" w:cs="Arial"/>
                <w:b/>
                <w:bCs/>
                <w:spacing w:val="0"/>
                <w:sz w:val="24"/>
                <w:szCs w:val="24"/>
              </w:rPr>
              <w:t>本项目与《长江经济带发展负面清单指南（试行，</w:t>
            </w:r>
            <w:r>
              <w:rPr>
                <w:rFonts w:hint="default" w:ascii="Arial" w:hAnsi="Arial" w:eastAsia="Times New Roman" w:cs="Arial"/>
                <w:b/>
                <w:bCs/>
                <w:spacing w:val="0"/>
                <w:sz w:val="24"/>
                <w:szCs w:val="24"/>
              </w:rPr>
              <w:t>2022</w:t>
            </w:r>
            <w:r>
              <w:rPr>
                <w:rFonts w:hint="default" w:ascii="Arial" w:hAnsi="Arial" w:cs="Arial"/>
                <w:b/>
                <w:bCs/>
                <w:spacing w:val="0"/>
                <w:sz w:val="24"/>
                <w:szCs w:val="24"/>
              </w:rPr>
              <w:t>年版）》的符</w:t>
            </w:r>
            <w:r>
              <w:rPr>
                <w:rFonts w:hint="default" w:ascii="Arial" w:hAnsi="Arial" w:cs="Arial"/>
                <w:spacing w:val="0"/>
                <w:sz w:val="24"/>
                <w:szCs w:val="24"/>
              </w:rPr>
              <w:t xml:space="preserve"> </w:t>
            </w:r>
            <w:r>
              <w:rPr>
                <w:rFonts w:hint="default" w:ascii="Arial" w:hAnsi="Arial" w:cs="Arial"/>
                <w:b/>
                <w:bCs/>
                <w:spacing w:val="0"/>
                <w:sz w:val="24"/>
                <w:szCs w:val="24"/>
              </w:rPr>
              <w:t>合性分析</w:t>
            </w:r>
          </w:p>
          <w:p>
            <w:pPr>
              <w:pStyle w:val="75"/>
              <w:spacing w:before="33" w:line="346" w:lineRule="auto"/>
              <w:ind w:left="121" w:firstLine="476"/>
              <w:rPr>
                <w:rFonts w:hint="default" w:ascii="Arial" w:hAnsi="Arial" w:cs="Arial"/>
                <w:spacing w:val="0"/>
                <w:sz w:val="24"/>
                <w:szCs w:val="24"/>
                <w:lang w:eastAsia="zh-CN"/>
              </w:rPr>
            </w:pPr>
            <w:r>
              <w:rPr>
                <w:rFonts w:hint="default" w:ascii="Arial" w:hAnsi="Arial" w:cs="Arial"/>
                <w:spacing w:val="0"/>
                <w:sz w:val="24"/>
                <w:szCs w:val="24"/>
              </w:rPr>
              <w:t>推动长江经济带发展领导小组办公室于</w:t>
            </w:r>
            <w:r>
              <w:rPr>
                <w:rFonts w:hint="default" w:ascii="Arial" w:hAnsi="Arial" w:eastAsia="Times New Roman" w:cs="Arial"/>
                <w:spacing w:val="0"/>
                <w:sz w:val="24"/>
                <w:szCs w:val="24"/>
              </w:rPr>
              <w:t>2022</w:t>
            </w:r>
            <w:r>
              <w:rPr>
                <w:rFonts w:hint="default" w:ascii="Arial" w:hAnsi="Arial" w:cs="Arial"/>
                <w:spacing w:val="0"/>
                <w:sz w:val="24"/>
                <w:szCs w:val="24"/>
              </w:rPr>
              <w:t>年</w:t>
            </w:r>
            <w:r>
              <w:rPr>
                <w:rFonts w:hint="default" w:ascii="Arial" w:hAnsi="Arial" w:eastAsia="Times New Roman" w:cs="Arial"/>
                <w:spacing w:val="0"/>
                <w:sz w:val="24"/>
                <w:szCs w:val="24"/>
              </w:rPr>
              <w:t>1</w:t>
            </w:r>
            <w:r>
              <w:rPr>
                <w:rFonts w:hint="default" w:ascii="Arial" w:hAnsi="Arial" w:cs="Arial"/>
                <w:spacing w:val="0"/>
                <w:sz w:val="24"/>
                <w:szCs w:val="24"/>
              </w:rPr>
              <w:t>月</w:t>
            </w:r>
            <w:r>
              <w:rPr>
                <w:rFonts w:hint="default" w:ascii="Arial" w:hAnsi="Arial" w:eastAsia="Times New Roman" w:cs="Arial"/>
                <w:spacing w:val="0"/>
                <w:sz w:val="24"/>
                <w:szCs w:val="24"/>
              </w:rPr>
              <w:t>19</w:t>
            </w:r>
            <w:r>
              <w:rPr>
                <w:rFonts w:hint="default" w:ascii="Arial" w:hAnsi="Arial" w:cs="Arial"/>
                <w:spacing w:val="0"/>
                <w:sz w:val="24"/>
                <w:szCs w:val="24"/>
              </w:rPr>
              <w:t>日印发《长江经济带发展负面清单指南（试行，</w:t>
            </w:r>
            <w:r>
              <w:rPr>
                <w:rFonts w:hint="default" w:ascii="Arial" w:hAnsi="Arial" w:eastAsia="Times New Roman" w:cs="Arial"/>
                <w:spacing w:val="0"/>
                <w:sz w:val="24"/>
                <w:szCs w:val="24"/>
              </w:rPr>
              <w:t>2022</w:t>
            </w:r>
            <w:r>
              <w:rPr>
                <w:rFonts w:hint="default" w:ascii="Arial" w:hAnsi="Arial" w:cs="Arial"/>
                <w:spacing w:val="0"/>
                <w:sz w:val="24"/>
                <w:szCs w:val="24"/>
              </w:rPr>
              <w:t>年版）》，本项目与其符合性分析见下表</w:t>
            </w:r>
            <w:r>
              <w:rPr>
                <w:rFonts w:hint="default" w:ascii="Arial" w:hAnsi="Arial" w:cs="Arial"/>
                <w:spacing w:val="0"/>
                <w:sz w:val="24"/>
                <w:szCs w:val="24"/>
                <w:lang w:eastAsia="zh-CN"/>
              </w:rPr>
              <w:t>：</w:t>
            </w:r>
          </w:p>
          <w:p>
            <w:pPr>
              <w:pStyle w:val="75"/>
              <w:spacing w:before="33" w:line="346" w:lineRule="auto"/>
              <w:ind w:left="121" w:firstLine="476"/>
              <w:rPr>
                <w:rFonts w:hint="default" w:ascii="Arial" w:hAnsi="Arial" w:cs="Arial"/>
                <w:spacing w:val="-1"/>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表 1-13  本项目与《长江经济带发展负面清单指南（试行，2022 版）》符合性分析</w:t>
            </w:r>
          </w:p>
          <w:tbl>
            <w:tblPr>
              <w:tblStyle w:val="76"/>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66"/>
              <w:gridCol w:w="3131"/>
              <w:gridCol w:w="10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b/>
                      <w:bCs/>
                      <w:spacing w:val="4"/>
                      <w:sz w:val="21"/>
                      <w:szCs w:val="21"/>
                    </w:rPr>
                    <w:t>负面清单</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b/>
                      <w:bCs/>
                      <w:spacing w:val="6"/>
                      <w:sz w:val="21"/>
                      <w:szCs w:val="21"/>
                    </w:rPr>
                    <w:t>本项目情况</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b/>
                      <w:bCs/>
                      <w:spacing w:val="5"/>
                      <w:sz w:val="21"/>
                      <w:szCs w:val="21"/>
                    </w:rPr>
                    <w:t>是否属于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8"/>
                      <w:sz w:val="21"/>
                      <w:szCs w:val="21"/>
                    </w:rPr>
                    <w:t>1</w:t>
                  </w:r>
                  <w:r>
                    <w:rPr>
                      <w:rFonts w:hint="eastAsia" w:ascii="Arial" w:hAnsi="Arial" w:cs="Arial"/>
                      <w:spacing w:val="8"/>
                      <w:sz w:val="21"/>
                      <w:szCs w:val="21"/>
                      <w:lang w:eastAsia="zh-CN"/>
                    </w:rPr>
                    <w:t>、</w:t>
                  </w:r>
                  <w:r>
                    <w:rPr>
                      <w:rFonts w:hint="default" w:ascii="Arial" w:hAnsi="Arial" w:eastAsia="宋体" w:cs="Arial"/>
                      <w:spacing w:val="8"/>
                      <w:sz w:val="21"/>
                      <w:szCs w:val="21"/>
                    </w:rPr>
                    <w:t>禁止建设不符合全国和省级港口布局规划</w:t>
                  </w:r>
                  <w:r>
                    <w:rPr>
                      <w:rFonts w:hint="default" w:ascii="Arial" w:hAnsi="Arial" w:eastAsia="宋体" w:cs="Arial"/>
                      <w:spacing w:val="9"/>
                      <w:sz w:val="21"/>
                      <w:szCs w:val="21"/>
                    </w:rPr>
                    <w:t>以及港口总体规划的码头项目，禁止建设不符合《长江干线过江通道布局规划》的过长</w:t>
                  </w:r>
                  <w:r>
                    <w:rPr>
                      <w:rFonts w:hint="default" w:ascii="Arial" w:hAnsi="Arial" w:eastAsia="宋体" w:cs="Arial"/>
                      <w:spacing w:val="6"/>
                      <w:sz w:val="21"/>
                      <w:szCs w:val="21"/>
                    </w:rPr>
                    <w:t>江通道项目。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5"/>
                      <w:sz w:val="21"/>
                      <w:szCs w:val="21"/>
                    </w:rPr>
                    <w:t>本项目不属于码头、长江通道项</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20"/>
                      <w:sz w:val="21"/>
                      <w:szCs w:val="21"/>
                    </w:rPr>
                    <w:t>目。</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2</w:t>
                  </w:r>
                  <w:r>
                    <w:rPr>
                      <w:rFonts w:hint="eastAsia" w:ascii="Arial" w:hAnsi="Arial" w:cs="Arial"/>
                      <w:spacing w:val="9"/>
                      <w:sz w:val="21"/>
                      <w:szCs w:val="21"/>
                      <w:lang w:eastAsia="zh-CN"/>
                    </w:rPr>
                    <w:t>、</w:t>
                  </w:r>
                  <w:r>
                    <w:rPr>
                      <w:rFonts w:hint="default" w:ascii="Arial" w:hAnsi="Arial" w:eastAsia="宋体" w:cs="Arial"/>
                      <w:spacing w:val="9"/>
                      <w:sz w:val="21"/>
                      <w:szCs w:val="21"/>
                    </w:rPr>
                    <w:t>禁止在自然保护区核心区、缓冲区的岸线和河段范围内投资建设旅游和生产经营项</w:t>
                  </w:r>
                  <w:r>
                    <w:rPr>
                      <w:rFonts w:hint="default" w:ascii="Arial" w:hAnsi="Arial" w:eastAsia="宋体" w:cs="Arial"/>
                      <w:spacing w:val="7"/>
                      <w:sz w:val="21"/>
                      <w:szCs w:val="21"/>
                    </w:rPr>
                    <w:t>目。禁止在风景名胜区核心景区的岸线和河</w:t>
                  </w:r>
                  <w:r>
                    <w:rPr>
                      <w:rFonts w:hint="default" w:ascii="Arial" w:hAnsi="Arial" w:eastAsia="宋体" w:cs="Arial"/>
                      <w:spacing w:val="12"/>
                      <w:sz w:val="21"/>
                      <w:szCs w:val="21"/>
                    </w:rPr>
                    <w:t>段范围内投资建设与风景名胜资源保护无</w:t>
                  </w:r>
                  <w:r>
                    <w:rPr>
                      <w:rFonts w:hint="default" w:ascii="Arial" w:hAnsi="Arial" w:eastAsia="宋体" w:cs="Arial"/>
                      <w:spacing w:val="5"/>
                      <w:sz w:val="21"/>
                      <w:szCs w:val="21"/>
                    </w:rPr>
                    <w:t>关的项目。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本项目所在地不属于自然保护</w:t>
                  </w:r>
                  <w:r>
                    <w:rPr>
                      <w:rFonts w:hint="default" w:ascii="Arial" w:hAnsi="Arial" w:eastAsia="宋体" w:cs="Arial"/>
                      <w:spacing w:val="-3"/>
                      <w:sz w:val="21"/>
                      <w:szCs w:val="21"/>
                    </w:rPr>
                    <w:t>区核心区、缓冲区、风景名胜区。</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4"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8"/>
                      <w:sz w:val="21"/>
                      <w:szCs w:val="21"/>
                    </w:rPr>
                    <w:t>3</w:t>
                  </w:r>
                  <w:r>
                    <w:rPr>
                      <w:rFonts w:hint="eastAsia" w:ascii="Arial" w:hAnsi="Arial" w:cs="Arial"/>
                      <w:spacing w:val="8"/>
                      <w:sz w:val="21"/>
                      <w:szCs w:val="21"/>
                      <w:lang w:eastAsia="zh-CN"/>
                    </w:rPr>
                    <w:t>、</w:t>
                  </w:r>
                  <w:r>
                    <w:rPr>
                      <w:rFonts w:hint="default" w:ascii="Arial" w:hAnsi="Arial" w:eastAsia="宋体" w:cs="Arial"/>
                      <w:spacing w:val="8"/>
                      <w:sz w:val="21"/>
                      <w:szCs w:val="21"/>
                    </w:rPr>
                    <w:t>禁止在饮用水水源一级保护区的岸线和河</w:t>
                  </w:r>
                  <w:r>
                    <w:rPr>
                      <w:rFonts w:hint="default" w:ascii="Arial" w:hAnsi="Arial" w:eastAsia="宋体" w:cs="Arial"/>
                      <w:spacing w:val="16"/>
                      <w:sz w:val="21"/>
                      <w:szCs w:val="21"/>
                    </w:rPr>
                    <w:t xml:space="preserve"> </w:t>
                  </w:r>
                  <w:r>
                    <w:rPr>
                      <w:rFonts w:hint="default" w:ascii="Arial" w:hAnsi="Arial" w:eastAsia="宋体" w:cs="Arial"/>
                      <w:spacing w:val="9"/>
                      <w:sz w:val="21"/>
                      <w:szCs w:val="21"/>
                    </w:rPr>
                    <w:t>段范围内新建、改建、扩建与供水设施和保护水源无关的项目，以及网箱养殖、畜禽养殖、旅游等可能污染饮用水水体的投资建设项目。禁止在饮用水水源二级保护区的岸线和河段范围内新建、改建、扩建排放污染物</w:t>
                  </w:r>
                  <w:r>
                    <w:rPr>
                      <w:rFonts w:hint="default" w:ascii="Arial" w:hAnsi="Arial" w:eastAsia="宋体" w:cs="Arial"/>
                      <w:spacing w:val="5"/>
                      <w:sz w:val="21"/>
                      <w:szCs w:val="21"/>
                    </w:rPr>
                    <w:t>的投资建设项目。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本项目所在地不涉及饮用水水</w:t>
                  </w:r>
                  <w:r>
                    <w:rPr>
                      <w:rFonts w:hint="default" w:ascii="Arial" w:hAnsi="Arial" w:eastAsia="宋体" w:cs="Arial"/>
                      <w:spacing w:val="8"/>
                      <w:sz w:val="21"/>
                      <w:szCs w:val="21"/>
                    </w:rPr>
                    <w:t>源一级、二级保护区。</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9"/>
                      <w:sz w:val="21"/>
                      <w:szCs w:val="21"/>
                    </w:rPr>
                    <w:t>4</w:t>
                  </w:r>
                  <w:r>
                    <w:rPr>
                      <w:rFonts w:hint="eastAsia" w:ascii="Arial" w:hAnsi="Arial" w:cs="Arial"/>
                      <w:spacing w:val="9"/>
                      <w:sz w:val="21"/>
                      <w:szCs w:val="21"/>
                      <w:lang w:eastAsia="zh-CN"/>
                    </w:rPr>
                    <w:t>、</w:t>
                  </w:r>
                  <w:r>
                    <w:rPr>
                      <w:rFonts w:hint="default" w:ascii="Arial" w:hAnsi="Arial" w:eastAsia="宋体" w:cs="Arial"/>
                      <w:spacing w:val="9"/>
                      <w:sz w:val="21"/>
                      <w:szCs w:val="21"/>
                    </w:rPr>
                    <w:t>禁止在水产种质资源保护区的岸线和河段范围内新建围湖造田、围海造地或围填海等投资建设项目。禁止在国家湿地公园的岸线</w:t>
                  </w:r>
                  <w:r>
                    <w:rPr>
                      <w:rFonts w:hint="default" w:ascii="Arial" w:hAnsi="Arial" w:eastAsia="宋体" w:cs="Arial"/>
                      <w:spacing w:val="3"/>
                      <w:sz w:val="21"/>
                      <w:szCs w:val="21"/>
                    </w:rPr>
                    <w:t xml:space="preserve"> </w:t>
                  </w:r>
                  <w:r>
                    <w:rPr>
                      <w:rFonts w:hint="default" w:ascii="Arial" w:hAnsi="Arial" w:eastAsia="宋体" w:cs="Arial"/>
                      <w:spacing w:val="9"/>
                      <w:sz w:val="21"/>
                      <w:szCs w:val="21"/>
                    </w:rPr>
                    <w:t>和河段范围内挖沙、采矿，以及任何不符合</w:t>
                  </w:r>
                  <w:r>
                    <w:rPr>
                      <w:rFonts w:hint="default" w:ascii="Arial" w:hAnsi="Arial" w:eastAsia="宋体" w:cs="Arial"/>
                      <w:spacing w:val="8"/>
                      <w:sz w:val="21"/>
                      <w:szCs w:val="21"/>
                    </w:rPr>
                    <w:t>主体功能定位的投资建设项目。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9"/>
                      <w:sz w:val="21"/>
                      <w:szCs w:val="21"/>
                    </w:rPr>
                    <w:t>本项目所在地不涉及水产种质</w:t>
                  </w:r>
                  <w:r>
                    <w:rPr>
                      <w:rFonts w:hint="default" w:ascii="Arial" w:hAnsi="Arial" w:eastAsia="宋体" w:cs="Arial"/>
                      <w:sz w:val="21"/>
                      <w:szCs w:val="21"/>
                    </w:rPr>
                    <w:t xml:space="preserve"> </w:t>
                  </w:r>
                  <w:r>
                    <w:rPr>
                      <w:rFonts w:hint="default" w:ascii="Arial" w:hAnsi="Arial" w:eastAsia="宋体" w:cs="Arial"/>
                      <w:spacing w:val="5"/>
                      <w:sz w:val="21"/>
                      <w:szCs w:val="21"/>
                    </w:rPr>
                    <w:t>资源保护区、国家湿地公园；不属于围湖造田、围海造地或围填</w:t>
                  </w:r>
                  <w:r>
                    <w:rPr>
                      <w:rFonts w:hint="default" w:ascii="Arial" w:hAnsi="Arial" w:eastAsia="宋体" w:cs="Arial"/>
                      <w:spacing w:val="8"/>
                      <w:sz w:val="21"/>
                      <w:szCs w:val="21"/>
                    </w:rPr>
                    <w:t>海、挖沙、采矿项目。</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8"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7"/>
                      <w:sz w:val="21"/>
                      <w:szCs w:val="21"/>
                    </w:rPr>
                    <w:t>5</w:t>
                  </w:r>
                  <w:r>
                    <w:rPr>
                      <w:rFonts w:hint="eastAsia" w:ascii="Arial" w:hAnsi="Arial" w:cs="Arial"/>
                      <w:spacing w:val="7"/>
                      <w:sz w:val="21"/>
                      <w:szCs w:val="21"/>
                      <w:lang w:eastAsia="zh-CN"/>
                    </w:rPr>
                    <w:t>、</w:t>
                  </w:r>
                  <w:r>
                    <w:rPr>
                      <w:rFonts w:hint="default" w:ascii="Arial" w:hAnsi="Arial" w:eastAsia="宋体" w:cs="Arial"/>
                      <w:spacing w:val="7"/>
                      <w:sz w:val="21"/>
                      <w:szCs w:val="21"/>
                    </w:rPr>
                    <w:t>禁止违法利用、</w:t>
                  </w:r>
                  <w:r>
                    <w:rPr>
                      <w:rFonts w:hint="default" w:ascii="Arial" w:hAnsi="Arial" w:eastAsia="宋体" w:cs="Arial"/>
                      <w:spacing w:val="-46"/>
                      <w:sz w:val="21"/>
                      <w:szCs w:val="21"/>
                    </w:rPr>
                    <w:t xml:space="preserve"> </w:t>
                  </w:r>
                  <w:r>
                    <w:rPr>
                      <w:rFonts w:hint="default" w:ascii="Arial" w:hAnsi="Arial" w:eastAsia="宋体" w:cs="Arial"/>
                      <w:spacing w:val="7"/>
                      <w:sz w:val="21"/>
                      <w:szCs w:val="21"/>
                    </w:rPr>
                    <w:t>占用长江流域河湖岸线。</w:t>
                  </w:r>
                  <w:r>
                    <w:rPr>
                      <w:rFonts w:hint="default" w:ascii="Arial" w:hAnsi="Arial" w:eastAsia="宋体" w:cs="Arial"/>
                      <w:spacing w:val="15"/>
                      <w:sz w:val="21"/>
                      <w:szCs w:val="21"/>
                    </w:rPr>
                    <w:t>禁止在《长江岸线保护和开发利用总体规</w:t>
                  </w:r>
                  <w:r>
                    <w:rPr>
                      <w:rFonts w:hint="default" w:ascii="Arial" w:hAnsi="Arial" w:eastAsia="宋体" w:cs="Arial"/>
                      <w:spacing w:val="9"/>
                      <w:sz w:val="21"/>
                      <w:szCs w:val="21"/>
                    </w:rPr>
                    <w:t>划》划定的岸线保护区和保留区内投资建设</w:t>
                  </w:r>
                  <w:r>
                    <w:rPr>
                      <w:rFonts w:hint="default" w:ascii="Arial" w:hAnsi="Arial" w:eastAsia="宋体" w:cs="Arial"/>
                      <w:spacing w:val="7"/>
                      <w:sz w:val="21"/>
                      <w:szCs w:val="21"/>
                    </w:rPr>
                    <w:t xml:space="preserve"> </w:t>
                  </w:r>
                  <w:r>
                    <w:rPr>
                      <w:rFonts w:hint="default" w:ascii="Arial" w:hAnsi="Arial" w:eastAsia="宋体" w:cs="Arial"/>
                      <w:spacing w:val="9"/>
                      <w:sz w:val="21"/>
                      <w:szCs w:val="21"/>
                    </w:rPr>
                    <w:t>除事关公共安全及公众利益的防洪护岸、河</w:t>
                  </w:r>
                  <w:r>
                    <w:rPr>
                      <w:rFonts w:hint="default" w:ascii="Arial" w:hAnsi="Arial" w:eastAsia="宋体" w:cs="Arial"/>
                      <w:spacing w:val="7"/>
                      <w:sz w:val="21"/>
                      <w:szCs w:val="21"/>
                    </w:rPr>
                    <w:t xml:space="preserve"> </w:t>
                  </w:r>
                  <w:r>
                    <w:rPr>
                      <w:rFonts w:hint="default" w:ascii="Arial" w:hAnsi="Arial" w:eastAsia="宋体" w:cs="Arial"/>
                      <w:spacing w:val="9"/>
                      <w:sz w:val="21"/>
                      <w:szCs w:val="21"/>
                    </w:rPr>
                    <w:t>道治理、供水、生态环境保护、航道整治、国家重要基础设施以外的项目。禁止在《全国重要江河湖泊水功能区划》划定的河段及</w:t>
                  </w:r>
                  <w:r>
                    <w:rPr>
                      <w:rFonts w:hint="default" w:ascii="Arial" w:hAnsi="Arial" w:eastAsia="宋体" w:cs="Arial"/>
                      <w:spacing w:val="4"/>
                      <w:sz w:val="21"/>
                      <w:szCs w:val="21"/>
                    </w:rPr>
                    <w:t xml:space="preserve"> </w:t>
                  </w:r>
                  <w:r>
                    <w:rPr>
                      <w:rFonts w:hint="default" w:ascii="Arial" w:hAnsi="Arial" w:eastAsia="宋体" w:cs="Arial"/>
                      <w:spacing w:val="9"/>
                      <w:sz w:val="21"/>
                      <w:szCs w:val="21"/>
                    </w:rPr>
                    <w:t>湖泊保护区、保留区内投资建设不利于水资</w:t>
                  </w:r>
                  <w:r>
                    <w:rPr>
                      <w:rFonts w:hint="default" w:ascii="Arial" w:hAnsi="Arial" w:eastAsia="宋体" w:cs="Arial"/>
                      <w:spacing w:val="8"/>
                      <w:sz w:val="21"/>
                      <w:szCs w:val="21"/>
                    </w:rPr>
                    <w:t>源及自然生态保护的项目。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9"/>
                      <w:sz w:val="21"/>
                      <w:szCs w:val="21"/>
                    </w:rPr>
                    <w:t>本项目建设未占用长江流域河</w:t>
                  </w:r>
                  <w:r>
                    <w:rPr>
                      <w:rFonts w:hint="default" w:ascii="Arial" w:hAnsi="Arial" w:eastAsia="宋体" w:cs="Arial"/>
                      <w:spacing w:val="1"/>
                      <w:sz w:val="21"/>
                      <w:szCs w:val="21"/>
                    </w:rPr>
                    <w:t xml:space="preserve"> </w:t>
                  </w:r>
                  <w:r>
                    <w:rPr>
                      <w:rFonts w:hint="default" w:ascii="Arial" w:hAnsi="Arial" w:eastAsia="宋体" w:cs="Arial"/>
                      <w:spacing w:val="5"/>
                      <w:sz w:val="21"/>
                      <w:szCs w:val="21"/>
                    </w:rPr>
                    <w:t>湖岸线，项目所在地不属于《全</w:t>
                  </w:r>
                  <w:r>
                    <w:rPr>
                      <w:rFonts w:hint="default" w:ascii="Arial" w:hAnsi="Arial" w:eastAsia="宋体" w:cs="Arial"/>
                      <w:spacing w:val="6"/>
                      <w:sz w:val="21"/>
                      <w:szCs w:val="21"/>
                    </w:rPr>
                    <w:t xml:space="preserve"> </w:t>
                  </w:r>
                  <w:r>
                    <w:rPr>
                      <w:rFonts w:hint="default" w:ascii="Arial" w:hAnsi="Arial" w:eastAsia="宋体" w:cs="Arial"/>
                      <w:spacing w:val="5"/>
                      <w:sz w:val="21"/>
                      <w:szCs w:val="21"/>
                    </w:rPr>
                    <w:t>国重要江河湖泊水功能区划》划</w:t>
                  </w:r>
                  <w:r>
                    <w:rPr>
                      <w:rFonts w:hint="default" w:ascii="Arial" w:hAnsi="Arial" w:eastAsia="宋体" w:cs="Arial"/>
                      <w:spacing w:val="6"/>
                      <w:sz w:val="21"/>
                      <w:szCs w:val="21"/>
                    </w:rPr>
                    <w:t xml:space="preserve"> </w:t>
                  </w:r>
                  <w:r>
                    <w:rPr>
                      <w:rFonts w:hint="default" w:ascii="Arial" w:hAnsi="Arial" w:eastAsia="宋体" w:cs="Arial"/>
                      <w:spacing w:val="15"/>
                      <w:sz w:val="21"/>
                      <w:szCs w:val="21"/>
                    </w:rPr>
                    <w:t>定的河段及湖泊保护区、保留</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8"/>
                      <w:sz w:val="21"/>
                      <w:szCs w:val="21"/>
                    </w:rPr>
                    <w:t>区。</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8"/>
                      <w:sz w:val="21"/>
                      <w:szCs w:val="21"/>
                    </w:rPr>
                    <w:t>6</w:t>
                  </w:r>
                  <w:r>
                    <w:rPr>
                      <w:rFonts w:hint="eastAsia" w:ascii="Arial" w:hAnsi="Arial" w:cs="Arial"/>
                      <w:spacing w:val="8"/>
                      <w:sz w:val="21"/>
                      <w:szCs w:val="21"/>
                      <w:lang w:eastAsia="zh-CN"/>
                    </w:rPr>
                    <w:t>、</w:t>
                  </w:r>
                  <w:r>
                    <w:rPr>
                      <w:rFonts w:hint="default" w:ascii="Arial" w:hAnsi="Arial" w:eastAsia="宋体" w:cs="Arial"/>
                      <w:spacing w:val="8"/>
                      <w:sz w:val="21"/>
                      <w:szCs w:val="21"/>
                    </w:rPr>
                    <w:t>禁止未经许可在长江干支流及湖泊新设、</w:t>
                  </w:r>
                  <w:r>
                    <w:rPr>
                      <w:rFonts w:hint="default" w:ascii="Arial" w:hAnsi="Arial" w:eastAsia="宋体" w:cs="Arial"/>
                      <w:spacing w:val="6"/>
                      <w:sz w:val="21"/>
                      <w:szCs w:val="21"/>
                    </w:rPr>
                    <w:t>改设或扩大排污口。</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8"/>
                      <w:sz w:val="21"/>
                      <w:szCs w:val="21"/>
                    </w:rPr>
                    <w:t>本项目建设不涉及排污口新设、</w:t>
                  </w:r>
                  <w:r>
                    <w:rPr>
                      <w:rFonts w:hint="default" w:ascii="Arial" w:hAnsi="Arial" w:eastAsia="宋体" w:cs="Arial"/>
                      <w:spacing w:val="5"/>
                      <w:sz w:val="21"/>
                      <w:szCs w:val="21"/>
                    </w:rPr>
                    <w:t>改设或扩大。</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7</w:t>
                  </w:r>
                  <w:r>
                    <w:rPr>
                      <w:rFonts w:hint="eastAsia" w:ascii="Arial" w:hAnsi="Arial" w:cs="Arial"/>
                      <w:spacing w:val="9"/>
                      <w:sz w:val="21"/>
                      <w:szCs w:val="21"/>
                      <w:lang w:eastAsia="zh-CN"/>
                    </w:rPr>
                    <w:t>、</w:t>
                  </w:r>
                  <w:r>
                    <w:rPr>
                      <w:rFonts w:hint="default" w:ascii="Arial" w:hAnsi="Arial" w:eastAsia="宋体" w:cs="Arial"/>
                      <w:spacing w:val="9"/>
                      <w:sz w:val="21"/>
                      <w:szCs w:val="21"/>
                    </w:rPr>
                    <w:t>禁止在“一江一口两湖七河”和332 个水生</w:t>
                  </w:r>
                  <w:r>
                    <w:rPr>
                      <w:rFonts w:hint="default" w:ascii="Arial" w:hAnsi="Arial" w:eastAsia="宋体" w:cs="Arial"/>
                      <w:spacing w:val="8"/>
                      <w:sz w:val="21"/>
                      <w:szCs w:val="21"/>
                    </w:rPr>
                    <w:t>生物保护区开展生产性捕捞。</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8"/>
                      <w:sz w:val="21"/>
                      <w:szCs w:val="21"/>
                    </w:rPr>
                    <w:t>本项目建设不开展生产性捕捞。</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6"/>
                      <w:sz w:val="21"/>
                      <w:szCs w:val="21"/>
                    </w:rPr>
                    <w:t>8</w:t>
                  </w:r>
                  <w:r>
                    <w:rPr>
                      <w:rFonts w:hint="eastAsia" w:ascii="Arial" w:hAnsi="Arial" w:cs="Arial"/>
                      <w:spacing w:val="6"/>
                      <w:sz w:val="21"/>
                      <w:szCs w:val="21"/>
                      <w:lang w:eastAsia="zh-CN"/>
                    </w:rPr>
                    <w:t>、</w:t>
                  </w:r>
                  <w:r>
                    <w:rPr>
                      <w:rFonts w:hint="default" w:ascii="Arial" w:hAnsi="Arial" w:eastAsia="宋体" w:cs="Arial"/>
                      <w:spacing w:val="6"/>
                      <w:sz w:val="21"/>
                      <w:szCs w:val="21"/>
                    </w:rPr>
                    <w:t>禁止在长江干支流、重要湖泊岸线1公里</w:t>
                  </w:r>
                  <w:r>
                    <w:rPr>
                      <w:rFonts w:hint="default" w:ascii="Arial" w:hAnsi="Arial" w:eastAsia="宋体" w:cs="Arial"/>
                      <w:spacing w:val="9"/>
                      <w:sz w:val="21"/>
                      <w:szCs w:val="21"/>
                    </w:rPr>
                    <w:t>范围内新建、扩建化工园区和化工项目。禁</w:t>
                  </w:r>
                  <w:r>
                    <w:rPr>
                      <w:rFonts w:hint="default" w:ascii="Arial" w:hAnsi="Arial" w:eastAsia="宋体" w:cs="Arial"/>
                      <w:spacing w:val="7"/>
                      <w:sz w:val="21"/>
                      <w:szCs w:val="21"/>
                    </w:rPr>
                    <w:t>止在长江干流岸线3公里范围内和重要支流</w:t>
                  </w:r>
                  <w:r>
                    <w:rPr>
                      <w:rFonts w:hint="default" w:ascii="Arial" w:hAnsi="Arial" w:eastAsia="宋体" w:cs="Arial"/>
                      <w:sz w:val="21"/>
                      <w:szCs w:val="21"/>
                    </w:rPr>
                    <w:t>岸线1公里范围内新建、改建、扩建尾矿库、</w:t>
                  </w:r>
                  <w:r>
                    <w:rPr>
                      <w:rFonts w:hint="default" w:ascii="Arial" w:hAnsi="Arial" w:eastAsia="宋体" w:cs="Arial"/>
                      <w:spacing w:val="9"/>
                      <w:sz w:val="21"/>
                      <w:szCs w:val="21"/>
                    </w:rPr>
                    <w:t>冶炼渣库和磷石膏库，以提升安全、生态环</w:t>
                  </w:r>
                  <w:r>
                    <w:rPr>
                      <w:rFonts w:hint="default" w:ascii="Arial" w:hAnsi="Arial" w:eastAsia="宋体" w:cs="Arial"/>
                      <w:spacing w:val="8"/>
                      <w:sz w:val="21"/>
                      <w:szCs w:val="21"/>
                    </w:rPr>
                    <w:t>境保护水平为目的的改建除外。</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本项目不属于化工园区和化工</w:t>
                  </w:r>
                  <w:r>
                    <w:rPr>
                      <w:rFonts w:hint="default" w:ascii="Arial" w:hAnsi="Arial" w:eastAsia="宋体" w:cs="Arial"/>
                      <w:spacing w:val="5"/>
                      <w:sz w:val="21"/>
                      <w:szCs w:val="21"/>
                    </w:rPr>
                    <w:t>项目；不属于尾矿库、冶炼渣库</w:t>
                  </w:r>
                  <w:r>
                    <w:rPr>
                      <w:rFonts w:hint="default" w:ascii="Arial" w:hAnsi="Arial" w:eastAsia="宋体" w:cs="Arial"/>
                      <w:spacing w:val="7"/>
                      <w:sz w:val="21"/>
                      <w:szCs w:val="21"/>
                    </w:rPr>
                    <w:t>和磷石膏库项目。</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right"/>
                    <w:textAlignment w:val="auto"/>
                    <w:rPr>
                      <w:rFonts w:hint="default" w:ascii="Arial" w:hAnsi="Arial" w:eastAsia="宋体" w:cs="Arial"/>
                      <w:sz w:val="21"/>
                      <w:szCs w:val="21"/>
                    </w:rPr>
                  </w:pPr>
                  <w:r>
                    <w:rPr>
                      <w:rFonts w:hint="default" w:ascii="Arial" w:hAnsi="Arial" w:eastAsia="宋体" w:cs="Arial"/>
                      <w:spacing w:val="5"/>
                      <w:sz w:val="21"/>
                      <w:szCs w:val="21"/>
                    </w:rPr>
                    <w:t>9</w:t>
                  </w:r>
                  <w:r>
                    <w:rPr>
                      <w:rFonts w:hint="eastAsia" w:ascii="Arial" w:hAnsi="Arial" w:cs="Arial"/>
                      <w:spacing w:val="5"/>
                      <w:sz w:val="21"/>
                      <w:szCs w:val="21"/>
                      <w:lang w:eastAsia="zh-CN"/>
                    </w:rPr>
                    <w:t>、</w:t>
                  </w:r>
                  <w:r>
                    <w:rPr>
                      <w:rFonts w:hint="default" w:ascii="Arial" w:hAnsi="Arial" w:eastAsia="宋体" w:cs="Arial"/>
                      <w:spacing w:val="5"/>
                      <w:sz w:val="21"/>
                      <w:szCs w:val="21"/>
                    </w:rPr>
                    <w:t>禁止在合规园区外新建、扩建钢铁、石化、</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9"/>
                      <w:sz w:val="21"/>
                      <w:szCs w:val="21"/>
                    </w:rPr>
                    <w:t>化工、焦化、建材、有色、制浆造纸等高污</w:t>
                  </w:r>
                  <w:r>
                    <w:rPr>
                      <w:rFonts w:hint="default" w:ascii="Arial" w:hAnsi="Arial" w:eastAsia="宋体" w:cs="Arial"/>
                      <w:spacing w:val="5"/>
                      <w:sz w:val="21"/>
                      <w:szCs w:val="21"/>
                    </w:rPr>
                    <w:t xml:space="preserve"> </w:t>
                  </w:r>
                  <w:r>
                    <w:rPr>
                      <w:rFonts w:hint="default" w:ascii="Arial" w:hAnsi="Arial" w:eastAsia="宋体" w:cs="Arial"/>
                      <w:spacing w:val="4"/>
                      <w:sz w:val="21"/>
                      <w:szCs w:val="21"/>
                    </w:rPr>
                    <w:t>染项目。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z w:val="21"/>
                      <w:szCs w:val="21"/>
                    </w:rPr>
                  </w:pPr>
                  <w:r>
                    <w:rPr>
                      <w:rFonts w:hint="default" w:ascii="Arial" w:hAnsi="Arial" w:eastAsia="宋体" w:cs="Arial"/>
                      <w:spacing w:val="9"/>
                      <w:sz w:val="21"/>
                      <w:szCs w:val="21"/>
                    </w:rPr>
                    <w:t>本项目不属于新建、扩建的钢</w:t>
                  </w:r>
                  <w:r>
                    <w:rPr>
                      <w:rFonts w:hint="default" w:ascii="Arial" w:hAnsi="Arial" w:eastAsia="宋体" w:cs="Arial"/>
                      <w:spacing w:val="1"/>
                      <w:sz w:val="21"/>
                      <w:szCs w:val="21"/>
                    </w:rPr>
                    <w:t xml:space="preserve">  </w:t>
                  </w:r>
                  <w:r>
                    <w:rPr>
                      <w:rFonts w:hint="default" w:ascii="Arial" w:hAnsi="Arial" w:eastAsia="宋体" w:cs="Arial"/>
                      <w:spacing w:val="7"/>
                      <w:sz w:val="21"/>
                      <w:szCs w:val="21"/>
                    </w:rPr>
                    <w:t>铁、石化、化工、焦化、建材、</w:t>
                  </w:r>
                  <w:r>
                    <w:rPr>
                      <w:rFonts w:hint="default" w:ascii="Arial" w:hAnsi="Arial" w:eastAsia="宋体" w:cs="Arial"/>
                      <w:sz w:val="21"/>
                      <w:szCs w:val="21"/>
                    </w:rPr>
                    <w:t xml:space="preserve"> </w:t>
                  </w:r>
                  <w:r>
                    <w:rPr>
                      <w:rFonts w:hint="default" w:ascii="Arial" w:hAnsi="Arial" w:eastAsia="宋体" w:cs="Arial"/>
                      <w:spacing w:val="7"/>
                      <w:sz w:val="21"/>
                      <w:szCs w:val="21"/>
                    </w:rPr>
                    <w:t>有色、制浆造纸等高污染项目。</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5"/>
                      <w:sz w:val="21"/>
                      <w:szCs w:val="21"/>
                    </w:rPr>
                    <w:t>10</w:t>
                  </w:r>
                  <w:r>
                    <w:rPr>
                      <w:rFonts w:hint="eastAsia" w:ascii="Arial" w:hAnsi="Arial" w:cs="Arial"/>
                      <w:spacing w:val="5"/>
                      <w:sz w:val="21"/>
                      <w:szCs w:val="21"/>
                      <w:lang w:eastAsia="zh-CN"/>
                    </w:rPr>
                    <w:t>、</w:t>
                  </w:r>
                  <w:r>
                    <w:rPr>
                      <w:rFonts w:hint="default" w:ascii="Arial" w:hAnsi="Arial" w:eastAsia="宋体" w:cs="Arial"/>
                      <w:spacing w:val="5"/>
                      <w:sz w:val="21"/>
                      <w:szCs w:val="21"/>
                    </w:rPr>
                    <w:t>禁止新建、扩建不符合国家石化、现代煤</w:t>
                  </w:r>
                  <w:r>
                    <w:rPr>
                      <w:rFonts w:hint="default" w:ascii="Arial" w:hAnsi="Arial" w:eastAsia="宋体" w:cs="Arial"/>
                      <w:spacing w:val="8"/>
                      <w:sz w:val="21"/>
                      <w:szCs w:val="21"/>
                    </w:rPr>
                    <w:t>化工等产业布局规划的项目。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z w:val="21"/>
                      <w:szCs w:val="21"/>
                    </w:rPr>
                  </w:pPr>
                  <w:r>
                    <w:rPr>
                      <w:rFonts w:hint="default" w:ascii="Arial" w:hAnsi="Arial" w:eastAsia="宋体" w:cs="Arial"/>
                      <w:spacing w:val="5"/>
                      <w:sz w:val="21"/>
                      <w:szCs w:val="21"/>
                    </w:rPr>
                    <w:t>本项目建设不涉及国家石化、现</w:t>
                  </w:r>
                  <w:r>
                    <w:rPr>
                      <w:rFonts w:hint="default" w:ascii="Arial" w:hAnsi="Arial" w:eastAsia="宋体" w:cs="Arial"/>
                      <w:spacing w:val="8"/>
                      <w:sz w:val="21"/>
                      <w:szCs w:val="21"/>
                    </w:rPr>
                    <w:t>代煤化工等产业布局规划。</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2" w:hRule="atLeast"/>
                <w:jc w:val="center"/>
              </w:trPr>
              <w:tc>
                <w:tcPr>
                  <w:tcW w:w="251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11</w:t>
                  </w:r>
                  <w:r>
                    <w:rPr>
                      <w:rFonts w:hint="eastAsia" w:ascii="Arial" w:hAnsi="Arial" w:cs="Arial"/>
                      <w:spacing w:val="0"/>
                      <w:sz w:val="21"/>
                      <w:szCs w:val="21"/>
                      <w:lang w:eastAsia="zh-CN"/>
                    </w:rPr>
                    <w:t>、</w:t>
                  </w:r>
                  <w:r>
                    <w:rPr>
                      <w:rFonts w:hint="default" w:ascii="Arial" w:hAnsi="Arial" w:eastAsia="宋体" w:cs="Arial"/>
                      <w:spacing w:val="0"/>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84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eastAsia="宋体" w:cs="Arial"/>
                      <w:spacing w:val="0"/>
                      <w:sz w:val="21"/>
                      <w:szCs w:val="21"/>
                    </w:rPr>
                  </w:pPr>
                  <w:r>
                    <w:rPr>
                      <w:rFonts w:hint="default" w:ascii="Arial" w:hAnsi="Arial" w:eastAsia="宋体" w:cs="Arial"/>
                      <w:spacing w:val="0"/>
                      <w:sz w:val="21"/>
                      <w:szCs w:val="21"/>
                    </w:rPr>
                    <w:t>本项目不属于新建、扩建的法律 法规和相关政策明令禁止的落后产能项目；不属于不符合国家产能置换要求的严重过剩产能行业的项目；不属于不符合要求的高耗能高排放项目。</w:t>
                  </w:r>
                </w:p>
              </w:tc>
              <w:tc>
                <w:tcPr>
                  <w:tcW w:w="63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21"/>
                      <w:szCs w:val="21"/>
                    </w:rPr>
                  </w:pPr>
                  <w:r>
                    <w:rPr>
                      <w:rFonts w:hint="default" w:ascii="Arial" w:hAnsi="Arial" w:eastAsia="宋体" w:cs="Arial"/>
                      <w:spacing w:val="5"/>
                      <w:sz w:val="21"/>
                      <w:szCs w:val="21"/>
                    </w:rPr>
                    <w:t>不属于</w:t>
                  </w:r>
                </w:p>
              </w:tc>
            </w:tr>
          </w:tbl>
          <w:p>
            <w:pPr>
              <w:pStyle w:val="29"/>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default" w:ascii="Arial" w:hAnsi="Arial" w:eastAsia="宋体" w:cs="Arial"/>
                <w:spacing w:val="0"/>
                <w:sz w:val="24"/>
                <w:szCs w:val="24"/>
              </w:rPr>
            </w:pPr>
            <w:r>
              <w:rPr>
                <w:rFonts w:hint="default" w:ascii="Arial" w:hAnsi="Arial" w:eastAsia="宋体" w:cs="Arial"/>
                <w:spacing w:val="0"/>
                <w:sz w:val="24"/>
                <w:szCs w:val="24"/>
              </w:rPr>
              <w:t>由上表可知，本项目不在《长江经济带发展负面清单指南（试行，2022年版）》确定的负面清单之列，项目的建设是可行的。</w:t>
            </w:r>
          </w:p>
          <w:p>
            <w:pPr>
              <w:pStyle w:val="75"/>
              <w:keepNext w:val="0"/>
              <w:keepLines w:val="0"/>
              <w:pageBreakBefore w:val="0"/>
              <w:widowControl w:val="0"/>
              <w:kinsoku/>
              <w:wordWrap/>
              <w:overflowPunct/>
              <w:topLinePunct w:val="0"/>
              <w:bidi w:val="0"/>
              <w:adjustRightInd/>
              <w:snapToGrid/>
              <w:spacing w:line="360" w:lineRule="auto"/>
              <w:ind w:left="0" w:right="0" w:firstLine="478" w:firstLineChars="200"/>
              <w:textAlignment w:val="auto"/>
              <w:rPr>
                <w:rFonts w:hint="default" w:ascii="Arial" w:hAnsi="Arial" w:eastAsia="宋体" w:cs="Arial"/>
                <w:b/>
                <w:bCs/>
                <w:spacing w:val="-1"/>
                <w:sz w:val="24"/>
                <w:szCs w:val="24"/>
                <w:lang w:val="en-US" w:eastAsia="zh-CN"/>
              </w:rPr>
            </w:pPr>
            <w:r>
              <w:rPr>
                <w:rFonts w:hint="default" w:ascii="Arial" w:hAnsi="Arial" w:eastAsia="宋体" w:cs="Arial"/>
                <w:b/>
                <w:bCs/>
                <w:spacing w:val="-1"/>
                <w:sz w:val="24"/>
                <w:szCs w:val="24"/>
                <w:lang w:val="en-US" w:eastAsia="zh-CN"/>
              </w:rPr>
              <w:t>3、本项目与《四川省、重庆市长江经济带发展负面清单实施细则（试行， 2022 年版）》（川长江办〔2022〕17号）的符合性分析</w:t>
            </w:r>
          </w:p>
          <w:p>
            <w:pPr>
              <w:pStyle w:val="75"/>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hint="default" w:ascii="Arial" w:hAnsi="Arial" w:eastAsia="宋体" w:cs="Arial"/>
                <w:sz w:val="24"/>
                <w:szCs w:val="24"/>
              </w:rPr>
            </w:pPr>
            <w:r>
              <w:rPr>
                <w:rFonts w:hint="default" w:ascii="Arial" w:hAnsi="Arial" w:eastAsia="宋体" w:cs="Arial"/>
                <w:sz w:val="24"/>
                <w:szCs w:val="24"/>
              </w:rPr>
              <w:t>四川省推动长江经济带发展领导小组办公室、重</w:t>
            </w:r>
            <w:r>
              <w:rPr>
                <w:rFonts w:hint="default" w:ascii="Arial" w:hAnsi="Arial" w:eastAsia="宋体" w:cs="Arial"/>
                <w:spacing w:val="-1"/>
                <w:sz w:val="24"/>
                <w:szCs w:val="24"/>
              </w:rPr>
              <w:t>庆市推动长江经济带发展领</w:t>
            </w:r>
            <w:r>
              <w:rPr>
                <w:rFonts w:hint="default" w:ascii="Arial" w:hAnsi="Arial" w:eastAsia="宋体" w:cs="Arial"/>
                <w:sz w:val="24"/>
                <w:szCs w:val="24"/>
              </w:rPr>
              <w:t xml:space="preserve"> </w:t>
            </w:r>
            <w:r>
              <w:rPr>
                <w:rFonts w:hint="default" w:ascii="Arial" w:hAnsi="Arial" w:eastAsia="宋体" w:cs="Arial"/>
                <w:spacing w:val="-2"/>
                <w:sz w:val="24"/>
                <w:szCs w:val="24"/>
              </w:rPr>
              <w:t>导小组办公室于</w:t>
            </w:r>
            <w:r>
              <w:rPr>
                <w:rFonts w:hint="default" w:ascii="Arial" w:hAnsi="Arial" w:eastAsia="宋体" w:cs="Arial"/>
                <w:spacing w:val="-57"/>
                <w:sz w:val="24"/>
                <w:szCs w:val="24"/>
              </w:rPr>
              <w:t xml:space="preserve"> </w:t>
            </w:r>
            <w:r>
              <w:rPr>
                <w:rFonts w:hint="default" w:ascii="Arial" w:hAnsi="Arial" w:eastAsia="宋体" w:cs="Arial"/>
                <w:spacing w:val="-2"/>
                <w:sz w:val="24"/>
                <w:szCs w:val="24"/>
              </w:rPr>
              <w:t>2022年</w:t>
            </w:r>
            <w:r>
              <w:rPr>
                <w:rFonts w:hint="default" w:ascii="Arial" w:hAnsi="Arial" w:eastAsia="宋体" w:cs="Arial"/>
                <w:spacing w:val="-46"/>
                <w:sz w:val="24"/>
                <w:szCs w:val="24"/>
              </w:rPr>
              <w:t xml:space="preserve"> </w:t>
            </w:r>
            <w:r>
              <w:rPr>
                <w:rFonts w:hint="default" w:ascii="Arial" w:hAnsi="Arial" w:eastAsia="宋体" w:cs="Arial"/>
                <w:spacing w:val="-2"/>
                <w:sz w:val="24"/>
                <w:szCs w:val="24"/>
              </w:rPr>
              <w:t>8月</w:t>
            </w:r>
            <w:r>
              <w:rPr>
                <w:rFonts w:hint="default" w:ascii="Arial" w:hAnsi="Arial" w:eastAsia="宋体" w:cs="Arial"/>
                <w:spacing w:val="-53"/>
                <w:sz w:val="24"/>
                <w:szCs w:val="24"/>
              </w:rPr>
              <w:t xml:space="preserve"> </w:t>
            </w:r>
            <w:r>
              <w:rPr>
                <w:rFonts w:hint="default" w:ascii="Arial" w:hAnsi="Arial" w:eastAsia="宋体" w:cs="Arial"/>
                <w:spacing w:val="-2"/>
                <w:sz w:val="24"/>
                <w:szCs w:val="24"/>
              </w:rPr>
              <w:t>25日印发《四川省、重庆</w:t>
            </w:r>
            <w:r>
              <w:rPr>
                <w:rFonts w:hint="default" w:ascii="Arial" w:hAnsi="Arial" w:eastAsia="宋体" w:cs="Arial"/>
                <w:spacing w:val="-3"/>
                <w:sz w:val="24"/>
                <w:szCs w:val="24"/>
              </w:rPr>
              <w:t>市长江经济带发展负面清</w:t>
            </w:r>
            <w:r>
              <w:rPr>
                <w:rFonts w:hint="default" w:ascii="Arial" w:hAnsi="Arial" w:eastAsia="宋体" w:cs="Arial"/>
                <w:sz w:val="24"/>
                <w:szCs w:val="24"/>
              </w:rPr>
              <w:t>单实施细则（试行，2022年版）》，本</w:t>
            </w:r>
            <w:r>
              <w:rPr>
                <w:rFonts w:hint="default" w:ascii="Arial" w:hAnsi="Arial" w:eastAsia="宋体" w:cs="Arial"/>
                <w:spacing w:val="-1"/>
                <w:sz w:val="24"/>
                <w:szCs w:val="24"/>
              </w:rPr>
              <w:t>项目与其符合性分析见下表。</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表1-14 本项目与《四川省、重庆市长江经济带发展负面清单实施细则（试行，2022年版）》</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的符合性分析</w:t>
            </w:r>
          </w:p>
          <w:tbl>
            <w:tblPr>
              <w:tblStyle w:val="76"/>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86"/>
              <w:gridCol w:w="2207"/>
              <w:gridCol w:w="1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管控内容</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本项目情况</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是否属于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第五条 禁止新建、改建和扩建不符合全国港口布局规划，以及《四川省内河水运发展规划》《泸州</w:t>
                  </w:r>
                  <w:r>
                    <w:rPr>
                      <w:rFonts w:hint="default" w:ascii="Arial" w:hAnsi="Arial" w:eastAsia="Times New Roman" w:cs="Arial"/>
                      <w:spacing w:val="0"/>
                      <w:kern w:val="0"/>
                      <w:sz w:val="21"/>
                      <w:szCs w:val="21"/>
                    </w:rPr>
                    <w:t>—</w:t>
                  </w:r>
                  <w:r>
                    <w:rPr>
                      <w:rFonts w:hint="default" w:ascii="Arial" w:hAnsi="Arial" w:cs="Arial"/>
                      <w:spacing w:val="0"/>
                      <w:kern w:val="0"/>
                      <w:sz w:val="21"/>
                      <w:szCs w:val="21"/>
                    </w:rPr>
                    <w:t>宜宾</w:t>
                  </w:r>
                  <w:r>
                    <w:rPr>
                      <w:rFonts w:hint="default" w:ascii="Arial" w:hAnsi="Arial" w:eastAsia="Times New Roman" w:cs="Arial"/>
                      <w:spacing w:val="0"/>
                      <w:kern w:val="0"/>
                      <w:sz w:val="21"/>
                      <w:szCs w:val="21"/>
                    </w:rPr>
                    <w:t>—</w:t>
                  </w:r>
                  <w:r>
                    <w:rPr>
                      <w:rFonts w:hint="default" w:ascii="Arial" w:hAnsi="Arial" w:cs="Arial"/>
                      <w:spacing w:val="0"/>
                      <w:kern w:val="0"/>
                      <w:sz w:val="21"/>
                      <w:szCs w:val="21"/>
                    </w:rPr>
                    <w:t>乐山港口群布局规划》《重庆港总体规划（</w:t>
                  </w:r>
                  <w:r>
                    <w:rPr>
                      <w:rFonts w:hint="default" w:ascii="Arial" w:hAnsi="Arial" w:eastAsia="Times New Roman" w:cs="Arial"/>
                      <w:spacing w:val="0"/>
                      <w:kern w:val="0"/>
                      <w:sz w:val="21"/>
                      <w:szCs w:val="21"/>
                    </w:rPr>
                    <w:t xml:space="preserve">2035 </w:t>
                  </w:r>
                  <w:r>
                    <w:rPr>
                      <w:rFonts w:hint="default" w:ascii="Arial" w:hAnsi="Arial" w:cs="Arial"/>
                      <w:spacing w:val="0"/>
                      <w:kern w:val="0"/>
                      <w:sz w:val="21"/>
                      <w:szCs w:val="21"/>
                    </w:rPr>
                    <w:t>年）》等省级港口布局规划及市级港口总体规划的码头项目。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本项目不属于码头项目。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4"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第六条 禁止新建、改建和扩建不符合《长江干线过江通道布局规划（</w:t>
                  </w:r>
                  <w:r>
                    <w:rPr>
                      <w:rFonts w:hint="default" w:ascii="Arial" w:hAnsi="Arial" w:eastAsia="Times New Roman" w:cs="Arial"/>
                      <w:spacing w:val="0"/>
                      <w:kern w:val="0"/>
                      <w:sz w:val="21"/>
                      <w:szCs w:val="21"/>
                    </w:rPr>
                    <w:t>2020-2035</w:t>
                  </w:r>
                  <w:r>
                    <w:rPr>
                      <w:rFonts w:hint="default" w:ascii="Arial" w:hAnsi="Arial" w:cs="Arial"/>
                      <w:spacing w:val="0"/>
                      <w:kern w:val="0"/>
                      <w:sz w:val="21"/>
                      <w:szCs w:val="21"/>
                    </w:rPr>
                    <w:t>）》的过长江通道项目（含桥梁、隧道），国家发展改革委同意过长江通道线位调整的除外。</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本项目不属于过长江通道项目（含桥梁、隧道）。</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08"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第七条 禁止在自然保护区核心区、缓冲区的岸线和河段范围内投资建设旅游和生产经营项目。自然保护区的内部未分区的，依照核心区和缓冲区的规定管控。</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本项目所在地不属于自然保护区核心区、缓冲区的岸线和河段范围内。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31"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第八条 禁止违反风景名胜区规划，在风景名 胜区内设立各类开发区。禁止在风景名胜区核心景区的岸线和河段范围内建设宾馆、招待所、培训中心、疗养院以及与风景名胜资源保护无关的项目。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本项目所在地不属于风景名胜区，不属于风景名胜区核心景区的岸线和河段范围内。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第九条 禁止在饮用水水源准保护区的岸线和河段范围内新建、扩建对水体污染严重的建设项目，禁止改建增加排污量的建设项目。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本项目所在地不属于饮用水水源准保护区的岸线和河段范围内。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01"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第十条 饮用水水源二级保护区的岸线和河段范围内，除遵守准保护区规定外，禁止新建、改建、扩建排放污染物的投资建设项目；禁止从事对水体有污染的水产养殖等活动。</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本项目所在地不属于饮用水水源二级保护区的岸线和河段范围内；项目建设不属于水产养殖等活动。</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96"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本项目所在地不属于饮用水水源一级保护区的岸线和河段范围内。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8"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第十二条 禁止在水产种质资源保护区岸线和河段范围内新建围湖造田、围湖造地或挖沙采石等投资建设项目。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本项目所在地不属于水产种质资源保护区岸线和河段范围内。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2"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本项目所在地不属于国家湿地公园的岸线和河段范围内。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62"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本项目建设未占用长江流域河湖岸线，不属于《长江岸线保护和开发利用总体规划》划定的岸线保护区和岸线保留区内。</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19"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第十五条 禁止在《全国重要江河湖泊水功能区划》划定的河段及湖泊保护区、保留区内投资建设不利于水资源及自然生态保护的项目。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本项目所在地不属于《全国重要江河湖泊水功能区划》划定的河段及湖泊保护区、保留区。</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第十六条 禁止在长江流域江河、湖泊新设、改设或者扩大排污口，经有管辖权的生态环境主管部门或者长江流域生态环境监督管理机构同意的除外。</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本项目建设不涉及排污口新设、改设或扩大。</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7"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第十七条 禁止在长江干流、大渡河、岷江、赤水河、沱江、嘉陵江、乌江、汉江和</w:t>
                  </w:r>
                  <w:r>
                    <w:rPr>
                      <w:rFonts w:hint="default" w:ascii="Arial" w:hAnsi="Arial" w:eastAsia="Times New Roman" w:cs="Arial"/>
                      <w:spacing w:val="0"/>
                      <w:kern w:val="0"/>
                      <w:sz w:val="21"/>
                      <w:szCs w:val="21"/>
                    </w:rPr>
                    <w:t>51</w:t>
                  </w:r>
                  <w:r>
                    <w:rPr>
                      <w:rFonts w:hint="default" w:ascii="Arial" w:hAnsi="Arial" w:cs="Arial"/>
                      <w:spacing w:val="0"/>
                      <w:kern w:val="0"/>
                      <w:sz w:val="21"/>
                      <w:szCs w:val="21"/>
                    </w:rPr>
                    <w:t>个（四川省</w:t>
                  </w:r>
                  <w:r>
                    <w:rPr>
                      <w:rFonts w:hint="default" w:ascii="Arial" w:hAnsi="Arial" w:eastAsia="Times New Roman" w:cs="Arial"/>
                      <w:spacing w:val="0"/>
                      <w:kern w:val="0"/>
                      <w:sz w:val="21"/>
                      <w:szCs w:val="21"/>
                    </w:rPr>
                    <w:t>45</w:t>
                  </w:r>
                  <w:r>
                    <w:rPr>
                      <w:rFonts w:hint="default" w:ascii="Arial" w:hAnsi="Arial" w:cs="Arial"/>
                      <w:spacing w:val="0"/>
                      <w:kern w:val="0"/>
                      <w:sz w:val="21"/>
                      <w:szCs w:val="21"/>
                    </w:rPr>
                    <w:t>个、重庆市</w:t>
                  </w:r>
                  <w:r>
                    <w:rPr>
                      <w:rFonts w:hint="default" w:ascii="Arial" w:hAnsi="Arial" w:eastAsia="Times New Roman" w:cs="Arial"/>
                      <w:spacing w:val="0"/>
                      <w:kern w:val="0"/>
                      <w:sz w:val="21"/>
                      <w:szCs w:val="21"/>
                    </w:rPr>
                    <w:t>6</w:t>
                  </w:r>
                  <w:r>
                    <w:rPr>
                      <w:rFonts w:hint="default" w:ascii="Arial" w:hAnsi="Arial" w:cs="Arial"/>
                      <w:spacing w:val="0"/>
                      <w:kern w:val="0"/>
                      <w:sz w:val="21"/>
                      <w:szCs w:val="21"/>
                    </w:rPr>
                    <w:t>个）水生生物保护区开展生产性捕捞。</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本项目所在地不属于长江干流、大渡河、岷江、赤水河、沱江、嘉陵江、乌江、汉江和</w:t>
                  </w:r>
                  <w:r>
                    <w:rPr>
                      <w:rFonts w:hint="default" w:ascii="Arial" w:hAnsi="Arial" w:eastAsia="Times New Roman" w:cs="Arial"/>
                      <w:spacing w:val="0"/>
                      <w:kern w:val="0"/>
                      <w:sz w:val="21"/>
                      <w:szCs w:val="21"/>
                    </w:rPr>
                    <w:t>51</w:t>
                  </w:r>
                  <w:r>
                    <w:rPr>
                      <w:rFonts w:hint="default" w:ascii="Arial" w:hAnsi="Arial" w:cs="Arial"/>
                      <w:spacing w:val="0"/>
                      <w:kern w:val="0"/>
                      <w:sz w:val="21"/>
                      <w:szCs w:val="21"/>
                    </w:rPr>
                    <w:t>个（四川省</w:t>
                  </w:r>
                  <w:r>
                    <w:rPr>
                      <w:rFonts w:hint="default" w:ascii="Arial" w:hAnsi="Arial" w:eastAsia="Times New Roman" w:cs="Arial"/>
                      <w:spacing w:val="0"/>
                      <w:kern w:val="0"/>
                      <w:sz w:val="21"/>
                      <w:szCs w:val="21"/>
                    </w:rPr>
                    <w:t>45</w:t>
                  </w:r>
                  <w:r>
                    <w:rPr>
                      <w:rFonts w:hint="default" w:ascii="Arial" w:hAnsi="Arial" w:cs="Arial"/>
                      <w:spacing w:val="0"/>
                      <w:kern w:val="0"/>
                      <w:sz w:val="21"/>
                      <w:szCs w:val="21"/>
                    </w:rPr>
                    <w:t>个、重庆市</w:t>
                  </w:r>
                  <w:r>
                    <w:rPr>
                      <w:rFonts w:hint="default" w:ascii="Arial" w:hAnsi="Arial" w:eastAsia="Times New Roman" w:cs="Arial"/>
                      <w:spacing w:val="0"/>
                      <w:kern w:val="0"/>
                      <w:sz w:val="21"/>
                      <w:szCs w:val="21"/>
                    </w:rPr>
                    <w:t>6</w:t>
                  </w:r>
                  <w:r>
                    <w:rPr>
                      <w:rFonts w:hint="default" w:ascii="Arial" w:hAnsi="Arial" w:cs="Arial"/>
                      <w:spacing w:val="0"/>
                      <w:kern w:val="0"/>
                      <w:sz w:val="21"/>
                      <w:szCs w:val="21"/>
                    </w:rPr>
                    <w:t>个）水生生物保护区，项目建设不涉及生产性捕捞。</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7"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第十八条 禁止在长江干支流、重要湖泊岸线一公里范围内新建、扩建化工园区和化工项目。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本项目建设不属于化工园区和化工项目。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1"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第十九条 禁止在长江干流岸线三公里范围内和重要支流岸线一公里范围内新建、改建、扩建尾矿库、冶炼渣库、磷石膏库，以提升安全、生态环境保护水平为目的的改建除外。</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本项目建设不属于尾矿库、冶炼渣库、磷石膏库。</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89"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第二十条 禁止在生态保护红线区域、永久基本农田集中区域和其他需要特别保护的区域内选址建设尾矿库、冶炼渣库、磷石膏库。</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本项目所在地不属于生态保护红线区域、</w:t>
                  </w:r>
                  <w:r>
                    <w:rPr>
                      <w:rFonts w:hint="default" w:ascii="Arial" w:hAnsi="Arial" w:cs="Arial"/>
                      <w:spacing w:val="0"/>
                      <w:kern w:val="0"/>
                      <w:sz w:val="21"/>
                      <w:szCs w:val="21"/>
                      <w:highlight w:val="none"/>
                    </w:rPr>
                    <w:t>永久基本农田集中区域</w:t>
                  </w:r>
                  <w:r>
                    <w:rPr>
                      <w:rFonts w:hint="default" w:ascii="Arial" w:hAnsi="Arial" w:cs="Arial"/>
                      <w:spacing w:val="0"/>
                      <w:kern w:val="0"/>
                      <w:sz w:val="21"/>
                      <w:szCs w:val="21"/>
                    </w:rPr>
                    <w:t>和其他需要特别保护的区域内，项目建设不属于尾矿库、冶炼渣库、磷石膏库。</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19"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第二十一条 禁止在合规园区外新建、扩建钢铁、石化、化工、焦化、建材、有色、制浆造纸等高污染项目。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本项目不属于新建、扩建的钢铁、石化、化工、焦化、建材、有色、制浆造纸等高污染项目。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94"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第二十二条 禁止新建、扩建不符合国家石化、现代煤化工等产业布局规划的项目。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（一）严格控制新增炼油产能，未列入《石化产业规划布局方案（修订版）》的新增炼油产能一律不得建设。</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（二）新建煤制烯烃、煤制芳烃项目必须列入《现代煤化工产业创新发展布局方案》，必须符合《现代煤化工建设项目环境准入条件（试行）》要求。</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本项目建设不属于石化、现代煤化工项目，项目建设不新增炼油产能，不属于新建煤制烯烃、煤制芳烃项目。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61"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本项目不属于法律法规和相关政策明令禁止的落后产能项目，不属于《产业结构调整指导目录》中的淘汰类、限制</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类项目。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17"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第二十四条 禁止新建、扩建不符合国家产能 置换要求的严重过剩产能行业的项目。对于不符合国家产能置换要求的严重过剩产能行业，不得以其他任何名义、任何方式备案新增产能项目。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本项目建设不属于不符合国家产能置换要求的严重过剩产能行业的项目。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5"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第二十五条 禁止建设以下燃油汽车投资项目（不在中国境内销售产品的投资项目除外）∶</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（一）新建独立燃油汽车企业；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（二）现有汽车企业跨乘用车、商用车类别建设燃油汽车生产能力；</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（三）外省现有燃油汽车企业整体搬迁至本省（列入国家级区域发展规划或不改变企业股权结构的项目除外）；</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（四）对行业管理部门特别公示的燃油汽车企业进行投资（企业原有股东投资或将该企业转为非独立法人的投资项目除外）。</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本项目建设不属于燃油汽车投资项目。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3" w:hRule="atLeast"/>
                <w:jc w:val="center"/>
              </w:trPr>
              <w:tc>
                <w:tcPr>
                  <w:tcW w:w="30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第二十六条 禁止新建、扩建不符合要求的高耗能、高排放、低水平项目。</w:t>
                  </w:r>
                </w:p>
              </w:tc>
              <w:tc>
                <w:tcPr>
                  <w:tcW w:w="130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0"/>
                      <w:kern w:val="0"/>
                      <w:sz w:val="21"/>
                      <w:szCs w:val="21"/>
                    </w:rPr>
                  </w:pPr>
                  <w:r>
                    <w:rPr>
                      <w:rFonts w:hint="default" w:ascii="Arial" w:hAnsi="Arial" w:cs="Arial"/>
                      <w:spacing w:val="0"/>
                      <w:kern w:val="0"/>
                      <w:sz w:val="21"/>
                      <w:szCs w:val="21"/>
                    </w:rPr>
                    <w:t>本项目不属于不符合要求的高耗能、高排放、低水平项目。</w:t>
                  </w:r>
                </w:p>
              </w:tc>
              <w:tc>
                <w:tcPr>
                  <w:tcW w:w="63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不属于</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eastAsia="宋体" w:cs="Arial"/>
                <w:spacing w:val="0"/>
                <w:sz w:val="24"/>
                <w:szCs w:val="24"/>
              </w:rPr>
            </w:pPr>
            <w:r>
              <w:rPr>
                <w:rFonts w:hint="default" w:ascii="Arial" w:hAnsi="Arial" w:eastAsia="宋体" w:cs="Arial"/>
                <w:spacing w:val="0"/>
                <w:sz w:val="24"/>
                <w:szCs w:val="24"/>
              </w:rPr>
              <w:t>由上表可知，本项目不在《四川省、重庆市长江经济带发展负面清单实施细则（试行，2022年版）》确定的管控内容之列，项目的建设是可行的。</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2" w:firstLineChars="200"/>
              <w:textAlignment w:val="auto"/>
              <w:rPr>
                <w:rFonts w:hint="default" w:ascii="Arial" w:hAnsi="Arial" w:eastAsia="宋体" w:cs="Arial"/>
                <w:sz w:val="24"/>
                <w:szCs w:val="24"/>
              </w:rPr>
            </w:pPr>
            <w:r>
              <w:rPr>
                <w:rFonts w:hint="eastAsia" w:ascii="Arial" w:hAnsi="Arial" w:cs="Arial"/>
                <w:b/>
                <w:bCs/>
                <w:spacing w:val="-10"/>
                <w:sz w:val="24"/>
                <w:szCs w:val="24"/>
                <w:lang w:val="en-US" w:eastAsia="zh-CN"/>
              </w:rPr>
              <w:t>4、</w:t>
            </w:r>
            <w:r>
              <w:rPr>
                <w:rFonts w:hint="default" w:ascii="Arial" w:hAnsi="Arial" w:eastAsia="宋体" w:cs="Arial"/>
                <w:b/>
                <w:bCs/>
                <w:spacing w:val="-10"/>
                <w:sz w:val="24"/>
                <w:szCs w:val="24"/>
              </w:rPr>
              <w:t>本项目与《四川省“十四五”生态环境保护规划》（川府发</w:t>
            </w:r>
            <w:r>
              <w:rPr>
                <w:rFonts w:hint="default" w:ascii="Arial" w:hAnsi="Arial" w:eastAsia="宋体" w:cs="Arial"/>
                <w:b/>
                <w:bCs/>
                <w:spacing w:val="-11"/>
                <w:sz w:val="24"/>
                <w:szCs w:val="24"/>
              </w:rPr>
              <w:t>〔2022〕2号）</w:t>
            </w:r>
            <w:r>
              <w:rPr>
                <w:rFonts w:hint="default" w:ascii="Arial" w:hAnsi="Arial" w:eastAsia="宋体" w:cs="Arial"/>
                <w:b/>
                <w:bCs/>
                <w:spacing w:val="-9"/>
                <w:sz w:val="24"/>
                <w:szCs w:val="24"/>
              </w:rPr>
              <w:t>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eastAsia="宋体" w:cs="Arial"/>
                <w:spacing w:val="0"/>
                <w:sz w:val="24"/>
                <w:szCs w:val="24"/>
                <w:lang w:eastAsia="zh-CN"/>
              </w:rPr>
            </w:pPr>
            <w:r>
              <w:rPr>
                <w:rFonts w:hint="default" w:ascii="Arial" w:hAnsi="Arial" w:eastAsia="宋体" w:cs="Arial"/>
                <w:spacing w:val="0"/>
                <w:sz w:val="24"/>
                <w:szCs w:val="24"/>
              </w:rPr>
              <w:t>四川省人民政府于2022年1月20日印发《四川省“十四五”生态环境保护规 划》，本项目与其符合性分析如下</w:t>
            </w:r>
            <w:r>
              <w:rPr>
                <w:rFonts w:hint="eastAsia" w:ascii="Arial" w:hAnsi="Arial" w:cs="Arial"/>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11"/>
                <w:sz w:val="21"/>
                <w:szCs w:val="21"/>
              </w:rPr>
            </w:pPr>
            <w:r>
              <w:rPr>
                <w:rFonts w:hint="default" w:ascii="Arial" w:hAnsi="Arial" w:cs="Arial"/>
                <w:b/>
                <w:bCs/>
                <w:spacing w:val="-11"/>
                <w:sz w:val="21"/>
                <w:szCs w:val="21"/>
              </w:rPr>
              <w:t>表 1-15   本项目与《四川省“十四五”生态环境保护规划》的符合性分析</w:t>
            </w:r>
          </w:p>
          <w:tbl>
            <w:tblPr>
              <w:tblStyle w:val="76"/>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2"/>
              <w:gridCol w:w="4451"/>
              <w:gridCol w:w="2442"/>
              <w:gridCol w:w="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3083" w:type="pct"/>
                  <w:gridSpan w:val="2"/>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《四川省“十四五”生态环境保护规划》要求</w:t>
                  </w:r>
                </w:p>
              </w:tc>
              <w:tc>
                <w:tcPr>
                  <w:tcW w:w="1441"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本项目情况</w:t>
                  </w:r>
                </w:p>
              </w:tc>
              <w:tc>
                <w:tcPr>
                  <w:tcW w:w="475"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45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项目</w:t>
                  </w:r>
                </w:p>
              </w:tc>
              <w:tc>
                <w:tcPr>
                  <w:tcW w:w="26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b/>
                      <w:bCs/>
                      <w:spacing w:val="0"/>
                      <w:kern w:val="0"/>
                      <w:sz w:val="21"/>
                      <w:szCs w:val="21"/>
                    </w:rPr>
                    <w:t>主要内容</w:t>
                  </w:r>
                </w:p>
              </w:tc>
              <w:tc>
                <w:tcPr>
                  <w:tcW w:w="14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spacing w:val="0"/>
                      <w:kern w:val="0"/>
                      <w:sz w:val="21"/>
                      <w:szCs w:val="21"/>
                    </w:rPr>
                  </w:pPr>
                </w:p>
              </w:tc>
              <w:tc>
                <w:tcPr>
                  <w:tcW w:w="47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spacing w:val="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0" w:hRule="atLeast"/>
                <w:jc w:val="center"/>
              </w:trPr>
              <w:tc>
                <w:tcPr>
                  <w:tcW w:w="45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深化面</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源污染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防治</w:t>
                  </w:r>
                </w:p>
              </w:tc>
              <w:tc>
                <w:tcPr>
                  <w:tcW w:w="26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cs="Arial"/>
                      <w:spacing w:val="0"/>
                      <w:kern w:val="0"/>
                      <w:sz w:val="21"/>
                      <w:szCs w:val="21"/>
                    </w:rPr>
                  </w:pPr>
                  <w:r>
                    <w:rPr>
                      <w:rFonts w:hint="default" w:ascii="Arial" w:hAnsi="Arial" w:cs="Arial"/>
                      <w:spacing w:val="0"/>
                      <w:kern w:val="0"/>
                      <w:sz w:val="21"/>
                      <w:szCs w:val="21"/>
                    </w:rPr>
                    <w:t>加强扬尘污染治理。完善文明施工和绿色施工管理工作制度，积极探索将建设工程施工工地扬尘排污纳入环境税范围。全面落实建筑施工</w:t>
                  </w:r>
                  <w:r>
                    <w:rPr>
                      <w:rFonts w:hint="default" w:ascii="Arial" w:hAnsi="Arial" w:eastAsia="Times New Roman" w:cs="Arial"/>
                      <w:spacing w:val="0"/>
                      <w:kern w:val="0"/>
                      <w:sz w:val="21"/>
                      <w:szCs w:val="21"/>
                    </w:rPr>
                    <w:t>“</w:t>
                  </w:r>
                  <w:r>
                    <w:rPr>
                      <w:rFonts w:hint="default" w:ascii="Arial" w:hAnsi="Arial" w:cs="Arial"/>
                      <w:spacing w:val="0"/>
                      <w:kern w:val="0"/>
                      <w:sz w:val="21"/>
                      <w:szCs w:val="21"/>
                    </w:rPr>
                    <w:t>六个百分百</w:t>
                  </w:r>
                  <w:r>
                    <w:rPr>
                      <w:rFonts w:hint="default" w:ascii="Arial" w:hAnsi="Arial" w:eastAsia="Times New Roman" w:cs="Arial"/>
                      <w:spacing w:val="0"/>
                      <w:kern w:val="0"/>
                      <w:sz w:val="21"/>
                      <w:szCs w:val="21"/>
                    </w:rPr>
                    <w:t>”</w:t>
                  </w:r>
                  <w:r>
                    <w:rPr>
                      <w:rFonts w:hint="default" w:ascii="Arial" w:hAnsi="Arial" w:cs="Arial"/>
                      <w:spacing w:val="0"/>
                      <w:kern w:val="0"/>
                      <w:sz w:val="21"/>
                      <w:szCs w:val="21"/>
                    </w:rPr>
                    <w:t>，重要工地实现视频监控、</w:t>
                  </w:r>
                  <w:r>
                    <w:rPr>
                      <w:rFonts w:hint="default" w:ascii="Arial" w:hAnsi="Arial" w:eastAsia="Times New Roman" w:cs="Arial"/>
                      <w:spacing w:val="0"/>
                      <w:kern w:val="0"/>
                      <w:sz w:val="21"/>
                      <w:szCs w:val="21"/>
                    </w:rPr>
                    <w:t>PM</w:t>
                  </w:r>
                  <w:r>
                    <w:rPr>
                      <w:rFonts w:hint="default" w:ascii="Arial" w:hAnsi="Arial" w:eastAsia="Times New Roman" w:cs="Arial"/>
                      <w:spacing w:val="0"/>
                      <w:kern w:val="0"/>
                      <w:position w:val="-1"/>
                      <w:sz w:val="21"/>
                      <w:szCs w:val="21"/>
                    </w:rPr>
                    <w:t>10</w:t>
                  </w:r>
                  <w:r>
                    <w:rPr>
                      <w:rFonts w:hint="default" w:ascii="Arial" w:hAnsi="Arial" w:cs="Arial"/>
                      <w:spacing w:val="0"/>
                      <w:kern w:val="0"/>
                      <w:sz w:val="21"/>
                      <w:szCs w:val="21"/>
                    </w:rPr>
                    <w:t>在线监测全覆盖。加强铁路、公路、港口等货物运输管理，采取有效的封闭措施减少扬尘污染，无法封闭的应建设防风抑尘设施。逐步提高道路机械化清扫率，鼓励在有条件的地方开展</w:t>
                  </w:r>
                  <w:r>
                    <w:rPr>
                      <w:rFonts w:hint="default" w:ascii="Arial" w:hAnsi="Arial" w:eastAsia="Times New Roman" w:cs="Arial"/>
                      <w:spacing w:val="0"/>
                      <w:kern w:val="0"/>
                      <w:sz w:val="21"/>
                      <w:szCs w:val="21"/>
                    </w:rPr>
                    <w:t>“5G+AI”</w:t>
                  </w:r>
                  <w:r>
                    <w:rPr>
                      <w:rFonts w:hint="default" w:ascii="Arial" w:hAnsi="Arial" w:cs="Arial"/>
                      <w:spacing w:val="0"/>
                      <w:kern w:val="0"/>
                      <w:sz w:val="21"/>
                      <w:szCs w:val="21"/>
                    </w:rPr>
                    <w:t>人工智能清扫作业试点示范。到</w:t>
                  </w:r>
                  <w:r>
                    <w:rPr>
                      <w:rFonts w:hint="default" w:ascii="Arial" w:hAnsi="Arial" w:eastAsia="Times New Roman" w:cs="Arial"/>
                      <w:spacing w:val="0"/>
                      <w:kern w:val="0"/>
                      <w:sz w:val="21"/>
                      <w:szCs w:val="21"/>
                    </w:rPr>
                    <w:t>2025</w:t>
                  </w:r>
                  <w:r>
                    <w:rPr>
                      <w:rFonts w:hint="default" w:ascii="Arial" w:hAnsi="Arial" w:cs="Arial"/>
                      <w:spacing w:val="0"/>
                      <w:kern w:val="0"/>
                      <w:sz w:val="21"/>
                      <w:szCs w:val="21"/>
                    </w:rPr>
                    <w:t>年，地级及以上城市建成区道路机械化清扫率达到</w:t>
                  </w:r>
                  <w:r>
                    <w:rPr>
                      <w:rFonts w:hint="default" w:ascii="Arial" w:hAnsi="Arial" w:eastAsia="Times New Roman" w:cs="Arial"/>
                      <w:spacing w:val="0"/>
                      <w:kern w:val="0"/>
                      <w:sz w:val="21"/>
                      <w:szCs w:val="21"/>
                    </w:rPr>
                    <w:t>80%</w:t>
                  </w:r>
                  <w:r>
                    <w:rPr>
                      <w:rFonts w:hint="default" w:ascii="Arial" w:hAnsi="Arial" w:cs="Arial"/>
                      <w:spacing w:val="0"/>
                      <w:kern w:val="0"/>
                      <w:sz w:val="21"/>
                      <w:szCs w:val="21"/>
                    </w:rPr>
                    <w:t xml:space="preserve">，县城达到 </w:t>
                  </w:r>
                  <w:r>
                    <w:rPr>
                      <w:rFonts w:hint="default" w:ascii="Arial" w:hAnsi="Arial" w:eastAsia="Times New Roman" w:cs="Arial"/>
                      <w:spacing w:val="0"/>
                      <w:kern w:val="0"/>
                      <w:sz w:val="21"/>
                      <w:szCs w:val="21"/>
                    </w:rPr>
                    <w:t>70%</w:t>
                  </w:r>
                  <w:r>
                    <w:rPr>
                      <w:rFonts w:hint="default" w:ascii="Arial" w:hAnsi="Arial" w:cs="Arial"/>
                      <w:spacing w:val="0"/>
                      <w:kern w:val="0"/>
                      <w:sz w:val="21"/>
                      <w:szCs w:val="21"/>
                    </w:rPr>
                    <w:t>，成都平原地区地级及以上城市达到</w:t>
                  </w:r>
                  <w:r>
                    <w:rPr>
                      <w:rFonts w:hint="default" w:ascii="Arial" w:hAnsi="Arial" w:eastAsia="Times New Roman" w:cs="Arial"/>
                      <w:spacing w:val="0"/>
                      <w:kern w:val="0"/>
                      <w:sz w:val="21"/>
                      <w:szCs w:val="21"/>
                    </w:rPr>
                    <w:t>85%</w:t>
                  </w:r>
                  <w:r>
                    <w:rPr>
                      <w:rFonts w:hint="default" w:ascii="Arial" w:hAnsi="Arial" w:cs="Arial"/>
                      <w:spacing w:val="0"/>
                      <w:kern w:val="0"/>
                      <w:sz w:val="21"/>
                      <w:szCs w:val="21"/>
                    </w:rPr>
                    <w:t>。</w:t>
                  </w:r>
                </w:p>
              </w:tc>
              <w:tc>
                <w:tcPr>
                  <w:tcW w:w="14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本次评价要求建设单位在施工期严格执行本报告提出的各项施工期扬尘治理措施，全面落实建筑施工</w:t>
                  </w:r>
                  <w:r>
                    <w:rPr>
                      <w:rFonts w:hint="default" w:ascii="Arial" w:hAnsi="Arial" w:eastAsia="Times New Roman" w:cs="Arial"/>
                      <w:spacing w:val="0"/>
                      <w:kern w:val="0"/>
                      <w:sz w:val="21"/>
                      <w:szCs w:val="21"/>
                    </w:rPr>
                    <w:t>“</w:t>
                  </w:r>
                  <w:r>
                    <w:rPr>
                      <w:rFonts w:hint="default" w:ascii="Arial" w:hAnsi="Arial" w:cs="Arial"/>
                      <w:spacing w:val="0"/>
                      <w:kern w:val="0"/>
                      <w:sz w:val="21"/>
                      <w:szCs w:val="21"/>
                    </w:rPr>
                    <w:t>六个百分百</w:t>
                  </w:r>
                  <w:r>
                    <w:rPr>
                      <w:rFonts w:hint="default" w:ascii="Arial" w:hAnsi="Arial" w:eastAsia="Times New Roman" w:cs="Arial"/>
                      <w:spacing w:val="0"/>
                      <w:kern w:val="0"/>
                      <w:sz w:val="21"/>
                      <w:szCs w:val="21"/>
                    </w:rPr>
                    <w:t>”</w:t>
                  </w:r>
                  <w:r>
                    <w:rPr>
                      <w:rFonts w:hint="default" w:ascii="Arial" w:hAnsi="Arial" w:cs="Arial"/>
                      <w:spacing w:val="0"/>
                      <w:kern w:val="0"/>
                      <w:sz w:val="21"/>
                      <w:szCs w:val="21"/>
                    </w:rPr>
                    <w:t>，完善文明施工和绿色施工管理工作制度，在施工期严格落实施工工地渣土和粉状物料实现全面封闭运输。</w:t>
                  </w:r>
                </w:p>
              </w:tc>
              <w:tc>
                <w:tcPr>
                  <w:tcW w:w="47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2" w:hRule="atLeast"/>
                <w:jc w:val="center"/>
              </w:trPr>
              <w:tc>
                <w:tcPr>
                  <w:tcW w:w="45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强化生</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态保护</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红线监</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管</w:t>
                  </w:r>
                </w:p>
              </w:tc>
              <w:tc>
                <w:tcPr>
                  <w:tcW w:w="262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cs="Arial"/>
                      <w:spacing w:val="0"/>
                      <w:kern w:val="0"/>
                      <w:sz w:val="21"/>
                      <w:szCs w:val="21"/>
                    </w:rPr>
                  </w:pPr>
                  <w:r>
                    <w:rPr>
                      <w:rFonts w:hint="default" w:ascii="Arial" w:hAnsi="Arial" w:cs="Arial"/>
                      <w:spacing w:val="0"/>
                      <w:kern w:val="0"/>
                      <w:sz w:val="21"/>
                      <w:szCs w:val="21"/>
                    </w:rPr>
                    <w:t>开展生态保护红线勘界定标，充分考虑 地理实体边界、自然保护地边界等，将生态保护红线精准落地。因地制宜制定生态保护红线地方性法规。完善生态保护红线监管制度，加强四川省生态保护红线监管信息化建设，及时掌握全省、重点区域、县域生态保护红线面积、性质、功能和管理情况及动态变化趋势。强化对生态红线范围内人为活动的日常监管。开展生态保护修复成效和生态功能变化成效评估。</w:t>
                  </w:r>
                </w:p>
              </w:tc>
              <w:tc>
                <w:tcPr>
                  <w:tcW w:w="144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Arial" w:hAnsi="Arial" w:cs="Arial"/>
                      <w:spacing w:val="0"/>
                      <w:kern w:val="0"/>
                      <w:sz w:val="21"/>
                      <w:szCs w:val="21"/>
                    </w:rPr>
                  </w:pPr>
                  <w:r>
                    <w:rPr>
                      <w:rFonts w:hint="default" w:ascii="Arial" w:hAnsi="Arial" w:cs="Arial"/>
                      <w:spacing w:val="0"/>
                      <w:kern w:val="0"/>
                      <w:sz w:val="21"/>
                      <w:szCs w:val="21"/>
                    </w:rPr>
                    <w:t>本项目不涉及城市和乡镇集中式饮用水源保护区，不涉及生态红线保护区。</w:t>
                  </w:r>
                </w:p>
              </w:tc>
              <w:tc>
                <w:tcPr>
                  <w:tcW w:w="47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kern w:val="0"/>
                      <w:sz w:val="21"/>
                      <w:szCs w:val="21"/>
                    </w:rPr>
                  </w:pPr>
                  <w:r>
                    <w:rPr>
                      <w:rFonts w:hint="default" w:ascii="Arial" w:hAnsi="Arial" w:cs="Arial"/>
                      <w:spacing w:val="0"/>
                      <w:kern w:val="0"/>
                      <w:sz w:val="21"/>
                      <w:szCs w:val="21"/>
                    </w:rPr>
                    <w:t>符合</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Arial" w:hAnsi="Arial" w:eastAsia="宋体" w:cs="Arial"/>
                <w:sz w:val="24"/>
                <w:szCs w:val="24"/>
              </w:rPr>
            </w:pPr>
            <w:r>
              <w:rPr>
                <w:rFonts w:hint="default" w:ascii="Arial" w:hAnsi="Arial" w:eastAsia="宋体" w:cs="Arial"/>
                <w:spacing w:val="-1"/>
                <w:sz w:val="24"/>
                <w:szCs w:val="24"/>
              </w:rPr>
              <w:t>综上，本项目建设符合《四川省“十四五”生态环境保护规划》的相关要求。</w:t>
            </w:r>
          </w:p>
          <w:p>
            <w:pPr>
              <w:pStyle w:val="75"/>
              <w:keepNext w:val="0"/>
              <w:keepLines w:val="0"/>
              <w:pageBreakBefore w:val="0"/>
              <w:widowControl w:val="0"/>
              <w:kinsoku/>
              <w:wordWrap/>
              <w:overflowPunct/>
              <w:topLinePunct w:val="0"/>
              <w:autoSpaceDE/>
              <w:autoSpaceDN/>
              <w:bidi w:val="0"/>
              <w:adjustRightInd/>
              <w:snapToGrid/>
              <w:spacing w:line="360" w:lineRule="auto"/>
              <w:ind w:firstLine="486" w:firstLineChars="200"/>
              <w:jc w:val="both"/>
              <w:textAlignment w:val="auto"/>
              <w:rPr>
                <w:rFonts w:hint="default" w:ascii="Arial" w:hAnsi="Arial" w:eastAsia="宋体" w:cs="Arial"/>
                <w:sz w:val="24"/>
                <w:szCs w:val="24"/>
              </w:rPr>
            </w:pPr>
            <w:r>
              <w:rPr>
                <w:rFonts w:hint="eastAsia" w:ascii="Arial" w:hAnsi="Arial" w:cs="Arial"/>
                <w:b/>
                <w:bCs/>
                <w:spacing w:val="1"/>
                <w:sz w:val="24"/>
                <w:szCs w:val="24"/>
                <w:lang w:val="en-US" w:eastAsia="zh-CN"/>
              </w:rPr>
              <w:t>5、</w:t>
            </w:r>
            <w:r>
              <w:rPr>
                <w:rFonts w:hint="default" w:ascii="Arial" w:hAnsi="Arial" w:eastAsia="宋体" w:cs="Arial"/>
                <w:b/>
                <w:bCs/>
                <w:spacing w:val="1"/>
                <w:sz w:val="24"/>
                <w:szCs w:val="24"/>
              </w:rPr>
              <w:t>本项目与《广元市“十四五”生态环境保护规划》（广府发〔2022〕17</w:t>
            </w:r>
            <w:r>
              <w:rPr>
                <w:rFonts w:hint="default" w:ascii="Arial" w:hAnsi="Arial" w:eastAsia="宋体" w:cs="Arial"/>
                <w:b/>
                <w:bCs/>
                <w:spacing w:val="-4"/>
                <w:sz w:val="24"/>
                <w:szCs w:val="24"/>
              </w:rPr>
              <w:t>号）的符合性分析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r>
              <w:rPr>
                <w:rFonts w:hint="default" w:ascii="Arial" w:hAnsi="Arial" w:eastAsia="宋体" w:cs="Arial"/>
                <w:spacing w:val="-1"/>
                <w:sz w:val="24"/>
                <w:szCs w:val="24"/>
              </w:rPr>
              <w:t>广元市人民政府于</w:t>
            </w:r>
            <w:r>
              <w:rPr>
                <w:rFonts w:hint="default" w:ascii="Arial" w:hAnsi="Arial" w:eastAsia="宋体" w:cs="Arial"/>
                <w:spacing w:val="-53"/>
                <w:sz w:val="24"/>
                <w:szCs w:val="24"/>
              </w:rPr>
              <w:t xml:space="preserve"> </w:t>
            </w:r>
            <w:r>
              <w:rPr>
                <w:rFonts w:hint="default" w:ascii="Arial" w:hAnsi="Arial" w:eastAsia="宋体" w:cs="Arial"/>
                <w:spacing w:val="-1"/>
                <w:sz w:val="24"/>
                <w:szCs w:val="24"/>
              </w:rPr>
              <w:t>2022年</w:t>
            </w:r>
            <w:r>
              <w:rPr>
                <w:rFonts w:hint="default" w:ascii="Arial" w:hAnsi="Arial" w:eastAsia="宋体" w:cs="Arial"/>
                <w:spacing w:val="-56"/>
                <w:sz w:val="24"/>
                <w:szCs w:val="24"/>
              </w:rPr>
              <w:t xml:space="preserve"> </w:t>
            </w:r>
            <w:r>
              <w:rPr>
                <w:rFonts w:hint="default" w:ascii="Arial" w:hAnsi="Arial" w:eastAsia="宋体" w:cs="Arial"/>
                <w:spacing w:val="-1"/>
                <w:sz w:val="24"/>
                <w:szCs w:val="24"/>
              </w:rPr>
              <w:t>4月</w:t>
            </w:r>
            <w:r>
              <w:rPr>
                <w:rFonts w:hint="default" w:ascii="Arial" w:hAnsi="Arial" w:eastAsia="宋体" w:cs="Arial"/>
                <w:spacing w:val="-55"/>
                <w:sz w:val="24"/>
                <w:szCs w:val="24"/>
              </w:rPr>
              <w:t xml:space="preserve"> </w:t>
            </w:r>
            <w:r>
              <w:rPr>
                <w:rFonts w:hint="default" w:ascii="Arial" w:hAnsi="Arial" w:eastAsia="宋体" w:cs="Arial"/>
                <w:spacing w:val="-1"/>
                <w:sz w:val="24"/>
                <w:szCs w:val="24"/>
              </w:rPr>
              <w:t>21</w:t>
            </w:r>
            <w:r>
              <w:rPr>
                <w:rFonts w:hint="default" w:ascii="Arial" w:hAnsi="Arial" w:eastAsia="宋体" w:cs="Arial"/>
                <w:spacing w:val="-2"/>
                <w:sz w:val="24"/>
                <w:szCs w:val="24"/>
              </w:rPr>
              <w:t>日印发《广元市“十四五”生态环境保护规</w:t>
            </w:r>
            <w:r>
              <w:rPr>
                <w:rFonts w:hint="default" w:ascii="Arial" w:hAnsi="Arial" w:eastAsia="宋体" w:cs="Arial"/>
                <w:sz w:val="24"/>
                <w:szCs w:val="24"/>
              </w:rPr>
              <w:t xml:space="preserve"> </w:t>
            </w:r>
            <w:r>
              <w:rPr>
                <w:rFonts w:hint="default" w:ascii="Arial" w:hAnsi="Arial" w:eastAsia="宋体" w:cs="Arial"/>
                <w:spacing w:val="-1"/>
                <w:sz w:val="24"/>
                <w:szCs w:val="24"/>
              </w:rPr>
              <w:t>划》，本项目与其符合性分析如下</w:t>
            </w:r>
            <w:r>
              <w:rPr>
                <w:rFonts w:hint="eastAsia" w:ascii="Arial" w:hAnsi="Arial" w:cs="Arial"/>
                <w:spacing w:val="-1"/>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Arial" w:hAnsi="Arial" w:cs="Arial"/>
                <w:spacing w:val="-1"/>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0"/>
                <w:sz w:val="21"/>
                <w:szCs w:val="21"/>
              </w:rPr>
            </w:pPr>
            <w:r>
              <w:rPr>
                <w:rFonts w:hint="default" w:ascii="Arial" w:hAnsi="Arial" w:cs="Arial"/>
                <w:b/>
                <w:bCs/>
                <w:spacing w:val="0"/>
                <w:sz w:val="21"/>
                <w:szCs w:val="21"/>
              </w:rPr>
              <w:t>表1-16   本项目与《广元市“十四五”生态环境保护规划》的符合性分析</w:t>
            </w:r>
          </w:p>
          <w:tbl>
            <w:tblPr>
              <w:tblStyle w:val="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1"/>
              <w:gridCol w:w="5082"/>
              <w:gridCol w:w="2263"/>
              <w:gridCol w:w="5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3368" w:type="pct"/>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b/>
                      <w:bCs/>
                      <w:spacing w:val="0"/>
                      <w:kern w:val="0"/>
                      <w:sz w:val="21"/>
                      <w:szCs w:val="21"/>
                    </w:rPr>
                    <w:t>《规划》要求</w:t>
                  </w:r>
                </w:p>
              </w:tc>
              <w:tc>
                <w:tcPr>
                  <w:tcW w:w="1334"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b/>
                      <w:bCs/>
                      <w:spacing w:val="0"/>
                      <w:kern w:val="0"/>
                      <w:sz w:val="21"/>
                      <w:szCs w:val="21"/>
                    </w:rPr>
                    <w:t>本项目情况</w:t>
                  </w:r>
                </w:p>
              </w:tc>
              <w:tc>
                <w:tcPr>
                  <w:tcW w:w="296"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b/>
                      <w:bCs/>
                      <w:spacing w:val="0"/>
                      <w:kern w:val="0"/>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372"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b/>
                      <w:bCs/>
                      <w:spacing w:val="0"/>
                      <w:kern w:val="0"/>
                      <w:sz w:val="21"/>
                      <w:szCs w:val="21"/>
                    </w:rPr>
                    <w:t>项目</w:t>
                  </w:r>
                </w:p>
              </w:tc>
              <w:tc>
                <w:tcPr>
                  <w:tcW w:w="2995"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b/>
                      <w:bCs/>
                      <w:spacing w:val="0"/>
                      <w:kern w:val="0"/>
                      <w:sz w:val="21"/>
                      <w:szCs w:val="21"/>
                    </w:rPr>
                    <w:t>主要内容</w:t>
                  </w:r>
                </w:p>
              </w:tc>
              <w:tc>
                <w:tcPr>
                  <w:tcW w:w="133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p>
              </w:tc>
              <w:tc>
                <w:tcPr>
                  <w:tcW w:w="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6" w:hRule="atLeast"/>
                <w:jc w:val="center"/>
              </w:trPr>
              <w:tc>
                <w:tcPr>
                  <w:tcW w:w="372"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筑牢生态安全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格局</w:t>
                  </w:r>
                </w:p>
              </w:tc>
              <w:tc>
                <w:tcPr>
                  <w:tcW w:w="2995"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加强重要生态系统保护修复。科学布局 和分时序组织实施重要生态系统保护修护工程，统筹实施嘉陵江上游山水林田湖草生态保护修复工程、秦巴山脉生态系统保护、嘉陵江生态廊道系统建设等工程。以嘉陵江上游国家级水土流失重点治理区（苍溪县、剑阁县）和嘉陵江上游国家级水土流失重点预防区（青川县、利州区、朝天区、昭化区、旺苍县）为重点，开展山水林田湖草综合治理，促进植被自然修复。加强坡耕地综合整治，因地制宜配套生产便道和水系，大力发展经果林，保护和合理利用水土资源。巩固嘉陵江上游废弃矿企问题整治成效，实施重点采煤沉陷区综合治理。</w:t>
                  </w:r>
                </w:p>
              </w:tc>
              <w:tc>
                <w:tcPr>
                  <w:tcW w:w="133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本次评价要求建设单位严格实本报告提出的施工迹地生态恢复措施，控制施工区的植被破坏活动，认真监督落实</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工程水土保持方案相关要求，避免因水土流失造成施工区山体和堆渣体塌滑。</w:t>
                  </w:r>
                </w:p>
              </w:tc>
              <w:tc>
                <w:tcPr>
                  <w:tcW w:w="296"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67" w:hRule="atLeast"/>
                <w:jc w:val="center"/>
              </w:trPr>
              <w:tc>
                <w:tcPr>
                  <w:tcW w:w="372"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推进面源污染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控制</w:t>
                  </w:r>
                </w:p>
              </w:tc>
              <w:tc>
                <w:tcPr>
                  <w:tcW w:w="2995"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全面加强施工扬尘污染控制，积极开展绿色、文明施工标准化建设，推进城市建成区工地安装扬尘在线监控设备，严格落实各项防尘措施。强化城市泥头车辆管理，大力整治抛洒扬散。推行城市道路清扫标准化作业，提高城市道路机械化清扫率和洒水保洁水平，到2025年，市建成区道路机械化清扫率达到80%。强化餐饮源污染排放监管，大中型餐饮项目安装油烟在线自动监控设施，督促餐饮单位及时对油烟净化设施进行维护保养。推进秸秆资源化利用，全面推广秸秆还田、制肥、饲料化、能源化利用等措施，到2025年，全市秸秆综合利用率达到92%以上。完善市—县—乡—村四级秸秆禁烧责任体系，强化农作物秸秆等生物质露天焚烧管控。深化测土施肥技术，提高化肥利用率，减少农业氨排放。</w:t>
                  </w:r>
                </w:p>
              </w:tc>
              <w:tc>
                <w:tcPr>
                  <w:tcW w:w="133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本次评价要求建设单位在施工期严格执行本报告提出的各项施工期扬尘治理措施，全面落实建筑施工“六个百分百”，完善文明施工和绿色施工管理工作制度，在施工期严格落实施工工地渣土和粉状物料实现全面封闭运输。</w:t>
                  </w:r>
                </w:p>
              </w:tc>
              <w:tc>
                <w:tcPr>
                  <w:tcW w:w="296"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0"/>
                      <w:kern w:val="0"/>
                      <w:sz w:val="21"/>
                      <w:szCs w:val="21"/>
                    </w:rPr>
                  </w:pPr>
                  <w:r>
                    <w:rPr>
                      <w:rFonts w:hint="default" w:ascii="Arial" w:hAnsi="Arial" w:eastAsia="宋体" w:cs="Arial"/>
                      <w:spacing w:val="0"/>
                      <w:kern w:val="0"/>
                      <w:sz w:val="21"/>
                      <w:szCs w:val="21"/>
                    </w:rPr>
                    <w:t>符合</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eastAsia="宋体" w:cs="Arial"/>
                <w:spacing w:val="0"/>
                <w:sz w:val="24"/>
                <w:szCs w:val="24"/>
              </w:rPr>
            </w:pPr>
            <w:r>
              <w:rPr>
                <w:rFonts w:hint="default" w:ascii="Arial" w:hAnsi="Arial" w:eastAsia="宋体" w:cs="Arial"/>
                <w:spacing w:val="0"/>
                <w:sz w:val="24"/>
                <w:szCs w:val="24"/>
              </w:rPr>
              <w:t>综上，本项目建设符合《广元市“十四五”生态环境保护规划》的相关要求。</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Arial" w:hAnsi="Arial" w:eastAsia="宋体" w:cs="Arial"/>
                <w:spacing w:val="0"/>
                <w:sz w:val="24"/>
                <w:szCs w:val="24"/>
              </w:rPr>
            </w:pPr>
            <w:r>
              <w:rPr>
                <w:rFonts w:hint="eastAsia" w:ascii="Arial" w:hAnsi="Arial" w:cs="Arial"/>
                <w:b/>
                <w:bCs/>
                <w:spacing w:val="0"/>
                <w:sz w:val="24"/>
                <w:szCs w:val="24"/>
                <w:lang w:val="en-US" w:eastAsia="zh-CN"/>
              </w:rPr>
              <w:t>6、</w:t>
            </w:r>
            <w:r>
              <w:rPr>
                <w:rFonts w:hint="default" w:ascii="Arial" w:hAnsi="Arial" w:eastAsia="宋体" w:cs="Arial"/>
                <w:b/>
                <w:bCs/>
                <w:spacing w:val="0"/>
                <w:sz w:val="24"/>
                <w:szCs w:val="24"/>
              </w:rPr>
              <w:t>本项目与《旺苍县“十四五”生态环境保护规划》（旺府发〔2022〕8 号）</w:t>
            </w:r>
            <w:r>
              <w:rPr>
                <w:rFonts w:hint="default" w:ascii="Arial" w:hAnsi="Arial" w:eastAsia="宋体" w:cs="Arial"/>
                <w:spacing w:val="0"/>
                <w:sz w:val="24"/>
                <w:szCs w:val="24"/>
              </w:rPr>
              <w:t xml:space="preserve"> </w:t>
            </w:r>
            <w:r>
              <w:rPr>
                <w:rFonts w:hint="default" w:ascii="Arial" w:hAnsi="Arial" w:eastAsia="宋体" w:cs="Arial"/>
                <w:b/>
                <w:bCs/>
                <w:spacing w:val="0"/>
                <w:sz w:val="24"/>
                <w:szCs w:val="24"/>
              </w:rPr>
              <w:t>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r>
              <w:rPr>
                <w:rFonts w:hint="default" w:ascii="Arial" w:hAnsi="Arial" w:eastAsia="宋体" w:cs="Arial"/>
                <w:spacing w:val="0"/>
                <w:sz w:val="24"/>
                <w:szCs w:val="24"/>
              </w:rPr>
              <w:t>旺苍县人民政府于2022年11月21日印发《旺苍县“十四五”生态环境保护规划》，本项目与其符合性分析如下</w:t>
            </w:r>
            <w:r>
              <w:rPr>
                <w:rFonts w:hint="default" w:ascii="Arial" w:hAnsi="Arial" w:cs="Arial"/>
                <w:spacing w:val="0"/>
                <w:sz w:val="24"/>
                <w:szCs w:val="24"/>
                <w:lang w:eastAsia="zh-CN"/>
              </w:rPr>
              <w:t>：</w:t>
            </w: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pStyle w:val="75"/>
              <w:spacing w:before="34" w:line="346" w:lineRule="auto"/>
              <w:ind w:left="116" w:firstLine="492"/>
              <w:rPr>
                <w:rFonts w:hint="eastAsia" w:ascii="Arial" w:hAnsi="Arial" w:cs="Arial"/>
                <w:spacing w:val="-1"/>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0"/>
                <w:sz w:val="21"/>
                <w:szCs w:val="21"/>
              </w:rPr>
            </w:pPr>
            <w:r>
              <w:rPr>
                <w:rFonts w:hint="default" w:ascii="Arial" w:hAnsi="Arial" w:cs="Arial"/>
                <w:b/>
                <w:bCs/>
                <w:spacing w:val="0"/>
                <w:sz w:val="21"/>
                <w:szCs w:val="21"/>
              </w:rPr>
              <w:t>表1-17   本项目与《旺苍县“十四五”生态环境保护规划》的符合性分析</w:t>
            </w:r>
          </w:p>
          <w:tbl>
            <w:tblPr>
              <w:tblStyle w:val="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9"/>
              <w:gridCol w:w="4615"/>
              <w:gridCol w:w="2169"/>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3163" w:type="pct"/>
                  <w:gridSpan w:val="2"/>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《规划》要求</w:t>
                  </w:r>
                </w:p>
              </w:tc>
              <w:tc>
                <w:tcPr>
                  <w:tcW w:w="1279"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本项目情况</w:t>
                  </w:r>
                </w:p>
              </w:tc>
              <w:tc>
                <w:tcPr>
                  <w:tcW w:w="557"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项目</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主要内容</w:t>
                  </w:r>
                </w:p>
              </w:tc>
              <w:tc>
                <w:tcPr>
                  <w:tcW w:w="127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pacing w:val="0"/>
                      <w:kern w:val="0"/>
                      <w:sz w:val="21"/>
                      <w:szCs w:val="21"/>
                    </w:rPr>
                  </w:pPr>
                </w:p>
              </w:tc>
              <w:tc>
                <w:tcPr>
                  <w:tcW w:w="55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pacing w:val="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1"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kern w:val="0"/>
                      <w:sz w:val="21"/>
                      <w:szCs w:val="21"/>
                    </w:rPr>
                  </w:pPr>
                  <w:r>
                    <w:rPr>
                      <w:spacing w:val="0"/>
                      <w:kern w:val="0"/>
                      <w:sz w:val="21"/>
                      <w:szCs w:val="21"/>
                    </w:rPr>
                    <w:t>推进面</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kern w:val="0"/>
                      <w:sz w:val="21"/>
                      <w:szCs w:val="21"/>
                    </w:rPr>
                  </w:pPr>
                  <w:r>
                    <w:rPr>
                      <w:spacing w:val="0"/>
                      <w:kern w:val="0"/>
                      <w:sz w:val="21"/>
                      <w:szCs w:val="21"/>
                    </w:rPr>
                    <w:t>源污染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kern w:val="0"/>
                      <w:sz w:val="21"/>
                      <w:szCs w:val="21"/>
                    </w:rPr>
                  </w:pPr>
                  <w:r>
                    <w:rPr>
                      <w:spacing w:val="0"/>
                      <w:kern w:val="0"/>
                      <w:sz w:val="21"/>
                      <w:szCs w:val="21"/>
                    </w:rPr>
                    <w:t>控制</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spacing w:val="0"/>
                      <w:kern w:val="0"/>
                      <w:sz w:val="21"/>
                      <w:szCs w:val="21"/>
                    </w:rPr>
                    <w:t>全面加强施工扬尘污染控制，县城建成区工地须安装监控设备，确保落实施工场围蔽、砂土覆盖、路面硬化、洒水压尘、车辆冲净、场地绿化等防尘措施。强化县城区泥头车辆管理，采用密封式运输车辆或实施车斗严密遮盖，大力整治抛洒扬散现象。改进道路清扫方式，推行城市道路清扫标准化作业，提高城市道路机械化清扫率和洒水保洁水平。持续强化农作物秸秆等生物质露天禁烧，建立秸秆禁烧责任体系，全面推广秸秆还田、秸秆制肥、秸秆饲料化、秸秆能源化利用等措施，推进秸秆资源化利用。深化测土施肥技术应用，减少化肥施用和流失，提高化肥利用率，减少农业氨排放。</w:t>
                  </w:r>
                </w:p>
              </w:tc>
              <w:tc>
                <w:tcPr>
                  <w:tcW w:w="127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spacing w:val="0"/>
                      <w:kern w:val="0"/>
                      <w:sz w:val="21"/>
                      <w:szCs w:val="21"/>
                    </w:rPr>
                    <w:t>本次评价要求建设单位在施工期严格执行本报告提出的各项施工期扬尘治理措施，确保落实施工场围蔽、砂土覆盖、路面硬化、洒水压尘、车辆冲净、场地绿化等防尘措施。</w:t>
                  </w:r>
                </w:p>
              </w:tc>
              <w:tc>
                <w:tcPr>
                  <w:tcW w:w="5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spacing w:val="0"/>
                      <w:kern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9"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spacing w:val="0"/>
                      <w:kern w:val="0"/>
                      <w:sz w:val="21"/>
                      <w:szCs w:val="21"/>
                    </w:rPr>
                    <w:t>推进脆 弱区生 态修复</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spacing w:val="0"/>
                      <w:kern w:val="0"/>
                      <w:sz w:val="21"/>
                      <w:szCs w:val="21"/>
                    </w:rPr>
                    <w:t>实施国家水土保持重点建设工程，以嘉陵江上游国家级水土流失重点预防区（旺苍部分）水土流失严重区域为重点，以小流域为单元，将工程措施和生物措施相结合，开展山水田林路综合治理，促进植被自然修复，加强坡耕地综合整治，因地制宜配套生产便道和水系，大力发展经果林，保护和合理利用水土资源，综合发挥生态效益、社会效益和经济效益。健全完善</w:t>
                  </w:r>
                  <w:r>
                    <w:rPr>
                      <w:rFonts w:ascii="Times New Roman" w:hAnsi="Times New Roman" w:eastAsia="Times New Roman" w:cs="Times New Roman"/>
                      <w:spacing w:val="0"/>
                      <w:kern w:val="0"/>
                      <w:sz w:val="21"/>
                      <w:szCs w:val="21"/>
                    </w:rPr>
                    <w:t>“</w:t>
                  </w:r>
                  <w:r>
                    <w:rPr>
                      <w:spacing w:val="0"/>
                      <w:kern w:val="0"/>
                      <w:sz w:val="21"/>
                      <w:szCs w:val="21"/>
                    </w:rPr>
                    <w:t>谁破坏谁治理、谁受益谁补偿</w:t>
                  </w:r>
                  <w:r>
                    <w:rPr>
                      <w:rFonts w:ascii="Times New Roman" w:hAnsi="Times New Roman" w:eastAsia="Times New Roman" w:cs="Times New Roman"/>
                      <w:spacing w:val="0"/>
                      <w:kern w:val="0"/>
                      <w:sz w:val="21"/>
                      <w:szCs w:val="21"/>
                    </w:rPr>
                    <w:t>”</w:t>
                  </w:r>
                  <w:r>
                    <w:rPr>
                      <w:spacing w:val="0"/>
                      <w:kern w:val="0"/>
                      <w:sz w:val="21"/>
                      <w:szCs w:val="21"/>
                    </w:rPr>
                    <w:t>责任机制，同步推进道路、水电、建筑等工程创面植被恢复，加强矿区废弃地、尾矿库、矿区生态治理。增强灾害预警能力，加强地质灾害综合防治体系建设，抓好地质灾害隐患巡查排查、群策群防、监测预警、综合防治和应急能力建设，加强对地质灾害高发易发区域的综合治理和生态脆弱区重大地质灾害点的工程治理，有序推进灾区生态修复。</w:t>
                  </w:r>
                </w:p>
              </w:tc>
              <w:tc>
                <w:tcPr>
                  <w:tcW w:w="127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spacing w:val="0"/>
                      <w:kern w:val="0"/>
                      <w:sz w:val="21"/>
                      <w:szCs w:val="21"/>
                    </w:rPr>
                    <w:t>本次评价要求建设单位严格落实本报告提出的施工迹地生态恢复措施，控制施工区的植被破坏活动。</w:t>
                  </w:r>
                </w:p>
              </w:tc>
              <w:tc>
                <w:tcPr>
                  <w:tcW w:w="5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spacing w:val="0"/>
                      <w:kern w:val="0"/>
                      <w:sz w:val="21"/>
                      <w:szCs w:val="21"/>
                    </w:rPr>
                    <w:t>符合</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Arial" w:hAnsi="Arial" w:eastAsia="宋体" w:cs="Arial"/>
                <w:color w:val="0000FF"/>
                <w:spacing w:val="0"/>
                <w:sz w:val="24"/>
                <w:szCs w:val="24"/>
              </w:rPr>
            </w:pPr>
            <w:r>
              <w:rPr>
                <w:rFonts w:hint="eastAsia" w:ascii="Arial" w:hAnsi="Arial" w:cs="Arial"/>
                <w:b/>
                <w:bCs/>
                <w:spacing w:val="0"/>
                <w:sz w:val="24"/>
                <w:szCs w:val="24"/>
                <w:lang w:val="en-US" w:eastAsia="zh-CN"/>
              </w:rPr>
              <w:t>7、</w:t>
            </w:r>
            <w:r>
              <w:rPr>
                <w:rFonts w:hint="default" w:ascii="Arial" w:hAnsi="Arial" w:eastAsia="宋体" w:cs="Arial"/>
                <w:b/>
                <w:bCs/>
                <w:color w:val="0000FF"/>
                <w:spacing w:val="0"/>
                <w:sz w:val="24"/>
                <w:szCs w:val="24"/>
              </w:rPr>
              <w:t>本项目与</w:t>
            </w:r>
            <w:r>
              <w:rPr>
                <w:rFonts w:hint="eastAsia" w:ascii="Arial" w:hAnsi="Arial" w:cs="Arial"/>
                <w:b/>
                <w:bCs/>
                <w:color w:val="0000FF"/>
                <w:spacing w:val="0"/>
                <w:sz w:val="24"/>
                <w:szCs w:val="24"/>
                <w:lang w:val="en-US" w:eastAsia="zh-CN"/>
              </w:rPr>
              <w:t>饮用水源保护条例等文件</w:t>
            </w:r>
            <w:r>
              <w:rPr>
                <w:rFonts w:hint="default" w:ascii="Arial" w:hAnsi="Arial" w:eastAsia="宋体" w:cs="Arial"/>
                <w:b/>
                <w:bCs/>
                <w:color w:val="0000FF"/>
                <w:spacing w:val="0"/>
                <w:sz w:val="24"/>
                <w:szCs w:val="24"/>
              </w:rPr>
              <w:t>的符合性分析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0000FF"/>
                <w:spacing w:val="0"/>
                <w:sz w:val="24"/>
                <w:szCs w:val="24"/>
                <w:lang w:eastAsia="zh-CN"/>
              </w:rPr>
            </w:pPr>
            <w:r>
              <w:rPr>
                <w:rFonts w:hint="default" w:ascii="Arial" w:hAnsi="Arial" w:eastAsia="宋体" w:cs="Arial"/>
                <w:color w:val="0000FF"/>
                <w:spacing w:val="0"/>
                <w:sz w:val="24"/>
                <w:szCs w:val="24"/>
              </w:rPr>
              <w:t>鉴于</w:t>
            </w:r>
            <w:r>
              <w:rPr>
                <w:rFonts w:hint="eastAsia" w:ascii="Arial" w:hAnsi="Arial" w:cs="Arial"/>
                <w:color w:val="0000FF"/>
                <w:spacing w:val="0"/>
                <w:sz w:val="24"/>
                <w:szCs w:val="24"/>
                <w:lang w:val="en-US" w:eastAsia="zh-CN"/>
              </w:rPr>
              <w:t>三合</w:t>
            </w:r>
            <w:r>
              <w:rPr>
                <w:rFonts w:hint="default" w:ascii="Arial" w:hAnsi="Arial" w:eastAsia="宋体" w:cs="Arial"/>
                <w:color w:val="0000FF"/>
                <w:spacing w:val="0"/>
                <w:sz w:val="24"/>
                <w:szCs w:val="24"/>
              </w:rPr>
              <w:t>水库具有</w:t>
            </w:r>
            <w:r>
              <w:rPr>
                <w:rFonts w:hint="eastAsia" w:ascii="Arial" w:hAnsi="Arial" w:cs="Arial"/>
                <w:color w:val="0000FF"/>
                <w:spacing w:val="0"/>
                <w:sz w:val="24"/>
                <w:szCs w:val="24"/>
                <w:lang w:val="en-US" w:eastAsia="zh-CN"/>
              </w:rPr>
              <w:t>备用水源</w:t>
            </w:r>
            <w:r>
              <w:rPr>
                <w:rFonts w:hint="default" w:ascii="Arial" w:hAnsi="Arial" w:eastAsia="宋体" w:cs="Arial"/>
                <w:color w:val="0000FF"/>
                <w:spacing w:val="0"/>
                <w:sz w:val="24"/>
                <w:szCs w:val="24"/>
              </w:rPr>
              <w:t>功能，</w:t>
            </w:r>
            <w:r>
              <w:rPr>
                <w:rFonts w:hint="eastAsia" w:ascii="Arial" w:hAnsi="Arial" w:cs="Arial"/>
                <w:color w:val="0000FF"/>
                <w:spacing w:val="0"/>
                <w:sz w:val="24"/>
                <w:szCs w:val="24"/>
                <w:lang w:val="en-US" w:eastAsia="zh-CN"/>
              </w:rPr>
              <w:t>其建设与《中华人民共和国水污染防治法》《四川省饮用水水源保护管理条例》《广元市饮用水水源保护管理条例》等</w:t>
            </w:r>
            <w:r>
              <w:rPr>
                <w:rFonts w:hint="default" w:ascii="Arial" w:hAnsi="Arial" w:eastAsia="宋体" w:cs="Arial"/>
                <w:color w:val="0000FF"/>
                <w:spacing w:val="0"/>
                <w:sz w:val="24"/>
                <w:szCs w:val="24"/>
              </w:rPr>
              <w:t>符合性分析如下</w:t>
            </w:r>
            <w:r>
              <w:rPr>
                <w:rFonts w:hint="default" w:ascii="Arial" w:hAnsi="Arial" w:cs="Arial"/>
                <w:color w:val="0000FF"/>
                <w:spacing w:val="0"/>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pacing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default" w:ascii="Arial" w:hAnsi="Arial" w:cs="Arial"/>
                <w:b/>
                <w:bCs/>
                <w:spacing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Arial" w:hAnsi="Arial" w:cs="Arial"/>
                <w:b/>
                <w:bCs/>
                <w:spacing w:val="0"/>
                <w:sz w:val="21"/>
                <w:szCs w:val="21"/>
              </w:rPr>
            </w:pPr>
            <w:r>
              <w:rPr>
                <w:rFonts w:hint="default" w:ascii="Arial" w:hAnsi="Arial" w:cs="Arial"/>
                <w:b/>
                <w:bCs/>
                <w:spacing w:val="0"/>
                <w:sz w:val="21"/>
                <w:szCs w:val="21"/>
              </w:rPr>
              <w:t>表1-1</w:t>
            </w:r>
            <w:r>
              <w:rPr>
                <w:rFonts w:hint="eastAsia" w:ascii="Arial" w:hAnsi="Arial" w:cs="Arial"/>
                <w:b/>
                <w:bCs/>
                <w:spacing w:val="0"/>
                <w:sz w:val="21"/>
                <w:szCs w:val="21"/>
                <w:lang w:val="en-US" w:eastAsia="zh-CN"/>
              </w:rPr>
              <w:t>8</w:t>
            </w:r>
            <w:r>
              <w:rPr>
                <w:rFonts w:hint="default" w:ascii="Arial" w:hAnsi="Arial" w:cs="Arial"/>
                <w:b/>
                <w:bCs/>
                <w:spacing w:val="0"/>
                <w:sz w:val="21"/>
                <w:szCs w:val="21"/>
              </w:rPr>
              <w:t xml:space="preserve">   本项目与</w:t>
            </w:r>
            <w:r>
              <w:rPr>
                <w:rFonts w:hint="eastAsia" w:ascii="Arial" w:hAnsi="Arial" w:cs="Arial"/>
                <w:b/>
                <w:bCs/>
                <w:spacing w:val="0"/>
                <w:sz w:val="21"/>
                <w:szCs w:val="21"/>
                <w:lang w:val="en-US" w:eastAsia="zh-CN"/>
              </w:rPr>
              <w:t>饮用水源保护相关规范</w:t>
            </w:r>
            <w:r>
              <w:rPr>
                <w:rFonts w:hint="default" w:ascii="Arial" w:hAnsi="Arial" w:cs="Arial"/>
                <w:b/>
                <w:bCs/>
                <w:spacing w:val="0"/>
                <w:sz w:val="21"/>
                <w:szCs w:val="21"/>
              </w:rPr>
              <w:t>的符合性分析</w:t>
            </w:r>
          </w:p>
          <w:tbl>
            <w:tblPr>
              <w:tblStyle w:val="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9"/>
              <w:gridCol w:w="4615"/>
              <w:gridCol w:w="2169"/>
              <w:gridCol w:w="9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3163" w:type="pct"/>
                  <w:gridSpan w:val="2"/>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rFonts w:hint="eastAsia"/>
                      <w:b/>
                      <w:bCs/>
                      <w:spacing w:val="0"/>
                      <w:kern w:val="0"/>
                      <w:sz w:val="21"/>
                      <w:szCs w:val="21"/>
                      <w:lang w:val="en-US" w:eastAsia="zh-CN"/>
                    </w:rPr>
                    <w:t>规范名称及相关</w:t>
                  </w:r>
                  <w:r>
                    <w:rPr>
                      <w:b/>
                      <w:bCs/>
                      <w:spacing w:val="0"/>
                      <w:kern w:val="0"/>
                      <w:sz w:val="21"/>
                      <w:szCs w:val="21"/>
                    </w:rPr>
                    <w:t>要求</w:t>
                  </w:r>
                </w:p>
              </w:tc>
              <w:tc>
                <w:tcPr>
                  <w:tcW w:w="1279"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本项目情况</w:t>
                  </w:r>
                </w:p>
              </w:tc>
              <w:tc>
                <w:tcPr>
                  <w:tcW w:w="557"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b/>
                      <w:bCs/>
                      <w:spacing w:val="0"/>
                      <w:kern w:val="0"/>
                      <w:sz w:val="21"/>
                      <w:szCs w:val="21"/>
                      <w:lang w:val="en-US" w:eastAsia="zh-CN"/>
                    </w:rPr>
                  </w:pPr>
                  <w:r>
                    <w:rPr>
                      <w:rFonts w:hint="eastAsia"/>
                      <w:b/>
                      <w:bCs/>
                      <w:spacing w:val="0"/>
                      <w:kern w:val="0"/>
                      <w:sz w:val="21"/>
                      <w:szCs w:val="21"/>
                      <w:lang w:val="en-US" w:eastAsia="zh-CN"/>
                    </w:rPr>
                    <w:t>规范</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spacing w:val="0"/>
                      <w:kern w:val="0"/>
                      <w:sz w:val="21"/>
                      <w:szCs w:val="21"/>
                      <w:lang w:val="en-US" w:eastAsia="zh-CN"/>
                    </w:rPr>
                  </w:pPr>
                  <w:r>
                    <w:rPr>
                      <w:rFonts w:hint="eastAsia"/>
                      <w:b/>
                      <w:bCs/>
                      <w:spacing w:val="0"/>
                      <w:kern w:val="0"/>
                      <w:sz w:val="21"/>
                      <w:szCs w:val="21"/>
                      <w:lang w:val="en-US" w:eastAsia="zh-CN"/>
                    </w:rPr>
                    <w:t>名称</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b/>
                      <w:bCs/>
                      <w:spacing w:val="0"/>
                      <w:kern w:val="0"/>
                      <w:sz w:val="21"/>
                      <w:szCs w:val="21"/>
                    </w:rPr>
                    <w:t>主要内容</w:t>
                  </w:r>
                </w:p>
              </w:tc>
              <w:tc>
                <w:tcPr>
                  <w:tcW w:w="127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pacing w:val="0"/>
                      <w:kern w:val="0"/>
                      <w:sz w:val="21"/>
                      <w:szCs w:val="21"/>
                    </w:rPr>
                  </w:pPr>
                </w:p>
              </w:tc>
              <w:tc>
                <w:tcPr>
                  <w:tcW w:w="55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pacing w:val="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1"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kern w:val="0"/>
                      <w:sz w:val="21"/>
                      <w:szCs w:val="21"/>
                    </w:rPr>
                  </w:pPr>
                  <w:r>
                    <w:rPr>
                      <w:rFonts w:hint="eastAsia"/>
                      <w:b/>
                      <w:bCs/>
                      <w:spacing w:val="0"/>
                      <w:kern w:val="0"/>
                      <w:sz w:val="21"/>
                      <w:szCs w:val="21"/>
                    </w:rPr>
                    <w:t>《中华人民共和国水污染防治法》</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宋体" w:hAnsi="宋体" w:eastAsia="宋体" w:cs="宋体"/>
                      <w:i w:val="0"/>
                      <w:iCs w:val="0"/>
                      <w:caps w:val="0"/>
                      <w:color w:val="000000"/>
                      <w:spacing w:val="0"/>
                      <w:sz w:val="21"/>
                      <w:szCs w:val="21"/>
                      <w:shd w:val="clear" w:fill="FFFFFF"/>
                    </w:rPr>
                  </w:pPr>
                  <w:r>
                    <w:rPr>
                      <w:rStyle w:val="26"/>
                      <w:rFonts w:hint="eastAsia" w:ascii="宋体" w:hAnsi="宋体" w:eastAsia="宋体" w:cs="宋体"/>
                      <w:i w:val="0"/>
                      <w:iCs w:val="0"/>
                      <w:caps w:val="0"/>
                      <w:color w:val="000000"/>
                      <w:spacing w:val="0"/>
                      <w:sz w:val="21"/>
                      <w:szCs w:val="21"/>
                      <w:shd w:val="clear" w:fill="FFFFFF"/>
                    </w:rPr>
                    <w:t>第五十六条</w:t>
                  </w:r>
                  <w:r>
                    <w:rPr>
                      <w:rFonts w:hint="eastAsia" w:ascii="宋体" w:hAnsi="宋体" w:eastAsia="宋体" w:cs="宋体"/>
                      <w:i w:val="0"/>
                      <w:iCs w:val="0"/>
                      <w:caps w:val="0"/>
                      <w:color w:val="000000"/>
                      <w:spacing w:val="0"/>
                      <w:sz w:val="21"/>
                      <w:szCs w:val="21"/>
                      <w:shd w:val="clear" w:fill="FFFFFF"/>
                    </w:rPr>
                    <w:t>国家建立饮用水水源保护区制度。饮用水水源保护区分为一级保护区和二级保护区；必要时，可以在饮用水水源保护区外围划定一定的区域作为准保护区。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rStyle w:val="26"/>
                      <w:rFonts w:hint="eastAsia" w:ascii="宋体" w:hAnsi="宋体" w:eastAsia="宋体" w:cs="宋体"/>
                      <w:i w:val="0"/>
                      <w:iCs w:val="0"/>
                      <w:caps w:val="0"/>
                      <w:color w:val="000000"/>
                      <w:spacing w:val="0"/>
                      <w:sz w:val="21"/>
                      <w:szCs w:val="21"/>
                      <w:shd w:val="clear" w:fill="FFFFFF"/>
                    </w:rPr>
                    <w:t>第五十七条</w:t>
                  </w:r>
                  <w:r>
                    <w:rPr>
                      <w:rFonts w:hint="eastAsia" w:ascii="宋体" w:hAnsi="宋体" w:eastAsia="宋体" w:cs="宋体"/>
                      <w:i w:val="0"/>
                      <w:iCs w:val="0"/>
                      <w:caps w:val="0"/>
                      <w:color w:val="000000"/>
                      <w:spacing w:val="0"/>
                      <w:sz w:val="21"/>
                      <w:szCs w:val="21"/>
                      <w:shd w:val="clear" w:fill="FFFFFF"/>
                    </w:rPr>
                    <w:t>在饮用水水源保护区内，禁止设置排污口。</w:t>
                  </w:r>
                  <w:r>
                    <w:rPr>
                      <w:rFonts w:hint="eastAsia" w:ascii="宋体" w:hAnsi="宋体" w:eastAsia="宋体" w:cs="宋体"/>
                      <w:i w:val="0"/>
                      <w:iCs w:val="0"/>
                      <w:caps w:val="0"/>
                      <w:color w:val="000000"/>
                      <w:spacing w:val="0"/>
                      <w:sz w:val="21"/>
                      <w:szCs w:val="21"/>
                      <w:shd w:val="clear" w:fill="FFFFFF"/>
                    </w:rPr>
                    <w:br w:type="textWrapping"/>
                  </w:r>
                  <w:r>
                    <w:rPr>
                      <w:rStyle w:val="26"/>
                      <w:rFonts w:hint="eastAsia" w:ascii="宋体" w:hAnsi="宋体" w:eastAsia="宋体" w:cs="宋体"/>
                      <w:i w:val="0"/>
                      <w:iCs w:val="0"/>
                      <w:caps w:val="0"/>
                      <w:color w:val="000000"/>
                      <w:spacing w:val="0"/>
                      <w:sz w:val="21"/>
                      <w:szCs w:val="21"/>
                      <w:shd w:val="clear" w:fill="FFFFFF"/>
                    </w:rPr>
                    <w:t>第五十八条</w:t>
                  </w:r>
                  <w:r>
                    <w:rPr>
                      <w:rFonts w:hint="eastAsia" w:ascii="宋体" w:hAnsi="宋体" w:eastAsia="宋体" w:cs="宋体"/>
                      <w:i w:val="0"/>
                      <w:iCs w:val="0"/>
                      <w:caps w:val="0"/>
                      <w:color w:val="000000"/>
                      <w:spacing w:val="0"/>
                      <w:sz w:val="21"/>
                      <w:szCs w:val="21"/>
                      <w:shd w:val="clear" w:fill="FFFFFF"/>
                    </w:rPr>
                    <w:t>禁止在饮用水水源一级保护区内新建、改建、扩建与供水设施和保护水源无关的建设项目；已建成的与供水设施和保护水源无关的建设项目，由县级以上人民政府责令拆除或者关闭。</w:t>
                  </w:r>
                  <w:r>
                    <w:rPr>
                      <w:rFonts w:hint="eastAsia" w:ascii="宋体" w:hAnsi="宋体" w:eastAsia="宋体" w:cs="宋体"/>
                      <w:i w:val="0"/>
                      <w:iCs w:val="0"/>
                      <w:caps w:val="0"/>
                      <w:color w:val="000000"/>
                      <w:spacing w:val="0"/>
                      <w:sz w:val="21"/>
                      <w:szCs w:val="21"/>
                      <w:shd w:val="clear" w:fill="FFFFFF"/>
                    </w:rPr>
                    <w:br w:type="textWrapping"/>
                  </w:r>
                  <w:r>
                    <w:rPr>
                      <w:rFonts w:hint="eastAsia" w:ascii="宋体" w:hAnsi="宋体" w:eastAsia="宋体" w:cs="宋体"/>
                      <w:i w:val="0"/>
                      <w:iCs w:val="0"/>
                      <w:caps w:val="0"/>
                      <w:color w:val="000000"/>
                      <w:spacing w:val="0"/>
                      <w:sz w:val="21"/>
                      <w:szCs w:val="21"/>
                      <w:shd w:val="clear" w:fill="FFFFFF"/>
                    </w:rPr>
                    <w:t>禁止在饮用水水源一级保护区内从事网箱养殖、旅游、游泳、垂钓或者其他可能污染饮用水水体的活动。</w:t>
                  </w:r>
                  <w:r>
                    <w:rPr>
                      <w:rFonts w:hint="eastAsia" w:ascii="宋体" w:hAnsi="宋体" w:eastAsia="宋体" w:cs="宋体"/>
                      <w:i w:val="0"/>
                      <w:iCs w:val="0"/>
                      <w:caps w:val="0"/>
                      <w:color w:val="000000"/>
                      <w:spacing w:val="0"/>
                      <w:sz w:val="21"/>
                      <w:szCs w:val="21"/>
                      <w:shd w:val="clear" w:fill="FFFFFF"/>
                    </w:rPr>
                    <w:br w:type="textWrapping"/>
                  </w:r>
                  <w:r>
                    <w:rPr>
                      <w:rStyle w:val="26"/>
                      <w:rFonts w:hint="eastAsia" w:ascii="宋体" w:hAnsi="宋体" w:eastAsia="宋体" w:cs="宋体"/>
                      <w:i w:val="0"/>
                      <w:iCs w:val="0"/>
                      <w:caps w:val="0"/>
                      <w:color w:val="000000"/>
                      <w:spacing w:val="0"/>
                      <w:sz w:val="21"/>
                      <w:szCs w:val="21"/>
                      <w:shd w:val="clear" w:fill="FFFFFF"/>
                    </w:rPr>
                    <w:t>第五十九条</w:t>
                  </w:r>
                  <w:r>
                    <w:rPr>
                      <w:rFonts w:hint="eastAsia" w:ascii="宋体" w:hAnsi="宋体" w:eastAsia="宋体" w:cs="宋体"/>
                      <w:i w:val="0"/>
                      <w:iCs w:val="0"/>
                      <w:caps w:val="0"/>
                      <w:color w:val="000000"/>
                      <w:spacing w:val="0"/>
                      <w:sz w:val="21"/>
                      <w:szCs w:val="21"/>
                      <w:shd w:val="clear" w:fill="FFFFFF"/>
                    </w:rPr>
                    <w:t>禁止在饮用水水源二级保护区内新建、改建、扩建排放污染物的建设项目；已建成的排放污染物的建设项目，由县级以上人民政府责令拆除或者关闭。</w:t>
                  </w:r>
                  <w:r>
                    <w:rPr>
                      <w:rFonts w:hint="eastAsia" w:ascii="宋体" w:hAnsi="宋体" w:eastAsia="宋体" w:cs="宋体"/>
                      <w:i w:val="0"/>
                      <w:iCs w:val="0"/>
                      <w:caps w:val="0"/>
                      <w:color w:val="000000"/>
                      <w:spacing w:val="0"/>
                      <w:sz w:val="21"/>
                      <w:szCs w:val="21"/>
                      <w:shd w:val="clear" w:fill="FFFFFF"/>
                    </w:rPr>
                    <w:br w:type="textWrapping"/>
                  </w:r>
                  <w:r>
                    <w:rPr>
                      <w:rFonts w:hint="eastAsia" w:ascii="宋体" w:hAnsi="宋体" w:eastAsia="宋体" w:cs="宋体"/>
                      <w:i w:val="0"/>
                      <w:iCs w:val="0"/>
                      <w:caps w:val="0"/>
                      <w:color w:val="000000"/>
                      <w:spacing w:val="0"/>
                      <w:sz w:val="21"/>
                      <w:szCs w:val="21"/>
                      <w:shd w:val="clear" w:fill="FFFFFF"/>
                    </w:rPr>
                    <w:t>在饮用水水源二级保护区内从事网箱养殖、旅游等活动的，应当按照规定采取措施，防止污染饮用水水体。</w:t>
                  </w:r>
                  <w:r>
                    <w:rPr>
                      <w:rFonts w:hint="eastAsia" w:ascii="宋体" w:hAnsi="宋体" w:eastAsia="宋体" w:cs="宋体"/>
                      <w:i w:val="0"/>
                      <w:iCs w:val="0"/>
                      <w:caps w:val="0"/>
                      <w:color w:val="000000"/>
                      <w:spacing w:val="0"/>
                      <w:sz w:val="21"/>
                      <w:szCs w:val="21"/>
                      <w:shd w:val="clear" w:fill="FFFFFF"/>
                    </w:rPr>
                    <w:br w:type="textWrapping"/>
                  </w:r>
                  <w:r>
                    <w:rPr>
                      <w:rStyle w:val="26"/>
                      <w:rFonts w:hint="eastAsia" w:ascii="宋体" w:hAnsi="宋体" w:eastAsia="宋体" w:cs="宋体"/>
                      <w:i w:val="0"/>
                      <w:iCs w:val="0"/>
                      <w:caps w:val="0"/>
                      <w:color w:val="000000"/>
                      <w:spacing w:val="0"/>
                      <w:sz w:val="21"/>
                      <w:szCs w:val="21"/>
                      <w:shd w:val="clear" w:fill="FFFFFF"/>
                    </w:rPr>
                    <w:t>第六十条</w:t>
                  </w:r>
                  <w:r>
                    <w:rPr>
                      <w:rFonts w:hint="eastAsia" w:ascii="宋体" w:hAnsi="宋体" w:eastAsia="宋体" w:cs="宋体"/>
                      <w:i w:val="0"/>
                      <w:iCs w:val="0"/>
                      <w:caps w:val="0"/>
                      <w:color w:val="000000"/>
                      <w:spacing w:val="0"/>
                      <w:sz w:val="21"/>
                      <w:szCs w:val="21"/>
                      <w:shd w:val="clear" w:fill="FFFFFF"/>
                    </w:rPr>
                    <w:t>禁止在饮用水水源准保护区内新建、扩建对水体污染严重的建设项目；改建建设项目，不得增加排污量。</w:t>
                  </w:r>
                </w:p>
              </w:tc>
              <w:tc>
                <w:tcPr>
                  <w:tcW w:w="127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rFonts w:hint="eastAsia"/>
                      <w:spacing w:val="0"/>
                      <w:kern w:val="0"/>
                      <w:sz w:val="21"/>
                      <w:szCs w:val="21"/>
                      <w:lang w:val="en-US" w:eastAsia="zh-CN"/>
                    </w:rPr>
                    <w:t>项目建成后应及时进行饮用水源保护区的划定，并按照</w:t>
                  </w:r>
                  <w:r>
                    <w:rPr>
                      <w:rFonts w:hint="eastAsia"/>
                      <w:spacing w:val="0"/>
                      <w:kern w:val="0"/>
                      <w:sz w:val="21"/>
                      <w:szCs w:val="21"/>
                    </w:rPr>
                    <w:t>《中华人民共和国水污染防治法》</w:t>
                  </w:r>
                  <w:r>
                    <w:rPr>
                      <w:rFonts w:hint="eastAsia"/>
                      <w:spacing w:val="0"/>
                      <w:kern w:val="0"/>
                      <w:sz w:val="21"/>
                      <w:szCs w:val="21"/>
                      <w:lang w:val="en-US" w:eastAsia="zh-CN"/>
                    </w:rPr>
                    <w:t>的要求落实上述禁止活动</w:t>
                  </w:r>
                  <w:r>
                    <w:rPr>
                      <w:spacing w:val="0"/>
                      <w:kern w:val="0"/>
                      <w:sz w:val="21"/>
                      <w:szCs w:val="21"/>
                    </w:rPr>
                    <w:t>。</w:t>
                  </w:r>
                </w:p>
              </w:tc>
              <w:tc>
                <w:tcPr>
                  <w:tcW w:w="5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spacing w:val="0"/>
                      <w:kern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9"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rFonts w:hint="eastAsia"/>
                      <w:b/>
                      <w:bCs/>
                      <w:spacing w:val="0"/>
                      <w:kern w:val="0"/>
                      <w:sz w:val="21"/>
                      <w:szCs w:val="21"/>
                    </w:rPr>
                    <w:t>《四川省饮用水水源保护管理条例</w:t>
                  </w:r>
                  <w:r>
                    <w:rPr>
                      <w:rFonts w:hint="eastAsia"/>
                      <w:spacing w:val="0"/>
                      <w:kern w:val="0"/>
                      <w:sz w:val="21"/>
                      <w:szCs w:val="21"/>
                    </w:rPr>
                    <w:t>》</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b/>
                      <w:bCs/>
                      <w:spacing w:val="0"/>
                      <w:kern w:val="0"/>
                      <w:sz w:val="21"/>
                      <w:szCs w:val="21"/>
                    </w:rPr>
                    <w:t>第九条</w:t>
                  </w:r>
                  <w:r>
                    <w:rPr>
                      <w:rFonts w:hint="eastAsia"/>
                      <w:spacing w:val="0"/>
                      <w:kern w:val="0"/>
                      <w:sz w:val="21"/>
                      <w:szCs w:val="21"/>
                    </w:rPr>
                    <w:t>县级以上地方人民政府应当划定饮用水水源保护区，有效保护饮用水水源</w:t>
                  </w:r>
                  <w:r>
                    <w:rPr>
                      <w:rFonts w:hint="eastAsia"/>
                      <w:spacing w:val="0"/>
                      <w:kern w:val="0"/>
                      <w:sz w:val="21"/>
                      <w:szCs w:val="21"/>
                      <w:lang w:eastAsia="zh-CN"/>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b/>
                      <w:bCs/>
                      <w:spacing w:val="0"/>
                      <w:kern w:val="0"/>
                      <w:sz w:val="21"/>
                      <w:szCs w:val="21"/>
                      <w:lang w:eastAsia="zh-CN"/>
                    </w:rPr>
                    <w:t>第十六条</w:t>
                  </w:r>
                  <w:r>
                    <w:rPr>
                      <w:rFonts w:hint="eastAsia"/>
                      <w:spacing w:val="0"/>
                      <w:kern w:val="0"/>
                      <w:sz w:val="21"/>
                      <w:szCs w:val="21"/>
                      <w:lang w:eastAsia="zh-CN"/>
                    </w:rPr>
                    <w:t xml:space="preserve"> 在地表水饮用水水源保护区内，禁止设置排污口。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b/>
                      <w:bCs/>
                      <w:spacing w:val="0"/>
                      <w:kern w:val="0"/>
                      <w:sz w:val="21"/>
                      <w:szCs w:val="21"/>
                      <w:lang w:eastAsia="zh-CN"/>
                    </w:rPr>
                    <w:t>第十七条</w:t>
                  </w:r>
                  <w:r>
                    <w:rPr>
                      <w:rFonts w:hint="eastAsia"/>
                      <w:spacing w:val="0"/>
                      <w:kern w:val="0"/>
                      <w:sz w:val="21"/>
                      <w:szCs w:val="21"/>
                      <w:lang w:eastAsia="zh-CN"/>
                    </w:rPr>
                    <w:t xml:space="preserve"> 地表水饮用水水源准保护区内，应当遵守下列规定：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（一）禁止新建、扩建对水体污染严重的建设项目；改建建设项目，不得增加排污量；</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（二）禁止向水体排放油类、酸液、碱液或者有毒废液；</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（三）禁止在水体清洗装贮过油类或者有毒污染物的车辆和容器；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（四）禁止向水体排放、倾倒废水、含病原体的污水、放射性固体废物；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（五）禁止向水体排放、倾倒工业废渣、城镇垃圾和医疗垃圾等其他废弃物；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（六）禁止将含有汞、镉、砷、铬、铅、氰化物、黄磷等的可溶性剧毒废渣向水体排放、倾倒或者直接埋入地下；</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（七）禁止船舶向水体倾倒垃圾或者排放含油污水、生活污水；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（八）禁止设置易溶性、有毒有害废弃物和危险废物的暂存和转运场所；禁止设置生活垃圾和工业固体废物的处置场所，生活垃圾转运站和工业固体废物暂存场所应当设置防护设施；</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（十）禁止进行可能严重影响饮用水水源水质的矿产勘查、开采等活动；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（十一）禁止非更新性、非抚育性采伐和破坏饮用水水源涵养林、护岸林和其他植被。</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第十八条 地表水饮用水水源二级保护区内，除遵守本条例第十七条规定外，还应当遵守下列规定：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（一）禁止新建、改建、扩建排放污染物的建设项目；已建成的排放污染物的建设项目，由县级以上地方人民政府责令拆除或者关闭；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（二）禁止从事经营性取土和采石（砂）等活动；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（三）禁止围水造田；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（四）禁止使用农药；禁止丢弃农药、农药包装物或者清洗施药器械；限制使用化肥；</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（五）禁止修建墓地；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（六）禁止丢弃及掩埋动物尸体；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（七）禁止从事网箱养殖、施肥养鱼和超标准养殖等污染饮用水水体的活动；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（八）从事旅游等活动的，应当按照规定采取措施，防止污染饮用水水体；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（九）道路、桥梁、码头及其他可能威胁饮用水水源安全的设施或者装置，应当设置独立的污染物收集、排放和处理系统及隔离设施。</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b/>
                      <w:bCs/>
                      <w:spacing w:val="0"/>
                      <w:kern w:val="0"/>
                      <w:sz w:val="21"/>
                      <w:szCs w:val="21"/>
                      <w:lang w:eastAsia="zh-CN"/>
                    </w:rPr>
                    <w:t>第十九条</w:t>
                  </w:r>
                  <w:r>
                    <w:rPr>
                      <w:rFonts w:hint="eastAsia"/>
                      <w:spacing w:val="0"/>
                      <w:kern w:val="0"/>
                      <w:sz w:val="21"/>
                      <w:szCs w:val="21"/>
                      <w:lang w:eastAsia="zh-CN"/>
                    </w:rPr>
                    <w:t xml:space="preserve"> 地表水饮用水水源一级保护区内，除遵守本条例第十七条和第十八条规定外，还应当遵守下列规定：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（一）禁止新建、改建、扩建与供水设施和保护水源无关的建设项目；已建成的与供水设施和保护水源无关的建设项目，由县级以上地方人民政府责令拆除或者关闭；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（二）禁止使用化肥；</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（三）禁止设置畜禽养殖场；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（四）禁止与保护水源无关的船舶停靠、装卸；</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（五）禁止在水体清洗机动车辆；</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lang w:eastAsia="zh-CN"/>
                    </w:rPr>
                  </w:pPr>
                  <w:r>
                    <w:rPr>
                      <w:rFonts w:hint="eastAsia"/>
                      <w:spacing w:val="0"/>
                      <w:kern w:val="0"/>
                      <w:sz w:val="21"/>
                      <w:szCs w:val="21"/>
                      <w:lang w:eastAsia="zh-CN"/>
                    </w:rPr>
                    <w:t>（六）禁止从事旅游、游泳、垂钓或者其他污染饮用水水体的活动</w:t>
                  </w:r>
                </w:p>
              </w:tc>
              <w:tc>
                <w:tcPr>
                  <w:tcW w:w="127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rFonts w:hint="eastAsia"/>
                      <w:spacing w:val="0"/>
                      <w:kern w:val="0"/>
                      <w:sz w:val="21"/>
                      <w:szCs w:val="21"/>
                      <w:lang w:val="en-US" w:eastAsia="zh-CN"/>
                    </w:rPr>
                    <w:t>项目建成后应及时进行饮用水源保护区的划定，并按照</w:t>
                  </w:r>
                  <w:r>
                    <w:rPr>
                      <w:rFonts w:hint="eastAsia"/>
                      <w:spacing w:val="0"/>
                      <w:kern w:val="0"/>
                      <w:sz w:val="21"/>
                      <w:szCs w:val="21"/>
                    </w:rPr>
                    <w:t>《四川省饮用水水源保护管理条例》</w:t>
                  </w:r>
                  <w:r>
                    <w:rPr>
                      <w:rFonts w:hint="eastAsia"/>
                      <w:spacing w:val="0"/>
                      <w:kern w:val="0"/>
                      <w:sz w:val="21"/>
                      <w:szCs w:val="21"/>
                      <w:lang w:val="en-US" w:eastAsia="zh-CN"/>
                    </w:rPr>
                    <w:t>的要求落实上述禁止活动</w:t>
                  </w:r>
                  <w:r>
                    <w:rPr>
                      <w:spacing w:val="0"/>
                      <w:kern w:val="0"/>
                      <w:sz w:val="21"/>
                      <w:szCs w:val="21"/>
                    </w:rPr>
                    <w:t>。</w:t>
                  </w:r>
                </w:p>
              </w:tc>
              <w:tc>
                <w:tcPr>
                  <w:tcW w:w="5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spacing w:val="0"/>
                      <w:kern w:val="0"/>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9" w:hRule="atLeast"/>
                <w:jc w:val="center"/>
              </w:trPr>
              <w:tc>
                <w:tcPr>
                  <w:tcW w:w="44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b/>
                      <w:bCs/>
                      <w:spacing w:val="0"/>
                      <w:kern w:val="0"/>
                      <w:sz w:val="21"/>
                      <w:szCs w:val="21"/>
                    </w:rPr>
                    <w:t>《广元市饮用水水源保护管理条例</w:t>
                  </w:r>
                  <w:r>
                    <w:rPr>
                      <w:rFonts w:hint="eastAsia"/>
                      <w:spacing w:val="0"/>
                      <w:kern w:val="0"/>
                      <w:sz w:val="21"/>
                      <w:szCs w:val="21"/>
                    </w:rPr>
                    <w:t>》</w:t>
                  </w:r>
                </w:p>
              </w:tc>
              <w:tc>
                <w:tcPr>
                  <w:tcW w:w="272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b/>
                      <w:bCs/>
                      <w:spacing w:val="0"/>
                      <w:kern w:val="0"/>
                      <w:sz w:val="21"/>
                      <w:szCs w:val="21"/>
                    </w:rPr>
                    <w:t>第十八条</w:t>
                  </w:r>
                  <w:r>
                    <w:rPr>
                      <w:rFonts w:hint="eastAsia"/>
                      <w:spacing w:val="0"/>
                      <w:kern w:val="0"/>
                      <w:sz w:val="21"/>
                      <w:szCs w:val="21"/>
                    </w:rPr>
                    <w:t xml:space="preserve"> 在饮用水水源保护区内，禁止设置排污口。</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b/>
                      <w:bCs/>
                      <w:spacing w:val="0"/>
                      <w:kern w:val="0"/>
                      <w:sz w:val="21"/>
                      <w:szCs w:val="21"/>
                    </w:rPr>
                    <w:t>第十九条</w:t>
                  </w:r>
                  <w:r>
                    <w:rPr>
                      <w:rFonts w:hint="eastAsia"/>
                      <w:spacing w:val="0"/>
                      <w:kern w:val="0"/>
                      <w:sz w:val="21"/>
                      <w:szCs w:val="21"/>
                    </w:rPr>
                    <w:t xml:space="preserve"> 地表水饮用水水源准保护区内，应当遵守下列规定: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（一）禁止新建和扩建对水体污染严重的建设项目，改建建设项目不得增加排污量；</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（二）禁止破坏湿地、毁林开荒以及非更新性、非抚育性砍伐和破坏饮用水水源涵养林、护岸林和其他植被；</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（三）禁止使用动植物、畜禽粪便等窝料诱饵进行垂钓活动；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（四）禁止使用炸药、毒药、电具等捕杀各种水生动物；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（五）禁止使用农药；</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（六）禁止丢弃农药、农药包装物或者清洗施药器械；</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（七）禁止建设规模化畜禽养殖场（小区）；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（八）法律、法规禁止的其他行为。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b/>
                      <w:bCs/>
                      <w:spacing w:val="0"/>
                      <w:kern w:val="0"/>
                      <w:sz w:val="21"/>
                      <w:szCs w:val="21"/>
                    </w:rPr>
                    <w:t>第二十条</w:t>
                  </w:r>
                  <w:r>
                    <w:rPr>
                      <w:rFonts w:hint="eastAsia"/>
                      <w:spacing w:val="0"/>
                      <w:kern w:val="0"/>
                      <w:sz w:val="21"/>
                      <w:szCs w:val="21"/>
                    </w:rPr>
                    <w:t xml:space="preserve"> 地表水饮用水水源二级保护区内，除遵守本条例第十九条规定外，还应当遵守下列规定: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（一）禁止新建、改建、扩建排放污染物的建设项目，已建成的排放污染物的建设项目由市、县区人民政府责令拆除或者关闭；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（二）禁止设立装卸垃圾、粪便、油类和有毒物品的码头；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（三）法律、法规禁止的其他行为。</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b/>
                      <w:bCs/>
                      <w:spacing w:val="0"/>
                      <w:kern w:val="0"/>
                      <w:sz w:val="21"/>
                      <w:szCs w:val="21"/>
                    </w:rPr>
                    <w:t>第二十一条</w:t>
                  </w:r>
                  <w:r>
                    <w:rPr>
                      <w:rFonts w:hint="eastAsia"/>
                      <w:spacing w:val="0"/>
                      <w:kern w:val="0"/>
                      <w:sz w:val="21"/>
                      <w:szCs w:val="21"/>
                    </w:rPr>
                    <w:t xml:space="preserve"> 地表水饮用水水源一级保护区内，除遵守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本条例第十九条和第二十条规定外，还应当遵守下列规定:</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（一）禁止新建、改建、扩建与供水设施和保护水源无关的建设项目，已建成的与供水设施和保护水源无关的建设项目由市、县区人民政府责令拆除或者关闭；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（二）禁止爆破；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（三）禁止焚烧垃圾和秸秆；</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（四）禁止畜禽养殖；</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spacing w:val="0"/>
                      <w:kern w:val="0"/>
                      <w:sz w:val="21"/>
                      <w:szCs w:val="21"/>
                    </w:rPr>
                  </w:pPr>
                  <w:r>
                    <w:rPr>
                      <w:rFonts w:hint="eastAsia"/>
                      <w:spacing w:val="0"/>
                      <w:kern w:val="0"/>
                      <w:sz w:val="21"/>
                      <w:szCs w:val="21"/>
                    </w:rPr>
                    <w:t>（五）禁止从事旅游、餐饮、野炊、露营、游泳、垂钓、洗涤或者其他污染饮用水水体的活动；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kern w:val="0"/>
                      <w:sz w:val="21"/>
                      <w:szCs w:val="21"/>
                    </w:rPr>
                  </w:pPr>
                  <w:r>
                    <w:rPr>
                      <w:rFonts w:hint="eastAsia"/>
                      <w:spacing w:val="0"/>
                      <w:kern w:val="0"/>
                      <w:sz w:val="21"/>
                      <w:szCs w:val="21"/>
                    </w:rPr>
                    <w:t>（六）法律、法规禁止的其他行为。</w:t>
                  </w:r>
                </w:p>
              </w:tc>
              <w:tc>
                <w:tcPr>
                  <w:tcW w:w="127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kern w:val="0"/>
                      <w:sz w:val="21"/>
                      <w:szCs w:val="21"/>
                    </w:rPr>
                  </w:pPr>
                  <w:r>
                    <w:rPr>
                      <w:rFonts w:hint="eastAsia"/>
                      <w:color w:val="0000FF"/>
                      <w:spacing w:val="0"/>
                      <w:kern w:val="0"/>
                      <w:sz w:val="21"/>
                      <w:szCs w:val="21"/>
                      <w:lang w:val="en-US" w:eastAsia="zh-CN"/>
                    </w:rPr>
                    <w:t>项目建成后应及时进行饮用水源保护区的划定，并按照</w:t>
                  </w:r>
                  <w:r>
                    <w:rPr>
                      <w:rFonts w:hint="eastAsia"/>
                      <w:color w:val="0000FF"/>
                      <w:spacing w:val="0"/>
                      <w:kern w:val="0"/>
                      <w:sz w:val="21"/>
                      <w:szCs w:val="21"/>
                    </w:rPr>
                    <w:t>《广元市饮用水水源保护管理条例》</w:t>
                  </w:r>
                  <w:r>
                    <w:rPr>
                      <w:rFonts w:hint="eastAsia"/>
                      <w:color w:val="0000FF"/>
                      <w:spacing w:val="0"/>
                      <w:kern w:val="0"/>
                      <w:sz w:val="21"/>
                      <w:szCs w:val="21"/>
                      <w:lang w:val="en-US" w:eastAsia="zh-CN"/>
                    </w:rPr>
                    <w:t>的要求落实上述禁止活动</w:t>
                  </w:r>
                  <w:r>
                    <w:rPr>
                      <w:color w:val="0000FF"/>
                      <w:spacing w:val="0"/>
                      <w:kern w:val="0"/>
                      <w:sz w:val="21"/>
                      <w:szCs w:val="21"/>
                    </w:rPr>
                    <w:t>。</w:t>
                  </w:r>
                </w:p>
              </w:tc>
              <w:tc>
                <w:tcPr>
                  <w:tcW w:w="5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spacing w:val="0"/>
                      <w:kern w:val="0"/>
                      <w:sz w:val="21"/>
                      <w:szCs w:val="21"/>
                      <w:lang w:val="en-US" w:eastAsia="zh-CN"/>
                    </w:rPr>
                  </w:pPr>
                  <w:r>
                    <w:rPr>
                      <w:rFonts w:hint="eastAsia"/>
                      <w:spacing w:val="0"/>
                      <w:kern w:val="0"/>
                      <w:sz w:val="21"/>
                      <w:szCs w:val="21"/>
                      <w:lang w:val="en-US" w:eastAsia="zh-CN"/>
                    </w:rPr>
                    <w:t>符合</w:t>
                  </w:r>
                </w:p>
              </w:tc>
            </w:tr>
          </w:tbl>
          <w:p>
            <w:pPr>
              <w:pStyle w:val="29"/>
              <w:adjustRightInd/>
              <w:spacing w:line="360" w:lineRule="auto"/>
              <w:rPr>
                <w:rFonts w:hint="eastAsia"/>
                <w:b/>
                <w:bCs/>
                <w:spacing w:val="7"/>
                <w:sz w:val="20"/>
                <w:szCs w:val="20"/>
                <w:lang w:eastAsia="zh-CN"/>
              </w:rPr>
            </w:pPr>
          </w:p>
          <w:p>
            <w:pPr>
              <w:pStyle w:val="29"/>
              <w:adjustRightInd/>
              <w:spacing w:line="360" w:lineRule="auto"/>
              <w:rPr>
                <w:rFonts w:hAnsi="宋体"/>
              </w:rPr>
            </w:pPr>
          </w:p>
          <w:p>
            <w:pPr>
              <w:pStyle w:val="29"/>
              <w:adjustRightInd/>
              <w:spacing w:line="360" w:lineRule="auto"/>
              <w:rPr>
                <w:rFonts w:hAnsi="宋体"/>
              </w:rPr>
            </w:pPr>
          </w:p>
          <w:p>
            <w:pPr>
              <w:pStyle w:val="29"/>
              <w:adjustRightInd/>
              <w:spacing w:line="360" w:lineRule="auto"/>
              <w:rPr>
                <w:rFonts w:hAnsi="宋体"/>
              </w:rPr>
            </w:pPr>
          </w:p>
          <w:p>
            <w:pPr>
              <w:pStyle w:val="29"/>
              <w:adjustRightInd/>
              <w:spacing w:line="360" w:lineRule="auto"/>
              <w:rPr>
                <w:rFonts w:hAnsi="宋体"/>
              </w:rPr>
            </w:pPr>
          </w:p>
        </w:tc>
      </w:tr>
    </w:tbl>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23"/>
        <w:tblW w:w="95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56"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地理位置</w:t>
            </w:r>
          </w:p>
        </w:tc>
        <w:tc>
          <w:tcPr>
            <w:tcW w:w="9079" w:type="dxa"/>
            <w:vAlign w:val="center"/>
          </w:tcPr>
          <w:p>
            <w:pPr>
              <w:pStyle w:val="75"/>
              <w:keepNext w:val="0"/>
              <w:keepLines w:val="0"/>
              <w:pageBreakBefore w:val="0"/>
              <w:widowControl w:val="0"/>
              <w:kinsoku/>
              <w:wordWrap/>
              <w:overflowPunct/>
              <w:topLinePunct w:val="0"/>
              <w:autoSpaceDE/>
              <w:autoSpaceDN/>
              <w:bidi w:val="0"/>
              <w:spacing w:line="360" w:lineRule="auto"/>
              <w:ind w:left="0" w:right="0" w:firstLine="0"/>
              <w:jc w:val="left"/>
              <w:textAlignment w:val="auto"/>
              <w:rPr>
                <w:color w:val="auto"/>
                <w:spacing w:val="0"/>
                <w:sz w:val="24"/>
                <w:szCs w:val="24"/>
                <w:highlight w:val="none"/>
              </w:rPr>
            </w:pPr>
            <w:r>
              <w:rPr>
                <w:b/>
                <w:bCs/>
                <w:color w:val="auto"/>
                <w:spacing w:val="0"/>
                <w:sz w:val="24"/>
                <w:szCs w:val="24"/>
                <w:highlight w:val="none"/>
              </w:rPr>
              <w:t>行政区域：</w:t>
            </w:r>
            <w:r>
              <w:rPr>
                <w:color w:val="auto"/>
                <w:spacing w:val="0"/>
                <w:sz w:val="24"/>
                <w:szCs w:val="24"/>
                <w:highlight w:val="none"/>
              </w:rPr>
              <w:t>四川省广元市旺苍县</w:t>
            </w:r>
            <w:r>
              <w:rPr>
                <w:rFonts w:hint="eastAsia"/>
                <w:color w:val="auto"/>
                <w:spacing w:val="0"/>
                <w:sz w:val="24"/>
                <w:szCs w:val="24"/>
                <w:highlight w:val="none"/>
              </w:rPr>
              <w:t>东河镇南风村、凤阳村</w:t>
            </w:r>
            <w:r>
              <w:rPr>
                <w:rFonts w:hint="eastAsia"/>
                <w:color w:val="auto"/>
                <w:spacing w:val="0"/>
                <w:sz w:val="24"/>
                <w:szCs w:val="24"/>
                <w:highlight w:val="none"/>
                <w:lang w:eastAsia="zh-CN"/>
              </w:rPr>
              <w:t>，</w:t>
            </w:r>
            <w:r>
              <w:rPr>
                <w:color w:val="auto"/>
                <w:spacing w:val="0"/>
                <w:sz w:val="24"/>
                <w:szCs w:val="24"/>
                <w:highlight w:val="none"/>
              </w:rPr>
              <w:t>工程中心地理坐标</w:t>
            </w:r>
            <w:r>
              <w:rPr>
                <w:rFonts w:hint="eastAsia"/>
                <w:color w:val="auto"/>
                <w:spacing w:val="0"/>
                <w:sz w:val="24"/>
                <w:szCs w:val="24"/>
                <w:highlight w:val="none"/>
                <w:lang w:eastAsia="zh-CN"/>
              </w:rPr>
              <w:t>（</w:t>
            </w:r>
            <w:r>
              <w:rPr>
                <w:rFonts w:hint="eastAsia"/>
                <w:color w:val="auto"/>
                <w:spacing w:val="0"/>
                <w:sz w:val="24"/>
                <w:szCs w:val="24"/>
                <w:highlight w:val="none"/>
                <w:lang w:val="en-US" w:eastAsia="zh-CN"/>
              </w:rPr>
              <w:t>坝区</w:t>
            </w:r>
            <w:r>
              <w:rPr>
                <w:rFonts w:hint="eastAsia"/>
                <w:color w:val="auto"/>
                <w:spacing w:val="0"/>
                <w:sz w:val="24"/>
                <w:szCs w:val="24"/>
                <w:highlight w:val="none"/>
                <w:lang w:eastAsia="zh-CN"/>
              </w:rPr>
              <w:t>）</w:t>
            </w:r>
            <w:r>
              <w:rPr>
                <w:color w:val="auto"/>
                <w:spacing w:val="0"/>
                <w:sz w:val="24"/>
                <w:szCs w:val="24"/>
                <w:highlight w:val="none"/>
              </w:rPr>
              <w:t>为东经</w:t>
            </w:r>
            <w:r>
              <w:rPr>
                <w:rFonts w:ascii="Times New Roman" w:hAnsi="Times New Roman" w:eastAsia="Times New Roman" w:cs="Times New Roman"/>
                <w:color w:val="auto"/>
                <w:spacing w:val="0"/>
                <w:sz w:val="24"/>
                <w:szCs w:val="24"/>
                <w:highlight w:val="none"/>
              </w:rPr>
              <w:t>106°</w:t>
            </w:r>
            <w:r>
              <w:rPr>
                <w:rFonts w:hint="eastAsia" w:ascii="Times New Roman" w:hAnsi="Times New Roman" w:cs="Times New Roman"/>
                <w:color w:val="auto"/>
                <w:spacing w:val="0"/>
                <w:sz w:val="24"/>
                <w:szCs w:val="24"/>
                <w:highlight w:val="none"/>
                <w:lang w:val="en-US" w:eastAsia="zh-CN"/>
              </w:rPr>
              <w:t>17</w:t>
            </w:r>
            <w:r>
              <w:rPr>
                <w:rFonts w:ascii="Times New Roman" w:hAnsi="Times New Roman" w:eastAsia="Times New Roman"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51.640</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，北纬</w:t>
            </w:r>
            <w:r>
              <w:rPr>
                <w:rFonts w:ascii="Times New Roman" w:hAnsi="Times New Roman" w:eastAsia="Times New Roman" w:cs="Times New Roman"/>
                <w:color w:val="auto"/>
                <w:spacing w:val="0"/>
                <w:sz w:val="24"/>
                <w:szCs w:val="24"/>
                <w:highlight w:val="none"/>
              </w:rPr>
              <w:t>32°1</w:t>
            </w:r>
            <w:r>
              <w:rPr>
                <w:rFonts w:hint="eastAsia" w:ascii="Times New Roman" w:hAnsi="Times New Roman" w:cs="Times New Roman"/>
                <w:color w:val="auto"/>
                <w:spacing w:val="0"/>
                <w:sz w:val="24"/>
                <w:szCs w:val="24"/>
                <w:highlight w:val="none"/>
                <w:lang w:val="en-US" w:eastAsia="zh-CN"/>
              </w:rPr>
              <w:t>1</w:t>
            </w:r>
            <w:r>
              <w:rPr>
                <w:rFonts w:ascii="Times New Roman" w:hAnsi="Times New Roman" w:eastAsia="Times New Roman"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31.415</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w:t>
            </w:r>
          </w:p>
          <w:p>
            <w:pPr>
              <w:pStyle w:val="75"/>
              <w:keepNext w:val="0"/>
              <w:keepLines w:val="0"/>
              <w:pageBreakBefore w:val="0"/>
              <w:widowControl w:val="0"/>
              <w:kinsoku/>
              <w:wordWrap/>
              <w:overflowPunct/>
              <w:topLinePunct w:val="0"/>
              <w:autoSpaceDE/>
              <w:autoSpaceDN/>
              <w:bidi w:val="0"/>
              <w:spacing w:line="360" w:lineRule="auto"/>
              <w:ind w:left="0" w:right="0" w:firstLine="0"/>
              <w:jc w:val="left"/>
              <w:textAlignment w:val="auto"/>
              <w:rPr>
                <w:rFonts w:ascii="Times New Roman" w:hAnsi="Times New Roman" w:eastAsia="Times New Roman" w:cs="Times New Roman"/>
                <w:color w:val="auto"/>
                <w:spacing w:val="0"/>
                <w:sz w:val="24"/>
                <w:szCs w:val="24"/>
                <w:highlight w:val="none"/>
              </w:rPr>
            </w:pPr>
            <w:r>
              <w:rPr>
                <w:b/>
                <w:bCs/>
                <w:color w:val="auto"/>
                <w:spacing w:val="0"/>
                <w:sz w:val="24"/>
                <w:szCs w:val="24"/>
                <w:highlight w:val="none"/>
              </w:rPr>
              <w:t>干管位置：</w:t>
            </w:r>
            <w:r>
              <w:rPr>
                <w:color w:val="auto"/>
                <w:spacing w:val="0"/>
                <w:sz w:val="24"/>
                <w:szCs w:val="24"/>
                <w:highlight w:val="none"/>
              </w:rPr>
              <w:t>起点坐标为东经</w:t>
            </w:r>
            <w:r>
              <w:rPr>
                <w:rFonts w:ascii="Times New Roman" w:hAnsi="Times New Roman" w:eastAsia="Times New Roman" w:cs="Times New Roman"/>
                <w:color w:val="auto"/>
                <w:spacing w:val="0"/>
                <w:sz w:val="24"/>
                <w:szCs w:val="24"/>
                <w:highlight w:val="none"/>
              </w:rPr>
              <w:t>106°</w:t>
            </w:r>
            <w:r>
              <w:rPr>
                <w:rFonts w:hint="eastAsia" w:ascii="Times New Roman" w:hAnsi="Times New Roman" w:cs="Times New Roman"/>
                <w:color w:val="auto"/>
                <w:spacing w:val="0"/>
                <w:sz w:val="24"/>
                <w:szCs w:val="24"/>
                <w:highlight w:val="none"/>
                <w:lang w:val="en-US" w:eastAsia="zh-CN"/>
              </w:rPr>
              <w:t>17</w:t>
            </w:r>
            <w:r>
              <w:rPr>
                <w:rFonts w:ascii="Times New Roman" w:hAnsi="Times New Roman" w:eastAsia="Times New Roman"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48.080</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，北纬</w:t>
            </w:r>
            <w:r>
              <w:rPr>
                <w:rFonts w:ascii="Times New Roman" w:hAnsi="Times New Roman" w:eastAsia="Times New Roman" w:cs="Times New Roman"/>
                <w:color w:val="auto"/>
                <w:spacing w:val="0"/>
                <w:sz w:val="24"/>
                <w:szCs w:val="24"/>
                <w:highlight w:val="none"/>
              </w:rPr>
              <w:t>32°1</w:t>
            </w:r>
            <w:r>
              <w:rPr>
                <w:rFonts w:hint="eastAsia" w:ascii="Times New Roman" w:hAnsi="Times New Roman" w:cs="Times New Roman"/>
                <w:color w:val="auto"/>
                <w:spacing w:val="0"/>
                <w:sz w:val="24"/>
                <w:szCs w:val="24"/>
                <w:highlight w:val="none"/>
                <w:lang w:val="en-US" w:eastAsia="zh-CN"/>
              </w:rPr>
              <w:t>1</w:t>
            </w:r>
            <w:r>
              <w:rPr>
                <w:rFonts w:ascii="Times New Roman" w:hAnsi="Times New Roman" w:eastAsia="Times New Roman"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32.438</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，终点坐标为东经</w:t>
            </w:r>
            <w:r>
              <w:rPr>
                <w:rFonts w:ascii="Times New Roman" w:hAnsi="Times New Roman" w:eastAsia="Times New Roman" w:cs="Times New Roman"/>
                <w:color w:val="auto"/>
                <w:spacing w:val="0"/>
                <w:sz w:val="24"/>
                <w:szCs w:val="24"/>
                <w:highlight w:val="none"/>
              </w:rPr>
              <w:t>106°</w:t>
            </w:r>
            <w:r>
              <w:rPr>
                <w:rFonts w:hint="eastAsia" w:ascii="Times New Roman" w:hAnsi="Times New Roman" w:cs="Times New Roman"/>
                <w:color w:val="auto"/>
                <w:spacing w:val="0"/>
                <w:sz w:val="24"/>
                <w:szCs w:val="24"/>
                <w:highlight w:val="none"/>
                <w:lang w:val="en-US" w:eastAsia="zh-CN"/>
              </w:rPr>
              <w:t>18</w:t>
            </w:r>
            <w:r>
              <w:rPr>
                <w:rFonts w:ascii="Times New Roman" w:hAnsi="Times New Roman" w:eastAsia="Times New Roman" w:cs="Times New Roman"/>
                <w:color w:val="auto"/>
                <w:spacing w:val="0"/>
                <w:sz w:val="24"/>
                <w:szCs w:val="24"/>
                <w:highlight w:val="none"/>
              </w:rPr>
              <w:t>′</w:t>
            </w:r>
            <w:r>
              <w:rPr>
                <w:rFonts w:hint="eastAsia" w:ascii="Times New Roman" w:hAnsi="Times New Roman" w:cs="Times New Roman"/>
                <w:color w:val="auto"/>
                <w:spacing w:val="0"/>
                <w:sz w:val="24"/>
                <w:szCs w:val="24"/>
                <w:highlight w:val="none"/>
                <w:lang w:val="en-US" w:eastAsia="zh-CN"/>
              </w:rPr>
              <w:t>57.186</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，北纬</w:t>
            </w:r>
            <w:r>
              <w:rPr>
                <w:rFonts w:ascii="Times New Roman" w:hAnsi="Times New Roman" w:eastAsia="Times New Roman" w:cs="Times New Roman"/>
                <w:color w:val="auto"/>
                <w:spacing w:val="0"/>
                <w:sz w:val="24"/>
                <w:szCs w:val="24"/>
                <w:highlight w:val="none"/>
              </w:rPr>
              <w:t>32°</w:t>
            </w:r>
            <w:r>
              <w:rPr>
                <w:rFonts w:hint="eastAsia" w:ascii="Times New Roman" w:hAnsi="Times New Roman" w:cs="Times New Roman"/>
                <w:color w:val="auto"/>
                <w:spacing w:val="0"/>
                <w:sz w:val="24"/>
                <w:szCs w:val="24"/>
                <w:highlight w:val="none"/>
                <w:lang w:val="en-US" w:eastAsia="zh-CN"/>
              </w:rPr>
              <w:t>13</w:t>
            </w:r>
            <w:r>
              <w:rPr>
                <w:rFonts w:ascii="Times New Roman" w:hAnsi="Times New Roman" w:eastAsia="Times New Roman" w:cs="Times New Roman"/>
                <w:color w:val="auto"/>
                <w:spacing w:val="0"/>
                <w:sz w:val="24"/>
                <w:szCs w:val="24"/>
                <w:highlight w:val="none"/>
              </w:rPr>
              <w:t xml:space="preserve"> ′</w:t>
            </w:r>
            <w:r>
              <w:rPr>
                <w:rFonts w:hint="eastAsia" w:ascii="Times New Roman" w:hAnsi="Times New Roman" w:cs="Times New Roman"/>
                <w:color w:val="auto"/>
                <w:spacing w:val="0"/>
                <w:sz w:val="24"/>
                <w:szCs w:val="24"/>
                <w:highlight w:val="none"/>
                <w:lang w:val="en-US" w:eastAsia="zh-CN"/>
              </w:rPr>
              <w:t>48.212</w:t>
            </w:r>
            <w:r>
              <w:rPr>
                <w:rFonts w:ascii="Times New Roman" w:hAnsi="Times New Roman" w:eastAsia="Times New Roman" w:cs="Times New Roman"/>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left"/>
              <w:textAlignment w:val="auto"/>
              <w:rPr>
                <w:rFonts w:ascii="宋体" w:hAnsi="宋体" w:cs="宋体"/>
                <w:color w:val="auto"/>
                <w:kern w:val="0"/>
                <w:sz w:val="24"/>
                <w:highlight w:val="none"/>
              </w:rPr>
            </w:pPr>
            <w:r>
              <w:rPr>
                <w:b/>
                <w:bCs/>
                <w:color w:val="auto"/>
                <w:spacing w:val="0"/>
                <w:sz w:val="24"/>
                <w:szCs w:val="24"/>
                <w:highlight w:val="none"/>
              </w:rPr>
              <w:t>流域位置：</w:t>
            </w:r>
            <w:r>
              <w:rPr>
                <w:color w:val="auto"/>
                <w:spacing w:val="0"/>
                <w:sz w:val="24"/>
                <w:szCs w:val="24"/>
                <w:highlight w:val="none"/>
              </w:rPr>
              <w:t>本项目涉及主要河流为</w:t>
            </w:r>
            <w:r>
              <w:rPr>
                <w:rFonts w:hint="eastAsia"/>
                <w:color w:val="auto"/>
                <w:spacing w:val="0"/>
                <w:sz w:val="24"/>
                <w:szCs w:val="24"/>
                <w:highlight w:val="none"/>
                <w:lang w:val="en-US" w:eastAsia="zh-CN"/>
              </w:rPr>
              <w:t>辜家河</w:t>
            </w:r>
            <w:r>
              <w:rPr>
                <w:color w:val="auto"/>
                <w:spacing w:val="0"/>
                <w:sz w:val="24"/>
                <w:szCs w:val="24"/>
                <w:highlight w:val="none"/>
              </w:rPr>
              <w:t>，水系汇流关系为</w:t>
            </w:r>
            <w:r>
              <w:rPr>
                <w:rFonts w:hint="eastAsia"/>
                <w:color w:val="auto"/>
                <w:spacing w:val="0"/>
                <w:sz w:val="24"/>
                <w:szCs w:val="24"/>
                <w:highlight w:val="none"/>
                <w:lang w:val="en-US" w:eastAsia="zh-CN"/>
              </w:rPr>
              <w:t>辜家</w:t>
            </w:r>
            <w:r>
              <w:rPr>
                <w:color w:val="auto"/>
                <w:spacing w:val="0"/>
                <w:sz w:val="24"/>
                <w:szCs w:val="24"/>
                <w:highlight w:val="none"/>
              </w:rPr>
              <w:t>河</w:t>
            </w:r>
            <w:r>
              <w:rPr>
                <w:rFonts w:ascii="Times New Roman" w:hAnsi="Times New Roman" w:eastAsia="Times New Roman" w:cs="Times New Roman"/>
                <w:color w:val="auto"/>
                <w:spacing w:val="0"/>
                <w:sz w:val="24"/>
                <w:szCs w:val="24"/>
                <w:highlight w:val="none"/>
              </w:rPr>
              <w:t>-</w:t>
            </w:r>
            <w:r>
              <w:rPr>
                <w:rFonts w:hint="eastAsia"/>
                <w:color w:val="auto"/>
                <w:spacing w:val="0"/>
                <w:sz w:val="24"/>
                <w:szCs w:val="24"/>
                <w:highlight w:val="none"/>
                <w:lang w:val="en-US" w:eastAsia="zh-CN"/>
              </w:rPr>
              <w:t>东</w:t>
            </w:r>
            <w:r>
              <w:rPr>
                <w:color w:val="auto"/>
                <w:spacing w:val="0"/>
                <w:sz w:val="24"/>
                <w:szCs w:val="24"/>
                <w:highlight w:val="none"/>
              </w:rPr>
              <w:t>河</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嘉陵江</w:t>
            </w:r>
            <w:r>
              <w:rPr>
                <w:rFonts w:ascii="Times New Roman" w:hAnsi="Times New Roman" w:eastAsia="Times New Roman" w:cs="Times New Roman"/>
                <w:color w:val="auto"/>
                <w:spacing w:val="0"/>
                <w:sz w:val="24"/>
                <w:szCs w:val="24"/>
                <w:highlight w:val="none"/>
              </w:rPr>
              <w:t>-</w:t>
            </w:r>
            <w:r>
              <w:rPr>
                <w:color w:val="auto"/>
                <w:spacing w:val="0"/>
                <w:sz w:val="24"/>
                <w:szCs w:val="24"/>
                <w:highlight w:val="none"/>
              </w:rPr>
              <w:t>长江</w:t>
            </w:r>
            <w:r>
              <w:rPr>
                <w:color w:val="auto"/>
                <w:spacing w:val="-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项目组成及规模</w:t>
            </w:r>
          </w:p>
        </w:tc>
        <w:tc>
          <w:tcPr>
            <w:tcW w:w="9079" w:type="dxa"/>
            <w:vAlign w:val="center"/>
          </w:tcPr>
          <w:p>
            <w:pPr>
              <w:spacing w:line="360" w:lineRule="auto"/>
              <w:rPr>
                <w:rFonts w:hint="default" w:ascii="Arial" w:hAnsi="宋体" w:eastAsia="宋体" w:cs="Arial"/>
                <w:b/>
                <w:color w:val="auto"/>
                <w:sz w:val="24"/>
                <w:highlight w:val="none"/>
                <w:lang w:val="en-US" w:eastAsia="zh-CN" w:bidi="en-US"/>
              </w:rPr>
            </w:pPr>
            <w:r>
              <w:rPr>
                <w:rFonts w:hint="eastAsia" w:ascii="Arial" w:hAnsi="宋体" w:cs="Arial"/>
                <w:b/>
                <w:color w:val="auto"/>
                <w:sz w:val="24"/>
                <w:highlight w:val="none"/>
                <w:lang w:bidi="en-US"/>
              </w:rPr>
              <w:t>一、</w:t>
            </w:r>
            <w:r>
              <w:rPr>
                <w:rFonts w:hint="eastAsia" w:ascii="Arial" w:hAnsi="宋体" w:cs="Arial"/>
                <w:b/>
                <w:color w:val="auto"/>
                <w:sz w:val="24"/>
                <w:highlight w:val="none"/>
                <w:lang w:val="en-US" w:eastAsia="zh-CN" w:bidi="en-US"/>
              </w:rPr>
              <w:t>项目由来</w:t>
            </w:r>
          </w:p>
          <w:p>
            <w:pPr>
              <w:spacing w:line="360" w:lineRule="auto"/>
              <w:ind w:firstLine="480" w:firstLineChars="200"/>
              <w:rPr>
                <w:rFonts w:hint="eastAsia" w:ascii="Arial" w:hAnsi="宋体" w:cs="Arial"/>
                <w:color w:val="auto"/>
                <w:sz w:val="24"/>
                <w:highlight w:val="none"/>
                <w:lang w:bidi="en-US"/>
              </w:rPr>
            </w:pPr>
            <w:r>
              <w:rPr>
                <w:rFonts w:hint="eastAsia" w:ascii="Arial" w:hAnsi="宋体" w:cs="Arial"/>
                <w:color w:val="auto"/>
                <w:sz w:val="24"/>
                <w:highlight w:val="none"/>
                <w:lang w:val="en-US" w:eastAsia="zh-CN" w:bidi="en-US"/>
              </w:rPr>
              <w:t>经调查，</w:t>
            </w:r>
            <w:r>
              <w:rPr>
                <w:rFonts w:hint="eastAsia" w:ascii="Arial" w:hAnsi="宋体" w:cs="Arial"/>
                <w:color w:val="auto"/>
                <w:sz w:val="24"/>
                <w:highlight w:val="none"/>
                <w:lang w:bidi="en-US"/>
              </w:rPr>
              <w:t>旺苍县现有大多数水利工程建于五、六十年代，由于历史原因，设计标准偏低，建设质量较差，工程不配套（有的工程配套率不到20%），加之长期以来重建轻管思想尚未从根本上扭转，管理粗放，手段落后，经费不足，致使许多工程老化失修，效益衰减。有些工程己达到设计使用寿命，面临报废或重建，一部分工程急需加固和改造。水利工程续建配套改造的任务十分繁重，全县小型自流灌区尚有241.3km渠道尚未配套，工程利用率仅40%左右。为实现区域国民经济和社会发展目标，满足未来经济社会发展对水利的要求，必须进行大规模的水利工程建设，提高区域水资源开发利用程度。</w:t>
            </w:r>
          </w:p>
          <w:p>
            <w:pPr>
              <w:spacing w:line="360" w:lineRule="auto"/>
              <w:ind w:firstLine="480" w:firstLineChars="200"/>
              <w:rPr>
                <w:rFonts w:hint="eastAsia" w:ascii="Arial" w:hAnsi="宋体" w:cs="Arial"/>
                <w:color w:val="auto"/>
                <w:sz w:val="24"/>
                <w:highlight w:val="none"/>
                <w:lang w:bidi="en-US"/>
              </w:rPr>
            </w:pPr>
            <w:r>
              <w:rPr>
                <w:rFonts w:hint="eastAsia" w:ascii="Arial" w:hAnsi="宋体" w:cs="Arial"/>
                <w:color w:val="auto"/>
                <w:sz w:val="24"/>
                <w:highlight w:val="none"/>
                <w:lang w:bidi="en-US"/>
              </w:rPr>
              <w:t>三合水库灌区范围内有东河镇、嘉川镇2个镇13个村</w:t>
            </w:r>
            <w:r>
              <w:rPr>
                <w:rFonts w:hint="eastAsia" w:ascii="Arial" w:hAnsi="宋体" w:cs="Arial"/>
                <w:color w:val="auto"/>
                <w:sz w:val="24"/>
                <w:highlight w:val="none"/>
                <w:lang w:eastAsia="zh-CN" w:bidi="en-US"/>
              </w:rPr>
              <w:t>，</w:t>
            </w:r>
            <w:r>
              <w:rPr>
                <w:rFonts w:hint="eastAsia" w:ascii="Arial" w:hAnsi="宋体" w:cs="Arial"/>
                <w:color w:val="auto"/>
                <w:sz w:val="24"/>
                <w:highlight w:val="none"/>
                <w:lang w:bidi="en-US"/>
              </w:rPr>
              <w:t>现状为分散供水工程，尚未配备消毒设施，其饮用水水质存在一定的安全隐患。根据四川省委办公厅、四川省政府办公厅联合印发《关于创新机制推进水利支持幸福美丽新村建设的意见》（以下简称《意见》）要求，通过新增蓄引提水能力，使新村饮水安全体系逐步完善，全力保障生产生活生态供水安全。三合水库的修建，可以保证灌区控制高程以西、东河以东、北至东河镇谢家碥、南至嘉川镇石板沟区域的综合用水，解决2.14万亩耕园地灌溉用水和灌区范围内0.54万人、1.12万头牲畜的用水，改善下游水生态环境，同时作为旺苍县城应急补充备用水源，确保涉水突发事件时的社会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Cs w:val="24"/>
                <w:highlight w:val="none"/>
              </w:rPr>
            </w:pPr>
            <w:r>
              <w:rPr>
                <w:rFonts w:hint="eastAsia" w:ascii="Arial" w:hAnsi="宋体" w:cs="Arial"/>
                <w:color w:val="auto"/>
                <w:sz w:val="24"/>
                <w:highlight w:val="none"/>
                <w:lang w:bidi="en-US"/>
              </w:rPr>
              <w:t>按照《中华人民共和国环境保护法》、《中华人民共和国环境影响评价法》以及国务院令第253号《建设项目环境保护管理条例》的要求，项目建设前应该开展环境影响评价工作。为此，旺苍县水利科技服务中心委托我公司承担该项目的环境影响报告表的编制工作，我公司在接受委托后，通过现场踏勘、资料收集、整理工作，在资料数据分析和环境影响因素识别的基础上，按照有关法律和技术规范要求编制该项目环境影响报告表。提交给建设单位，供环保部门审查批准</w:t>
            </w:r>
            <w:r>
              <w:rPr>
                <w:rFonts w:hint="eastAsia"/>
                <w:color w:val="auto"/>
                <w:highlight w:val="none"/>
              </w:rPr>
              <w:t>。</w:t>
            </w:r>
          </w:p>
          <w:p>
            <w:pPr>
              <w:spacing w:line="360" w:lineRule="auto"/>
              <w:rPr>
                <w:rFonts w:hint="eastAsia" w:ascii="Arial" w:hAnsi="宋体" w:cs="Arial"/>
                <w:b/>
                <w:color w:val="auto"/>
                <w:sz w:val="24"/>
                <w:highlight w:val="none"/>
                <w:lang w:bidi="en-US"/>
              </w:rPr>
            </w:pPr>
            <w:r>
              <w:rPr>
                <w:rFonts w:hint="eastAsia" w:ascii="Arial" w:hAnsi="宋体" w:cs="Arial"/>
                <w:b/>
                <w:color w:val="auto"/>
                <w:sz w:val="24"/>
                <w:highlight w:val="none"/>
                <w:lang w:val="en-US" w:eastAsia="zh-CN" w:bidi="en-US"/>
              </w:rPr>
              <w:t>二、</w:t>
            </w:r>
            <w:r>
              <w:rPr>
                <w:rFonts w:hint="eastAsia" w:ascii="Arial" w:hAnsi="宋体" w:cs="Arial"/>
                <w:b/>
                <w:color w:val="auto"/>
                <w:sz w:val="24"/>
                <w:highlight w:val="none"/>
                <w:lang w:bidi="en-US"/>
              </w:rPr>
              <w:t>项目建设内容及规模</w:t>
            </w:r>
          </w:p>
          <w:p>
            <w:pPr>
              <w:spacing w:line="360" w:lineRule="auto"/>
              <w:ind w:firstLine="480" w:firstLineChars="200"/>
              <w:rPr>
                <w:rFonts w:hint="eastAsia" w:ascii="Arial" w:hAnsi="宋体" w:cs="Arial"/>
                <w:color w:val="auto"/>
                <w:sz w:val="24"/>
                <w:highlight w:val="none"/>
                <w:lang w:bidi="en-US"/>
              </w:rPr>
            </w:pPr>
            <w:r>
              <w:rPr>
                <w:rFonts w:hint="eastAsia" w:ascii="Arial" w:hAnsi="宋体" w:cs="Arial"/>
                <w:color w:val="auto"/>
                <w:sz w:val="24"/>
                <w:highlight w:val="none"/>
                <w:lang w:bidi="en-US"/>
              </w:rPr>
              <w:t>三合水库的开发任务是农业灌溉、乡村供水等综合利用，并作为旺苍县城应急备用水源。水库设计正常蓄水位594.50m，总库容371万m</w:t>
            </w:r>
            <w:r>
              <w:rPr>
                <w:rFonts w:hint="eastAsia" w:ascii="Arial" w:hAnsi="宋体" w:cs="Arial"/>
                <w:color w:val="auto"/>
                <w:sz w:val="24"/>
                <w:highlight w:val="none"/>
                <w:vertAlign w:val="superscript"/>
                <w:lang w:bidi="en-US"/>
              </w:rPr>
              <w:t>3</w:t>
            </w:r>
            <w:r>
              <w:rPr>
                <w:rFonts w:hint="eastAsia" w:ascii="Arial" w:hAnsi="宋体" w:cs="Arial"/>
                <w:color w:val="auto"/>
                <w:sz w:val="24"/>
                <w:highlight w:val="none"/>
                <w:lang w:bidi="en-US"/>
              </w:rPr>
              <w:t>，设计灌面2.14万亩，灌区干管首端设计流量0.711m</w:t>
            </w:r>
            <w:r>
              <w:rPr>
                <w:rFonts w:hint="eastAsia" w:ascii="Arial" w:hAnsi="宋体" w:cs="Arial"/>
                <w:color w:val="auto"/>
                <w:sz w:val="24"/>
                <w:highlight w:val="none"/>
                <w:vertAlign w:val="superscript"/>
                <w:lang w:bidi="en-US"/>
              </w:rPr>
              <w:t>3</w:t>
            </w:r>
            <w:r>
              <w:rPr>
                <w:rFonts w:hint="eastAsia" w:ascii="Arial" w:hAnsi="宋体" w:cs="Arial"/>
                <w:color w:val="auto"/>
                <w:sz w:val="24"/>
                <w:highlight w:val="none"/>
                <w:lang w:bidi="en-US"/>
              </w:rPr>
              <w:t>/s。工程建成后，可以解决旺苍县东河镇、嘉川镇2个镇13个村2.14万亩农田的灌溉用水，保障灌区农村0.54万人的生活用水，满足旺苍县城应急供水需求。本工程水库枢纽为Ⅳ等工程，工程规模为小(1)型，其主要水工建筑物为4级。次要建筑物为5级建筑物；渠系建筑物按5级设计；临时建筑物为5级。水库由枢纽工程和灌区工程组成，其中</w:t>
            </w:r>
            <w:r>
              <w:rPr>
                <w:rFonts w:hint="eastAsia" w:ascii="Arial" w:hAnsi="宋体" w:cs="Arial"/>
                <w:color w:val="auto"/>
                <w:sz w:val="24"/>
                <w:highlight w:val="none"/>
                <w:lang w:eastAsia="zh-CN" w:bidi="en-US"/>
              </w:rPr>
              <w:t>：</w:t>
            </w:r>
            <w:r>
              <w:rPr>
                <w:rFonts w:hint="eastAsia" w:ascii="Arial" w:hAnsi="宋体" w:cs="Arial"/>
                <w:color w:val="auto"/>
                <w:sz w:val="24"/>
                <w:highlight w:val="none"/>
                <w:lang w:bidi="en-US"/>
              </w:rPr>
              <w:t>枢纽工程由拦河大坝、溢洪道、取水（放空、导流）隧洞等建筑物组成</w:t>
            </w:r>
            <w:r>
              <w:rPr>
                <w:rFonts w:hint="eastAsia" w:ascii="Arial" w:hAnsi="宋体" w:cs="Arial"/>
                <w:color w:val="auto"/>
                <w:sz w:val="24"/>
                <w:highlight w:val="none"/>
                <w:lang w:eastAsia="zh-CN" w:bidi="en-US"/>
              </w:rPr>
              <w:t>；</w:t>
            </w:r>
            <w:r>
              <w:rPr>
                <w:rFonts w:hint="eastAsia" w:ascii="Arial" w:hAnsi="宋体" w:cs="Arial"/>
                <w:color w:val="auto"/>
                <w:sz w:val="24"/>
                <w:highlight w:val="none"/>
                <w:lang w:bidi="en-US"/>
              </w:rPr>
              <w:t>灌区工程由干管</w:t>
            </w:r>
            <w:r>
              <w:rPr>
                <w:rFonts w:hint="eastAsia" w:ascii="Arial" w:hAnsi="宋体" w:cs="Arial"/>
                <w:color w:val="auto"/>
                <w:sz w:val="24"/>
                <w:highlight w:val="none"/>
                <w:lang w:eastAsia="zh-CN" w:bidi="en-US"/>
              </w:rPr>
              <w:t>、</w:t>
            </w:r>
            <w:r>
              <w:rPr>
                <w:rFonts w:hint="eastAsia" w:ascii="Arial" w:hAnsi="宋体" w:cs="Arial"/>
                <w:color w:val="auto"/>
                <w:sz w:val="24"/>
                <w:highlight w:val="none"/>
                <w:lang w:val="en-US" w:eastAsia="zh-CN" w:bidi="en-US"/>
              </w:rPr>
              <w:t>支管</w:t>
            </w:r>
            <w:r>
              <w:rPr>
                <w:rFonts w:hint="eastAsia" w:ascii="Arial" w:hAnsi="宋体" w:cs="Arial"/>
                <w:color w:val="auto"/>
                <w:sz w:val="24"/>
                <w:highlight w:val="none"/>
                <w:lang w:bidi="en-US"/>
              </w:rPr>
              <w:t>等组成。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default" w:ascii="Arial" w:hAnsi="Arial" w:cs="Arial"/>
                <w:color w:val="auto"/>
                <w:sz w:val="24"/>
                <w:szCs w:val="24"/>
                <w:highlight w:val="none"/>
              </w:rPr>
            </w:pPr>
            <w:r>
              <w:rPr>
                <w:rFonts w:hint="default" w:ascii="Arial" w:hAnsi="Arial" w:eastAsia="Times New Roman" w:cs="Arial"/>
                <w:b/>
                <w:bCs/>
                <w:color w:val="auto"/>
                <w:spacing w:val="-9"/>
                <w:sz w:val="24"/>
                <w:szCs w:val="24"/>
                <w:highlight w:val="none"/>
              </w:rPr>
              <w:t>1</w:t>
            </w:r>
            <w:r>
              <w:rPr>
                <w:rFonts w:hint="default" w:ascii="Arial" w:hAnsi="Arial" w:cs="Arial"/>
                <w:b/>
                <w:bCs/>
                <w:color w:val="auto"/>
                <w:spacing w:val="-9"/>
                <w:sz w:val="24"/>
                <w:szCs w:val="24"/>
                <w:highlight w:val="none"/>
              </w:rPr>
              <w:t>、枢纽工程</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auto"/>
                <w:sz w:val="24"/>
                <w:highlight w:val="none"/>
                <w:lang w:bidi="en-US"/>
              </w:rPr>
            </w:pPr>
            <w:r>
              <w:rPr>
                <w:rFonts w:hint="eastAsia" w:ascii="Arial" w:hAnsi="宋体" w:cs="Arial"/>
                <w:color w:val="auto"/>
                <w:sz w:val="24"/>
                <w:highlight w:val="none"/>
                <w:lang w:bidi="en-US"/>
              </w:rPr>
              <w:t>枢纽工程由拦河大坝、溢洪道、取水（放空、导流）隧洞等建筑物组成</w:t>
            </w:r>
            <w:r>
              <w:rPr>
                <w:rFonts w:hint="eastAsia" w:ascii="Arial" w:hAnsi="宋体" w:cs="Arial"/>
                <w:color w:val="auto"/>
                <w:sz w:val="24"/>
                <w:highlight w:val="none"/>
                <w:lang w:eastAsia="zh-CN" w:bidi="en-US"/>
              </w:rPr>
              <w:t>。</w:t>
            </w:r>
            <w:r>
              <w:rPr>
                <w:rFonts w:hint="default" w:ascii="Arial" w:hAnsi="Arial" w:cs="Arial"/>
                <w:color w:val="auto"/>
                <w:sz w:val="24"/>
                <w:highlight w:val="none"/>
                <w:lang w:bidi="en-US"/>
              </w:rPr>
              <w:t>水库正常蓄水位为594.50m，对应库容307万m</w:t>
            </w:r>
            <w:r>
              <w:rPr>
                <w:rFonts w:hint="default" w:ascii="Arial" w:hAnsi="Arial" w:cs="Arial"/>
                <w:color w:val="auto"/>
                <w:sz w:val="24"/>
                <w:highlight w:val="none"/>
                <w:vertAlign w:val="superscript"/>
                <w:lang w:bidi="en-US"/>
              </w:rPr>
              <w:t>3</w:t>
            </w:r>
            <w:r>
              <w:rPr>
                <w:rFonts w:hint="default" w:ascii="Arial" w:hAnsi="Arial" w:cs="Arial"/>
                <w:color w:val="auto"/>
                <w:sz w:val="24"/>
                <w:highlight w:val="none"/>
                <w:lang w:bidi="en-US"/>
              </w:rPr>
              <w:t>，校核洪水位597.25m，总库容371万m</w:t>
            </w:r>
            <w:r>
              <w:rPr>
                <w:rFonts w:hint="default" w:ascii="Arial" w:hAnsi="Arial" w:cs="Arial"/>
                <w:color w:val="auto"/>
                <w:sz w:val="24"/>
                <w:highlight w:val="none"/>
                <w:vertAlign w:val="superscript"/>
                <w:lang w:bidi="en-US"/>
              </w:rPr>
              <w:t>3</w:t>
            </w:r>
            <w:r>
              <w:rPr>
                <w:rFonts w:hint="default" w:ascii="Arial" w:hAnsi="Arial" w:cs="Arial"/>
                <w:color w:val="auto"/>
                <w:sz w:val="24"/>
                <w:highlight w:val="none"/>
                <w:lang w:bidi="en-US"/>
              </w:rPr>
              <w:t>，水库死水位567.00m，死库容34万m</w:t>
            </w:r>
            <w:r>
              <w:rPr>
                <w:rFonts w:hint="default" w:ascii="Arial" w:hAnsi="Arial" w:cs="Arial"/>
                <w:color w:val="auto"/>
                <w:sz w:val="24"/>
                <w:highlight w:val="none"/>
                <w:vertAlign w:val="superscript"/>
                <w:lang w:bidi="en-US"/>
              </w:rPr>
              <w:t>3</w:t>
            </w:r>
            <w:r>
              <w:rPr>
                <w:rFonts w:hint="default" w:ascii="Arial" w:hAnsi="Arial" w:cs="Arial"/>
                <w:color w:val="auto"/>
                <w:sz w:val="24"/>
                <w:highlight w:val="none"/>
                <w:lang w:bidi="en-US"/>
              </w:rPr>
              <w:t>，兴利库容273万m</w:t>
            </w:r>
            <w:r>
              <w:rPr>
                <w:rFonts w:hint="default" w:ascii="Arial" w:hAnsi="Arial" w:cs="Arial"/>
                <w:color w:val="auto"/>
                <w:sz w:val="24"/>
                <w:highlight w:val="none"/>
                <w:vertAlign w:val="superscript"/>
                <w:lang w:bidi="en-US"/>
              </w:rPr>
              <w:t>3</w:t>
            </w:r>
            <w:r>
              <w:rPr>
                <w:rFonts w:hint="default" w:ascii="Arial" w:hAnsi="Arial" w:cs="Arial"/>
                <w:color w:val="auto"/>
                <w:sz w:val="24"/>
                <w:highlight w:val="none"/>
                <w:lang w:bidi="en-US"/>
              </w:rPr>
              <w:t>。拦河大坝为碾压式沥青混凝土心墙石渣坝，坝顶高程为597.50m，坝顶宽6m，坝轴线长185m，最大坝高54.5m。溢洪道布置于大坝左岸，为开敞式侧堰无闸控制溢洪明槽，由侧槽段、调整段、泄槽段、消力池段、尾水渠段组成，水平投影总长为322.30m。取水（放空、导流）隧洞布置于大坝左岸山体内，由导流隧洞改建而成，采用竖井式进水口，隧洞洞身采用城门洞型，</w:t>
            </w:r>
            <w:bookmarkStart w:id="4" w:name="_Hlk10135571"/>
            <w:r>
              <w:rPr>
                <w:rFonts w:hint="default" w:ascii="Arial" w:hAnsi="Arial" w:cs="Arial"/>
                <w:color w:val="auto"/>
                <w:sz w:val="24"/>
                <w:highlight w:val="none"/>
                <w:lang w:bidi="en-US"/>
              </w:rPr>
              <w:t>水平投影总长331.05m，其中洞身段水平投影长293m</w:t>
            </w:r>
            <w:bookmarkEnd w:id="4"/>
            <w:r>
              <w:rPr>
                <w:rFonts w:hint="default" w:ascii="Arial" w:hAnsi="Arial" w:cs="Arial"/>
                <w:color w:val="auto"/>
                <w:sz w:val="24"/>
                <w:highlight w:val="none"/>
                <w:lang w:bidi="en-US"/>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Arial" w:hAnsi="Arial" w:eastAsia="Times New Roman" w:cs="Arial"/>
                <w:b/>
                <w:bCs/>
                <w:color w:val="auto"/>
                <w:spacing w:val="-9"/>
                <w:sz w:val="24"/>
                <w:szCs w:val="24"/>
                <w:highlight w:val="none"/>
                <w:lang w:val="en-US" w:eastAsia="zh-CN"/>
              </w:rPr>
            </w:pPr>
            <w:r>
              <w:rPr>
                <w:rFonts w:hint="eastAsia" w:ascii="Arial" w:hAnsi="Arial" w:eastAsia="Times New Roman" w:cs="Arial"/>
                <w:b/>
                <w:bCs/>
                <w:color w:val="auto"/>
                <w:spacing w:val="-9"/>
                <w:sz w:val="24"/>
                <w:szCs w:val="24"/>
                <w:highlight w:val="none"/>
                <w:lang w:val="en-US" w:eastAsia="zh-CN"/>
              </w:rPr>
              <w:t>2、</w:t>
            </w:r>
            <w:r>
              <w:rPr>
                <w:rFonts w:hint="eastAsia" w:ascii="Arial" w:hAnsi="Arial" w:eastAsia="Times New Roman" w:cs="Arial"/>
                <w:b/>
                <w:bCs/>
                <w:color w:val="auto"/>
                <w:spacing w:val="-9"/>
                <w:sz w:val="24"/>
                <w:szCs w:val="24"/>
                <w:highlight w:val="none"/>
              </w:rPr>
              <w:t>灌区工程</w:t>
            </w:r>
          </w:p>
          <w:p>
            <w:pPr>
              <w:spacing w:line="360" w:lineRule="auto"/>
              <w:ind w:firstLine="480" w:firstLineChars="200"/>
              <w:rPr>
                <w:rFonts w:hint="eastAsia" w:ascii="Arial" w:hAnsi="宋体" w:cs="Arial"/>
                <w:color w:val="auto"/>
                <w:sz w:val="24"/>
                <w:highlight w:val="none"/>
                <w:lang w:bidi="en-US"/>
              </w:rPr>
            </w:pPr>
            <w:r>
              <w:rPr>
                <w:rFonts w:hint="eastAsia" w:ascii="Arial" w:hAnsi="宋体" w:cs="Arial"/>
                <w:color w:val="auto"/>
                <w:sz w:val="24"/>
                <w:highlight w:val="none"/>
                <w:lang w:bidi="en-US"/>
              </w:rPr>
              <w:t>灌区工程共布置1条干管和11条支管，干管总长11.187km，支管总长13.052km，管道首端设计流量为0.711m³/s</w:t>
            </w:r>
            <w:r>
              <w:rPr>
                <w:rFonts w:hint="eastAsia" w:ascii="Arial" w:hAnsi="宋体" w:cs="Arial"/>
                <w:color w:val="auto"/>
                <w:sz w:val="24"/>
                <w:highlight w:val="none"/>
                <w:lang w:eastAsia="zh-CN" w:bidi="en-US"/>
              </w:rPr>
              <w:t>；</w:t>
            </w:r>
            <w:r>
              <w:rPr>
                <w:rFonts w:hint="eastAsia" w:ascii="Arial" w:hAnsi="宋体" w:cs="Arial"/>
                <w:color w:val="auto"/>
                <w:sz w:val="24"/>
                <w:highlight w:val="none"/>
                <w:lang w:bidi="en-US"/>
              </w:rPr>
              <w:t>灌区设计灌溉面积为2.14万亩。</w:t>
            </w:r>
          </w:p>
          <w:p>
            <w:pPr>
              <w:spacing w:line="360" w:lineRule="auto"/>
              <w:rPr>
                <w:rFonts w:hint="eastAsia" w:ascii="Arial" w:hAnsi="宋体" w:cs="Arial"/>
                <w:b/>
                <w:color w:val="auto"/>
                <w:sz w:val="24"/>
                <w:highlight w:val="none"/>
                <w:lang w:bidi="en-US"/>
              </w:rPr>
            </w:pPr>
            <w:r>
              <w:rPr>
                <w:rFonts w:hint="eastAsia" w:ascii="Arial" w:hAnsi="宋体" w:cs="Arial"/>
                <w:b/>
                <w:color w:val="auto"/>
                <w:sz w:val="24"/>
                <w:highlight w:val="none"/>
                <w:lang w:bidi="en-US"/>
              </w:rPr>
              <w:t>二、工程特性</w:t>
            </w:r>
          </w:p>
          <w:p>
            <w:pPr>
              <w:spacing w:line="360" w:lineRule="auto"/>
              <w:ind w:firstLine="480" w:firstLineChars="200"/>
              <w:rPr>
                <w:rFonts w:hint="eastAsia" w:ascii="Arial" w:hAnsi="宋体" w:cs="Arial"/>
                <w:color w:val="auto"/>
                <w:sz w:val="24"/>
                <w:highlight w:val="none"/>
                <w:lang w:bidi="en-US"/>
              </w:rPr>
            </w:pPr>
            <w:r>
              <w:rPr>
                <w:rFonts w:hint="eastAsia" w:ascii="Arial" w:hAnsi="宋体" w:cs="Arial"/>
                <w:color w:val="auto"/>
                <w:sz w:val="24"/>
                <w:highlight w:val="none"/>
                <w:lang w:bidi="en-US"/>
              </w:rPr>
              <w:t>本项目工程特性指标见下表。</w:t>
            </w:r>
          </w:p>
          <w:p>
            <w:pPr>
              <w:tabs>
                <w:tab w:val="left" w:pos="3780"/>
              </w:tabs>
              <w:spacing w:line="360" w:lineRule="auto"/>
              <w:jc w:val="center"/>
              <w:rPr>
                <w:rFonts w:hint="eastAsia"/>
                <w:b/>
                <w:color w:val="auto"/>
                <w:szCs w:val="21"/>
                <w:highlight w:val="none"/>
              </w:rPr>
            </w:pPr>
            <w:r>
              <w:rPr>
                <w:b/>
                <w:color w:val="auto"/>
                <w:szCs w:val="21"/>
                <w:highlight w:val="none"/>
              </w:rPr>
              <w:t>表 2-1   本项目工程特性表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789"/>
              <w:gridCol w:w="930"/>
              <w:gridCol w:w="1326"/>
              <w:gridCol w:w="1191"/>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序号</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名称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单位</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数量</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一</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水文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坝址以上流域面积</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km</w:t>
                  </w:r>
                  <w:r>
                    <w:rPr>
                      <w:color w:val="auto"/>
                      <w:kern w:val="0"/>
                      <w:sz w:val="21"/>
                      <w:szCs w:val="21"/>
                      <w:highlight w:val="none"/>
                      <w:vertAlign w:val="superscript"/>
                    </w:rPr>
                    <w:t>2</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7.60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利用水文</w:t>
                  </w:r>
                  <w:r>
                    <w:rPr>
                      <w:rFonts w:hint="eastAsia"/>
                      <w:color w:val="auto"/>
                      <w:kern w:val="0"/>
                      <w:sz w:val="21"/>
                      <w:szCs w:val="21"/>
                      <w:highlight w:val="none"/>
                    </w:rPr>
                    <w:t>资料</w:t>
                  </w:r>
                  <w:r>
                    <w:rPr>
                      <w:color w:val="auto"/>
                      <w:kern w:val="0"/>
                      <w:sz w:val="21"/>
                      <w:szCs w:val="21"/>
                      <w:highlight w:val="none"/>
                    </w:rPr>
                    <w:t>年限</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年</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1967~2018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w:t>
                  </w:r>
                  <w:r>
                    <w:rPr>
                      <w:rFonts w:hint="eastAsia"/>
                      <w:color w:val="auto"/>
                      <w:kern w:val="0"/>
                      <w:sz w:val="21"/>
                      <w:szCs w:val="21"/>
                      <w:highlight w:val="none"/>
                    </w:rPr>
                    <w:t>年</w:t>
                  </w:r>
                  <w:r>
                    <w:rPr>
                      <w:color w:val="auto"/>
                      <w:kern w:val="0"/>
                      <w:sz w:val="21"/>
                      <w:szCs w:val="21"/>
                      <w:highlight w:val="none"/>
                    </w:rPr>
                    <w:t>径流深</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522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多年平均年径流量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397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推荐</w:t>
                  </w:r>
                  <w:r>
                    <w:rPr>
                      <w:color w:val="auto"/>
                      <w:kern w:val="0"/>
                      <w:sz w:val="21"/>
                      <w:szCs w:val="21"/>
                      <w:highlight w:val="none"/>
                    </w:rPr>
                    <w:t>坝址代表性流量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0.126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水利年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设计洪峰流量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163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P=3.33%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校核洪峰流量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265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P=0.33%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施工导流流量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6</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洪水总量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设计洪水总量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353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P=3.33%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校核洪水总量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371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P=0.33%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7</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泥沙</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多年平均悬移质</w:t>
                  </w:r>
                  <w:r>
                    <w:rPr>
                      <w:rFonts w:hint="eastAsia"/>
                      <w:color w:val="auto"/>
                      <w:kern w:val="0"/>
                      <w:sz w:val="21"/>
                      <w:szCs w:val="21"/>
                      <w:highlight w:val="none"/>
                    </w:rPr>
                    <w:t>年</w:t>
                  </w:r>
                  <w:r>
                    <w:rPr>
                      <w:color w:val="auto"/>
                      <w:kern w:val="0"/>
                      <w:sz w:val="21"/>
                      <w:szCs w:val="21"/>
                      <w:highlight w:val="none"/>
                    </w:rPr>
                    <w:t>输沙量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0.258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多年平均含沙量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kg /m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0.660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多年平均推移质</w:t>
                  </w:r>
                  <w:r>
                    <w:rPr>
                      <w:rFonts w:hint="eastAsia"/>
                      <w:color w:val="auto"/>
                      <w:kern w:val="0"/>
                      <w:sz w:val="21"/>
                      <w:szCs w:val="21"/>
                      <w:highlight w:val="none"/>
                    </w:rPr>
                    <w:t>年</w:t>
                  </w:r>
                  <w:r>
                    <w:rPr>
                      <w:color w:val="auto"/>
                      <w:kern w:val="0"/>
                      <w:sz w:val="21"/>
                      <w:szCs w:val="21"/>
                      <w:highlight w:val="none"/>
                    </w:rPr>
                    <w:t>输沙量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0.052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b/>
                      <w:bCs/>
                      <w:color w:val="auto"/>
                      <w:kern w:val="0"/>
                      <w:sz w:val="21"/>
                      <w:szCs w:val="21"/>
                      <w:highlight w:val="none"/>
                    </w:rPr>
                    <w:t>二</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b/>
                      <w:bCs/>
                      <w:color w:val="auto"/>
                      <w:kern w:val="0"/>
                      <w:sz w:val="21"/>
                      <w:szCs w:val="21"/>
                      <w:highlight w:val="none"/>
                    </w:rPr>
                    <w:t>地形地质条件</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河谷形状</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“V”型</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河谷宽度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ascii="Times New Roman" w:hAnsi="Times New Roman" w:eastAsia="Times New Roman" w:cs="Times New Roman"/>
                      <w:color w:val="auto"/>
                      <w:sz w:val="21"/>
                      <w:szCs w:val="21"/>
                      <w:highlight w:val="none"/>
                    </w:rPr>
                    <w:t>m</w:t>
                  </w: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20~40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三</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河床坝基地质条件</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基岩特性</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砂、泥岩互层</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覆盖层厚度</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2~5.2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覆盖层特性</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(孤)块卵碎石夹砂土</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4</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强风化厚度</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坝基主要持力层</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强风化基岩</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四</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两岸坝基地质条件</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岩体特性</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砂、泥岩互层</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稳定评价</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较好</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b/>
                      <w:bCs/>
                      <w:color w:val="auto"/>
                      <w:kern w:val="0"/>
                      <w:sz w:val="21"/>
                      <w:szCs w:val="21"/>
                      <w:highlight w:val="none"/>
                      <w:lang w:val="en-US" w:eastAsia="zh-CN"/>
                    </w:rPr>
                    <w:t>五</w:t>
                  </w:r>
                </w:p>
              </w:tc>
              <w:tc>
                <w:tcPr>
                  <w:tcW w:w="1527"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b/>
                      <w:bCs/>
                      <w:color w:val="auto"/>
                      <w:kern w:val="0"/>
                      <w:sz w:val="21"/>
                      <w:szCs w:val="21"/>
                      <w:highlight w:val="none"/>
                    </w:rPr>
                    <w:t>水库</w:t>
                  </w:r>
                </w:p>
              </w:tc>
              <w:tc>
                <w:tcPr>
                  <w:tcW w:w="509" w:type="pct"/>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校核洪水位</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m</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597.25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设计洪水位</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m</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596.45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正常蓄水位</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m</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594.50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死水位</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m</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567.00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val="en-US" w:eastAsia="zh-CN"/>
                    </w:rPr>
                  </w:pPr>
                  <w:r>
                    <w:rPr>
                      <w:rFonts w:hint="eastAsia"/>
                      <w:b w:val="0"/>
                      <w:bCs w:val="0"/>
                      <w:color w:val="auto"/>
                      <w:kern w:val="0"/>
                      <w:sz w:val="21"/>
                      <w:szCs w:val="21"/>
                      <w:highlight w:val="none"/>
                      <w:lang w:val="en-US" w:eastAsia="zh-CN"/>
                    </w:rPr>
                    <w:t>5</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2"/>
                      <w:highlight w:val="none"/>
                    </w:rPr>
                    <w:t>正常蓄水位时相应库容</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307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6</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正常水位时水库面积</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万m</w:t>
                  </w:r>
                  <w:r>
                    <w:rPr>
                      <w:color w:val="auto"/>
                      <w:kern w:val="0"/>
                      <w:sz w:val="21"/>
                      <w:szCs w:val="21"/>
                      <w:highlight w:val="none"/>
                      <w:vertAlign w:val="superscript"/>
                    </w:rPr>
                    <w:t>2</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22.22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7</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4"/>
                      <w:highlight w:val="none"/>
                    </w:rPr>
                    <w:t>总库容</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371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8</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4"/>
                      <w:highlight w:val="none"/>
                    </w:rPr>
                    <w:t>死水位</w:t>
                  </w:r>
                </w:p>
              </w:tc>
              <w:tc>
                <w:tcPr>
                  <w:tcW w:w="509"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z w:val="21"/>
                      <w:szCs w:val="21"/>
                      <w:highlight w:val="none"/>
                    </w:rPr>
                    <w:t>m</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567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9</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4"/>
                      <w:highlight w:val="none"/>
                    </w:rPr>
                    <w:t>死库容</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34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10</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6"/>
                      <w:highlight w:val="none"/>
                    </w:rPr>
                    <w:t>兴利库容</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zh-CN"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1"/>
                      <w:sz w:val="21"/>
                      <w:szCs w:val="21"/>
                      <w:highlight w:val="none"/>
                    </w:rPr>
                    <w:t>273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11</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5"/>
                      <w:highlight w:val="none"/>
                    </w:rPr>
                    <w:t>库容系数</w:t>
                  </w:r>
                </w:p>
              </w:tc>
              <w:tc>
                <w:tcPr>
                  <w:tcW w:w="509"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0.69</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12</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4"/>
                      <w:highlight w:val="none"/>
                    </w:rPr>
                    <w:t>多年平均供水量</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6"/>
                      <w:sz w:val="21"/>
                      <w:szCs w:val="21"/>
                      <w:highlight w:val="none"/>
                    </w:rPr>
                    <w:t>172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13</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4"/>
                      <w:highlight w:val="none"/>
                    </w:rPr>
                    <w:t>水量利用系数</w:t>
                  </w:r>
                </w:p>
              </w:tc>
              <w:tc>
                <w:tcPr>
                  <w:tcW w:w="509"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0.68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14</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3"/>
                      <w:highlight w:val="none"/>
                    </w:rPr>
                    <w:t>多年平均下泄水量</w:t>
                  </w:r>
                </w:p>
              </w:tc>
              <w:tc>
                <w:tcPr>
                  <w:tcW w:w="509"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5"/>
                      <w:highlight w:val="none"/>
                    </w:rPr>
                    <w:t>万</w:t>
                  </w:r>
                  <w:r>
                    <w:rPr>
                      <w:color w:val="auto"/>
                      <w:spacing w:val="-51"/>
                      <w:highlight w:val="none"/>
                    </w:rPr>
                    <w:t xml:space="preserve"> </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position w:val="7"/>
                      <w:sz w:val="14"/>
                      <w:szCs w:val="14"/>
                      <w:highlight w:val="none"/>
                    </w:rPr>
                    <w:t>3</w:t>
                  </w: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1"/>
                      <w:sz w:val="21"/>
                      <w:szCs w:val="21"/>
                      <w:highlight w:val="none"/>
                    </w:rPr>
                    <w:t>213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15</w:t>
                  </w:r>
                </w:p>
              </w:tc>
              <w:tc>
                <w:tcPr>
                  <w:tcW w:w="1527" w:type="pct"/>
                  <w:tcBorders>
                    <w:tl2br w:val="nil"/>
                    <w:tr2bl w:val="nil"/>
                  </w:tcBorders>
                  <w:shd w:val="clear" w:color="auto" w:fill="auto"/>
                  <w:vAlign w:val="top"/>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0"/>
                      <w:sz w:val="21"/>
                      <w:szCs w:val="21"/>
                      <w:highlight w:val="none"/>
                      <w:lang w:val="en-US" w:eastAsia="en-US" w:bidi="ar-SA"/>
                    </w:rPr>
                  </w:pPr>
                  <w:r>
                    <w:rPr>
                      <w:color w:val="auto"/>
                      <w:spacing w:val="-4"/>
                      <w:highlight w:val="none"/>
                    </w:rPr>
                    <w:t>灌溉供水保证率</w:t>
                  </w:r>
                </w:p>
              </w:tc>
              <w:tc>
                <w:tcPr>
                  <w:tcW w:w="509"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1378" w:type="pct"/>
                  <w:gridSpan w:val="2"/>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75%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16</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回水长度</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km</w:t>
                  </w: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0.91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17</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调节性能</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p>
              </w:tc>
              <w:tc>
                <w:tcPr>
                  <w:tcW w:w="1378"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lang w:val="en-US" w:eastAsia="zh-CN" w:bidi="ar-SA"/>
                    </w:rPr>
                  </w:pPr>
                  <w:r>
                    <w:rPr>
                      <w:color w:val="auto"/>
                      <w:kern w:val="0"/>
                      <w:sz w:val="21"/>
                      <w:szCs w:val="21"/>
                      <w:highlight w:val="none"/>
                    </w:rPr>
                    <w:t>多年调节</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五</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下泄流量及相应下游水位</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设计洪水下泄流量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117.62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设计洪水下游水位</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545.50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校核洪水下泄流量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203.26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校核洪水下游水位</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546.10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六</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工程效益指标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灌溉效益</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灌溉面积</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2.14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耕地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林果地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0.96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保证率（P）</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75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最大引用流量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0.711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snapToGrid w:val="0"/>
                      <w:color w:val="auto"/>
                      <w:kern w:val="0"/>
                      <w:sz w:val="21"/>
                      <w:szCs w:val="21"/>
                      <w:highlight w:val="none"/>
                    </w:rPr>
                    <w:t>多年平均</w:t>
                  </w:r>
                  <w:r>
                    <w:rPr>
                      <w:rFonts w:hint="eastAsia"/>
                      <w:snapToGrid w:val="0"/>
                      <w:color w:val="auto"/>
                      <w:kern w:val="0"/>
                      <w:sz w:val="21"/>
                      <w:szCs w:val="21"/>
                      <w:highlight w:val="none"/>
                    </w:rPr>
                    <w:t>年</w:t>
                  </w:r>
                  <w:r>
                    <w:rPr>
                      <w:snapToGrid w:val="0"/>
                      <w:color w:val="auto"/>
                      <w:kern w:val="0"/>
                      <w:sz w:val="21"/>
                      <w:szCs w:val="21"/>
                      <w:highlight w:val="none"/>
                    </w:rPr>
                    <w:t>供水量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napToGrid w:val="0"/>
                      <w:color w:val="auto"/>
                      <w:kern w:val="0"/>
                      <w:sz w:val="21"/>
                      <w:szCs w:val="21"/>
                      <w:highlight w:val="none"/>
                    </w:rPr>
                  </w:pPr>
                  <w:r>
                    <w:rPr>
                      <w:rFonts w:hint="eastAsia"/>
                      <w:snapToGrid w:val="0"/>
                      <w:color w:val="auto"/>
                      <w:kern w:val="0"/>
                      <w:sz w:val="21"/>
                      <w:szCs w:val="21"/>
                      <w:highlight w:val="none"/>
                    </w:rPr>
                    <w:t>172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napToGrid w:val="0"/>
                      <w:color w:val="auto"/>
                      <w:kern w:val="0"/>
                      <w:sz w:val="21"/>
                      <w:szCs w:val="21"/>
                      <w:highlight w:val="none"/>
                    </w:rPr>
                  </w:pPr>
                  <w:r>
                    <w:rPr>
                      <w:snapToGrid w:val="0"/>
                      <w:color w:val="auto"/>
                      <w:kern w:val="0"/>
                      <w:sz w:val="21"/>
                      <w:szCs w:val="21"/>
                      <w:highlight w:val="none"/>
                    </w:rPr>
                    <w:t>灌溉供水</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napToGrid w:val="0"/>
                      <w:color w:val="auto"/>
                      <w:kern w:val="0"/>
                      <w:sz w:val="21"/>
                      <w:szCs w:val="21"/>
                      <w:highlight w:val="none"/>
                    </w:rPr>
                  </w:pPr>
                  <w:r>
                    <w:rPr>
                      <w:snapToGrid w:val="0"/>
                      <w:color w:val="auto"/>
                      <w:kern w:val="0"/>
                      <w:sz w:val="21"/>
                      <w:szCs w:val="21"/>
                      <w:highlight w:val="none"/>
                    </w:rPr>
                    <w:t>148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2030水平年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napToGrid w:val="0"/>
                      <w:color w:val="auto"/>
                      <w:kern w:val="0"/>
                      <w:sz w:val="21"/>
                      <w:szCs w:val="21"/>
                      <w:highlight w:val="none"/>
                    </w:rPr>
                  </w:pPr>
                  <w:r>
                    <w:rPr>
                      <w:snapToGrid w:val="0"/>
                      <w:color w:val="auto"/>
                      <w:kern w:val="0"/>
                      <w:sz w:val="21"/>
                      <w:szCs w:val="21"/>
                      <w:highlight w:val="none"/>
                    </w:rPr>
                    <w:t>农村生活供水</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napToGrid w:val="0"/>
                      <w:color w:val="auto"/>
                      <w:kern w:val="0"/>
                      <w:sz w:val="21"/>
                      <w:szCs w:val="21"/>
                      <w:highlight w:val="none"/>
                    </w:rPr>
                  </w:pPr>
                  <w:r>
                    <w:rPr>
                      <w:snapToGrid w:val="0"/>
                      <w:color w:val="auto"/>
                      <w:kern w:val="0"/>
                      <w:sz w:val="21"/>
                      <w:szCs w:val="21"/>
                      <w:highlight w:val="none"/>
                    </w:rPr>
                    <w:t>24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2030水平年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七</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淹没损失及永久占地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淹没及工程永久占地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rPr>
                    <w:t>40.88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其中耕地</w:t>
                  </w:r>
                  <w:r>
                    <w:rPr>
                      <w:rFonts w:hint="eastAsia"/>
                      <w:color w:val="auto"/>
                      <w:kern w:val="0"/>
                      <w:sz w:val="21"/>
                      <w:szCs w:val="21"/>
                      <w:highlight w:val="none"/>
                    </w:rPr>
                    <w:t>104.98</w:t>
                  </w:r>
                  <w:r>
                    <w:rPr>
                      <w:color w:val="auto"/>
                      <w:kern w:val="0"/>
                      <w:sz w:val="21"/>
                      <w:szCs w:val="21"/>
                      <w:highlight w:val="none"/>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迁移人口</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人</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淹没房屋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渠系工程永久占地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0.96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八</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主要建筑物及设备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大坝</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⑴</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坝型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沥青</w:t>
                  </w:r>
                  <w:r>
                    <w:rPr>
                      <w:color w:val="auto"/>
                      <w:kern w:val="0"/>
                      <w:sz w:val="21"/>
                      <w:szCs w:val="21"/>
                      <w:highlight w:val="none"/>
                    </w:rPr>
                    <w:t>混凝</w:t>
                  </w:r>
                  <w:r>
                    <w:rPr>
                      <w:rFonts w:hint="eastAsia"/>
                      <w:color w:val="auto"/>
                      <w:kern w:val="0"/>
                      <w:sz w:val="21"/>
                      <w:szCs w:val="21"/>
                      <w:highlight w:val="none"/>
                    </w:rPr>
                    <w:t>土</w:t>
                  </w:r>
                  <w:r>
                    <w:rPr>
                      <w:color w:val="auto"/>
                      <w:kern w:val="0"/>
                      <w:sz w:val="21"/>
                      <w:szCs w:val="21"/>
                      <w:highlight w:val="none"/>
                    </w:rPr>
                    <w:t>心墙石渣坝</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地基特性</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砂、泥岩互层</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地震动峰值加速度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0.05g</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坝顶高程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597.50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最大坝高</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54.5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坝顶长度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185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坝顶宽度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spacing w:val="-3"/>
                      <w:highlight w:val="none"/>
                    </w:rPr>
                    <w:t>最大坝底宽度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ascii="Times New Roman" w:hAnsi="Times New Roman" w:eastAsia="Times New Roman" w:cs="Times New Roman"/>
                      <w:color w:val="auto"/>
                      <w:spacing w:val="-1"/>
                      <w:sz w:val="21"/>
                      <w:szCs w:val="21"/>
                      <w:highlight w:val="none"/>
                    </w:rPr>
                    <w:t>261.49</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pacing w:val="-3"/>
                      <w:highlight w:val="none"/>
                    </w:rPr>
                  </w:pPr>
                  <w:r>
                    <w:rPr>
                      <w:color w:val="auto"/>
                      <w:spacing w:val="-3"/>
                      <w:highlight w:val="none"/>
                    </w:rPr>
                    <w:t>基础防渗方式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color w:val="auto"/>
                      <w:spacing w:val="-1"/>
                      <w:sz w:val="21"/>
                      <w:szCs w:val="21"/>
                      <w:highlight w:val="none"/>
                    </w:rPr>
                  </w:pPr>
                  <w:r>
                    <w:rPr>
                      <w:color w:val="auto"/>
                      <w:spacing w:val="-3"/>
                      <w:highlight w:val="none"/>
                    </w:rPr>
                    <w:t>帷幕灌浆</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⑵</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上游坝坡（1: m）</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2.25/2.5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下游坝坡（1: m）</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2.25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泄水建筑物</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lang w:val="en-US" w:eastAsia="zh-CN"/>
                    </w:rPr>
                    <w:t>⑴</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泄洪方式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highlight w:val="none"/>
                      <w:lang w:val="en-US" w:eastAsia="zh-CN"/>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开敞式侧堰</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lang w:val="en-US" w:eastAsia="zh-CN"/>
                    </w:rPr>
                    <w:t>⑵</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溢洪道</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地基特性</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砂、泥岩互层</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堰面型式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实用堰</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snapToGrid w:val="0"/>
                      <w:color w:val="auto"/>
                      <w:kern w:val="0"/>
                      <w:sz w:val="21"/>
                      <w:szCs w:val="21"/>
                      <w:highlight w:val="none"/>
                    </w:rPr>
                    <w:t>开敞式</w:t>
                  </w:r>
                  <w:r>
                    <w:rPr>
                      <w:rFonts w:hint="eastAsia"/>
                      <w:snapToGrid w:val="0"/>
                      <w:color w:val="auto"/>
                      <w:kern w:val="0"/>
                      <w:sz w:val="21"/>
                      <w:szCs w:val="21"/>
                      <w:highlight w:val="none"/>
                    </w:rPr>
                    <w:t>侧堰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堰顶高程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594.50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总长</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322.30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泄槽净宽</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lang w:val="en-US" w:eastAsia="zh-CN"/>
                    </w:rPr>
                    <w:t>涉及</w:t>
                  </w:r>
                  <w:r>
                    <w:rPr>
                      <w:color w:val="auto"/>
                      <w:kern w:val="0"/>
                      <w:sz w:val="21"/>
                      <w:szCs w:val="21"/>
                      <w:highlight w:val="none"/>
                    </w:rPr>
                    <w:t>最大泄量（P=0.33%）</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203.26</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设计下泄流量（3.33%）</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117.62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消能方式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底流消能</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取水建筑物</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⑴</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取水</w:t>
                  </w:r>
                  <w:r>
                    <w:rPr>
                      <w:rFonts w:hint="eastAsia"/>
                      <w:color w:val="auto"/>
                      <w:kern w:val="0"/>
                      <w:sz w:val="21"/>
                      <w:szCs w:val="21"/>
                      <w:highlight w:val="none"/>
                    </w:rPr>
                    <w:t>（放空、导流）隧洞</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进水口形式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spacing w:val="-2"/>
                      <w:highlight w:val="none"/>
                    </w:rPr>
                    <w:t>塔式进水口</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取水流量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0.711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放空钢管</w:t>
                  </w:r>
                  <w:r>
                    <w:rPr>
                      <w:color w:val="auto"/>
                      <w:kern w:val="0"/>
                      <w:sz w:val="21"/>
                      <w:szCs w:val="21"/>
                      <w:highlight w:val="none"/>
                    </w:rPr>
                    <w:t>管径</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snapToGrid w:val="0"/>
                      <w:color w:val="auto"/>
                      <w:kern w:val="0"/>
                      <w:sz w:val="21"/>
                      <w:szCs w:val="21"/>
                      <w:highlight w:val="none"/>
                    </w:rPr>
                    <w:t>800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取水钢管</w:t>
                  </w:r>
                  <w:r>
                    <w:rPr>
                      <w:color w:val="auto"/>
                      <w:kern w:val="0"/>
                      <w:sz w:val="21"/>
                      <w:szCs w:val="21"/>
                      <w:highlight w:val="none"/>
                    </w:rPr>
                    <w:t>管径</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snapToGrid w:val="0"/>
                      <w:color w:val="auto"/>
                      <w:kern w:val="0"/>
                      <w:sz w:val="21"/>
                      <w:szCs w:val="21"/>
                      <w:highlight w:val="none"/>
                    </w:rPr>
                    <w:t>700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取水</w:t>
                  </w:r>
                  <w:r>
                    <w:rPr>
                      <w:color w:val="auto"/>
                      <w:kern w:val="0"/>
                      <w:sz w:val="21"/>
                      <w:szCs w:val="21"/>
                      <w:highlight w:val="none"/>
                    </w:rPr>
                    <w:t>型式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竖井式取水口</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进口</w:t>
                  </w:r>
                  <w:r>
                    <w:rPr>
                      <w:color w:val="auto"/>
                      <w:kern w:val="0"/>
                      <w:sz w:val="21"/>
                      <w:szCs w:val="21"/>
                      <w:highlight w:val="none"/>
                    </w:rPr>
                    <w:t>高程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557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闸门型式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平面钢闸门</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生态放水钢管直径</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10</w:t>
                  </w:r>
                  <w:r>
                    <w:rPr>
                      <w:color w:val="auto"/>
                      <w:kern w:val="0"/>
                      <w:sz w:val="21"/>
                      <w:szCs w:val="21"/>
                      <w:highlight w:val="none"/>
                    </w:rPr>
                    <w:t>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渠系建筑物</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⑴</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干</w:t>
                  </w:r>
                  <w:r>
                    <w:rPr>
                      <w:rFonts w:hint="eastAsia"/>
                      <w:color w:val="auto"/>
                      <w:kern w:val="0"/>
                      <w:sz w:val="21"/>
                      <w:szCs w:val="21"/>
                      <w:highlight w:val="none"/>
                    </w:rPr>
                    <w:t>管</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设计流量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0.711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干</w:t>
                  </w:r>
                  <w:r>
                    <w:rPr>
                      <w:rFonts w:hint="eastAsia"/>
                      <w:color w:val="auto"/>
                      <w:kern w:val="0"/>
                      <w:sz w:val="21"/>
                      <w:szCs w:val="21"/>
                      <w:highlight w:val="none"/>
                    </w:rPr>
                    <w:t>管</w:t>
                  </w:r>
                  <w:r>
                    <w:rPr>
                      <w:color w:val="auto"/>
                      <w:kern w:val="0"/>
                      <w:sz w:val="21"/>
                      <w:szCs w:val="21"/>
                      <w:highlight w:val="none"/>
                    </w:rPr>
                    <w:t>长度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km</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11.187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管材</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钢管/PE管</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支</w:t>
                  </w:r>
                  <w:r>
                    <w:rPr>
                      <w:rFonts w:hint="eastAsia"/>
                      <w:color w:val="auto"/>
                      <w:kern w:val="0"/>
                      <w:sz w:val="21"/>
                      <w:szCs w:val="21"/>
                      <w:highlight w:val="none"/>
                    </w:rPr>
                    <w:t>管</w:t>
                  </w:r>
                  <w:r>
                    <w:rPr>
                      <w:color w:val="auto"/>
                      <w:kern w:val="0"/>
                      <w:sz w:val="21"/>
                      <w:szCs w:val="21"/>
                      <w:highlight w:val="none"/>
                    </w:rPr>
                    <w:t>数量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条</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控制灌面</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万</w:t>
                  </w:r>
                  <w:r>
                    <w:rPr>
                      <w:color w:val="auto"/>
                      <w:kern w:val="0"/>
                      <w:sz w:val="21"/>
                      <w:szCs w:val="21"/>
                      <w:highlight w:val="none"/>
                    </w:rPr>
                    <w:t>亩</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2.14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bookmarkStart w:id="5" w:name="OLE_LINK4"/>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spacing w:val="-5"/>
                      <w:highlight w:val="none"/>
                    </w:rPr>
                    <w:t>供水人口</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万人</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0.54</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九</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施工</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主体工程量</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枢纽</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渠系</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土石方开挖</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16.83</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eastAsia="等线"/>
                      <w:color w:val="auto"/>
                      <w:sz w:val="21"/>
                      <w:szCs w:val="21"/>
                      <w:highlight w:val="none"/>
                    </w:rPr>
                    <w:t>3.93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土石填筑</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49.91</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eastAsia="等线"/>
                      <w:color w:val="auto"/>
                      <w:sz w:val="21"/>
                      <w:szCs w:val="21"/>
                      <w:highlight w:val="none"/>
                    </w:rPr>
                    <w:t>3.20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混凝土</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万m</w:t>
                  </w:r>
                  <w:r>
                    <w:rPr>
                      <w:color w:val="auto"/>
                      <w:kern w:val="0"/>
                      <w:sz w:val="21"/>
                      <w:szCs w:val="21"/>
                      <w:highlight w:val="none"/>
                      <w:vertAlign w:val="superscript"/>
                    </w:rPr>
                    <w:t>3</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2.31</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hint="eastAsia" w:eastAsia="等线"/>
                      <w:color w:val="auto"/>
                      <w:sz w:val="21"/>
                      <w:szCs w:val="21"/>
                      <w:highlight w:val="none"/>
                    </w:rPr>
                    <w:t>0.</w:t>
                  </w:r>
                  <w:r>
                    <w:rPr>
                      <w:rFonts w:eastAsia="等线"/>
                      <w:color w:val="auto"/>
                      <w:sz w:val="21"/>
                      <w:szCs w:val="21"/>
                      <w:highlight w:val="none"/>
                    </w:rPr>
                    <w:t>0</w:t>
                  </w:r>
                  <w:r>
                    <w:rPr>
                      <w:rFonts w:hint="eastAsia" w:eastAsia="等线"/>
                      <w:color w:val="auto"/>
                      <w:sz w:val="21"/>
                      <w:szCs w:val="21"/>
                      <w:highlight w:val="none"/>
                    </w:rPr>
                    <w:t>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帷幕灌浆</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4086</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eastAsia="等线"/>
                      <w:color w:val="auto"/>
                      <w:sz w:val="21"/>
                      <w:szCs w:val="21"/>
                      <w:highlight w:val="none"/>
                    </w:rPr>
                    <w:t>/</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固结灌浆</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m</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1346</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eastAsia="等线"/>
                      <w:color w:val="auto"/>
                      <w:sz w:val="21"/>
                      <w:szCs w:val="21"/>
                      <w:highlight w:val="none"/>
                    </w:rPr>
                    <w:t>/</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钢筋制安</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eastAsia="等线"/>
                      <w:color w:val="auto"/>
                      <w:sz w:val="21"/>
                      <w:szCs w:val="21"/>
                      <w:highlight w:val="none"/>
                    </w:rPr>
                  </w:pPr>
                  <w:r>
                    <w:rPr>
                      <w:rFonts w:hint="eastAsia" w:eastAsia="等线"/>
                      <w:color w:val="auto"/>
                      <w:sz w:val="21"/>
                      <w:szCs w:val="21"/>
                      <w:highlight w:val="none"/>
                    </w:rPr>
                    <w:t>1231</w:t>
                  </w: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color w:val="auto"/>
                      <w:sz w:val="21"/>
                      <w:szCs w:val="21"/>
                      <w:highlight w:val="none"/>
                    </w:rPr>
                  </w:pPr>
                  <w:r>
                    <w:rPr>
                      <w:rFonts w:eastAsia="等线"/>
                      <w:color w:val="auto"/>
                      <w:sz w:val="21"/>
                      <w:szCs w:val="21"/>
                      <w:highlight w:val="none"/>
                    </w:rPr>
                    <w:t>/</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管道</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m</w:t>
                  </w:r>
                </w:p>
              </w:tc>
              <w:tc>
                <w:tcPr>
                  <w:tcW w:w="726"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hint="eastAsia" w:eastAsia="等线"/>
                      <w:color w:val="auto"/>
                      <w:sz w:val="21"/>
                      <w:szCs w:val="21"/>
                      <w:highlight w:val="none"/>
                    </w:rPr>
                  </w:pPr>
                </w:p>
              </w:tc>
              <w:tc>
                <w:tcPr>
                  <w:tcW w:w="652" w:type="pct"/>
                  <w:tcBorders>
                    <w:tl2br w:val="nil"/>
                    <w:tr2bl w:val="nil"/>
                  </w:tcBorders>
                  <w:vAlign w:val="center"/>
                </w:tcPr>
                <w:p>
                  <w:pPr>
                    <w:pStyle w:val="79"/>
                    <w:keepNext w:val="0"/>
                    <w:keepLines w:val="0"/>
                    <w:pageBreakBefore w:val="0"/>
                    <w:kinsoku/>
                    <w:wordWrap/>
                    <w:overflowPunct/>
                    <w:topLinePunct w:val="0"/>
                    <w:autoSpaceDE/>
                    <w:autoSpaceDN/>
                    <w:bidi w:val="0"/>
                    <w:adjustRightInd/>
                    <w:snapToGrid/>
                    <w:jc w:val="center"/>
                    <w:textAlignment w:val="auto"/>
                    <w:rPr>
                      <w:rFonts w:hint="default" w:eastAsia="等线"/>
                      <w:color w:val="auto"/>
                      <w:sz w:val="21"/>
                      <w:szCs w:val="21"/>
                      <w:highlight w:val="none"/>
                      <w:lang w:val="en-US" w:eastAsia="zh-CN"/>
                    </w:rPr>
                  </w:pPr>
                  <w:r>
                    <w:rPr>
                      <w:rFonts w:hint="eastAsia" w:eastAsia="等线"/>
                      <w:color w:val="auto"/>
                      <w:sz w:val="21"/>
                      <w:szCs w:val="21"/>
                      <w:highlight w:val="none"/>
                      <w:lang w:val="en-US" w:eastAsia="zh-CN"/>
                    </w:rPr>
                    <w:t>25517</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主要建筑材料</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枢纽</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渠系</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水泥</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7369</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370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炸药</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179</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钢筋、钢材</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1673</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4.31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油料</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t</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957</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109.38</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3</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劳动力</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枢纽</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渠系</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总工期</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月</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28</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13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总工</w:t>
                  </w:r>
                  <w:r>
                    <w:rPr>
                      <w:rFonts w:hint="eastAsia"/>
                      <w:color w:val="auto"/>
                      <w:kern w:val="0"/>
                      <w:sz w:val="21"/>
                      <w:szCs w:val="21"/>
                      <w:highlight w:val="none"/>
                    </w:rPr>
                    <w:t>时</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万工</w:t>
                  </w:r>
                  <w:r>
                    <w:rPr>
                      <w:rFonts w:hint="eastAsia"/>
                      <w:color w:val="auto"/>
                      <w:kern w:val="0"/>
                      <w:sz w:val="21"/>
                      <w:szCs w:val="21"/>
                      <w:highlight w:val="none"/>
                    </w:rPr>
                    <w:t>时</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141</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14.41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高峰施工人数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人</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180</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100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施工最大用电负荷</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kW</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1200</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200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施工</w:t>
                  </w:r>
                  <w:r>
                    <w:rPr>
                      <w:rFonts w:hint="eastAsia"/>
                      <w:color w:val="auto"/>
                      <w:kern w:val="0"/>
                      <w:sz w:val="21"/>
                      <w:szCs w:val="21"/>
                      <w:highlight w:val="none"/>
                    </w:rPr>
                    <w:t>临时</w:t>
                  </w:r>
                  <w:r>
                    <w:rPr>
                      <w:color w:val="auto"/>
                      <w:kern w:val="0"/>
                      <w:sz w:val="21"/>
                      <w:szCs w:val="21"/>
                      <w:highlight w:val="none"/>
                    </w:rPr>
                    <w:t>占地</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亩</w:t>
                  </w:r>
                </w:p>
              </w:tc>
              <w:tc>
                <w:tcPr>
                  <w:tcW w:w="72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166.70</w:t>
                  </w:r>
                </w:p>
              </w:tc>
              <w:tc>
                <w:tcPr>
                  <w:tcW w:w="65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102.82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合计269.52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6</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施工总进度</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施工准备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月</w:t>
                  </w: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8</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主体工程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月</w:t>
                  </w: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19</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完建期</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月</w:t>
                  </w: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总工期</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月</w:t>
                  </w: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28</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十</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kern w:val="0"/>
                      <w:sz w:val="21"/>
                      <w:szCs w:val="21"/>
                      <w:highlight w:val="none"/>
                    </w:rPr>
                  </w:pPr>
                  <w:r>
                    <w:rPr>
                      <w:b/>
                      <w:bCs/>
                      <w:color w:val="auto"/>
                      <w:kern w:val="0"/>
                      <w:sz w:val="21"/>
                      <w:szCs w:val="21"/>
                      <w:highlight w:val="none"/>
                    </w:rPr>
                    <w:t>经济指标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7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枢纽</w:t>
                  </w:r>
                </w:p>
              </w:tc>
              <w:tc>
                <w:tcPr>
                  <w:tcW w:w="65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渠系</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工程部分</w:t>
                  </w:r>
                  <w:r>
                    <w:rPr>
                      <w:color w:val="auto"/>
                      <w:kern w:val="0"/>
                      <w:sz w:val="21"/>
                      <w:szCs w:val="21"/>
                      <w:highlight w:val="none"/>
                    </w:rPr>
                    <w:t>投资</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color w:val="auto"/>
                      <w:kern w:val="0"/>
                      <w:sz w:val="21"/>
                      <w:szCs w:val="21"/>
                      <w:highlight w:val="none"/>
                    </w:rPr>
                  </w:pPr>
                  <w:r>
                    <w:rPr>
                      <w:rFonts w:hint="eastAsia"/>
                      <w:color w:val="auto"/>
                      <w:kern w:val="0"/>
                      <w:sz w:val="21"/>
                      <w:szCs w:val="21"/>
                      <w:highlight w:val="none"/>
                    </w:rPr>
                    <w:t>12384.77</w:t>
                  </w:r>
                </w:p>
              </w:tc>
              <w:tc>
                <w:tcPr>
                  <w:tcW w:w="65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color w:val="auto"/>
                      <w:kern w:val="0"/>
                      <w:sz w:val="21"/>
                      <w:szCs w:val="21"/>
                      <w:highlight w:val="none"/>
                    </w:rPr>
                  </w:pPr>
                  <w:r>
                    <w:rPr>
                      <w:rFonts w:hint="eastAsia"/>
                      <w:color w:val="auto"/>
                      <w:kern w:val="0"/>
                      <w:sz w:val="21"/>
                      <w:szCs w:val="21"/>
                      <w:highlight w:val="none"/>
                    </w:rPr>
                    <w:t>1591.64</w:t>
                  </w:r>
                </w:p>
              </w:tc>
              <w:tc>
                <w:tcPr>
                  <w:tcW w:w="114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color w:val="auto"/>
                      <w:kern w:val="0"/>
                      <w:sz w:val="21"/>
                      <w:szCs w:val="21"/>
                      <w:highlight w:val="none"/>
                    </w:rPr>
                  </w:pPr>
                  <w:r>
                    <w:rPr>
                      <w:rFonts w:hint="eastAsia"/>
                      <w:color w:val="auto"/>
                      <w:kern w:val="0"/>
                      <w:sz w:val="21"/>
                      <w:szCs w:val="21"/>
                      <w:highlight w:val="none"/>
                    </w:rPr>
                    <w:t>13976.41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建筑工程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8173.58</w:t>
                  </w:r>
                </w:p>
              </w:tc>
              <w:tc>
                <w:tcPr>
                  <w:tcW w:w="65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1116.76</w:t>
                  </w:r>
                </w:p>
              </w:tc>
              <w:tc>
                <w:tcPr>
                  <w:tcW w:w="114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9290.34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机电设备及安装工程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157.16</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142.00</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299.15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金属结构设备及安装工程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225.47</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225.47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临时工程</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1189.91</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68.23</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1258.14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独立费用</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1977.80</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188.86</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2166.66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基本预备费</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589.75</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75.79</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665.54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建设征地移民安置投资</w:t>
                  </w:r>
                </w:p>
              </w:tc>
              <w:tc>
                <w:tcPr>
                  <w:tcW w:w="50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3313.36</w:t>
                  </w:r>
                </w:p>
              </w:tc>
              <w:tc>
                <w:tcPr>
                  <w:tcW w:w="65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281.48</w:t>
                  </w:r>
                </w:p>
              </w:tc>
              <w:tc>
                <w:tcPr>
                  <w:tcW w:w="114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3594.84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3</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环境保护投资</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96.16</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49.14</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145.30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4</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水土保持投资</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226.97</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174.77</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401.74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5</w:t>
                  </w:r>
                </w:p>
              </w:tc>
              <w:tc>
                <w:tcPr>
                  <w:tcW w:w="1527"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工程</w:t>
                  </w:r>
                  <w:r>
                    <w:rPr>
                      <w:color w:val="auto"/>
                      <w:kern w:val="0"/>
                      <w:sz w:val="21"/>
                      <w:szCs w:val="21"/>
                      <w:highlight w:val="none"/>
                    </w:rPr>
                    <w:t>静态总投资</w:t>
                  </w:r>
                </w:p>
              </w:tc>
              <w:tc>
                <w:tcPr>
                  <w:tcW w:w="50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72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16021.26</w:t>
                  </w:r>
                </w:p>
              </w:tc>
              <w:tc>
                <w:tcPr>
                  <w:tcW w:w="65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2097.03</w:t>
                  </w:r>
                </w:p>
              </w:tc>
              <w:tc>
                <w:tcPr>
                  <w:tcW w:w="11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18118.29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4</w:t>
                  </w: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综合利用经济指标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sz w:val="21"/>
                      <w:szCs w:val="21"/>
                      <w:highlight w:val="none"/>
                    </w:rPr>
                    <w:t>耕地</w:t>
                  </w:r>
                  <w:r>
                    <w:rPr>
                      <w:rFonts w:hint="eastAsia"/>
                      <w:color w:val="auto"/>
                      <w:sz w:val="21"/>
                      <w:szCs w:val="21"/>
                      <w:highlight w:val="none"/>
                    </w:rPr>
                    <w:t>自流</w:t>
                  </w:r>
                  <w:r>
                    <w:rPr>
                      <w:color w:val="auto"/>
                      <w:kern w:val="0"/>
                      <w:sz w:val="21"/>
                      <w:szCs w:val="21"/>
                      <w:highlight w:val="none"/>
                    </w:rPr>
                    <w:t>灌溉用水水价</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元/m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0</w:t>
                  </w:r>
                  <w:r>
                    <w:rPr>
                      <w:color w:val="auto"/>
                      <w:kern w:val="0"/>
                      <w:sz w:val="21"/>
                      <w:szCs w:val="21"/>
                      <w:highlight w:val="none"/>
                    </w:rPr>
                    <w:t>.35</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sz w:val="21"/>
                      <w:szCs w:val="21"/>
                      <w:highlight w:val="none"/>
                    </w:rPr>
                    <w:t>园林</w:t>
                  </w:r>
                  <w:r>
                    <w:rPr>
                      <w:color w:val="auto"/>
                      <w:sz w:val="21"/>
                      <w:szCs w:val="21"/>
                      <w:highlight w:val="none"/>
                    </w:rPr>
                    <w:t>地</w:t>
                  </w:r>
                  <w:r>
                    <w:rPr>
                      <w:rFonts w:hint="eastAsia"/>
                      <w:color w:val="auto"/>
                      <w:sz w:val="21"/>
                      <w:szCs w:val="21"/>
                      <w:highlight w:val="none"/>
                    </w:rPr>
                    <w:t>提水</w:t>
                  </w:r>
                  <w:r>
                    <w:rPr>
                      <w:color w:val="auto"/>
                      <w:sz w:val="21"/>
                      <w:szCs w:val="21"/>
                      <w:highlight w:val="none"/>
                    </w:rPr>
                    <w:t>灌溉灌溉水价</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元/m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2.2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人畜供水水价</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元/m</w:t>
                  </w:r>
                  <w:r>
                    <w:rPr>
                      <w:color w:val="auto"/>
                      <w:kern w:val="0"/>
                      <w:sz w:val="21"/>
                      <w:szCs w:val="21"/>
                      <w:highlight w:val="none"/>
                      <w:vertAlign w:val="superscript"/>
                    </w:rPr>
                    <w:t>3</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2.0</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经济内部收益率</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8.</w:t>
                  </w:r>
                  <w:r>
                    <w:rPr>
                      <w:rFonts w:hint="eastAsia"/>
                      <w:color w:val="auto"/>
                      <w:kern w:val="0"/>
                      <w:sz w:val="21"/>
                      <w:szCs w:val="21"/>
                      <w:highlight w:val="none"/>
                    </w:rPr>
                    <w:t>03</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经济净现值</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万元</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1</w:t>
                  </w:r>
                  <w:r>
                    <w:rPr>
                      <w:rFonts w:hint="eastAsia"/>
                      <w:color w:val="auto"/>
                      <w:kern w:val="0"/>
                      <w:sz w:val="21"/>
                      <w:szCs w:val="21"/>
                      <w:highlight w:val="none"/>
                    </w:rPr>
                    <w:t>995.52</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152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t>经济效益费用比</w:t>
                  </w:r>
                </w:p>
              </w:tc>
              <w:tc>
                <w:tcPr>
                  <w:tcW w:w="50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378"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rFonts w:hint="eastAsia"/>
                      <w:color w:val="auto"/>
                      <w:kern w:val="0"/>
                      <w:sz w:val="21"/>
                      <w:szCs w:val="21"/>
                      <w:highlight w:val="none"/>
                    </w:rPr>
                    <w:t>1.11</w:t>
                  </w:r>
                </w:p>
              </w:tc>
              <w:tc>
                <w:tcPr>
                  <w:tcW w:w="11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r>
          </w:tbl>
          <w:p>
            <w:pPr>
              <w:spacing w:line="360" w:lineRule="auto"/>
              <w:rPr>
                <w:rFonts w:hint="eastAsia" w:ascii="Arial" w:hAnsi="宋体" w:cs="Arial"/>
                <w:b/>
                <w:color w:val="auto"/>
                <w:sz w:val="24"/>
                <w:highlight w:val="none"/>
                <w:lang w:bidi="en-US"/>
              </w:rPr>
            </w:pPr>
            <w:r>
              <w:rPr>
                <w:rFonts w:hint="eastAsia" w:ascii="Arial" w:hAnsi="宋体" w:cs="Arial"/>
                <w:b/>
                <w:color w:val="auto"/>
                <w:sz w:val="24"/>
                <w:highlight w:val="none"/>
                <w:lang w:bidi="en-US"/>
              </w:rPr>
              <w:t>三、项目组成</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本项目组成情况及主要环境问题见下表</w:t>
            </w:r>
            <w:r>
              <w:rPr>
                <w:rFonts w:hint="eastAsia"/>
                <w:color w:val="auto"/>
                <w:sz w:val="24"/>
                <w:highlight w:val="none"/>
                <w:lang w:eastAsia="zh-CN"/>
              </w:rPr>
              <w:t>：</w:t>
            </w:r>
          </w:p>
          <w:p>
            <w:pPr>
              <w:tabs>
                <w:tab w:val="left" w:pos="3780"/>
              </w:tabs>
              <w:spacing w:line="360" w:lineRule="auto"/>
              <w:jc w:val="center"/>
              <w:rPr>
                <w:b/>
                <w:color w:val="auto"/>
                <w:szCs w:val="21"/>
                <w:highlight w:val="none"/>
              </w:rPr>
            </w:pPr>
            <w:bookmarkStart w:id="6" w:name="bookmark171"/>
            <w:bookmarkEnd w:id="6"/>
            <w:r>
              <w:rPr>
                <w:b/>
                <w:color w:val="auto"/>
                <w:szCs w:val="21"/>
                <w:highlight w:val="none"/>
              </w:rPr>
              <w:t>表</w:t>
            </w:r>
            <w:r>
              <w:rPr>
                <w:rFonts w:hint="eastAsia"/>
                <w:b/>
                <w:color w:val="auto"/>
                <w:szCs w:val="21"/>
                <w:highlight w:val="none"/>
                <w:lang w:val="en-US" w:eastAsia="zh-CN"/>
              </w:rPr>
              <w:t>2</w:t>
            </w:r>
            <w:r>
              <w:rPr>
                <w:b/>
                <w:color w:val="auto"/>
                <w:szCs w:val="21"/>
                <w:highlight w:val="none"/>
              </w:rPr>
              <w:t>-</w:t>
            </w:r>
            <w:r>
              <w:rPr>
                <w:rFonts w:hint="eastAsia"/>
                <w:b/>
                <w:color w:val="auto"/>
                <w:szCs w:val="21"/>
                <w:highlight w:val="none"/>
                <w:lang w:val="en-US" w:eastAsia="zh-CN"/>
              </w:rPr>
              <w:t>2</w:t>
            </w:r>
            <w:r>
              <w:rPr>
                <w:b/>
                <w:color w:val="auto"/>
                <w:szCs w:val="21"/>
                <w:highlight w:val="none"/>
              </w:rPr>
              <w:t xml:space="preserve"> </w:t>
            </w:r>
            <w:r>
              <w:rPr>
                <w:rFonts w:hint="eastAsia"/>
                <w:b/>
                <w:color w:val="auto"/>
                <w:szCs w:val="21"/>
                <w:highlight w:val="none"/>
                <w:lang w:val="en-US" w:eastAsia="zh-CN"/>
              </w:rPr>
              <w:t xml:space="preserve"> </w:t>
            </w:r>
            <w:r>
              <w:rPr>
                <w:b/>
                <w:color w:val="auto"/>
                <w:szCs w:val="21"/>
                <w:highlight w:val="none"/>
              </w:rPr>
              <w:t>项目组成及主要环境问题</w:t>
            </w:r>
          </w:p>
          <w:tbl>
            <w:tblPr>
              <w:tblStyle w:val="76"/>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1"/>
              <w:gridCol w:w="659"/>
              <w:gridCol w:w="1194"/>
              <w:gridCol w:w="3273"/>
              <w:gridCol w:w="1917"/>
              <w:gridCol w:w="907"/>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251" w:type="pct"/>
                  <w:gridSpan w:val="3"/>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highlight w:val="none"/>
                    </w:rPr>
                  </w:pPr>
                  <w:r>
                    <w:rPr>
                      <w:b/>
                      <w:bCs/>
                      <w:color w:val="auto"/>
                      <w:spacing w:val="-3"/>
                      <w:highlight w:val="none"/>
                    </w:rPr>
                    <w:t>项目组成</w:t>
                  </w:r>
                </w:p>
              </w:tc>
              <w:tc>
                <w:tcPr>
                  <w:tcW w:w="1793"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highlight w:val="none"/>
                    </w:rPr>
                  </w:pPr>
                  <w:r>
                    <w:rPr>
                      <w:b/>
                      <w:bCs/>
                      <w:color w:val="auto"/>
                      <w:spacing w:val="-2"/>
                      <w:highlight w:val="none"/>
                    </w:rPr>
                    <w:t>建设内容及规模</w:t>
                  </w:r>
                </w:p>
              </w:tc>
              <w:tc>
                <w:tcPr>
                  <w:tcW w:w="1547" w:type="pct"/>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highlight w:val="none"/>
                    </w:rPr>
                  </w:pPr>
                  <w:r>
                    <w:rPr>
                      <w:b/>
                      <w:bCs/>
                      <w:color w:val="auto"/>
                      <w:spacing w:val="-1"/>
                      <w:highlight w:val="none"/>
                    </w:rPr>
                    <w:t>可能产生的环境影响</w:t>
                  </w:r>
                </w:p>
              </w:tc>
              <w:tc>
                <w:tcPr>
                  <w:tcW w:w="407"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b/>
                      <w:bCs/>
                      <w:color w:val="auto"/>
                      <w:spacing w:val="-1"/>
                      <w:highlight w:val="none"/>
                      <w:lang w:val="en-US" w:eastAsia="zh-CN"/>
                    </w:rPr>
                  </w:pPr>
                  <w:r>
                    <w:rPr>
                      <w:rFonts w:hint="eastAsia"/>
                      <w:b/>
                      <w:bCs/>
                      <w:color w:val="auto"/>
                      <w:spacing w:val="-1"/>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125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b/>
                      <w:bCs/>
                      <w:color w:val="auto"/>
                      <w:sz w:val="21"/>
                      <w:highlight w:val="none"/>
                    </w:rPr>
                  </w:pPr>
                </w:p>
              </w:tc>
              <w:tc>
                <w:tcPr>
                  <w:tcW w:w="17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b/>
                      <w:bCs/>
                      <w:color w:val="auto"/>
                      <w:sz w:val="21"/>
                      <w:highlight w:val="none"/>
                    </w:rPr>
                  </w:pPr>
                </w:p>
              </w:tc>
              <w:tc>
                <w:tcPr>
                  <w:tcW w:w="1050"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highlight w:val="none"/>
                    </w:rPr>
                  </w:pPr>
                  <w:r>
                    <w:rPr>
                      <w:b/>
                      <w:bCs/>
                      <w:color w:val="auto"/>
                      <w:spacing w:val="-2"/>
                      <w:highlight w:val="none"/>
                    </w:rPr>
                    <w:t>施工期</w:t>
                  </w:r>
                </w:p>
              </w:tc>
              <w:tc>
                <w:tcPr>
                  <w:tcW w:w="497"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highlight w:val="none"/>
                    </w:rPr>
                  </w:pPr>
                  <w:r>
                    <w:rPr>
                      <w:b/>
                      <w:bCs/>
                      <w:color w:val="auto"/>
                      <w:spacing w:val="-2"/>
                      <w:highlight w:val="none"/>
                    </w:rPr>
                    <w:t>运行期</w:t>
                  </w:r>
                </w:p>
              </w:tc>
              <w:tc>
                <w:tcPr>
                  <w:tcW w:w="407" w:type="pct"/>
                  <w:vMerge w:val="continue"/>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color w:val="auto"/>
                      <w:spacing w:val="-2"/>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82" w:hRule="atLeast"/>
                <w:jc w:val="center"/>
              </w:trPr>
              <w:tc>
                <w:tcPr>
                  <w:tcW w:w="236"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46"/>
                      <w:highlight w:val="none"/>
                    </w:rPr>
                    <w:t>枢纽工程</w:t>
                  </w:r>
                </w:p>
              </w:tc>
              <w:tc>
                <w:tcPr>
                  <w:tcW w:w="361"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pacing w:val="-2"/>
                      <w:highlight w:val="none"/>
                    </w:rPr>
                  </w:pPr>
                  <w:r>
                    <w:rPr>
                      <w:color w:val="auto"/>
                      <w:spacing w:val="-2"/>
                      <w:highlight w:val="none"/>
                    </w:rPr>
                    <w:t>主体</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2"/>
                      <w:highlight w:val="none"/>
                    </w:rPr>
                    <w:t>工程</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3"/>
                      <w:highlight w:val="none"/>
                    </w:rPr>
                    <w:t>大坝</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highlight w:val="none"/>
                    </w:rPr>
                  </w:pPr>
                  <w:r>
                    <w:rPr>
                      <w:color w:val="auto"/>
                      <w:spacing w:val="-1"/>
                      <w:highlight w:val="none"/>
                    </w:rPr>
                    <w:t>大坝坝顶高程</w:t>
                  </w:r>
                  <w:r>
                    <w:rPr>
                      <w:rFonts w:ascii="Times New Roman" w:hAnsi="Times New Roman" w:eastAsia="Times New Roman" w:cs="Times New Roman"/>
                      <w:color w:val="auto"/>
                      <w:spacing w:val="-1"/>
                      <w:highlight w:val="none"/>
                    </w:rPr>
                    <w:t>597.50m</w:t>
                  </w:r>
                  <w:r>
                    <w:rPr>
                      <w:color w:val="auto"/>
                      <w:spacing w:val="-1"/>
                      <w:highlight w:val="none"/>
                    </w:rPr>
                    <w:t>，坝</w:t>
                  </w:r>
                  <w:r>
                    <w:rPr>
                      <w:color w:val="auto"/>
                      <w:spacing w:val="13"/>
                      <w:highlight w:val="none"/>
                    </w:rPr>
                    <w:t>顶上游侧设防浪墙，墙顶高程</w:t>
                  </w:r>
                  <w:r>
                    <w:rPr>
                      <w:rFonts w:ascii="Times New Roman" w:hAnsi="Times New Roman" w:eastAsia="Times New Roman" w:cs="Times New Roman"/>
                      <w:color w:val="auto"/>
                      <w:spacing w:val="-2"/>
                      <w:highlight w:val="none"/>
                    </w:rPr>
                    <w:t>598.70m</w:t>
                  </w:r>
                  <w:r>
                    <w:rPr>
                      <w:color w:val="auto"/>
                      <w:spacing w:val="-2"/>
                      <w:highlight w:val="none"/>
                    </w:rPr>
                    <w:t>坝</w:t>
                  </w:r>
                  <w:r>
                    <w:rPr>
                      <w:color w:val="auto"/>
                      <w:spacing w:val="-49"/>
                      <w:highlight w:val="none"/>
                    </w:rPr>
                    <w:t xml:space="preserve"> </w:t>
                  </w:r>
                  <w:r>
                    <w:rPr>
                      <w:color w:val="auto"/>
                      <w:spacing w:val="-2"/>
                      <w:highlight w:val="none"/>
                    </w:rPr>
                    <w:t>顶</w:t>
                  </w:r>
                  <w:r>
                    <w:rPr>
                      <w:color w:val="auto"/>
                      <w:spacing w:val="-38"/>
                      <w:highlight w:val="none"/>
                    </w:rPr>
                    <w:t xml:space="preserve"> </w:t>
                  </w:r>
                  <w:r>
                    <w:rPr>
                      <w:color w:val="auto"/>
                      <w:spacing w:val="-2"/>
                      <w:highlight w:val="none"/>
                    </w:rPr>
                    <w:t>宽</w:t>
                  </w:r>
                  <w:r>
                    <w:rPr>
                      <w:rFonts w:ascii="Times New Roman" w:hAnsi="Times New Roman" w:eastAsia="Times New Roman" w:cs="Times New Roman"/>
                      <w:color w:val="auto"/>
                      <w:spacing w:val="-2"/>
                      <w:highlight w:val="none"/>
                    </w:rPr>
                    <w:t>6m</w:t>
                  </w:r>
                  <w:r>
                    <w:rPr>
                      <w:color w:val="auto"/>
                      <w:spacing w:val="-2"/>
                      <w:highlight w:val="none"/>
                    </w:rPr>
                    <w:t>，坝长</w:t>
                  </w:r>
                  <w:r>
                    <w:rPr>
                      <w:rFonts w:ascii="Times New Roman" w:hAnsi="Times New Roman" w:eastAsia="Times New Roman" w:cs="Times New Roman"/>
                      <w:color w:val="auto"/>
                      <w:spacing w:val="-2"/>
                      <w:highlight w:val="none"/>
                    </w:rPr>
                    <w:t>185m</w:t>
                  </w:r>
                  <w:r>
                    <w:rPr>
                      <w:color w:val="auto"/>
                      <w:spacing w:val="-2"/>
                      <w:highlight w:val="none"/>
                    </w:rPr>
                    <w:t>，最大坝高</w:t>
                  </w:r>
                  <w:r>
                    <w:rPr>
                      <w:color w:val="auto"/>
                      <w:spacing w:val="-33"/>
                      <w:highlight w:val="none"/>
                    </w:rPr>
                    <w:t xml:space="preserve"> </w:t>
                  </w:r>
                  <w:r>
                    <w:rPr>
                      <w:rFonts w:ascii="Times New Roman" w:hAnsi="Times New Roman" w:eastAsia="Times New Roman" w:cs="Times New Roman"/>
                      <w:color w:val="auto"/>
                      <w:spacing w:val="-2"/>
                      <w:highlight w:val="none"/>
                    </w:rPr>
                    <w:t>5</w:t>
                  </w:r>
                  <w:r>
                    <w:rPr>
                      <w:rFonts w:hint="eastAsia" w:ascii="Times New Roman" w:hAnsi="Times New Roman" w:eastAsia="宋体" w:cs="Times New Roman"/>
                      <w:color w:val="auto"/>
                      <w:spacing w:val="-2"/>
                      <w:highlight w:val="none"/>
                      <w:lang w:val="en-US" w:eastAsia="zh-CN"/>
                    </w:rPr>
                    <w:t>4.5</w:t>
                  </w:r>
                  <w:r>
                    <w:rPr>
                      <w:rFonts w:ascii="Times New Roman" w:hAnsi="Times New Roman" w:eastAsia="Times New Roman" w:cs="Times New Roman"/>
                      <w:color w:val="auto"/>
                      <w:spacing w:val="-2"/>
                      <w:highlight w:val="none"/>
                    </w:rPr>
                    <w:t>m</w:t>
                  </w:r>
                  <w:r>
                    <w:rPr>
                      <w:color w:val="auto"/>
                      <w:spacing w:val="-2"/>
                      <w:highlight w:val="none"/>
                    </w:rPr>
                    <w:t>。</w:t>
                  </w:r>
                </w:p>
              </w:tc>
              <w:tc>
                <w:tcPr>
                  <w:tcW w:w="1050"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1"/>
                      <w:highlight w:val="none"/>
                    </w:rPr>
                    <w:t>扬尘、废气噪声</w:t>
                  </w:r>
                  <w:r>
                    <w:rPr>
                      <w:rFonts w:hint="eastAsia"/>
                      <w:color w:val="auto"/>
                      <w:spacing w:val="-1"/>
                      <w:highlight w:val="none"/>
                      <w:lang w:eastAsia="zh-CN"/>
                    </w:rPr>
                    <w:t>、</w:t>
                  </w:r>
                  <w:r>
                    <w:rPr>
                      <w:color w:val="auto"/>
                      <w:spacing w:val="-1"/>
                      <w:highlight w:val="none"/>
                    </w:rPr>
                    <w:t>建筑垃圾、弃土、石渣、植被破坏等亦导致水土流失，废水排放影响河流水质及水生生物生存环境，大坝可能阻隔上下游水生生物基因交流</w:t>
                  </w:r>
                </w:p>
              </w:tc>
              <w:tc>
                <w:tcPr>
                  <w:tcW w:w="49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在建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23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highlight w:val="none"/>
                    </w:rPr>
                  </w:pPr>
                </w:p>
              </w:tc>
              <w:tc>
                <w:tcPr>
                  <w:tcW w:w="3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3"/>
                      <w:highlight w:val="none"/>
                    </w:rPr>
                    <w:t>溢洪道</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highlight w:val="none"/>
                    </w:rPr>
                  </w:pPr>
                  <w:r>
                    <w:rPr>
                      <w:color w:val="auto"/>
                      <w:highlight w:val="none"/>
                    </w:rPr>
                    <w:t>溢洪道布置于大坝左岸，为开敞</w:t>
                  </w:r>
                  <w:r>
                    <w:rPr>
                      <w:color w:val="auto"/>
                      <w:spacing w:val="1"/>
                      <w:highlight w:val="none"/>
                    </w:rPr>
                    <w:t>式侧堰无闸控制溢洪明槽，由侧槽段、调整段、泄槽段、消力池段、尾水渠段组成，水平投影总</w:t>
                  </w:r>
                  <w:r>
                    <w:rPr>
                      <w:color w:val="auto"/>
                      <w:spacing w:val="-2"/>
                      <w:highlight w:val="none"/>
                    </w:rPr>
                    <w:t>长为</w:t>
                  </w:r>
                  <w:r>
                    <w:rPr>
                      <w:color w:val="auto"/>
                      <w:spacing w:val="-40"/>
                      <w:highlight w:val="none"/>
                    </w:rPr>
                    <w:t xml:space="preserve"> </w:t>
                  </w:r>
                  <w:r>
                    <w:rPr>
                      <w:rFonts w:ascii="Times New Roman" w:hAnsi="Times New Roman" w:eastAsia="Times New Roman" w:cs="Times New Roman"/>
                      <w:color w:val="auto"/>
                      <w:spacing w:val="-2"/>
                      <w:highlight w:val="none"/>
                    </w:rPr>
                    <w:t>322.30m</w:t>
                  </w:r>
                  <w:r>
                    <w:rPr>
                      <w:color w:val="auto"/>
                      <w:spacing w:val="-2"/>
                      <w:highlight w:val="none"/>
                    </w:rPr>
                    <w:t>。</w:t>
                  </w:r>
                </w:p>
              </w:tc>
              <w:tc>
                <w:tcPr>
                  <w:tcW w:w="1050"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highlight w:val="none"/>
                    </w:rPr>
                  </w:pPr>
                  <w:r>
                    <w:rPr>
                      <w:color w:val="auto"/>
                      <w:spacing w:val="-1"/>
                      <w:highlight w:val="none"/>
                    </w:rPr>
                    <w:t>扬尘、废气噪声，建筑垃圾、弃土、石渣、植被破坏等亦导致水土流失，废水排放影响河流水质及水生生物生存</w:t>
                  </w:r>
                  <w:r>
                    <w:rPr>
                      <w:color w:val="auto"/>
                      <w:spacing w:val="-9"/>
                      <w:highlight w:val="none"/>
                    </w:rPr>
                    <w:t>环境。</w:t>
                  </w:r>
                </w:p>
              </w:tc>
              <w:tc>
                <w:tcPr>
                  <w:tcW w:w="4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color w:val="auto"/>
                      <w:sz w:val="21"/>
                      <w:highlight w:val="none"/>
                    </w:rPr>
                  </w:pP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eastAsia="宋体"/>
                      <w:color w:val="auto"/>
                      <w:sz w:val="21"/>
                      <w:highlight w:val="none"/>
                      <w:lang w:val="en-US" w:eastAsia="zh-CN"/>
                    </w:rPr>
                  </w:pPr>
                  <w:r>
                    <w:rPr>
                      <w:rFonts w:hint="eastAsia" w:ascii="Arial"/>
                      <w:color w:val="auto"/>
                      <w:sz w:val="21"/>
                      <w:highlight w:val="none"/>
                      <w:lang w:val="en-US" w:eastAsia="zh-CN"/>
                    </w:rPr>
                    <w:t>在建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2" w:hRule="atLeast"/>
                <w:jc w:val="center"/>
              </w:trPr>
              <w:tc>
                <w:tcPr>
                  <w:tcW w:w="23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color w:val="auto"/>
                      <w:sz w:val="21"/>
                      <w:highlight w:val="none"/>
                    </w:rPr>
                  </w:pPr>
                </w:p>
              </w:tc>
              <w:tc>
                <w:tcPr>
                  <w:tcW w:w="3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color w:val="auto"/>
                      <w:highlight w:val="none"/>
                    </w:rPr>
                  </w:pPr>
                  <w:r>
                    <w:rPr>
                      <w:color w:val="auto"/>
                      <w:spacing w:val="-3"/>
                      <w:highlight w:val="none"/>
                    </w:rPr>
                    <w:t>取水（放</w:t>
                  </w:r>
                  <w:r>
                    <w:rPr>
                      <w:color w:val="auto"/>
                      <w:spacing w:val="-4"/>
                      <w:highlight w:val="none"/>
                    </w:rPr>
                    <w:t>空、导</w:t>
                  </w:r>
                  <w:r>
                    <w:rPr>
                      <w:color w:val="auto"/>
                      <w:spacing w:val="-2"/>
                      <w:highlight w:val="none"/>
                    </w:rPr>
                    <w:t>流）隧洞</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color w:val="auto"/>
                      <w:highlight w:val="none"/>
                    </w:rPr>
                  </w:pPr>
                  <w:r>
                    <w:rPr>
                      <w:color w:val="auto"/>
                      <w:highlight w:val="none"/>
                    </w:rPr>
                    <w:t>取水（放空、导流）隧洞布</w:t>
                  </w:r>
                  <w:r>
                    <w:rPr>
                      <w:color w:val="auto"/>
                      <w:spacing w:val="1"/>
                      <w:highlight w:val="none"/>
                    </w:rPr>
                    <w:t>置在大坝左岸，由导流洞改建而成。采用塔式取水口，进口底板</w:t>
                  </w:r>
                  <w:r>
                    <w:rPr>
                      <w:color w:val="auto"/>
                      <w:spacing w:val="-2"/>
                      <w:highlight w:val="none"/>
                    </w:rPr>
                    <w:t>高程为</w:t>
                  </w:r>
                  <w:r>
                    <w:rPr>
                      <w:rFonts w:ascii="Times New Roman" w:hAnsi="Times New Roman" w:eastAsia="Times New Roman" w:cs="Times New Roman"/>
                      <w:color w:val="auto"/>
                      <w:spacing w:val="-2"/>
                      <w:highlight w:val="none"/>
                    </w:rPr>
                    <w:t>565.00m</w:t>
                  </w:r>
                  <w:r>
                    <w:rPr>
                      <w:color w:val="auto"/>
                      <w:spacing w:val="-2"/>
                      <w:highlight w:val="none"/>
                    </w:rPr>
                    <w:t>。取水（放空、</w:t>
                  </w:r>
                  <w:r>
                    <w:rPr>
                      <w:color w:val="auto"/>
                      <w:spacing w:val="1"/>
                      <w:highlight w:val="none"/>
                    </w:rPr>
                    <w:t>导流）隧洞由进口明渠段、控制</w:t>
                  </w:r>
                  <w:r>
                    <w:rPr>
                      <w:color w:val="auto"/>
                      <w:spacing w:val="17"/>
                      <w:highlight w:val="none"/>
                    </w:rPr>
                    <w:t>段、隧洞段、和出口明渠段组</w:t>
                  </w:r>
                  <w:r>
                    <w:rPr>
                      <w:color w:val="auto"/>
                      <w:spacing w:val="1"/>
                      <w:highlight w:val="none"/>
                    </w:rPr>
                    <w:t>成，取水（放空、导流）隧洞水</w:t>
                  </w:r>
                  <w:r>
                    <w:rPr>
                      <w:color w:val="auto"/>
                      <w:spacing w:val="-2"/>
                      <w:highlight w:val="none"/>
                    </w:rPr>
                    <w:t>平投影总长</w:t>
                  </w:r>
                  <w:r>
                    <w:rPr>
                      <w:color w:val="auto"/>
                      <w:spacing w:val="-33"/>
                      <w:highlight w:val="none"/>
                    </w:rPr>
                    <w:t xml:space="preserve"> </w:t>
                  </w:r>
                  <w:r>
                    <w:rPr>
                      <w:rFonts w:ascii="Times New Roman" w:hAnsi="Times New Roman" w:eastAsia="Times New Roman" w:cs="Times New Roman"/>
                      <w:color w:val="auto"/>
                      <w:spacing w:val="-2"/>
                      <w:highlight w:val="none"/>
                    </w:rPr>
                    <w:t>313.13m</w:t>
                  </w:r>
                  <w:r>
                    <w:rPr>
                      <w:color w:val="auto"/>
                      <w:spacing w:val="-2"/>
                      <w:highlight w:val="none"/>
                    </w:rPr>
                    <w:t>。</w:t>
                  </w:r>
                </w:p>
              </w:tc>
              <w:tc>
                <w:tcPr>
                  <w:tcW w:w="10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color w:val="auto"/>
                      <w:sz w:val="21"/>
                      <w:highlight w:val="none"/>
                    </w:rPr>
                  </w:pPr>
                </w:p>
              </w:tc>
              <w:tc>
                <w:tcPr>
                  <w:tcW w:w="4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color w:val="auto"/>
                      <w:sz w:val="21"/>
                      <w:highlight w:val="none"/>
                    </w:rPr>
                  </w:pP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未建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2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w:eastAsia="宋体"/>
                      <w:color w:val="auto"/>
                      <w:sz w:val="21"/>
                      <w:highlight w:val="none"/>
                      <w:lang w:val="en-US" w:eastAsia="zh-CN"/>
                    </w:rPr>
                  </w:pPr>
                  <w:r>
                    <w:rPr>
                      <w:color w:val="auto"/>
                      <w:spacing w:val="46"/>
                      <w:highlight w:val="none"/>
                    </w:rPr>
                    <w:t>枢纽工</w:t>
                  </w:r>
                  <w:r>
                    <w:rPr>
                      <w:rFonts w:hint="eastAsia"/>
                      <w:color w:val="auto"/>
                      <w:spacing w:val="46"/>
                      <w:highlight w:val="none"/>
                      <w:lang w:val="en-US" w:eastAsia="zh-CN"/>
                    </w:rPr>
                    <w:t>程</w:t>
                  </w:r>
                </w:p>
              </w:tc>
              <w:tc>
                <w:tcPr>
                  <w:tcW w:w="361" w:type="pct"/>
                  <w:vMerge w:val="restart"/>
                  <w:tcBorders>
                    <w:tl2br w:val="nil"/>
                    <w:tr2bl w:val="nil"/>
                  </w:tcBorders>
                  <w:vAlign w:val="center"/>
                </w:tcPr>
                <w:p>
                  <w:pPr>
                    <w:pStyle w:val="75"/>
                    <w:spacing w:before="68" w:line="220" w:lineRule="auto"/>
                    <w:ind w:left="130"/>
                    <w:rPr>
                      <w:color w:val="auto"/>
                      <w:spacing w:val="-4"/>
                      <w:highlight w:val="none"/>
                    </w:rPr>
                  </w:pPr>
                  <w:r>
                    <w:rPr>
                      <w:color w:val="auto"/>
                      <w:spacing w:val="-4"/>
                      <w:highlight w:val="none"/>
                    </w:rPr>
                    <w:t>临时</w:t>
                  </w:r>
                </w:p>
                <w:p>
                  <w:pPr>
                    <w:pStyle w:val="75"/>
                    <w:spacing w:before="68" w:line="220" w:lineRule="auto"/>
                    <w:ind w:left="130"/>
                    <w:rPr>
                      <w:color w:val="auto"/>
                      <w:highlight w:val="none"/>
                    </w:rPr>
                  </w:pPr>
                  <w:r>
                    <w:rPr>
                      <w:color w:val="auto"/>
                      <w:spacing w:val="-4"/>
                      <w:highlight w:val="none"/>
                    </w:rPr>
                    <w:t>工程</w:t>
                  </w:r>
                </w:p>
              </w:tc>
              <w:tc>
                <w:tcPr>
                  <w:tcW w:w="654" w:type="pct"/>
                  <w:tcBorders>
                    <w:tl2br w:val="nil"/>
                    <w:tr2bl w:val="nil"/>
                  </w:tcBorders>
                  <w:vAlign w:val="center"/>
                </w:tcPr>
                <w:p>
                  <w:pPr>
                    <w:pStyle w:val="75"/>
                    <w:spacing w:before="68" w:line="220" w:lineRule="auto"/>
                    <w:ind w:left="197"/>
                    <w:rPr>
                      <w:color w:val="auto"/>
                      <w:highlight w:val="none"/>
                    </w:rPr>
                  </w:pPr>
                  <w:r>
                    <w:rPr>
                      <w:color w:val="auto"/>
                      <w:spacing w:val="-2"/>
                      <w:highlight w:val="none"/>
                    </w:rPr>
                    <w:t>施工便道</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color w:val="auto"/>
                      <w:highlight w:val="none"/>
                    </w:rPr>
                  </w:pPr>
                  <w:r>
                    <w:rPr>
                      <w:rFonts w:hint="eastAsia"/>
                      <w:color w:val="auto"/>
                      <w:spacing w:val="0"/>
                      <w:sz w:val="21"/>
                      <w:highlight w:val="none"/>
                    </w:rPr>
                    <w:t>枢纽工程共设置施工道路11条，总长度5.33km，宽度有3.5m、6m两种，主要用于大坝左右岸施工、取水隧道等永久工程施工以及通往临时堆料场等临时工程用途；</w:t>
                  </w:r>
                </w:p>
              </w:tc>
              <w:tc>
                <w:tcPr>
                  <w:tcW w:w="1050" w:type="pct"/>
                  <w:tcBorders>
                    <w:tl2br w:val="nil"/>
                    <w:tr2bl w:val="nil"/>
                  </w:tcBorders>
                  <w:vAlign w:val="center"/>
                </w:tcPr>
                <w:p>
                  <w:pPr>
                    <w:pStyle w:val="75"/>
                    <w:spacing w:before="69" w:line="220" w:lineRule="auto"/>
                    <w:ind w:left="114"/>
                    <w:jc w:val="center"/>
                    <w:rPr>
                      <w:rFonts w:hint="eastAsia" w:eastAsia="宋体"/>
                      <w:color w:val="auto"/>
                      <w:highlight w:val="none"/>
                      <w:lang w:eastAsia="zh-CN"/>
                    </w:rPr>
                  </w:pPr>
                  <w:r>
                    <w:rPr>
                      <w:rFonts w:hint="eastAsia"/>
                      <w:color w:val="auto"/>
                      <w:spacing w:val="-1"/>
                      <w:highlight w:val="none"/>
                      <w:lang w:val="en-US" w:eastAsia="zh-CN"/>
                    </w:rPr>
                    <w:t>施工</w:t>
                  </w:r>
                  <w:r>
                    <w:rPr>
                      <w:color w:val="auto"/>
                      <w:spacing w:val="-1"/>
                      <w:highlight w:val="none"/>
                    </w:rPr>
                    <w:t>扬尘、</w:t>
                  </w:r>
                  <w:r>
                    <w:rPr>
                      <w:rFonts w:hint="eastAsia"/>
                      <w:color w:val="auto"/>
                      <w:spacing w:val="-1"/>
                      <w:highlight w:val="none"/>
                      <w:lang w:val="en-US" w:eastAsia="zh-CN"/>
                    </w:rPr>
                    <w:t>设备</w:t>
                  </w:r>
                  <w:r>
                    <w:rPr>
                      <w:color w:val="auto"/>
                      <w:spacing w:val="-1"/>
                      <w:highlight w:val="none"/>
                    </w:rPr>
                    <w:t>噪声等</w:t>
                  </w:r>
                </w:p>
              </w:tc>
              <w:tc>
                <w:tcPr>
                  <w:tcW w:w="497" w:type="pct"/>
                  <w:tcBorders>
                    <w:tl2br w:val="nil"/>
                    <w:tr2bl w:val="nil"/>
                  </w:tcBorders>
                  <w:vAlign w:val="center"/>
                </w:tcPr>
                <w:p>
                  <w:pPr>
                    <w:spacing w:before="61"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5"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highlight w:val="none"/>
                      <w:lang w:eastAsia="zh-CN"/>
                    </w:rPr>
                  </w:pPr>
                  <w:r>
                    <w:rPr>
                      <w:rFonts w:hint="eastAsia"/>
                      <w:color w:val="auto"/>
                      <w:spacing w:val="-2"/>
                      <w:highlight w:val="none"/>
                      <w:lang w:val="en-US" w:eastAsia="zh-CN"/>
                    </w:rPr>
                    <w:t>施工营地</w:t>
                  </w:r>
                </w:p>
              </w:tc>
              <w:tc>
                <w:tcPr>
                  <w:tcW w:w="1793" w:type="pct"/>
                  <w:tcBorders>
                    <w:tl2br w:val="nil"/>
                    <w:tr2bl w:val="nil"/>
                  </w:tcBorders>
                  <w:vAlign w:val="center"/>
                </w:tcPr>
                <w:p>
                  <w:pPr>
                    <w:pStyle w:val="75"/>
                    <w:spacing w:before="30" w:line="234" w:lineRule="auto"/>
                    <w:ind w:right="103"/>
                    <w:jc w:val="both"/>
                    <w:rPr>
                      <w:color w:val="auto"/>
                      <w:highlight w:val="none"/>
                    </w:rPr>
                  </w:pPr>
                  <w:r>
                    <w:rPr>
                      <w:rFonts w:hint="eastAsia"/>
                      <w:color w:val="auto"/>
                      <w:highlight w:val="none"/>
                      <w:lang w:val="en-US" w:eastAsia="zh-CN"/>
                    </w:rPr>
                    <w:t>施工营地</w:t>
                  </w:r>
                  <w:r>
                    <w:rPr>
                      <w:color w:val="auto"/>
                      <w:highlight w:val="none"/>
                    </w:rPr>
                    <w:t>布置于大坝右岸</w:t>
                  </w:r>
                  <w:r>
                    <w:rPr>
                      <w:rFonts w:hint="eastAsia"/>
                      <w:color w:val="auto"/>
                      <w:spacing w:val="-3"/>
                      <w:highlight w:val="none"/>
                      <w:lang w:val="en-US" w:eastAsia="zh-CN"/>
                    </w:rPr>
                    <w:t>下</w:t>
                  </w:r>
                  <w:r>
                    <w:rPr>
                      <w:color w:val="auto"/>
                      <w:spacing w:val="-3"/>
                      <w:highlight w:val="none"/>
                    </w:rPr>
                    <w:t>游</w:t>
                  </w:r>
                  <w:r>
                    <w:rPr>
                      <w:rFonts w:ascii="Times New Roman" w:hAnsi="Times New Roman" w:eastAsia="Times New Roman" w:cs="Times New Roman"/>
                      <w:color w:val="auto"/>
                      <w:spacing w:val="-3"/>
                      <w:highlight w:val="none"/>
                    </w:rPr>
                    <w:t>350m</w:t>
                  </w:r>
                  <w:r>
                    <w:rPr>
                      <w:color w:val="auto"/>
                      <w:spacing w:val="-3"/>
                      <w:highlight w:val="none"/>
                    </w:rPr>
                    <w:t>的缓坡平地处，内设</w:t>
                  </w:r>
                  <w:r>
                    <w:rPr>
                      <w:rFonts w:hint="eastAsia"/>
                      <w:color w:val="auto"/>
                      <w:spacing w:val="-3"/>
                      <w:highlight w:val="none"/>
                      <w:lang w:val="en-US" w:eastAsia="zh-CN"/>
                    </w:rPr>
                    <w:t>混凝土搅拌站、综合加工厂（</w:t>
                  </w:r>
                  <w:r>
                    <w:rPr>
                      <w:color w:val="auto"/>
                      <w:spacing w:val="1"/>
                      <w:highlight w:val="none"/>
                    </w:rPr>
                    <w:t>钢筋加工场及木材加工厂</w:t>
                  </w:r>
                  <w:r>
                    <w:rPr>
                      <w:rFonts w:hint="eastAsia"/>
                      <w:color w:val="auto"/>
                      <w:spacing w:val="-3"/>
                      <w:highlight w:val="none"/>
                      <w:lang w:val="en-US" w:eastAsia="zh-CN"/>
                    </w:rPr>
                    <w:t>）、综合仓库、办公设施区域等，总占地面积7550</w:t>
                  </w:r>
                  <w:r>
                    <w:rPr>
                      <w:rFonts w:ascii="Times New Roman" w:hAnsi="Times New Roman" w:eastAsia="Times New Roman" w:cs="Times New Roman"/>
                      <w:color w:val="auto"/>
                      <w:spacing w:val="-4"/>
                      <w:highlight w:val="none"/>
                    </w:rPr>
                    <w:t>m</w:t>
                  </w:r>
                  <w:r>
                    <w:rPr>
                      <w:rFonts w:ascii="Times New Roman" w:hAnsi="Times New Roman" w:eastAsia="Times New Roman" w:cs="Times New Roman"/>
                      <w:color w:val="auto"/>
                      <w:spacing w:val="-4"/>
                      <w:position w:val="7"/>
                      <w:sz w:val="14"/>
                      <w:szCs w:val="14"/>
                      <w:highlight w:val="none"/>
                    </w:rPr>
                    <w:t>2</w:t>
                  </w:r>
                </w:p>
              </w:tc>
              <w:tc>
                <w:tcPr>
                  <w:tcW w:w="1050"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color w:val="auto"/>
                      <w:highlight w:val="none"/>
                    </w:rPr>
                  </w:pPr>
                  <w:r>
                    <w:rPr>
                      <w:rFonts w:hint="eastAsia"/>
                      <w:color w:val="auto"/>
                      <w:spacing w:val="-1"/>
                      <w:highlight w:val="none"/>
                      <w:lang w:val="en-US" w:eastAsia="zh-CN"/>
                    </w:rPr>
                    <w:t>噪声、粉尘、废水、固废、生活垃圾等</w:t>
                  </w:r>
                </w:p>
              </w:tc>
              <w:tc>
                <w:tcPr>
                  <w:tcW w:w="497" w:type="pct"/>
                  <w:tcBorders>
                    <w:tl2br w:val="nil"/>
                    <w:tr2bl w:val="nil"/>
                  </w:tcBorders>
                  <w:vAlign w:val="center"/>
                </w:tcPr>
                <w:p>
                  <w:pPr>
                    <w:spacing w:before="61"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75"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spacing w:before="69" w:line="230" w:lineRule="auto"/>
                    <w:ind w:left="512" w:right="193" w:hanging="315"/>
                    <w:jc w:val="center"/>
                    <w:rPr>
                      <w:rFonts w:hint="default"/>
                      <w:color w:val="auto"/>
                      <w:spacing w:val="-2"/>
                      <w:highlight w:val="none"/>
                      <w:lang w:val="en-US" w:eastAsia="zh-CN"/>
                    </w:rPr>
                  </w:pPr>
                  <w:r>
                    <w:rPr>
                      <w:rFonts w:hint="eastAsia"/>
                      <w:color w:val="auto"/>
                      <w:spacing w:val="-2"/>
                      <w:highlight w:val="none"/>
                      <w:lang w:val="en-US" w:eastAsia="zh-CN"/>
                    </w:rPr>
                    <w:t>料场</w:t>
                  </w:r>
                </w:p>
              </w:tc>
              <w:tc>
                <w:tcPr>
                  <w:tcW w:w="1793" w:type="pct"/>
                  <w:tcBorders>
                    <w:tl2br w:val="nil"/>
                    <w:tr2bl w:val="nil"/>
                  </w:tcBorders>
                  <w:vAlign w:val="center"/>
                </w:tcPr>
                <w:p>
                  <w:pPr>
                    <w:pStyle w:val="75"/>
                    <w:spacing w:before="30" w:line="234" w:lineRule="auto"/>
                    <w:ind w:right="103"/>
                    <w:jc w:val="both"/>
                    <w:rPr>
                      <w:rFonts w:hint="default"/>
                      <w:color w:val="auto"/>
                      <w:highlight w:val="none"/>
                      <w:lang w:val="en-US" w:eastAsia="zh-CN"/>
                    </w:rPr>
                  </w:pPr>
                  <w:r>
                    <w:rPr>
                      <w:rFonts w:hint="eastAsia" w:ascii="Arial" w:hAnsi="Arial" w:cs="Arial"/>
                      <w:color w:val="auto"/>
                      <w:sz w:val="21"/>
                      <w:szCs w:val="21"/>
                      <w:highlight w:val="none"/>
                      <w:lang w:val="en-US" w:eastAsia="zh-CN"/>
                    </w:rPr>
                    <w:t>根据项目施工方案，本次工程施工时在距离大坝上游约1.8km处的赵家山，总占地面积2.29hm</w:t>
                  </w:r>
                  <w:r>
                    <w:rPr>
                      <w:rFonts w:hint="eastAsia" w:ascii="Arial" w:hAnsi="Arial" w:cs="Arial"/>
                      <w:color w:val="auto"/>
                      <w:sz w:val="21"/>
                      <w:szCs w:val="21"/>
                      <w:highlight w:val="none"/>
                      <w:vertAlign w:val="superscript"/>
                      <w:lang w:val="en-US" w:eastAsia="zh-CN"/>
                    </w:rPr>
                    <w:t>2</w:t>
                  </w:r>
                  <w:r>
                    <w:rPr>
                      <w:rFonts w:hint="eastAsia" w:ascii="Arial" w:hAnsi="Arial" w:cs="Arial"/>
                      <w:color w:val="auto"/>
                      <w:sz w:val="21"/>
                      <w:szCs w:val="21"/>
                      <w:highlight w:val="none"/>
                      <w:lang w:val="en-US" w:eastAsia="zh-CN"/>
                    </w:rPr>
                    <w:t>，设计石渣料开采量为40.8万m</w:t>
                  </w:r>
                  <w:r>
                    <w:rPr>
                      <w:rFonts w:hint="eastAsia" w:ascii="Arial" w:hAnsi="Arial" w:cs="Arial"/>
                      <w:color w:val="auto"/>
                      <w:sz w:val="21"/>
                      <w:szCs w:val="21"/>
                      <w:highlight w:val="none"/>
                      <w:vertAlign w:val="superscript"/>
                      <w:lang w:val="en-US" w:eastAsia="zh-CN"/>
                    </w:rPr>
                    <w:t>3</w:t>
                  </w:r>
                  <w:r>
                    <w:rPr>
                      <w:rFonts w:hint="eastAsia" w:ascii="Arial" w:hAnsi="Arial" w:cs="Arial"/>
                      <w:color w:val="auto"/>
                      <w:sz w:val="21"/>
                      <w:szCs w:val="21"/>
                      <w:highlight w:val="none"/>
                      <w:lang w:val="en-US" w:eastAsia="zh-CN"/>
                    </w:rPr>
                    <w:t>。另外，为便于施工，在项目所在区域内</w:t>
                  </w:r>
                  <w:r>
                    <w:rPr>
                      <w:rFonts w:hint="eastAsia"/>
                      <w:color w:val="auto"/>
                      <w:spacing w:val="-5"/>
                      <w:highlight w:val="none"/>
                      <w:vertAlign w:val="baseline"/>
                      <w:lang w:val="en-US" w:eastAsia="zh-CN"/>
                    </w:rPr>
                    <w:t>共设置1#~5#临时堆料场，占地面积共1.38</w:t>
                  </w:r>
                  <w:r>
                    <w:rPr>
                      <w:rFonts w:ascii="Times New Roman" w:hAnsi="Times New Roman" w:eastAsia="Times New Roman" w:cs="Times New Roman"/>
                      <w:color w:val="auto"/>
                      <w:spacing w:val="-5"/>
                      <w:highlight w:val="none"/>
                    </w:rPr>
                    <w:t>hm</w:t>
                  </w:r>
                  <w:r>
                    <w:rPr>
                      <w:rFonts w:ascii="Times New Roman" w:hAnsi="Times New Roman" w:eastAsia="Times New Roman" w:cs="Times New Roman"/>
                      <w:color w:val="auto"/>
                      <w:spacing w:val="-5"/>
                      <w:position w:val="7"/>
                      <w:sz w:val="14"/>
                      <w:szCs w:val="14"/>
                      <w:highlight w:val="none"/>
                    </w:rPr>
                    <w:t>2</w:t>
                  </w:r>
                  <w:r>
                    <w:rPr>
                      <w:rFonts w:hint="eastAsia"/>
                      <w:color w:val="auto"/>
                      <w:spacing w:val="-2"/>
                      <w:highlight w:val="none"/>
                      <w:lang w:val="en-US" w:eastAsia="zh-CN"/>
                    </w:rPr>
                    <w:t>，主要用于施工期间物料的临时堆放。</w:t>
                  </w:r>
                </w:p>
              </w:tc>
              <w:tc>
                <w:tcPr>
                  <w:tcW w:w="1050"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color w:val="auto"/>
                      <w:spacing w:val="-2"/>
                      <w:highlight w:val="none"/>
                    </w:rPr>
                  </w:pPr>
                  <w:r>
                    <w:rPr>
                      <w:rFonts w:hint="eastAsia"/>
                      <w:color w:val="auto"/>
                      <w:spacing w:val="-1"/>
                      <w:highlight w:val="none"/>
                      <w:lang w:val="en-US" w:eastAsia="zh-CN"/>
                    </w:rPr>
                    <w:t>噪声、粉尘、废水、固废、生活垃圾等</w:t>
                  </w:r>
                </w:p>
              </w:tc>
              <w:tc>
                <w:tcPr>
                  <w:tcW w:w="497" w:type="pct"/>
                  <w:tcBorders>
                    <w:tl2br w:val="nil"/>
                    <w:tr2bl w:val="nil"/>
                  </w:tcBorders>
                  <w:vAlign w:val="center"/>
                </w:tcPr>
                <w:p>
                  <w:pPr>
                    <w:spacing w:before="61" w:line="232" w:lineRule="auto"/>
                    <w:ind w:left="421"/>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30"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spacing w:before="69" w:line="229" w:lineRule="auto"/>
                    <w:ind w:left="307" w:right="193" w:hanging="108"/>
                    <w:jc w:val="center"/>
                    <w:rPr>
                      <w:color w:val="auto"/>
                      <w:highlight w:val="none"/>
                    </w:rPr>
                  </w:pPr>
                  <w:r>
                    <w:rPr>
                      <w:color w:val="auto"/>
                      <w:spacing w:val="-3"/>
                      <w:highlight w:val="none"/>
                    </w:rPr>
                    <w:t>弃渣场</w:t>
                  </w:r>
                </w:p>
              </w:tc>
              <w:tc>
                <w:tcPr>
                  <w:tcW w:w="1793" w:type="pct"/>
                  <w:tcBorders>
                    <w:tl2br w:val="nil"/>
                    <w:tr2bl w:val="nil"/>
                  </w:tcBorders>
                  <w:vAlign w:val="center"/>
                </w:tcPr>
                <w:p>
                  <w:pPr>
                    <w:pStyle w:val="75"/>
                    <w:numPr>
                      <w:ilvl w:val="0"/>
                      <w:numId w:val="0"/>
                    </w:numPr>
                    <w:spacing w:before="37" w:line="236" w:lineRule="auto"/>
                    <w:ind w:right="101" w:rightChars="0"/>
                    <w:jc w:val="both"/>
                    <w:rPr>
                      <w:color w:val="auto"/>
                      <w:highlight w:val="none"/>
                    </w:rPr>
                  </w:pPr>
                  <w:r>
                    <w:rPr>
                      <w:rFonts w:hint="eastAsia"/>
                      <w:color w:val="auto"/>
                      <w:highlight w:val="none"/>
                    </w:rPr>
                    <w:t>枢纽工程共设置1个弃渣场，位于赵家山料场旁支沟处，弃渣场占地面积2.57hm</w:t>
                  </w:r>
                  <w:r>
                    <w:rPr>
                      <w:rFonts w:hint="eastAsia"/>
                      <w:color w:val="auto"/>
                      <w:highlight w:val="none"/>
                      <w:vertAlign w:val="superscript"/>
                    </w:rPr>
                    <w:t>2</w:t>
                  </w:r>
                  <w:r>
                    <w:rPr>
                      <w:rFonts w:hint="eastAsia"/>
                      <w:color w:val="auto"/>
                      <w:highlight w:val="none"/>
                    </w:rPr>
                    <w:t>，渣场顶高程695.00m，渣场容量23.84万m</w:t>
                  </w:r>
                  <w:r>
                    <w:rPr>
                      <w:rFonts w:hint="eastAsia"/>
                      <w:color w:val="auto"/>
                      <w:highlight w:val="none"/>
                      <w:vertAlign w:val="superscript"/>
                    </w:rPr>
                    <w:t>3</w:t>
                  </w:r>
                  <w:r>
                    <w:rPr>
                      <w:rFonts w:hint="eastAsia"/>
                      <w:color w:val="auto"/>
                      <w:highlight w:val="none"/>
                    </w:rPr>
                    <w:t>，设计堆渣为22.9万m</w:t>
                  </w:r>
                  <w:r>
                    <w:rPr>
                      <w:rFonts w:hint="eastAsia"/>
                      <w:color w:val="auto"/>
                      <w:highlight w:val="none"/>
                      <w:vertAlign w:val="superscript"/>
                    </w:rPr>
                    <w:t>3</w:t>
                  </w:r>
                  <w:r>
                    <w:rPr>
                      <w:rFonts w:hint="eastAsia"/>
                      <w:color w:val="auto"/>
                      <w:highlight w:val="none"/>
                    </w:rPr>
                    <w:t>（松方）；</w:t>
                  </w:r>
                </w:p>
              </w:tc>
              <w:tc>
                <w:tcPr>
                  <w:tcW w:w="1050" w:type="pct"/>
                  <w:vMerge w:val="restart"/>
                  <w:tcBorders>
                    <w:tl2br w:val="nil"/>
                    <w:tr2bl w:val="nil"/>
                  </w:tcBorders>
                  <w:vAlign w:val="center"/>
                </w:tcPr>
                <w:p>
                  <w:pPr>
                    <w:pStyle w:val="75"/>
                    <w:spacing w:before="68" w:line="229" w:lineRule="auto"/>
                    <w:ind w:left="125" w:right="197" w:hanging="11"/>
                    <w:rPr>
                      <w:color w:val="auto"/>
                      <w:highlight w:val="none"/>
                    </w:rPr>
                  </w:pPr>
                  <w:r>
                    <w:rPr>
                      <w:rFonts w:hint="eastAsia"/>
                      <w:color w:val="auto"/>
                      <w:spacing w:val="-1"/>
                      <w:highlight w:val="none"/>
                      <w:lang w:val="en-US" w:eastAsia="zh-CN"/>
                    </w:rPr>
                    <w:t>施工</w:t>
                  </w:r>
                  <w:r>
                    <w:rPr>
                      <w:color w:val="auto"/>
                      <w:spacing w:val="-1"/>
                      <w:highlight w:val="none"/>
                    </w:rPr>
                    <w:t>扬尘、</w:t>
                  </w:r>
                  <w:r>
                    <w:rPr>
                      <w:rFonts w:hint="eastAsia"/>
                      <w:color w:val="auto"/>
                      <w:spacing w:val="-1"/>
                      <w:highlight w:val="none"/>
                      <w:lang w:val="en-US" w:eastAsia="zh-CN"/>
                    </w:rPr>
                    <w:t>设备</w:t>
                  </w:r>
                  <w:r>
                    <w:rPr>
                      <w:color w:val="auto"/>
                      <w:spacing w:val="-1"/>
                      <w:highlight w:val="none"/>
                    </w:rPr>
                    <w:t>噪声等</w:t>
                  </w:r>
                </w:p>
              </w:tc>
              <w:tc>
                <w:tcPr>
                  <w:tcW w:w="497" w:type="pct"/>
                  <w:vMerge w:val="restart"/>
                  <w:tcBorders>
                    <w:tl2br w:val="nil"/>
                    <w:tr2bl w:val="nil"/>
                  </w:tcBorders>
                  <w:vAlign w:val="center"/>
                </w:tcPr>
                <w:p>
                  <w:pPr>
                    <w:spacing w:before="61"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01"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3"/>
                      <w:highlight w:val="none"/>
                      <w:lang w:val="en-US" w:eastAsia="zh-CN"/>
                    </w:rPr>
                  </w:pPr>
                  <w:r>
                    <w:rPr>
                      <w:rFonts w:hint="eastAsia"/>
                      <w:color w:val="auto"/>
                      <w:spacing w:val="-2"/>
                      <w:highlight w:val="none"/>
                      <w:lang w:val="en-US" w:eastAsia="zh-CN"/>
                    </w:rPr>
                    <w:t>风、水、电、通讯工程</w:t>
                  </w:r>
                </w:p>
              </w:tc>
              <w:tc>
                <w:tcPr>
                  <w:tcW w:w="1793" w:type="pct"/>
                  <w:tcBorders>
                    <w:tl2br w:val="nil"/>
                    <w:tr2bl w:val="nil"/>
                  </w:tcBorders>
                  <w:vAlign w:val="center"/>
                </w:tcPr>
                <w:p>
                  <w:pPr>
                    <w:pStyle w:val="75"/>
                    <w:spacing w:before="30" w:line="234" w:lineRule="auto"/>
                    <w:ind w:right="103"/>
                    <w:jc w:val="both"/>
                    <w:rPr>
                      <w:rFonts w:hint="eastAsia"/>
                      <w:color w:val="auto"/>
                      <w:sz w:val="21"/>
                      <w:highlight w:val="none"/>
                      <w:lang w:val="en-US" w:eastAsia="zh-CN"/>
                    </w:rPr>
                  </w:pPr>
                  <w:r>
                    <w:rPr>
                      <w:rFonts w:hint="eastAsia"/>
                      <w:color w:val="auto"/>
                      <w:sz w:val="21"/>
                      <w:highlight w:val="none"/>
                      <w:lang w:val="en-US" w:eastAsia="zh-CN"/>
                    </w:rPr>
                    <w:t>1、抽水泵站：3座，分别为100m</w:t>
                  </w:r>
                  <w:r>
                    <w:rPr>
                      <w:rFonts w:hint="eastAsia"/>
                      <w:color w:val="auto"/>
                      <w:sz w:val="21"/>
                      <w:highlight w:val="none"/>
                      <w:vertAlign w:val="superscript"/>
                      <w:lang w:val="en-US" w:eastAsia="zh-CN"/>
                    </w:rPr>
                    <w:t>3</w:t>
                  </w:r>
                  <w:r>
                    <w:rPr>
                      <w:rFonts w:hint="eastAsia"/>
                      <w:color w:val="auto"/>
                      <w:sz w:val="21"/>
                      <w:highlight w:val="none"/>
                      <w:lang w:val="en-US" w:eastAsia="zh-CN"/>
                    </w:rPr>
                    <w:t>蓄水池1座，50m</w:t>
                  </w:r>
                  <w:r>
                    <w:rPr>
                      <w:rFonts w:hint="eastAsia"/>
                      <w:color w:val="auto"/>
                      <w:sz w:val="21"/>
                      <w:highlight w:val="none"/>
                      <w:vertAlign w:val="superscript"/>
                      <w:lang w:val="en-US" w:eastAsia="zh-CN"/>
                    </w:rPr>
                    <w:t>3</w:t>
                  </w:r>
                  <w:r>
                    <w:rPr>
                      <w:rFonts w:hint="eastAsia"/>
                      <w:color w:val="auto"/>
                      <w:sz w:val="21"/>
                      <w:highlight w:val="none"/>
                      <w:lang w:val="en-US" w:eastAsia="zh-CN"/>
                    </w:rPr>
                    <w:t>蓄水池2座；</w:t>
                  </w:r>
                </w:p>
                <w:p>
                  <w:pPr>
                    <w:pStyle w:val="75"/>
                    <w:spacing w:before="30" w:line="234" w:lineRule="auto"/>
                    <w:ind w:right="103"/>
                    <w:jc w:val="both"/>
                    <w:rPr>
                      <w:rFonts w:hint="eastAsia"/>
                      <w:color w:val="auto"/>
                      <w:sz w:val="21"/>
                      <w:highlight w:val="none"/>
                      <w:lang w:val="en-US" w:eastAsia="zh-CN"/>
                    </w:rPr>
                  </w:pPr>
                  <w:r>
                    <w:rPr>
                      <w:rFonts w:hint="eastAsia"/>
                      <w:color w:val="auto"/>
                      <w:sz w:val="21"/>
                      <w:highlight w:val="none"/>
                      <w:lang w:val="en-US" w:eastAsia="zh-CN"/>
                    </w:rPr>
                    <w:t>2、10kV供电线路5km，其中永久3km；</w:t>
                  </w:r>
                </w:p>
                <w:p>
                  <w:pPr>
                    <w:pStyle w:val="75"/>
                    <w:spacing w:before="30" w:line="234" w:lineRule="auto"/>
                    <w:ind w:right="103"/>
                    <w:jc w:val="both"/>
                    <w:rPr>
                      <w:rFonts w:hint="default"/>
                      <w:color w:val="auto"/>
                      <w:highlight w:val="none"/>
                      <w:lang w:val="en-US" w:eastAsia="zh-CN"/>
                    </w:rPr>
                  </w:pPr>
                  <w:r>
                    <w:rPr>
                      <w:rFonts w:hint="eastAsia"/>
                      <w:color w:val="auto"/>
                      <w:sz w:val="21"/>
                      <w:highlight w:val="none"/>
                      <w:lang w:val="en-US" w:eastAsia="zh-CN"/>
                    </w:rPr>
                    <w:t>3、其他：降压站：3座，空压站3座，通讯线路1km；</w:t>
                  </w:r>
                </w:p>
              </w:tc>
              <w:tc>
                <w:tcPr>
                  <w:tcW w:w="1050" w:type="pct"/>
                  <w:vMerge w:val="continue"/>
                  <w:tcBorders>
                    <w:tl2br w:val="nil"/>
                    <w:tr2bl w:val="nil"/>
                  </w:tcBorders>
                  <w:vAlign w:val="center"/>
                </w:tcPr>
                <w:p>
                  <w:pPr>
                    <w:pStyle w:val="75"/>
                    <w:spacing w:before="68" w:line="229" w:lineRule="auto"/>
                    <w:ind w:left="125" w:right="197" w:hanging="11"/>
                    <w:rPr>
                      <w:color w:val="auto"/>
                      <w:spacing w:val="-1"/>
                      <w:highlight w:val="none"/>
                    </w:rPr>
                  </w:pPr>
                </w:p>
              </w:tc>
              <w:tc>
                <w:tcPr>
                  <w:tcW w:w="497" w:type="pct"/>
                  <w:vMerge w:val="continue"/>
                  <w:tcBorders>
                    <w:tl2br w:val="nil"/>
                    <w:tr2bl w:val="nil"/>
                  </w:tcBorders>
                  <w:vAlign w:val="center"/>
                </w:tcPr>
                <w:p>
                  <w:pPr>
                    <w:spacing w:before="61" w:line="232" w:lineRule="auto"/>
                    <w:ind w:left="421"/>
                    <w:rPr>
                      <w:rFonts w:ascii="Times New Roman" w:hAnsi="Times New Roman" w:eastAsia="Times New Roman" w:cs="Times New Roman"/>
                      <w:color w:val="auto"/>
                      <w:sz w:val="21"/>
                      <w:szCs w:val="21"/>
                      <w:highlight w:val="none"/>
                    </w:rPr>
                  </w:pP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9"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3"/>
                      <w:highlight w:val="none"/>
                      <w:lang w:val="en-US" w:eastAsia="zh-CN"/>
                    </w:rPr>
                  </w:pPr>
                  <w:r>
                    <w:rPr>
                      <w:rFonts w:hint="eastAsia"/>
                      <w:color w:val="auto"/>
                      <w:spacing w:val="-3"/>
                      <w:highlight w:val="none"/>
                      <w:lang w:val="en-US" w:eastAsia="zh-CN"/>
                    </w:rPr>
                    <w:t>沥青拌合站</w:t>
                  </w:r>
                </w:p>
              </w:tc>
              <w:tc>
                <w:tcPr>
                  <w:tcW w:w="1793" w:type="pct"/>
                  <w:tcBorders>
                    <w:bottom w:val="single" w:color="auto" w:sz="4" w:space="0"/>
                    <w:tl2br w:val="nil"/>
                    <w:tr2bl w:val="nil"/>
                  </w:tcBorders>
                  <w:vAlign w:val="center"/>
                </w:tcPr>
                <w:p>
                  <w:pPr>
                    <w:pStyle w:val="75"/>
                    <w:numPr>
                      <w:ilvl w:val="0"/>
                      <w:numId w:val="0"/>
                    </w:numPr>
                    <w:spacing w:before="37" w:line="236" w:lineRule="auto"/>
                    <w:ind w:right="101" w:rightChars="0"/>
                    <w:jc w:val="both"/>
                    <w:rPr>
                      <w:rFonts w:hint="default"/>
                      <w:color w:val="auto"/>
                      <w:spacing w:val="-5"/>
                      <w:highlight w:val="none"/>
                      <w:lang w:val="en-US" w:eastAsia="zh-CN"/>
                    </w:rPr>
                  </w:pPr>
                  <w:r>
                    <w:rPr>
                      <w:rFonts w:hint="eastAsia"/>
                      <w:color w:val="auto"/>
                      <w:spacing w:val="-5"/>
                      <w:highlight w:val="none"/>
                      <w:lang w:val="en-US" w:eastAsia="zh-CN"/>
                    </w:rPr>
                    <w:t>位于大坝下游右岸处，占地面积约1500m</w:t>
                  </w:r>
                  <w:r>
                    <w:rPr>
                      <w:rFonts w:hint="eastAsia"/>
                      <w:color w:val="auto"/>
                      <w:spacing w:val="-5"/>
                      <w:highlight w:val="none"/>
                      <w:vertAlign w:val="superscript"/>
                      <w:lang w:val="en-US" w:eastAsia="zh-CN"/>
                    </w:rPr>
                    <w:t>2</w:t>
                  </w:r>
                  <w:r>
                    <w:rPr>
                      <w:rFonts w:hint="eastAsia"/>
                      <w:color w:val="auto"/>
                      <w:spacing w:val="-5"/>
                      <w:highlight w:val="none"/>
                      <w:lang w:val="en-US" w:eastAsia="zh-CN"/>
                    </w:rPr>
                    <w:t>，主要用于施工期LHB30沥青混凝土的提供</w:t>
                  </w:r>
                </w:p>
              </w:tc>
              <w:tc>
                <w:tcPr>
                  <w:tcW w:w="1050" w:type="pct"/>
                  <w:tcBorders>
                    <w:bottom w:val="single" w:color="auto" w:sz="4" w:space="0"/>
                    <w:tl2br w:val="nil"/>
                    <w:tr2bl w:val="nil"/>
                  </w:tcBorders>
                  <w:vAlign w:val="center"/>
                </w:tcPr>
                <w:p>
                  <w:pPr>
                    <w:pStyle w:val="75"/>
                    <w:spacing w:before="68" w:line="229" w:lineRule="auto"/>
                    <w:ind w:left="125" w:right="197" w:hanging="11"/>
                    <w:jc w:val="center"/>
                    <w:rPr>
                      <w:rFonts w:hint="default"/>
                      <w:color w:val="auto"/>
                      <w:spacing w:val="-1"/>
                      <w:highlight w:val="none"/>
                      <w:lang w:val="en-US" w:eastAsia="zh-CN"/>
                    </w:rPr>
                  </w:pPr>
                  <w:r>
                    <w:rPr>
                      <w:rFonts w:hint="eastAsia"/>
                      <w:color w:val="auto"/>
                      <w:spacing w:val="-1"/>
                      <w:highlight w:val="none"/>
                      <w:lang w:val="en-US" w:eastAsia="zh-CN"/>
                    </w:rPr>
                    <w:t>设备噪声、沥青烟气、粉尘、固体废物等</w:t>
                  </w:r>
                </w:p>
              </w:tc>
              <w:tc>
                <w:tcPr>
                  <w:tcW w:w="497" w:type="pct"/>
                  <w:tcBorders>
                    <w:bottom w:val="single" w:color="auto" w:sz="4" w:space="0"/>
                    <w:tl2br w:val="nil"/>
                    <w:tr2bl w:val="nil"/>
                  </w:tcBorders>
                  <w:vAlign w:val="center"/>
                </w:tcPr>
                <w:p>
                  <w:pPr>
                    <w:spacing w:before="61" w:line="232" w:lineRule="auto"/>
                    <w:ind w:left="421"/>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7"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s="Times New Roman"/>
                      <w:color w:val="auto"/>
                      <w:sz w:val="21"/>
                      <w:szCs w:val="21"/>
                      <w:highlight w:val="none"/>
                      <w:lang w:val="en-US" w:eastAsia="zh-CN"/>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9"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3"/>
                      <w:highlight w:val="none"/>
                      <w:lang w:val="en-US" w:eastAsia="zh-CN"/>
                    </w:rPr>
                  </w:pPr>
                  <w:r>
                    <w:rPr>
                      <w:rFonts w:hint="eastAsia"/>
                      <w:color w:val="auto"/>
                      <w:spacing w:val="-3"/>
                      <w:highlight w:val="none"/>
                      <w:lang w:val="en-US" w:eastAsia="zh-CN"/>
                    </w:rPr>
                    <w:t>混凝土拌合站</w:t>
                  </w:r>
                </w:p>
              </w:tc>
              <w:tc>
                <w:tcPr>
                  <w:tcW w:w="1793" w:type="pct"/>
                  <w:tcBorders>
                    <w:bottom w:val="single" w:color="auto" w:sz="4" w:space="0"/>
                    <w:tl2br w:val="nil"/>
                    <w:tr2bl w:val="nil"/>
                  </w:tcBorders>
                  <w:vAlign w:val="center"/>
                </w:tcPr>
                <w:p>
                  <w:pPr>
                    <w:pStyle w:val="75"/>
                    <w:numPr>
                      <w:ilvl w:val="0"/>
                      <w:numId w:val="0"/>
                    </w:numPr>
                    <w:spacing w:before="37" w:line="236" w:lineRule="auto"/>
                    <w:ind w:right="101" w:rightChars="0"/>
                    <w:jc w:val="both"/>
                    <w:rPr>
                      <w:rFonts w:hint="default"/>
                      <w:color w:val="auto"/>
                      <w:spacing w:val="-5"/>
                      <w:highlight w:val="none"/>
                      <w:lang w:val="en-US" w:eastAsia="zh-CN"/>
                    </w:rPr>
                  </w:pPr>
                  <w:r>
                    <w:rPr>
                      <w:rFonts w:hint="eastAsia" w:cs="宋体"/>
                      <w:color w:val="auto"/>
                      <w:spacing w:val="-5"/>
                      <w:kern w:val="2"/>
                      <w:sz w:val="21"/>
                      <w:szCs w:val="21"/>
                      <w:highlight w:val="none"/>
                      <w:lang w:val="en-US" w:eastAsia="zh-CN" w:bidi="ar-SA"/>
                    </w:rPr>
                    <w:t>位于</w:t>
                  </w:r>
                  <w:r>
                    <w:rPr>
                      <w:rFonts w:hint="eastAsia"/>
                      <w:color w:val="auto"/>
                      <w:spacing w:val="-5"/>
                      <w:highlight w:val="none"/>
                      <w:lang w:val="en-US" w:eastAsia="zh-CN"/>
                    </w:rPr>
                    <w:t>大坝右岸下游280m处设置HZS50混凝土拌和站一座，额定生产能力为50m</w:t>
                  </w:r>
                  <w:r>
                    <w:rPr>
                      <w:rFonts w:hint="eastAsia"/>
                      <w:color w:val="auto"/>
                      <w:spacing w:val="-5"/>
                      <w:highlight w:val="none"/>
                      <w:vertAlign w:val="superscript"/>
                      <w:lang w:val="en-US" w:eastAsia="zh-CN"/>
                    </w:rPr>
                    <w:t>3</w:t>
                  </w:r>
                  <w:r>
                    <w:rPr>
                      <w:rFonts w:hint="eastAsia"/>
                      <w:color w:val="auto"/>
                      <w:spacing w:val="-5"/>
                      <w:highlight w:val="none"/>
                      <w:lang w:val="en-US" w:eastAsia="zh-CN"/>
                    </w:rPr>
                    <w:t>/h，同时布置2台0.35m</w:t>
                  </w:r>
                  <w:r>
                    <w:rPr>
                      <w:rFonts w:hint="eastAsia"/>
                      <w:color w:val="auto"/>
                      <w:spacing w:val="-5"/>
                      <w:highlight w:val="none"/>
                      <w:vertAlign w:val="superscript"/>
                      <w:lang w:val="en-US" w:eastAsia="zh-CN"/>
                    </w:rPr>
                    <w:t xml:space="preserve">3 </w:t>
                  </w:r>
                  <w:r>
                    <w:rPr>
                      <w:rFonts w:hint="eastAsia"/>
                      <w:color w:val="auto"/>
                      <w:spacing w:val="-5"/>
                      <w:highlight w:val="none"/>
                      <w:lang w:val="en-US" w:eastAsia="zh-CN"/>
                    </w:rPr>
                    <w:t>移动式混凝土拌和机；</w:t>
                  </w:r>
                </w:p>
              </w:tc>
              <w:tc>
                <w:tcPr>
                  <w:tcW w:w="1050" w:type="pct"/>
                  <w:tcBorders>
                    <w:bottom w:val="single" w:color="auto" w:sz="4" w:space="0"/>
                    <w:tl2br w:val="nil"/>
                    <w:tr2bl w:val="nil"/>
                  </w:tcBorders>
                  <w:vAlign w:val="center"/>
                </w:tcPr>
                <w:p>
                  <w:pPr>
                    <w:pStyle w:val="75"/>
                    <w:spacing w:before="68" w:line="229" w:lineRule="auto"/>
                    <w:ind w:left="125" w:right="197" w:hanging="11"/>
                    <w:jc w:val="center"/>
                    <w:rPr>
                      <w:rFonts w:hint="default"/>
                      <w:color w:val="auto"/>
                      <w:spacing w:val="-1"/>
                      <w:highlight w:val="none"/>
                      <w:lang w:val="en-US" w:eastAsia="zh-CN"/>
                    </w:rPr>
                  </w:pPr>
                  <w:r>
                    <w:rPr>
                      <w:rFonts w:hint="eastAsia"/>
                      <w:color w:val="auto"/>
                      <w:spacing w:val="-1"/>
                      <w:highlight w:val="none"/>
                      <w:lang w:val="en-US" w:eastAsia="zh-CN"/>
                    </w:rPr>
                    <w:t>搅拌粉尘、噪声以及设备冲洗废水等</w:t>
                  </w:r>
                </w:p>
              </w:tc>
              <w:tc>
                <w:tcPr>
                  <w:tcW w:w="497" w:type="pct"/>
                  <w:tcBorders>
                    <w:bottom w:val="single" w:color="auto" w:sz="4" w:space="0"/>
                    <w:tl2br w:val="nil"/>
                    <w:tr2bl w:val="nil"/>
                  </w:tcBorders>
                  <w:vAlign w:val="center"/>
                </w:tcPr>
                <w:p>
                  <w:pPr>
                    <w:spacing w:before="61" w:line="232" w:lineRule="auto"/>
                    <w:ind w:left="421"/>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7"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s="Times New Roman"/>
                      <w:color w:val="auto"/>
                      <w:sz w:val="21"/>
                      <w:szCs w:val="21"/>
                      <w:highlight w:val="none"/>
                      <w:lang w:val="en-US" w:eastAsia="zh-CN"/>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3"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spacing w:before="68" w:line="222" w:lineRule="auto"/>
                    <w:ind w:left="197" w:leftChars="0"/>
                    <w:rPr>
                      <w:color w:val="auto"/>
                      <w:highlight w:val="none"/>
                    </w:rPr>
                  </w:pPr>
                  <w:r>
                    <w:rPr>
                      <w:color w:val="auto"/>
                      <w:spacing w:val="-2"/>
                      <w:highlight w:val="none"/>
                    </w:rPr>
                    <w:t>施工导流</w:t>
                  </w:r>
                </w:p>
              </w:tc>
              <w:tc>
                <w:tcPr>
                  <w:tcW w:w="1793" w:type="pct"/>
                  <w:tcBorders>
                    <w:top w:val="single" w:color="auto" w:sz="4" w:space="0"/>
                    <w:tl2br w:val="nil"/>
                    <w:tr2bl w:val="nil"/>
                  </w:tcBorders>
                  <w:vAlign w:val="center"/>
                </w:tcPr>
                <w:p>
                  <w:pPr>
                    <w:rPr>
                      <w:color w:val="auto"/>
                      <w:highlight w:val="none"/>
                    </w:rPr>
                  </w:pPr>
                  <w:r>
                    <w:rPr>
                      <w:rFonts w:hint="eastAsia"/>
                      <w:color w:val="auto"/>
                      <w:highlight w:val="none"/>
                    </w:rPr>
                    <w:t>三合</w:t>
                  </w:r>
                  <w:r>
                    <w:rPr>
                      <w:color w:val="auto"/>
                      <w:highlight w:val="none"/>
                    </w:rPr>
                    <w:t>水库枢纽工程采用一次性拦断河床、隧洞导流的施工导流方式。根据导流方案比较，本工程导流方案拟采用一次性拦断河床，枯期围堰挡水，汛期坝体临时断面挡水，隧洞过流</w:t>
                  </w:r>
                  <w:r>
                    <w:rPr>
                      <w:rFonts w:hint="eastAsia"/>
                      <w:color w:val="auto"/>
                      <w:highlight w:val="none"/>
                    </w:rPr>
                    <w:t>的</w:t>
                  </w:r>
                  <w:r>
                    <w:rPr>
                      <w:color w:val="auto"/>
                      <w:highlight w:val="none"/>
                    </w:rPr>
                    <w:t>导流方案。导流建筑物主要为导流隧洞、上游围堰、下游围堰和过水明渠。</w:t>
                  </w:r>
                </w:p>
                <w:p>
                  <w:pPr>
                    <w:pStyle w:val="75"/>
                    <w:spacing w:before="32" w:line="220" w:lineRule="auto"/>
                    <w:rPr>
                      <w:color w:val="auto"/>
                      <w:spacing w:val="-1"/>
                      <w:highlight w:val="none"/>
                    </w:rPr>
                  </w:pPr>
                  <w:r>
                    <w:rPr>
                      <w:rFonts w:hint="eastAsia"/>
                      <w:color w:val="auto"/>
                      <w:highlight w:val="none"/>
                    </w:rPr>
                    <w:t>①导流隧洞</w:t>
                  </w:r>
                  <w:r>
                    <w:rPr>
                      <w:color w:val="auto"/>
                      <w:highlight w:val="none"/>
                    </w:rPr>
                    <w:t>进口位于坝轴线以上约140.0m，隧洞轴线与主河道水流方向约成10°夹角，与支流水流方向约成80°夹角。导流隧洞全长</w:t>
                  </w:r>
                  <w:r>
                    <w:rPr>
                      <w:rFonts w:hint="eastAsia"/>
                      <w:color w:val="auto"/>
                      <w:highlight w:val="none"/>
                    </w:rPr>
                    <w:t>2</w:t>
                  </w:r>
                  <w:r>
                    <w:rPr>
                      <w:color w:val="auto"/>
                      <w:highlight w:val="none"/>
                    </w:rPr>
                    <w:t>93.00m，</w:t>
                  </w:r>
                  <w:r>
                    <w:rPr>
                      <w:rFonts w:hint="eastAsia"/>
                      <w:color w:val="auto"/>
                      <w:highlight w:val="none"/>
                    </w:rPr>
                    <w:t>采用城门</w:t>
                  </w:r>
                  <w:r>
                    <w:rPr>
                      <w:color w:val="auto"/>
                      <w:highlight w:val="none"/>
                    </w:rPr>
                    <w:t>洞型</w:t>
                  </w:r>
                  <w:r>
                    <w:rPr>
                      <w:rFonts w:hint="eastAsia"/>
                      <w:color w:val="auto"/>
                      <w:highlight w:val="none"/>
                    </w:rPr>
                    <w:t>，洞径为</w:t>
                  </w:r>
                  <w:r>
                    <w:rPr>
                      <w:color w:val="auto"/>
                      <w:highlight w:val="none"/>
                    </w:rPr>
                    <w:t>2</w:t>
                  </w:r>
                  <w:r>
                    <w:rPr>
                      <w:rFonts w:hint="eastAsia"/>
                      <w:color w:val="auto"/>
                      <w:highlight w:val="none"/>
                    </w:rPr>
                    <w:t>.</w:t>
                  </w:r>
                  <w:r>
                    <w:rPr>
                      <w:color w:val="auto"/>
                      <w:highlight w:val="none"/>
                    </w:rPr>
                    <w:t>5</w:t>
                  </w:r>
                  <w:r>
                    <w:rPr>
                      <w:rFonts w:hint="eastAsia"/>
                      <w:color w:val="auto"/>
                      <w:highlight w:val="none"/>
                    </w:rPr>
                    <w:t>×</w:t>
                  </w:r>
                  <w:r>
                    <w:rPr>
                      <w:color w:val="auto"/>
                      <w:highlight w:val="none"/>
                    </w:rPr>
                    <w:t>3.0</w:t>
                  </w:r>
                  <w:r>
                    <w:rPr>
                      <w:rFonts w:hint="eastAsia"/>
                      <w:color w:val="auto"/>
                      <w:highlight w:val="none"/>
                    </w:rPr>
                    <w:t>m（宽</w:t>
                  </w:r>
                  <w:r>
                    <w:rPr>
                      <w:color w:val="auto"/>
                      <w:highlight w:val="none"/>
                    </w:rPr>
                    <w:t>×高</w:t>
                  </w:r>
                  <w:r>
                    <w:rPr>
                      <w:rFonts w:hint="eastAsia"/>
                      <w:color w:val="auto"/>
                      <w:highlight w:val="none"/>
                    </w:rPr>
                    <w:t>），</w:t>
                  </w:r>
                  <w:r>
                    <w:rPr>
                      <w:color w:val="auto"/>
                      <w:highlight w:val="none"/>
                    </w:rPr>
                    <w:t>平均纵坡比为1/31.6（即i=3.16%）</w:t>
                  </w:r>
                  <w:r>
                    <w:rPr>
                      <w:rFonts w:hint="eastAsia"/>
                      <w:color w:val="auto"/>
                      <w:highlight w:val="none"/>
                    </w:rPr>
                    <w:t>。</w:t>
                  </w:r>
                </w:p>
                <w:p>
                  <w:pPr>
                    <w:rPr>
                      <w:color w:val="auto"/>
                      <w:highlight w:val="none"/>
                    </w:rPr>
                  </w:pPr>
                  <w:r>
                    <w:rPr>
                      <w:rFonts w:hint="eastAsia"/>
                      <w:color w:val="auto"/>
                      <w:highlight w:val="none"/>
                    </w:rPr>
                    <w:t>②</w:t>
                  </w:r>
                  <w:r>
                    <w:rPr>
                      <w:color w:val="auto"/>
                      <w:highlight w:val="none"/>
                    </w:rPr>
                    <w:t>上游围堰位于坝轴线上游140m，上游围堰的两侧边坡为1:75，堰顶高程554.35m，堰顶宽2m，最大堰高5.25m，轴线长72.73m，围堰填筑料采用开挖的土石料进行填筑，堰体及基础采取在迎水面设置复合土工膜进行防渗，复合土工膜深入河床以下</w:t>
                  </w:r>
                  <w:r>
                    <w:rPr>
                      <w:rFonts w:hint="eastAsia"/>
                      <w:color w:val="auto"/>
                      <w:highlight w:val="none"/>
                    </w:rPr>
                    <w:t>0</w:t>
                  </w:r>
                  <w:r>
                    <w:rPr>
                      <w:color w:val="auto"/>
                      <w:highlight w:val="none"/>
                    </w:rPr>
                    <w:t>.5</w:t>
                  </w:r>
                  <w:r>
                    <w:rPr>
                      <w:rFonts w:hint="eastAsia"/>
                      <w:color w:val="auto"/>
                      <w:highlight w:val="none"/>
                    </w:rPr>
                    <w:t>-</w:t>
                  </w:r>
                  <w:r>
                    <w:rPr>
                      <w:color w:val="auto"/>
                      <w:highlight w:val="none"/>
                    </w:rPr>
                    <w:t>2m至基岩</w:t>
                  </w:r>
                  <w:r>
                    <w:rPr>
                      <w:rFonts w:hint="eastAsia"/>
                      <w:color w:val="auto"/>
                      <w:highlight w:val="none"/>
                    </w:rPr>
                    <w:t>，</w:t>
                  </w:r>
                  <w:r>
                    <w:rPr>
                      <w:color w:val="auto"/>
                      <w:highlight w:val="none"/>
                    </w:rPr>
                    <w:t>迎水面采用0.5m厚袋装土护坡防冲。</w:t>
                  </w:r>
                </w:p>
                <w:p>
                  <w:pPr>
                    <w:rPr>
                      <w:color w:val="auto"/>
                      <w:highlight w:val="none"/>
                    </w:rPr>
                  </w:pPr>
                  <w:r>
                    <w:rPr>
                      <w:rFonts w:hint="eastAsia"/>
                      <w:color w:val="auto"/>
                      <w:highlight w:val="none"/>
                    </w:rPr>
                    <w:t>③</w:t>
                  </w:r>
                  <w:r>
                    <w:rPr>
                      <w:color w:val="auto"/>
                      <w:szCs w:val="21"/>
                      <w:highlight w:val="none"/>
                    </w:rPr>
                    <w:t>下游</w:t>
                  </w:r>
                  <w:r>
                    <w:rPr>
                      <w:color w:val="auto"/>
                      <w:highlight w:val="none"/>
                    </w:rPr>
                    <w:t>围堰，采用主体工程开挖的土石料填筑，堰顶高程546.50m，堰顶宽4m（含0.5m厚袋装土护坡），最大堰高5.5m，轴线长24m，迎水侧和背水侧坡比为1:1.5，堰体采用复合土工膜进行防渗，土工膜深入河床以下1m，迎水面采用0.5m厚袋装土护坡。</w:t>
                  </w:r>
                </w:p>
                <w:p>
                  <w:pPr>
                    <w:rPr>
                      <w:color w:val="auto"/>
                      <w:highlight w:val="none"/>
                    </w:rPr>
                  </w:pPr>
                  <w:r>
                    <w:rPr>
                      <w:rFonts w:hint="eastAsia"/>
                      <w:color w:val="auto"/>
                      <w:highlight w:val="none"/>
                    </w:rPr>
                    <w:t>④过水明渠</w:t>
                  </w:r>
                  <w:r>
                    <w:rPr>
                      <w:rFonts w:hint="eastAsia"/>
                      <w:color w:val="auto"/>
                      <w:highlight w:val="none"/>
                      <w:lang w:eastAsia="zh-CN"/>
                    </w:rPr>
                    <w:t>：</w:t>
                  </w:r>
                  <w:r>
                    <w:rPr>
                      <w:color w:val="auto"/>
                      <w:highlight w:val="none"/>
                    </w:rPr>
                    <w:t>过水明渠底宽3.0m，长度61.44m，明渠右岸支沟进口高程551.00m，左岸支沟出口高程550.69m，沟渠左右岸边坡1:1，不采取其他防渗防护措施</w:t>
                  </w:r>
                  <w:r>
                    <w:rPr>
                      <w:rFonts w:hint="eastAsia"/>
                      <w:color w:val="auto"/>
                      <w:highlight w:val="none"/>
                    </w:rPr>
                    <w:t>。</w:t>
                  </w:r>
                </w:p>
              </w:tc>
              <w:tc>
                <w:tcPr>
                  <w:tcW w:w="1050" w:type="pct"/>
                  <w:tcBorders>
                    <w:top w:val="single" w:color="auto" w:sz="4" w:space="0"/>
                    <w:tl2br w:val="nil"/>
                    <w:tr2bl w:val="nil"/>
                  </w:tcBorders>
                  <w:vAlign w:val="center"/>
                </w:tcPr>
                <w:p>
                  <w:pPr>
                    <w:jc w:val="center"/>
                    <w:rPr>
                      <w:color w:val="auto"/>
                      <w:spacing w:val="-1"/>
                      <w:highlight w:val="none"/>
                    </w:rPr>
                  </w:pPr>
                  <w:r>
                    <w:rPr>
                      <w:rFonts w:hint="eastAsia"/>
                      <w:color w:val="auto"/>
                      <w:spacing w:val="-1"/>
                      <w:highlight w:val="none"/>
                      <w:lang w:val="en-US" w:eastAsia="zh-CN"/>
                    </w:rPr>
                    <w:t>施工</w:t>
                  </w:r>
                  <w:r>
                    <w:rPr>
                      <w:color w:val="auto"/>
                      <w:spacing w:val="-1"/>
                      <w:highlight w:val="none"/>
                    </w:rPr>
                    <w:t>扬尘、</w:t>
                  </w:r>
                </w:p>
                <w:p>
                  <w:pPr>
                    <w:jc w:val="center"/>
                    <w:rPr>
                      <w:rFonts w:ascii="Arial"/>
                      <w:color w:val="auto"/>
                      <w:sz w:val="21"/>
                      <w:highlight w:val="none"/>
                    </w:rPr>
                  </w:pPr>
                  <w:r>
                    <w:rPr>
                      <w:rFonts w:hint="eastAsia"/>
                      <w:color w:val="auto"/>
                      <w:spacing w:val="-1"/>
                      <w:highlight w:val="none"/>
                      <w:lang w:val="en-US" w:eastAsia="zh-CN"/>
                    </w:rPr>
                    <w:t>设备</w:t>
                  </w:r>
                  <w:r>
                    <w:rPr>
                      <w:color w:val="auto"/>
                      <w:spacing w:val="-1"/>
                      <w:highlight w:val="none"/>
                    </w:rPr>
                    <w:t>噪声等</w:t>
                  </w:r>
                </w:p>
              </w:tc>
              <w:tc>
                <w:tcPr>
                  <w:tcW w:w="497" w:type="pct"/>
                  <w:tcBorders>
                    <w:top w:val="single" w:color="auto" w:sz="4" w:space="0"/>
                    <w:tl2br w:val="nil"/>
                    <w:tr2bl w:val="nil"/>
                  </w:tcBorders>
                  <w:vAlign w:val="center"/>
                </w:tcPr>
                <w:p>
                  <w:pPr>
                    <w:jc w:val="center"/>
                    <w:rPr>
                      <w:rFonts w:ascii="Arial"/>
                      <w:color w:val="auto"/>
                      <w:sz w:val="21"/>
                      <w:highlight w:val="none"/>
                    </w:rPr>
                  </w:pPr>
                  <w:r>
                    <w:rPr>
                      <w:rFonts w:hint="eastAsia" w:cs="Times New Roman"/>
                      <w:color w:val="auto"/>
                      <w:sz w:val="21"/>
                      <w:szCs w:val="21"/>
                      <w:highlight w:val="none"/>
                      <w:lang w:val="en-US" w:eastAsia="zh-CN"/>
                    </w:rPr>
                    <w:t>/</w:t>
                  </w:r>
                </w:p>
              </w:tc>
              <w:tc>
                <w:tcPr>
                  <w:tcW w:w="407" w:type="pct"/>
                  <w:tcBorders>
                    <w:top w:val="single" w:color="auto" w:sz="4" w:space="0"/>
                    <w:tl2br w:val="nil"/>
                    <w:tr2bl w:val="nil"/>
                  </w:tcBorders>
                  <w:vAlign w:val="center"/>
                </w:tcPr>
                <w:p>
                  <w:pPr>
                    <w:jc w:val="center"/>
                    <w:rPr>
                      <w:rFonts w:hint="eastAsia" w:cs="Times New Roman"/>
                      <w:color w:val="auto"/>
                      <w:sz w:val="21"/>
                      <w:szCs w:val="21"/>
                      <w:highlight w:val="none"/>
                      <w:lang w:val="en-US" w:eastAsia="zh-CN"/>
                    </w:rPr>
                  </w:pPr>
                  <w:r>
                    <w:rPr>
                      <w:rFonts w:hint="eastAsia" w:ascii="宋体" w:hAnsi="宋体" w:eastAsia="宋体" w:cs="宋体"/>
                      <w:color w:val="auto"/>
                      <w:spacing w:val="-2"/>
                      <w:kern w:val="2"/>
                      <w:sz w:val="21"/>
                      <w:szCs w:val="21"/>
                      <w:highlight w:val="none"/>
                      <w:lang w:val="en-US" w:eastAsia="zh-CN" w:bidi="ar-SA"/>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jc w:val="center"/>
              </w:trPr>
              <w:tc>
                <w:tcPr>
                  <w:tcW w:w="236" w:type="pct"/>
                  <w:vMerge w:val="restart"/>
                  <w:tcBorders>
                    <w:tl2br w:val="nil"/>
                    <w:tr2bl w:val="nil"/>
                  </w:tcBorders>
                  <w:vAlign w:val="center"/>
                </w:tcPr>
                <w:p>
                  <w:pPr>
                    <w:pStyle w:val="75"/>
                    <w:spacing w:before="6" w:line="209" w:lineRule="auto"/>
                    <w:ind w:left="35"/>
                    <w:jc w:val="center"/>
                    <w:rPr>
                      <w:color w:val="auto"/>
                      <w:highlight w:val="none"/>
                    </w:rPr>
                  </w:pPr>
                  <w:r>
                    <w:rPr>
                      <w:color w:val="auto"/>
                      <w:spacing w:val="46"/>
                      <w:highlight w:val="none"/>
                    </w:rPr>
                    <w:t>灌区工程</w:t>
                  </w:r>
                </w:p>
              </w:tc>
              <w:tc>
                <w:tcPr>
                  <w:tcW w:w="361"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4"/>
                      <w:highlight w:val="none"/>
                    </w:rPr>
                  </w:pPr>
                  <w:r>
                    <w:rPr>
                      <w:color w:val="auto"/>
                      <w:spacing w:val="-4"/>
                      <w:highlight w:val="none"/>
                    </w:rPr>
                    <w:t>主体</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highlight w:val="none"/>
                    </w:rPr>
                  </w:pPr>
                  <w:r>
                    <w:rPr>
                      <w:color w:val="auto"/>
                      <w:spacing w:val="-4"/>
                      <w:highlight w:val="none"/>
                    </w:rPr>
                    <w:t>工程</w:t>
                  </w:r>
                </w:p>
              </w:tc>
              <w:tc>
                <w:tcPr>
                  <w:tcW w:w="654" w:type="pct"/>
                  <w:tcBorders>
                    <w:tl2br w:val="nil"/>
                    <w:tr2bl w:val="nil"/>
                  </w:tcBorders>
                  <w:vAlign w:val="center"/>
                </w:tcPr>
                <w:p>
                  <w:pPr>
                    <w:pStyle w:val="75"/>
                    <w:spacing w:before="68" w:line="220" w:lineRule="auto"/>
                    <w:ind w:left="413"/>
                    <w:rPr>
                      <w:color w:val="auto"/>
                      <w:highlight w:val="none"/>
                    </w:rPr>
                  </w:pPr>
                  <w:r>
                    <w:rPr>
                      <w:color w:val="auto"/>
                      <w:spacing w:val="-4"/>
                      <w:highlight w:val="none"/>
                    </w:rPr>
                    <w:t>管道</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eastAsia="宋体"/>
                      <w:color w:val="auto"/>
                      <w:highlight w:val="none"/>
                      <w:lang w:val="en-US" w:eastAsia="zh-CN"/>
                    </w:rPr>
                  </w:pPr>
                  <w:r>
                    <w:rPr>
                      <w:rFonts w:hint="eastAsia" w:ascii="Times New Roman" w:hAnsi="Times New Roman" w:eastAsia="宋体" w:cs="Times New Roman"/>
                      <w:color w:val="auto"/>
                      <w:kern w:val="2"/>
                      <w:sz w:val="21"/>
                      <w:szCs w:val="24"/>
                      <w:highlight w:val="none"/>
                      <w:lang w:val="en-US" w:eastAsia="zh-CN" w:bidi="ar-SA"/>
                    </w:rPr>
                    <w:t>三合水库拟定灌区范围为：东以灌区高程控制，向西以东河为界，向北至东河镇谢家碥，向南至嘉川镇五四村石板沟，涉及旺苍县东河镇、嘉川镇2个镇13个村，灌溉面积为2.14万亩。三合水库灌区由1条干管和11条支管组成。灌区干管总长11.187km，支管总长13.052km</w:t>
                  </w:r>
                  <w:r>
                    <w:rPr>
                      <w:rFonts w:hint="eastAsia" w:ascii="Times New Roman" w:hAnsi="Times New Roman" w:cs="Times New Roman"/>
                      <w:color w:val="auto"/>
                      <w:kern w:val="2"/>
                      <w:sz w:val="21"/>
                      <w:szCs w:val="24"/>
                      <w:highlight w:val="none"/>
                      <w:lang w:val="en-US" w:eastAsia="zh-CN" w:bidi="ar-SA"/>
                    </w:rPr>
                    <w:t>，</w:t>
                  </w:r>
                  <w:r>
                    <w:rPr>
                      <w:rFonts w:hAnsi="华文中宋"/>
                      <w:color w:val="auto"/>
                      <w:highlight w:val="none"/>
                    </w:rPr>
                    <w:t>管道口径为</w:t>
                  </w:r>
                  <w:r>
                    <w:rPr>
                      <w:color w:val="auto"/>
                      <w:highlight w:val="none"/>
                    </w:rPr>
                    <w:t>DN300</w:t>
                  </w:r>
                  <w:r>
                    <w:rPr>
                      <w:rFonts w:hAnsi="华文中宋"/>
                      <w:color w:val="auto"/>
                      <w:highlight w:val="none"/>
                    </w:rPr>
                    <w:t>～</w:t>
                  </w:r>
                  <w:r>
                    <w:rPr>
                      <w:color w:val="auto"/>
                      <w:highlight w:val="none"/>
                    </w:rPr>
                    <w:t>D800</w:t>
                  </w:r>
                  <w:r>
                    <w:rPr>
                      <w:rFonts w:hint="eastAsia"/>
                      <w:color w:val="auto"/>
                      <w:highlight w:val="none"/>
                      <w:lang w:eastAsia="zh-CN"/>
                    </w:rPr>
                    <w:t>，</w:t>
                  </w:r>
                  <w:r>
                    <w:rPr>
                      <w:rFonts w:hint="eastAsia"/>
                      <w:color w:val="auto"/>
                      <w:highlight w:val="none"/>
                      <w:lang w:val="en-US" w:eastAsia="zh-CN"/>
                    </w:rPr>
                    <w:t>管材材质为</w:t>
                  </w:r>
                  <w:r>
                    <w:rPr>
                      <w:rFonts w:hint="eastAsia"/>
                      <w:color w:val="auto"/>
                      <w:highlight w:val="none"/>
                    </w:rPr>
                    <w:t>钢管</w:t>
                  </w:r>
                  <w:r>
                    <w:rPr>
                      <w:rFonts w:hint="eastAsia"/>
                      <w:color w:val="auto"/>
                      <w:highlight w:val="none"/>
                      <w:lang w:eastAsia="zh-CN"/>
                    </w:rPr>
                    <w:t>，</w:t>
                  </w:r>
                  <w:r>
                    <w:rPr>
                      <w:color w:val="auto"/>
                      <w:spacing w:val="-2"/>
                      <w:highlight w:val="none"/>
                    </w:rPr>
                    <w:t>管道首端设计流量为</w:t>
                  </w:r>
                  <w:r>
                    <w:rPr>
                      <w:color w:val="auto"/>
                      <w:spacing w:val="-34"/>
                      <w:highlight w:val="none"/>
                    </w:rPr>
                    <w:t xml:space="preserve"> </w:t>
                  </w:r>
                  <w:r>
                    <w:rPr>
                      <w:rFonts w:ascii="Times New Roman" w:hAnsi="Times New Roman" w:eastAsia="Times New Roman" w:cs="Times New Roman"/>
                      <w:color w:val="auto"/>
                      <w:spacing w:val="-2"/>
                      <w:highlight w:val="none"/>
                    </w:rPr>
                    <w:t>0.711m³/s</w:t>
                  </w:r>
                  <w:r>
                    <w:rPr>
                      <w:color w:val="auto"/>
                      <w:spacing w:val="-2"/>
                      <w:highlight w:val="none"/>
                    </w:rPr>
                    <w:t>。</w:t>
                  </w:r>
                </w:p>
              </w:tc>
              <w:tc>
                <w:tcPr>
                  <w:tcW w:w="1050" w:type="pct"/>
                  <w:tcBorders>
                    <w:tl2br w:val="nil"/>
                    <w:tr2bl w:val="nil"/>
                  </w:tcBorders>
                  <w:vAlign w:val="center"/>
                </w:tcPr>
                <w:p>
                  <w:pPr>
                    <w:pStyle w:val="75"/>
                    <w:spacing w:before="34" w:line="230" w:lineRule="auto"/>
                    <w:ind w:left="125" w:right="197" w:hanging="11"/>
                    <w:jc w:val="center"/>
                    <w:rPr>
                      <w:color w:val="auto"/>
                      <w:highlight w:val="none"/>
                    </w:rPr>
                  </w:pPr>
                  <w:r>
                    <w:rPr>
                      <w:rFonts w:hint="eastAsia"/>
                      <w:color w:val="auto"/>
                      <w:spacing w:val="-1"/>
                      <w:highlight w:val="none"/>
                      <w:lang w:val="en-US" w:eastAsia="zh-CN"/>
                    </w:rPr>
                    <w:t>施工</w:t>
                  </w:r>
                  <w:r>
                    <w:rPr>
                      <w:color w:val="auto"/>
                      <w:spacing w:val="-1"/>
                      <w:highlight w:val="none"/>
                    </w:rPr>
                    <w:t>扬尘、</w:t>
                  </w:r>
                  <w:r>
                    <w:rPr>
                      <w:rFonts w:hint="eastAsia"/>
                      <w:color w:val="auto"/>
                      <w:spacing w:val="-1"/>
                      <w:highlight w:val="none"/>
                      <w:lang w:val="en-US" w:eastAsia="zh-CN"/>
                    </w:rPr>
                    <w:t>设备</w:t>
                  </w:r>
                  <w:r>
                    <w:rPr>
                      <w:color w:val="auto"/>
                      <w:spacing w:val="-1"/>
                      <w:highlight w:val="none"/>
                    </w:rPr>
                    <w:t>噪声等</w:t>
                  </w:r>
                </w:p>
              </w:tc>
              <w:tc>
                <w:tcPr>
                  <w:tcW w:w="497" w:type="pct"/>
                  <w:tcBorders>
                    <w:tl2br w:val="nil"/>
                    <w:tr2bl w:val="nil"/>
                  </w:tcBorders>
                  <w:vAlign w:val="center"/>
                </w:tcPr>
                <w:p>
                  <w:pPr>
                    <w:spacing w:before="295"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在建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236" w:type="pct"/>
                  <w:vMerge w:val="continue"/>
                  <w:tcBorders>
                    <w:tl2br w:val="nil"/>
                    <w:tr2bl w:val="nil"/>
                  </w:tcBorders>
                  <w:vAlign w:val="center"/>
                </w:tcPr>
                <w:p>
                  <w:pPr>
                    <w:pStyle w:val="75"/>
                    <w:spacing w:before="6" w:line="209" w:lineRule="auto"/>
                    <w:ind w:left="35"/>
                    <w:rPr>
                      <w:color w:val="auto"/>
                      <w:spacing w:val="46"/>
                      <w:highlight w:val="none"/>
                    </w:rPr>
                  </w:pPr>
                </w:p>
              </w:tc>
              <w:tc>
                <w:tcPr>
                  <w:tcW w:w="361"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4"/>
                      <w:highlight w:val="none"/>
                      <w:lang w:val="en-US" w:eastAsia="zh-CN"/>
                    </w:rPr>
                  </w:pPr>
                  <w:r>
                    <w:rPr>
                      <w:rFonts w:hint="eastAsia"/>
                      <w:color w:val="auto"/>
                      <w:spacing w:val="-4"/>
                      <w:highlight w:val="none"/>
                      <w:lang w:val="en-US" w:eastAsia="zh-CN"/>
                    </w:rPr>
                    <w:t>辅助</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pacing w:val="-4"/>
                      <w:highlight w:val="none"/>
                      <w:lang w:val="en-US" w:eastAsia="zh-CN"/>
                    </w:rPr>
                  </w:pPr>
                  <w:r>
                    <w:rPr>
                      <w:rFonts w:hint="eastAsia"/>
                      <w:color w:val="auto"/>
                      <w:spacing w:val="-4"/>
                      <w:highlight w:val="none"/>
                      <w:lang w:val="en-US" w:eastAsia="zh-CN"/>
                    </w:rPr>
                    <w:t>工程</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4"/>
                      <w:highlight w:val="none"/>
                    </w:rPr>
                  </w:pPr>
                  <w:r>
                    <w:rPr>
                      <w:rFonts w:hint="eastAsia"/>
                      <w:color w:val="auto"/>
                      <w:spacing w:val="-4"/>
                      <w:highlight w:val="none"/>
                    </w:rPr>
                    <w:t>阀门井</w:t>
                  </w:r>
                </w:p>
              </w:tc>
              <w:tc>
                <w:tcPr>
                  <w:tcW w:w="1793" w:type="pct"/>
                  <w:tcBorders>
                    <w:tl2br w:val="nil"/>
                    <w:tr2bl w:val="nil"/>
                  </w:tcBorders>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干管共布置阀门井17座、给水口56座、排泥阀井24座、排气阀井33座。</w:t>
                  </w:r>
                  <w:r>
                    <w:rPr>
                      <w:rFonts w:hint="eastAsia"/>
                      <w:color w:val="auto"/>
                      <w:highlight w:val="none"/>
                      <w:lang w:val="en-US" w:eastAsia="zh-CN"/>
                    </w:rPr>
                    <w:t>另外，</w:t>
                  </w:r>
                  <w:r>
                    <w:rPr>
                      <w:rFonts w:hint="eastAsia"/>
                      <w:color w:val="auto"/>
                      <w:highlight w:val="none"/>
                    </w:rPr>
                    <w:t>本阶段设计只负责干管设计，支管及提灌站属后期配套工程。</w:t>
                  </w:r>
                </w:p>
              </w:tc>
              <w:tc>
                <w:tcPr>
                  <w:tcW w:w="1050" w:type="pct"/>
                  <w:tcBorders>
                    <w:tl2br w:val="nil"/>
                    <w:tr2bl w:val="nil"/>
                  </w:tcBorders>
                  <w:vAlign w:val="center"/>
                </w:tcPr>
                <w:p>
                  <w:pPr>
                    <w:pStyle w:val="75"/>
                    <w:spacing w:before="34" w:line="230" w:lineRule="auto"/>
                    <w:ind w:left="125" w:right="197" w:hanging="11"/>
                    <w:jc w:val="center"/>
                    <w:rPr>
                      <w:color w:val="auto"/>
                      <w:spacing w:val="-1"/>
                      <w:highlight w:val="none"/>
                    </w:rPr>
                  </w:pPr>
                  <w:r>
                    <w:rPr>
                      <w:rFonts w:hint="eastAsia"/>
                      <w:color w:val="auto"/>
                      <w:spacing w:val="-1"/>
                      <w:highlight w:val="none"/>
                      <w:lang w:val="en-US" w:eastAsia="zh-CN"/>
                    </w:rPr>
                    <w:t>施工</w:t>
                  </w:r>
                  <w:r>
                    <w:rPr>
                      <w:color w:val="auto"/>
                      <w:spacing w:val="-1"/>
                      <w:highlight w:val="none"/>
                    </w:rPr>
                    <w:t>扬尘、</w:t>
                  </w:r>
                  <w:r>
                    <w:rPr>
                      <w:rFonts w:hint="eastAsia"/>
                      <w:color w:val="auto"/>
                      <w:spacing w:val="-1"/>
                      <w:highlight w:val="none"/>
                      <w:lang w:val="en-US" w:eastAsia="zh-CN"/>
                    </w:rPr>
                    <w:t>设备</w:t>
                  </w:r>
                  <w:r>
                    <w:rPr>
                      <w:color w:val="auto"/>
                      <w:spacing w:val="-1"/>
                      <w:highlight w:val="none"/>
                    </w:rPr>
                    <w:t>噪声等</w:t>
                  </w:r>
                </w:p>
              </w:tc>
              <w:tc>
                <w:tcPr>
                  <w:tcW w:w="4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部分</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4" w:hRule="atLeast"/>
                <w:jc w:val="center"/>
              </w:trPr>
              <w:tc>
                <w:tcPr>
                  <w:tcW w:w="236" w:type="pct"/>
                  <w:vMerge w:val="continue"/>
                  <w:tcBorders>
                    <w:tl2br w:val="nil"/>
                    <w:tr2bl w:val="nil"/>
                  </w:tcBorders>
                  <w:textDirection w:val="tbRlV"/>
                  <w:vAlign w:val="center"/>
                </w:tcPr>
                <w:p>
                  <w:pPr>
                    <w:rPr>
                      <w:rFonts w:ascii="Arial"/>
                      <w:color w:val="auto"/>
                      <w:sz w:val="21"/>
                      <w:highlight w:val="none"/>
                    </w:rPr>
                  </w:pPr>
                </w:p>
              </w:tc>
              <w:tc>
                <w:tcPr>
                  <w:tcW w:w="361" w:type="pct"/>
                  <w:vMerge w:val="restart"/>
                  <w:tcBorders>
                    <w:tl2br w:val="nil"/>
                    <w:tr2bl w:val="nil"/>
                  </w:tcBorders>
                  <w:vAlign w:val="center"/>
                </w:tcPr>
                <w:p>
                  <w:pPr>
                    <w:pStyle w:val="75"/>
                    <w:spacing w:before="35" w:line="220" w:lineRule="auto"/>
                    <w:ind w:left="123"/>
                    <w:rPr>
                      <w:color w:val="auto"/>
                      <w:spacing w:val="-4"/>
                      <w:highlight w:val="none"/>
                    </w:rPr>
                  </w:pPr>
                  <w:r>
                    <w:rPr>
                      <w:color w:val="auto"/>
                      <w:spacing w:val="-4"/>
                      <w:highlight w:val="none"/>
                    </w:rPr>
                    <w:t>临时</w:t>
                  </w:r>
                </w:p>
                <w:p>
                  <w:pPr>
                    <w:pStyle w:val="75"/>
                    <w:spacing w:before="35" w:line="220" w:lineRule="auto"/>
                    <w:ind w:left="123"/>
                    <w:rPr>
                      <w:color w:val="auto"/>
                      <w:highlight w:val="none"/>
                    </w:rPr>
                  </w:pPr>
                  <w:r>
                    <w:rPr>
                      <w:color w:val="auto"/>
                      <w:spacing w:val="-4"/>
                      <w:highlight w:val="none"/>
                    </w:rPr>
                    <w:t>工程</w:t>
                  </w:r>
                </w:p>
              </w:tc>
              <w:tc>
                <w:tcPr>
                  <w:tcW w:w="654" w:type="pct"/>
                  <w:tcBorders>
                    <w:tl2br w:val="nil"/>
                    <w:tr2bl w:val="nil"/>
                  </w:tcBorders>
                  <w:vAlign w:val="center"/>
                </w:tcPr>
                <w:p>
                  <w:pPr>
                    <w:pStyle w:val="75"/>
                    <w:spacing w:before="260" w:line="220" w:lineRule="auto"/>
                    <w:ind w:left="197"/>
                    <w:rPr>
                      <w:color w:val="auto"/>
                      <w:highlight w:val="none"/>
                    </w:rPr>
                  </w:pPr>
                  <w:r>
                    <w:rPr>
                      <w:color w:val="auto"/>
                      <w:spacing w:val="-2"/>
                      <w:highlight w:val="none"/>
                    </w:rPr>
                    <w:t>施工便道</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color w:val="auto"/>
                      <w:highlight w:val="none"/>
                    </w:rPr>
                  </w:pPr>
                  <w:r>
                    <w:rPr>
                      <w:rFonts w:hint="eastAsia"/>
                      <w:color w:val="auto"/>
                      <w:spacing w:val="0"/>
                      <w:sz w:val="21"/>
                      <w:highlight w:val="none"/>
                    </w:rPr>
                    <w:t>灌区工程主要设置3条施工便道，宽度在3.5m，主要用于施工期间物料转运以及施工时产生的弃渣的转运等用途</w:t>
                  </w:r>
                  <w:r>
                    <w:rPr>
                      <w:color w:val="auto"/>
                      <w:spacing w:val="0"/>
                      <w:sz w:val="21"/>
                      <w:highlight w:val="none"/>
                    </w:rPr>
                    <w:t>。</w:t>
                  </w:r>
                </w:p>
              </w:tc>
              <w:tc>
                <w:tcPr>
                  <w:tcW w:w="1050" w:type="pct"/>
                  <w:tcBorders>
                    <w:tl2br w:val="nil"/>
                    <w:tr2bl w:val="nil"/>
                  </w:tcBorders>
                  <w:vAlign w:val="center"/>
                </w:tcPr>
                <w:p>
                  <w:pPr>
                    <w:pStyle w:val="75"/>
                    <w:spacing w:before="36" w:line="229" w:lineRule="auto"/>
                    <w:ind w:left="125" w:right="197" w:hanging="11"/>
                    <w:jc w:val="center"/>
                    <w:rPr>
                      <w:color w:val="auto"/>
                      <w:highlight w:val="none"/>
                    </w:rPr>
                  </w:pPr>
                  <w:r>
                    <w:rPr>
                      <w:rFonts w:hint="eastAsia"/>
                      <w:color w:val="auto"/>
                      <w:spacing w:val="-1"/>
                      <w:highlight w:val="none"/>
                      <w:lang w:val="en-US" w:eastAsia="zh-CN"/>
                    </w:rPr>
                    <w:t>施工</w:t>
                  </w:r>
                  <w:r>
                    <w:rPr>
                      <w:color w:val="auto"/>
                      <w:spacing w:val="-1"/>
                      <w:highlight w:val="none"/>
                    </w:rPr>
                    <w:t>扬尘、</w:t>
                  </w:r>
                  <w:r>
                    <w:rPr>
                      <w:rFonts w:hint="eastAsia"/>
                      <w:color w:val="auto"/>
                      <w:spacing w:val="-1"/>
                      <w:highlight w:val="none"/>
                      <w:lang w:val="en-US" w:eastAsia="zh-CN"/>
                    </w:rPr>
                    <w:t>设备</w:t>
                  </w:r>
                  <w:r>
                    <w:rPr>
                      <w:color w:val="auto"/>
                      <w:spacing w:val="-1"/>
                      <w:highlight w:val="none"/>
                    </w:rPr>
                    <w:t>噪声等</w:t>
                  </w:r>
                </w:p>
              </w:tc>
              <w:tc>
                <w:tcPr>
                  <w:tcW w:w="497" w:type="pct"/>
                  <w:tcBorders>
                    <w:tl2br w:val="nil"/>
                    <w:tr2bl w:val="nil"/>
                  </w:tcBorders>
                  <w:vAlign w:val="center"/>
                </w:tcPr>
                <w:p>
                  <w:pPr>
                    <w:spacing w:before="51"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6"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auto"/>
                      <w:spacing w:val="-1"/>
                      <w:highlight w:val="none"/>
                      <w:lang w:val="en-US" w:eastAsia="zh-CN"/>
                    </w:rPr>
                  </w:pPr>
                  <w:r>
                    <w:rPr>
                      <w:rFonts w:hint="eastAsia"/>
                      <w:color w:val="auto"/>
                      <w:spacing w:val="-1"/>
                      <w:highlight w:val="none"/>
                      <w:lang w:val="en-US" w:eastAsia="zh-CN"/>
                    </w:rPr>
                    <w:t>混凝土</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highlight w:val="none"/>
                      <w:lang w:val="en-US" w:eastAsia="zh-CN"/>
                    </w:rPr>
                  </w:pPr>
                  <w:r>
                    <w:rPr>
                      <w:rFonts w:hint="eastAsia"/>
                      <w:color w:val="auto"/>
                      <w:spacing w:val="-1"/>
                      <w:highlight w:val="none"/>
                      <w:lang w:val="en-US" w:eastAsia="zh-CN"/>
                    </w:rPr>
                    <w:t>拌合场</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color w:val="auto"/>
                      <w:spacing w:val="-1"/>
                      <w:highlight w:val="none"/>
                      <w:lang w:val="en-US" w:eastAsia="zh-CN"/>
                    </w:rPr>
                  </w:pPr>
                  <w:r>
                    <w:rPr>
                      <w:rFonts w:hint="eastAsia"/>
                      <w:color w:val="auto"/>
                      <w:spacing w:val="-1"/>
                      <w:highlight w:val="none"/>
                      <w:lang w:val="en-US" w:eastAsia="zh-CN"/>
                    </w:rPr>
                    <w:t>按照施工设计，灌区工程混凝土</w:t>
                  </w:r>
                </w:p>
                <w:p>
                  <w:pPr>
                    <w:pStyle w:val="75"/>
                    <w:spacing w:before="32" w:line="236" w:lineRule="auto"/>
                    <w:ind w:right="129"/>
                    <w:rPr>
                      <w:color w:val="auto"/>
                      <w:highlight w:val="none"/>
                    </w:rPr>
                  </w:pPr>
                  <w:r>
                    <w:rPr>
                      <w:rFonts w:hint="eastAsia"/>
                      <w:color w:val="auto"/>
                      <w:spacing w:val="-1"/>
                      <w:highlight w:val="none"/>
                      <w:lang w:val="en-US" w:eastAsia="zh-CN"/>
                    </w:rPr>
                    <w:t>拌合场位于主干管G4+600段西侧，距主干管直线距离约为125m，布设1套</w:t>
                  </w:r>
                  <w:r>
                    <w:rPr>
                      <w:color w:val="auto"/>
                      <w:spacing w:val="-1"/>
                      <w:highlight w:val="none"/>
                    </w:rPr>
                    <w:t>HZS25</w:t>
                  </w:r>
                  <w:r>
                    <w:rPr>
                      <w:rFonts w:hint="eastAsia"/>
                      <w:color w:val="auto"/>
                      <w:spacing w:val="-1"/>
                      <w:highlight w:val="none"/>
                      <w:lang w:val="en-US" w:eastAsia="zh-CN"/>
                    </w:rPr>
                    <w:t>混凝土搅拌站，并同时布设3台0.35m</w:t>
                  </w:r>
                  <w:r>
                    <w:rPr>
                      <w:rFonts w:hint="eastAsia"/>
                      <w:color w:val="auto"/>
                      <w:spacing w:val="-1"/>
                      <w:highlight w:val="none"/>
                      <w:vertAlign w:val="superscript"/>
                      <w:lang w:val="en-US" w:eastAsia="zh-CN"/>
                    </w:rPr>
                    <w:t>3</w:t>
                  </w:r>
                  <w:r>
                    <w:rPr>
                      <w:rFonts w:hint="eastAsia"/>
                      <w:color w:val="auto"/>
                      <w:spacing w:val="-1"/>
                      <w:highlight w:val="none"/>
                      <w:lang w:val="en-US" w:eastAsia="zh-CN"/>
                    </w:rPr>
                    <w:t>移动式混凝土拌和机；</w:t>
                  </w:r>
                </w:p>
              </w:tc>
              <w:tc>
                <w:tcPr>
                  <w:tcW w:w="1050" w:type="pct"/>
                  <w:tcBorders>
                    <w:tl2br w:val="nil"/>
                    <w:tr2bl w:val="nil"/>
                  </w:tcBorders>
                  <w:vAlign w:val="center"/>
                </w:tcPr>
                <w:p>
                  <w:pPr>
                    <w:pStyle w:val="75"/>
                    <w:spacing w:before="35" w:line="229" w:lineRule="auto"/>
                    <w:ind w:left="125" w:right="197" w:hanging="11"/>
                    <w:rPr>
                      <w:color w:val="auto"/>
                      <w:highlight w:val="none"/>
                    </w:rPr>
                  </w:pPr>
                  <w:r>
                    <w:rPr>
                      <w:color w:val="auto"/>
                      <w:spacing w:val="-1"/>
                      <w:highlight w:val="none"/>
                    </w:rPr>
                    <w:t>扬尘、废气、噪声等影</w:t>
                  </w:r>
                  <w:r>
                    <w:rPr>
                      <w:color w:val="auto"/>
                      <w:spacing w:val="-4"/>
                      <w:highlight w:val="none"/>
                    </w:rPr>
                    <w:t>响环境现状</w:t>
                  </w:r>
                </w:p>
              </w:tc>
              <w:tc>
                <w:tcPr>
                  <w:tcW w:w="497" w:type="pct"/>
                  <w:tcBorders>
                    <w:tl2br w:val="nil"/>
                    <w:tr2bl w:val="nil"/>
                  </w:tcBorders>
                  <w:vAlign w:val="center"/>
                </w:tcPr>
                <w:p>
                  <w:pPr>
                    <w:spacing w:before="61" w:line="232" w:lineRule="auto"/>
                    <w:ind w:left="52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highlight w:val="none"/>
                    </w:rPr>
                  </w:pPr>
                  <w:r>
                    <w:rPr>
                      <w:rFonts w:hint="eastAsia" w:eastAsia="宋体"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spacing w:before="68" w:line="220" w:lineRule="auto"/>
                    <w:ind w:left="307"/>
                    <w:rPr>
                      <w:color w:val="auto"/>
                      <w:highlight w:val="none"/>
                    </w:rPr>
                  </w:pPr>
                  <w:r>
                    <w:rPr>
                      <w:color w:val="auto"/>
                      <w:spacing w:val="-3"/>
                      <w:highlight w:val="none"/>
                    </w:rPr>
                    <w:t>弃渣场</w:t>
                  </w:r>
                </w:p>
              </w:tc>
              <w:tc>
                <w:tcPr>
                  <w:tcW w:w="1793" w:type="pct"/>
                  <w:tcBorders>
                    <w:tl2br w:val="nil"/>
                    <w:tr2bl w:val="nil"/>
                  </w:tcBorders>
                  <w:vAlign w:val="center"/>
                </w:tcPr>
                <w:p>
                  <w:pPr>
                    <w:pStyle w:val="75"/>
                    <w:spacing w:before="36" w:line="230" w:lineRule="auto"/>
                    <w:ind w:right="129"/>
                    <w:rPr>
                      <w:color w:val="auto"/>
                      <w:highlight w:val="none"/>
                    </w:rPr>
                  </w:pPr>
                  <w:r>
                    <w:rPr>
                      <w:rFonts w:hint="eastAsia"/>
                      <w:color w:val="auto"/>
                      <w:highlight w:val="none"/>
                    </w:rPr>
                    <w:t>罐区工程共设置2个弃渣场，分别位于主干管G4+200段西侧，距离主干管的最近距离约为580m；另一处位于主干管G9+200段南侧，直线距离约为700m处；上述两处弃渣场总占地面积约为0.98hm</w:t>
                  </w:r>
                  <w:r>
                    <w:rPr>
                      <w:rFonts w:hint="eastAsia"/>
                      <w:color w:val="auto"/>
                      <w:highlight w:val="none"/>
                      <w:vertAlign w:val="superscript"/>
                    </w:rPr>
                    <w:t>2</w:t>
                  </w:r>
                  <w:r>
                    <w:rPr>
                      <w:rFonts w:hint="eastAsia"/>
                      <w:color w:val="auto"/>
                      <w:highlight w:val="none"/>
                    </w:rPr>
                    <w:t>，占地类型均为灌木林地。</w:t>
                  </w:r>
                </w:p>
              </w:tc>
              <w:tc>
                <w:tcPr>
                  <w:tcW w:w="1050" w:type="pct"/>
                  <w:tcBorders>
                    <w:tl2br w:val="nil"/>
                    <w:tr2bl w:val="nil"/>
                  </w:tcBorders>
                  <w:vAlign w:val="center"/>
                </w:tcPr>
                <w:p>
                  <w:pPr>
                    <w:pStyle w:val="75"/>
                    <w:spacing w:before="33" w:line="220" w:lineRule="auto"/>
                    <w:ind w:left="114"/>
                    <w:rPr>
                      <w:color w:val="auto"/>
                      <w:highlight w:val="none"/>
                    </w:rPr>
                  </w:pPr>
                  <w:r>
                    <w:rPr>
                      <w:color w:val="auto"/>
                      <w:spacing w:val="-1"/>
                      <w:highlight w:val="none"/>
                    </w:rPr>
                    <w:t>扬尘、水土流失</w:t>
                  </w:r>
                </w:p>
              </w:tc>
              <w:tc>
                <w:tcPr>
                  <w:tcW w:w="497" w:type="pct"/>
                  <w:tcBorders>
                    <w:tl2br w:val="nil"/>
                    <w:tr2bl w:val="nil"/>
                  </w:tcBorders>
                  <w:vAlign w:val="center"/>
                </w:tcPr>
                <w:p>
                  <w:pPr>
                    <w:spacing w:before="53"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highlight w:val="none"/>
                    </w:rPr>
                  </w:pPr>
                  <w:r>
                    <w:rPr>
                      <w:rFonts w:hint="eastAsia" w:eastAsia="宋体"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8"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rFonts w:ascii="Arial"/>
                      <w:color w:val="auto"/>
                      <w:sz w:val="21"/>
                      <w:highlight w:val="none"/>
                    </w:rPr>
                  </w:pPr>
                </w:p>
              </w:tc>
              <w:tc>
                <w:tcPr>
                  <w:tcW w:w="654" w:type="pct"/>
                  <w:tcBorders>
                    <w:tl2br w:val="nil"/>
                    <w:tr2bl w:val="nil"/>
                  </w:tcBorders>
                  <w:vAlign w:val="center"/>
                </w:tcPr>
                <w:p>
                  <w:pPr>
                    <w:pStyle w:val="75"/>
                    <w:spacing w:before="308" w:line="222" w:lineRule="auto"/>
                    <w:ind w:left="197"/>
                    <w:rPr>
                      <w:color w:val="auto"/>
                      <w:highlight w:val="none"/>
                    </w:rPr>
                  </w:pPr>
                  <w:r>
                    <w:rPr>
                      <w:color w:val="auto"/>
                      <w:spacing w:val="-2"/>
                      <w:highlight w:val="none"/>
                    </w:rPr>
                    <w:t>施工导流</w:t>
                  </w:r>
                </w:p>
              </w:tc>
              <w:tc>
                <w:tcPr>
                  <w:tcW w:w="1793" w:type="pct"/>
                  <w:tcBorders>
                    <w:tl2br w:val="nil"/>
                    <w:tr2bl w:val="nil"/>
                  </w:tcBorders>
                  <w:vAlign w:val="center"/>
                </w:tcPr>
                <w:p>
                  <w:pPr>
                    <w:pStyle w:val="75"/>
                    <w:spacing w:before="36" w:line="229" w:lineRule="auto"/>
                    <w:ind w:right="129"/>
                    <w:jc w:val="both"/>
                    <w:rPr>
                      <w:color w:val="auto"/>
                      <w:highlight w:val="none"/>
                    </w:rPr>
                  </w:pPr>
                  <w:r>
                    <w:rPr>
                      <w:rFonts w:hint="eastAsia"/>
                      <w:color w:val="auto"/>
                      <w:spacing w:val="-2"/>
                      <w:highlight w:val="none"/>
                    </w:rPr>
                    <w:t>本工程管线穿越溪沟较多，溪沟靠近源头，除赵家沟需采取导流措施外，</w:t>
                  </w:r>
                  <w:r>
                    <w:rPr>
                      <w:rFonts w:hint="eastAsia"/>
                      <w:color w:val="auto"/>
                      <w:spacing w:val="-2"/>
                      <w:highlight w:val="none"/>
                      <w:lang w:val="en-US" w:eastAsia="zh-CN"/>
                    </w:rPr>
                    <w:t>其余</w:t>
                  </w:r>
                  <w:r>
                    <w:rPr>
                      <w:rFonts w:hint="eastAsia"/>
                      <w:color w:val="auto"/>
                      <w:spacing w:val="-2"/>
                      <w:highlight w:val="none"/>
                    </w:rPr>
                    <w:t>集水面积均较小，</w:t>
                  </w:r>
                  <w:r>
                    <w:rPr>
                      <w:rFonts w:hint="eastAsia"/>
                      <w:color w:val="auto"/>
                      <w:spacing w:val="-2"/>
                      <w:highlight w:val="none"/>
                      <w:lang w:val="en-US" w:eastAsia="zh-CN"/>
                    </w:rPr>
                    <w:t>无需设置</w:t>
                  </w:r>
                  <w:r>
                    <w:rPr>
                      <w:rFonts w:hint="eastAsia"/>
                      <w:color w:val="auto"/>
                      <w:spacing w:val="-2"/>
                      <w:highlight w:val="none"/>
                    </w:rPr>
                    <w:t>导流措施</w:t>
                  </w:r>
                  <w:r>
                    <w:rPr>
                      <w:rFonts w:hint="eastAsia"/>
                      <w:color w:val="auto"/>
                      <w:spacing w:val="-2"/>
                      <w:highlight w:val="none"/>
                      <w:lang w:eastAsia="zh-CN"/>
                    </w:rPr>
                    <w:t>。</w:t>
                  </w:r>
                  <w:r>
                    <w:rPr>
                      <w:rFonts w:hint="eastAsia"/>
                      <w:color w:val="auto"/>
                      <w:spacing w:val="-2"/>
                      <w:highlight w:val="none"/>
                    </w:rPr>
                    <w:t>灌区管道工程穿越赵家沟采用土石围堰一次性截断河床，潜水泵抽排的导流方式。土石围堰堰体采用主体工程开挖料填筑，堰顶宽度2m，堰高1.5m，上下游坡比1:1.75，30cm厚袋装土护坡，复合土工膜防渗深入河床以下0.5m。</w:t>
                  </w:r>
                </w:p>
              </w:tc>
              <w:tc>
                <w:tcPr>
                  <w:tcW w:w="1050" w:type="pct"/>
                  <w:tcBorders>
                    <w:tl2br w:val="nil"/>
                    <w:tr2bl w:val="nil"/>
                  </w:tcBorders>
                  <w:vAlign w:val="center"/>
                </w:tcPr>
                <w:p>
                  <w:pPr>
                    <w:pStyle w:val="75"/>
                    <w:spacing w:before="37" w:line="229" w:lineRule="auto"/>
                    <w:ind w:left="125" w:right="197" w:hanging="11"/>
                    <w:rPr>
                      <w:color w:val="auto"/>
                      <w:highlight w:val="none"/>
                    </w:rPr>
                  </w:pPr>
                  <w:r>
                    <w:rPr>
                      <w:color w:val="auto"/>
                      <w:spacing w:val="-1"/>
                      <w:highlight w:val="none"/>
                    </w:rPr>
                    <w:t>扬尘、废气、噪声等影</w:t>
                  </w:r>
                  <w:r>
                    <w:rPr>
                      <w:color w:val="auto"/>
                      <w:spacing w:val="-4"/>
                      <w:highlight w:val="none"/>
                    </w:rPr>
                    <w:t>响环境现状</w:t>
                  </w:r>
                </w:p>
              </w:tc>
              <w:tc>
                <w:tcPr>
                  <w:tcW w:w="497" w:type="pct"/>
                  <w:tcBorders>
                    <w:tl2br w:val="nil"/>
                    <w:tr2bl w:val="nil"/>
                  </w:tcBorders>
                  <w:vAlign w:val="center"/>
                </w:tcPr>
                <w:p>
                  <w:pPr>
                    <w:spacing w:before="60" w:line="232" w:lineRule="auto"/>
                    <w:ind w:left="4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color w:val="auto"/>
                      <w:sz w:val="21"/>
                      <w:szCs w:val="21"/>
                      <w:highlight w:val="none"/>
                    </w:rPr>
                  </w:pPr>
                  <w:r>
                    <w:rPr>
                      <w:rFonts w:hint="eastAsia" w:eastAsia="宋体"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jc w:val="center"/>
              </w:trPr>
              <w:tc>
                <w:tcPr>
                  <w:tcW w:w="597" w:type="pct"/>
                  <w:gridSpan w:val="2"/>
                  <w:vMerge w:val="restart"/>
                  <w:tcBorders>
                    <w:tl2br w:val="nil"/>
                    <w:tr2bl w:val="nil"/>
                  </w:tcBorders>
                  <w:vAlign w:val="center"/>
                </w:tcPr>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征地</w:t>
                  </w:r>
                </w:p>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及</w:t>
                  </w:r>
                </w:p>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移民</w:t>
                  </w:r>
                </w:p>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安置</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建设征地</w:t>
                  </w:r>
                </w:p>
              </w:tc>
              <w:tc>
                <w:tcPr>
                  <w:tcW w:w="1793" w:type="pct"/>
                  <w:tcBorders>
                    <w:tl2br w:val="nil"/>
                    <w:tr2bl w:val="nil"/>
                  </w:tcBorders>
                  <w:vAlign w:val="center"/>
                </w:tcPr>
                <w:p>
                  <w:pPr>
                    <w:pStyle w:val="75"/>
                    <w:spacing w:before="36" w:line="229" w:lineRule="auto"/>
                    <w:ind w:right="129"/>
                    <w:jc w:val="both"/>
                    <w:rPr>
                      <w:rFonts w:hint="eastAsia"/>
                      <w:color w:val="auto"/>
                      <w:spacing w:val="-1"/>
                      <w:highlight w:val="none"/>
                      <w:lang w:val="en-US" w:eastAsia="zh-CN"/>
                    </w:rPr>
                  </w:pPr>
                  <w:r>
                    <w:rPr>
                      <w:color w:val="auto"/>
                      <w:highlight w:val="none"/>
                    </w:rPr>
                    <w:t>三合水库工程建设征地涉及东河镇的南峰村、凤阳村、南阳村、川山村，百关丈社区、红垭村、石坝村、灵溪村、五峰村，嘉川镇的青林村、五四村、蔬菜村和庆寨村，共计2个乡镇13个村（社区）</w:t>
                  </w:r>
                  <w:r>
                    <w:rPr>
                      <w:rFonts w:hint="eastAsia"/>
                      <w:color w:val="auto"/>
                      <w:highlight w:val="none"/>
                      <w:lang w:eastAsia="zh-CN"/>
                    </w:rPr>
                    <w:t>，</w:t>
                  </w:r>
                  <w:r>
                    <w:rPr>
                      <w:rFonts w:hint="eastAsia"/>
                      <w:color w:val="auto"/>
                      <w:spacing w:val="-1"/>
                      <w:highlight w:val="none"/>
                    </w:rPr>
                    <w:t>项目总用地规模189373m</w:t>
                  </w:r>
                  <w:r>
                    <w:rPr>
                      <w:rFonts w:hint="eastAsia"/>
                      <w:color w:val="auto"/>
                      <w:spacing w:val="-1"/>
                      <w:highlight w:val="none"/>
                      <w:vertAlign w:val="superscript"/>
                    </w:rPr>
                    <w:t>2</w:t>
                  </w:r>
                  <w:r>
                    <w:rPr>
                      <w:rFonts w:hint="eastAsia"/>
                      <w:color w:val="auto"/>
                      <w:spacing w:val="-1"/>
                      <w:highlight w:val="none"/>
                    </w:rPr>
                    <w:t>，折合约284.06亩。其中：拟使用原国有建设用地0m</w:t>
                  </w:r>
                  <w:r>
                    <w:rPr>
                      <w:rFonts w:hint="eastAsia"/>
                      <w:color w:val="auto"/>
                      <w:spacing w:val="-1"/>
                      <w:highlight w:val="none"/>
                      <w:vertAlign w:val="superscript"/>
                    </w:rPr>
                    <w:t>2</w:t>
                  </w:r>
                  <w:r>
                    <w:rPr>
                      <w:rFonts w:hint="eastAsia"/>
                      <w:color w:val="auto"/>
                      <w:spacing w:val="-1"/>
                      <w:highlight w:val="none"/>
                      <w:vertAlign w:val="baseline"/>
                      <w:lang w:eastAsia="zh-CN"/>
                    </w:rPr>
                    <w:t>，</w:t>
                  </w:r>
                  <w:r>
                    <w:rPr>
                      <w:rFonts w:hint="eastAsia"/>
                      <w:color w:val="auto"/>
                      <w:spacing w:val="-1"/>
                      <w:highlight w:val="none"/>
                    </w:rPr>
                    <w:t>本次申请用地54474m</w:t>
                  </w:r>
                  <w:r>
                    <w:rPr>
                      <w:rFonts w:hint="eastAsia"/>
                      <w:color w:val="auto"/>
                      <w:spacing w:val="-1"/>
                      <w:highlight w:val="none"/>
                      <w:vertAlign w:val="superscript"/>
                    </w:rPr>
                    <w:t>2</w:t>
                  </w:r>
                  <w:r>
                    <w:rPr>
                      <w:rFonts w:hint="eastAsia"/>
                      <w:color w:val="auto"/>
                      <w:spacing w:val="-1"/>
                      <w:highlight w:val="none"/>
                    </w:rPr>
                    <w:t>，</w:t>
                  </w:r>
                  <w:r>
                    <w:rPr>
                      <w:rFonts w:hint="eastAsia"/>
                      <w:color w:val="auto"/>
                      <w:spacing w:val="-1"/>
                      <w:highlight w:val="none"/>
                      <w:lang w:val="en-US" w:eastAsia="zh-CN"/>
                    </w:rPr>
                    <w:t>折合约81.7亩，分别为：</w:t>
                  </w:r>
                </w:p>
                <w:p>
                  <w:pPr>
                    <w:pStyle w:val="75"/>
                    <w:spacing w:before="36" w:line="229" w:lineRule="auto"/>
                    <w:ind w:right="129"/>
                    <w:jc w:val="both"/>
                    <w:rPr>
                      <w:rFonts w:hint="eastAsia"/>
                      <w:color w:val="auto"/>
                      <w:spacing w:val="-1"/>
                      <w:highlight w:val="none"/>
                    </w:rPr>
                  </w:pPr>
                  <w:r>
                    <w:rPr>
                      <w:rFonts w:hint="eastAsia"/>
                      <w:color w:val="auto"/>
                      <w:spacing w:val="-1"/>
                      <w:highlight w:val="none"/>
                      <w:lang w:val="en-US" w:eastAsia="zh-CN"/>
                    </w:rPr>
                    <w:t>农用地49918m</w:t>
                  </w:r>
                  <w:r>
                    <w:rPr>
                      <w:rFonts w:hint="eastAsia"/>
                      <w:color w:val="auto"/>
                      <w:spacing w:val="-1"/>
                      <w:highlight w:val="none"/>
                      <w:vertAlign w:val="superscript"/>
                      <w:lang w:val="en-US" w:eastAsia="zh-CN"/>
                    </w:rPr>
                    <w:t>2</w:t>
                  </w:r>
                  <w:r>
                    <w:rPr>
                      <w:rFonts w:hint="eastAsia"/>
                      <w:color w:val="auto"/>
                      <w:spacing w:val="-1"/>
                      <w:highlight w:val="none"/>
                      <w:lang w:val="en-US" w:eastAsia="zh-CN"/>
                    </w:rPr>
                    <w:t>，折合约74.87亩</w:t>
                  </w:r>
                  <w:r>
                    <w:rPr>
                      <w:rFonts w:hint="eastAsia"/>
                      <w:color w:val="auto"/>
                      <w:spacing w:val="-1"/>
                      <w:highlight w:val="none"/>
                      <w:lang w:eastAsia="zh-CN"/>
                    </w:rPr>
                    <w:t>（</w:t>
                  </w:r>
                  <w:r>
                    <w:rPr>
                      <w:rFonts w:hint="eastAsia"/>
                      <w:color w:val="auto"/>
                      <w:spacing w:val="-1"/>
                      <w:highlight w:val="none"/>
                      <w:lang w:val="en-US" w:eastAsia="zh-CN"/>
                    </w:rPr>
                    <w:t>耕地7456m</w:t>
                  </w:r>
                  <w:r>
                    <w:rPr>
                      <w:rFonts w:hint="eastAsia"/>
                      <w:color w:val="auto"/>
                      <w:spacing w:val="-1"/>
                      <w:highlight w:val="none"/>
                      <w:vertAlign w:val="superscript"/>
                      <w:lang w:val="en-US" w:eastAsia="zh-CN"/>
                    </w:rPr>
                    <w:t>2</w:t>
                  </w:r>
                  <w:r>
                    <w:rPr>
                      <w:rFonts w:hint="eastAsia"/>
                      <w:color w:val="auto"/>
                      <w:spacing w:val="-1"/>
                      <w:highlight w:val="none"/>
                    </w:rPr>
                    <w:t>，</w:t>
                  </w:r>
                  <w:r>
                    <w:rPr>
                      <w:rFonts w:hint="eastAsia"/>
                      <w:color w:val="auto"/>
                      <w:spacing w:val="-1"/>
                      <w:highlight w:val="none"/>
                      <w:lang w:val="en-US" w:eastAsia="zh-CN"/>
                    </w:rPr>
                    <w:t>折合约11.2亩；其中：涉及基本农田1509m</w:t>
                  </w:r>
                  <w:r>
                    <w:rPr>
                      <w:rFonts w:hint="eastAsia"/>
                      <w:color w:val="auto"/>
                      <w:spacing w:val="-1"/>
                      <w:highlight w:val="none"/>
                      <w:vertAlign w:val="superscript"/>
                      <w:lang w:val="en-US" w:eastAsia="zh-CN"/>
                    </w:rPr>
                    <w:t>2</w:t>
                  </w:r>
                  <w:r>
                    <w:rPr>
                      <w:rFonts w:hint="eastAsia"/>
                      <w:color w:val="auto"/>
                      <w:spacing w:val="-1"/>
                      <w:highlight w:val="none"/>
                      <w:lang w:val="en-US" w:eastAsia="zh-CN"/>
                    </w:rPr>
                    <w:t>，折合约2.26亩</w:t>
                  </w:r>
                  <w:r>
                    <w:rPr>
                      <w:rFonts w:hint="eastAsia"/>
                      <w:color w:val="auto"/>
                      <w:spacing w:val="-1"/>
                      <w:highlight w:val="none"/>
                      <w:lang w:eastAsia="zh-CN"/>
                    </w:rPr>
                    <w:t>）；</w:t>
                  </w:r>
                  <w:r>
                    <w:rPr>
                      <w:rFonts w:hint="eastAsia"/>
                      <w:color w:val="auto"/>
                      <w:spacing w:val="-1"/>
                      <w:highlight w:val="none"/>
                      <w:lang w:val="en-US" w:eastAsia="zh-CN"/>
                    </w:rPr>
                    <w:t>建设用地0m</w:t>
                  </w:r>
                  <w:r>
                    <w:rPr>
                      <w:rFonts w:hint="eastAsia"/>
                      <w:color w:val="auto"/>
                      <w:spacing w:val="-1"/>
                      <w:highlight w:val="none"/>
                      <w:vertAlign w:val="superscript"/>
                      <w:lang w:val="en-US" w:eastAsia="zh-CN"/>
                    </w:rPr>
                    <w:t>2</w:t>
                  </w:r>
                  <w:r>
                    <w:rPr>
                      <w:rFonts w:hint="eastAsia"/>
                      <w:color w:val="auto"/>
                      <w:spacing w:val="-1"/>
                      <w:highlight w:val="none"/>
                    </w:rPr>
                    <w:t>，</w:t>
                  </w:r>
                  <w:r>
                    <w:rPr>
                      <w:rFonts w:hint="eastAsia"/>
                      <w:color w:val="auto"/>
                      <w:spacing w:val="-1"/>
                      <w:highlight w:val="none"/>
                      <w:lang w:val="en-US" w:eastAsia="zh-CN"/>
                    </w:rPr>
                    <w:t>未利用地4556m</w:t>
                  </w:r>
                  <w:r>
                    <w:rPr>
                      <w:rFonts w:hint="eastAsia"/>
                      <w:color w:val="auto"/>
                      <w:spacing w:val="-1"/>
                      <w:highlight w:val="none"/>
                      <w:vertAlign w:val="superscript"/>
                      <w:lang w:val="en-US" w:eastAsia="zh-CN"/>
                    </w:rPr>
                    <w:t>2</w:t>
                  </w:r>
                  <w:r>
                    <w:rPr>
                      <w:rFonts w:hint="eastAsia"/>
                      <w:color w:val="auto"/>
                      <w:spacing w:val="-1"/>
                      <w:highlight w:val="none"/>
                      <w:lang w:val="en-US" w:eastAsia="zh-CN"/>
                    </w:rPr>
                    <w:t>，折合约6.83亩。项目的</w:t>
                  </w:r>
                  <w:r>
                    <w:rPr>
                      <w:color w:val="auto"/>
                      <w:highlight w:val="none"/>
                    </w:rPr>
                    <w:t>建设征地区不涉及文物古迹、压覆矿产</w:t>
                  </w:r>
                  <w:r>
                    <w:rPr>
                      <w:rFonts w:hint="eastAsia"/>
                      <w:color w:val="auto"/>
                      <w:highlight w:val="none"/>
                      <w:lang w:val="en-US" w:eastAsia="zh-CN"/>
                    </w:rPr>
                    <w:t>等，也不</w:t>
                  </w:r>
                  <w:r>
                    <w:rPr>
                      <w:color w:val="auto"/>
                      <w:spacing w:val="-1"/>
                      <w:highlight w:val="none"/>
                    </w:rPr>
                    <w:t>25°以上坡耕地</w:t>
                  </w:r>
                  <w:r>
                    <w:rPr>
                      <w:color w:val="auto"/>
                      <w:highlight w:val="none"/>
                    </w:rPr>
                    <w:t>。</w:t>
                  </w:r>
                </w:p>
              </w:tc>
              <w:tc>
                <w:tcPr>
                  <w:tcW w:w="1050" w:type="pct"/>
                  <w:tcBorders>
                    <w:tl2br w:val="nil"/>
                    <w:tr2bl w:val="nil"/>
                  </w:tcBorders>
                  <w:vAlign w:val="center"/>
                </w:tcPr>
                <w:p>
                  <w:pPr>
                    <w:pStyle w:val="75"/>
                    <w:spacing w:before="37" w:line="229" w:lineRule="auto"/>
                    <w:ind w:left="125" w:right="197" w:hanging="11"/>
                    <w:rPr>
                      <w:color w:val="auto"/>
                      <w:spacing w:val="-1"/>
                      <w:highlight w:val="none"/>
                    </w:rPr>
                  </w:pPr>
                  <w:r>
                    <w:rPr>
                      <w:color w:val="auto"/>
                      <w:spacing w:val="-1"/>
                      <w:highlight w:val="none"/>
                    </w:rPr>
                    <w:t>施工废水、施工扬尘、施工噪声、施工固废、生态影响、植被破坏、水土流失</w:t>
                  </w:r>
                </w:p>
              </w:tc>
              <w:tc>
                <w:tcPr>
                  <w:tcW w:w="497" w:type="pct"/>
                  <w:tcBorders>
                    <w:tl2br w:val="nil"/>
                    <w:tr2bl w:val="nil"/>
                  </w:tcBorders>
                  <w:vAlign w:val="center"/>
                </w:tcPr>
                <w:p>
                  <w:pPr>
                    <w:spacing w:before="60" w:line="232" w:lineRule="auto"/>
                    <w:ind w:left="42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已</w:t>
                  </w:r>
                  <w:r>
                    <w:rPr>
                      <w:rFonts w:hint="eastAsia" w:cs="Times New Roman"/>
                      <w:color w:val="auto"/>
                      <w:sz w:val="21"/>
                      <w:szCs w:val="21"/>
                      <w:highlight w:val="none"/>
                      <w:lang w:val="en-US" w:eastAsia="zh-CN"/>
                    </w:rPr>
                    <w:t>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97" w:type="pct"/>
                  <w:gridSpan w:val="2"/>
                  <w:vMerge w:val="continue"/>
                  <w:tcBorders>
                    <w:tl2br w:val="nil"/>
                    <w:tr2bl w:val="nil"/>
                  </w:tcBorders>
                  <w:vAlign w:val="center"/>
                </w:tcPr>
                <w:p>
                  <w:pPr>
                    <w:rPr>
                      <w:color w:val="auto"/>
                      <w:spacing w:val="8"/>
                      <w:sz w:val="20"/>
                      <w:szCs w:val="20"/>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移民安置</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本工程不涉及房屋拆迁，因此无搬迁安置任务。</w:t>
                  </w:r>
                  <w:r>
                    <w:rPr>
                      <w:rFonts w:hint="eastAsia"/>
                      <w:color w:val="auto"/>
                      <w:spacing w:val="-1"/>
                      <w:highlight w:val="none"/>
                      <w:lang w:val="en-US" w:eastAsia="zh-CN"/>
                    </w:rPr>
                    <w:t>另项目</w:t>
                  </w:r>
                  <w:r>
                    <w:rPr>
                      <w:color w:val="auto"/>
                      <w:spacing w:val="-1"/>
                      <w:highlight w:val="none"/>
                    </w:rPr>
                    <w:t>设计水平年生产安置人口为</w:t>
                  </w:r>
                  <w:r>
                    <w:rPr>
                      <w:rFonts w:hint="eastAsia"/>
                      <w:color w:val="auto"/>
                      <w:spacing w:val="-1"/>
                      <w:highlight w:val="none"/>
                    </w:rPr>
                    <w:t>84</w:t>
                  </w:r>
                  <w:r>
                    <w:rPr>
                      <w:color w:val="auto"/>
                      <w:spacing w:val="-1"/>
                      <w:highlight w:val="none"/>
                    </w:rPr>
                    <w:t>人。</w:t>
                  </w:r>
                </w:p>
              </w:tc>
              <w:tc>
                <w:tcPr>
                  <w:tcW w:w="1050" w:type="pct"/>
                  <w:tcBorders>
                    <w:tl2br w:val="nil"/>
                    <w:tr2bl w:val="nil"/>
                  </w:tcBorders>
                  <w:vAlign w:val="center"/>
                </w:tcPr>
                <w:p>
                  <w:pPr>
                    <w:pStyle w:val="75"/>
                    <w:spacing w:before="37" w:line="229" w:lineRule="auto"/>
                    <w:ind w:left="125" w:right="197" w:hanging="11"/>
                    <w:jc w:val="center"/>
                    <w:rPr>
                      <w:rFonts w:hint="eastAsia"/>
                      <w:color w:val="auto"/>
                      <w:spacing w:val="-1"/>
                      <w:highlight w:val="none"/>
                      <w:lang w:val="en-US" w:eastAsia="zh-CN"/>
                    </w:rPr>
                  </w:pPr>
                  <w:r>
                    <w:rPr>
                      <w:rFonts w:hint="eastAsia"/>
                      <w:color w:val="auto"/>
                      <w:spacing w:val="-1"/>
                      <w:highlight w:val="none"/>
                      <w:lang w:val="en-US" w:eastAsia="zh-CN"/>
                    </w:rPr>
                    <w:t>/</w:t>
                  </w:r>
                </w:p>
              </w:tc>
              <w:tc>
                <w:tcPr>
                  <w:tcW w:w="497" w:type="pct"/>
                  <w:tcBorders>
                    <w:tl2br w:val="nil"/>
                    <w:tr2bl w:val="nil"/>
                  </w:tcBorders>
                  <w:vAlign w:val="center"/>
                </w:tcPr>
                <w:p>
                  <w:pPr>
                    <w:pStyle w:val="75"/>
                    <w:spacing w:before="37" w:line="229" w:lineRule="auto"/>
                    <w:ind w:left="125" w:right="197" w:hanging="11"/>
                    <w:jc w:val="center"/>
                    <w:rPr>
                      <w:rFonts w:hint="eastAsia" w:eastAsia="宋体"/>
                      <w:color w:val="auto"/>
                      <w:spacing w:val="-1"/>
                      <w:highlight w:val="none"/>
                      <w:lang w:val="en-US" w:eastAsia="zh-CN"/>
                    </w:rPr>
                  </w:pPr>
                  <w:r>
                    <w:rPr>
                      <w:rFonts w:hint="eastAsia"/>
                      <w:color w:val="auto"/>
                      <w:spacing w:val="-1"/>
                      <w:highlight w:val="none"/>
                      <w:lang w:val="en-US" w:eastAsia="zh-CN"/>
                    </w:rPr>
                    <w:t>/</w:t>
                  </w:r>
                </w:p>
              </w:tc>
              <w:tc>
                <w:tcPr>
                  <w:tcW w:w="407"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pacing w:val="-1"/>
                      <w:highlight w:val="none"/>
                      <w:lang w:val="en-US" w:eastAsia="zh-CN"/>
                    </w:rPr>
                  </w:pPr>
                  <w:r>
                    <w:rPr>
                      <w:rFonts w:hint="eastAsia"/>
                      <w:color w:val="auto"/>
                      <w:spacing w:val="-1"/>
                      <w:highlight w:val="none"/>
                      <w:lang w:val="en-US" w:eastAsia="zh-CN"/>
                    </w:rPr>
                    <w:t>未实施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8" w:hRule="atLeast"/>
                <w:jc w:val="center"/>
              </w:trPr>
              <w:tc>
                <w:tcPr>
                  <w:tcW w:w="597" w:type="pct"/>
                  <w:gridSpan w:val="2"/>
                  <w:vMerge w:val="continue"/>
                  <w:tcBorders>
                    <w:tl2br w:val="nil"/>
                    <w:tr2bl w:val="nil"/>
                  </w:tcBorders>
                  <w:vAlign w:val="center"/>
                </w:tcPr>
                <w:p>
                  <w:pPr>
                    <w:rPr>
                      <w:color w:val="auto"/>
                      <w:spacing w:val="8"/>
                      <w:sz w:val="20"/>
                      <w:szCs w:val="20"/>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专项复建</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水库建设征地影响混凝土机耕道路</w:t>
                  </w:r>
                  <w:r>
                    <w:rPr>
                      <w:rFonts w:hint="eastAsia" w:cs="宋体"/>
                      <w:color w:val="auto"/>
                      <w:spacing w:val="-2"/>
                      <w:kern w:val="2"/>
                      <w:sz w:val="21"/>
                      <w:szCs w:val="21"/>
                      <w:highlight w:val="none"/>
                      <w:lang w:val="en-US" w:eastAsia="zh-CN" w:bidi="ar-SA"/>
                    </w:rPr>
                    <w:t>长度1.01km，</w:t>
                  </w:r>
                  <w:r>
                    <w:rPr>
                      <w:rFonts w:ascii="宋体" w:hAnsi="宋体" w:eastAsia="宋体" w:cs="宋体"/>
                      <w:color w:val="auto"/>
                      <w:spacing w:val="-2"/>
                      <w:kern w:val="2"/>
                      <w:sz w:val="21"/>
                      <w:szCs w:val="21"/>
                      <w:highlight w:val="none"/>
                      <w:lang w:val="en-US" w:eastAsia="en-US" w:bidi="ar-SA"/>
                    </w:rPr>
                    <w:t>基宽度4~4.5m，混凝土路面，主要连接建设征地区组内各院落，是当地村民内部通行的主要通道，需结合淹没区外居民分布情况复建。</w:t>
                  </w:r>
                </w:p>
              </w:tc>
              <w:tc>
                <w:tcPr>
                  <w:tcW w:w="1050" w:type="pct"/>
                  <w:tcBorders>
                    <w:tl2br w:val="nil"/>
                    <w:tr2bl w:val="nil"/>
                  </w:tcBorders>
                  <w:vAlign w:val="center"/>
                </w:tcPr>
                <w:p>
                  <w:pPr>
                    <w:pStyle w:val="75"/>
                    <w:spacing w:before="37" w:line="229" w:lineRule="auto"/>
                    <w:ind w:left="125" w:right="197" w:hanging="11"/>
                    <w:jc w:val="center"/>
                    <w:rPr>
                      <w:rFonts w:hint="default" w:eastAsia="宋体"/>
                      <w:color w:val="auto"/>
                      <w:spacing w:val="-1"/>
                      <w:highlight w:val="none"/>
                      <w:lang w:val="en-US" w:eastAsia="zh-CN"/>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s="Times New Roman"/>
                      <w:color w:val="auto"/>
                      <w:sz w:val="21"/>
                      <w:szCs w:val="21"/>
                      <w:highlight w:val="none"/>
                      <w:lang w:val="en-US" w:eastAsia="zh-CN"/>
                    </w:rPr>
                  </w:pPr>
                  <w:r>
                    <w:rPr>
                      <w:rFonts w:hint="eastAsia"/>
                      <w:color w:val="auto"/>
                      <w:spacing w:val="-1"/>
                      <w:highlight w:val="none"/>
                      <w:lang w:val="en-US" w:eastAsia="zh-CN"/>
                    </w:rPr>
                    <w:t>未实施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jc w:val="center"/>
              </w:trPr>
              <w:tc>
                <w:tcPr>
                  <w:tcW w:w="597" w:type="pct"/>
                  <w:gridSpan w:val="2"/>
                  <w:vMerge w:val="restart"/>
                  <w:tcBorders>
                    <w:tl2br w:val="nil"/>
                    <w:tr2bl w:val="nil"/>
                  </w:tcBorders>
                  <w:vAlign w:val="center"/>
                </w:tcPr>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公用</w:t>
                  </w:r>
                </w:p>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工程</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施工供水</w:t>
                  </w:r>
                </w:p>
              </w:tc>
              <w:tc>
                <w:tcPr>
                  <w:tcW w:w="1793" w:type="pct"/>
                  <w:tcBorders>
                    <w:tl2br w:val="nil"/>
                    <w:tr2bl w:val="nil"/>
                  </w:tcBorders>
                  <w:vAlign w:val="center"/>
                </w:tcPr>
                <w:p>
                  <w:pPr>
                    <w:pStyle w:val="75"/>
                    <w:spacing w:before="36" w:line="229" w:lineRule="auto"/>
                    <w:ind w:right="129"/>
                    <w:jc w:val="both"/>
                    <w:rPr>
                      <w:color w:val="auto"/>
                      <w:spacing w:val="4"/>
                      <w:sz w:val="20"/>
                      <w:szCs w:val="20"/>
                      <w:highlight w:val="none"/>
                    </w:rPr>
                  </w:pPr>
                  <w:r>
                    <w:rPr>
                      <w:rFonts w:ascii="宋体" w:hAnsi="宋体" w:eastAsia="宋体" w:cs="宋体"/>
                      <w:color w:val="auto"/>
                      <w:spacing w:val="-2"/>
                      <w:kern w:val="2"/>
                      <w:sz w:val="21"/>
                      <w:szCs w:val="21"/>
                      <w:highlight w:val="none"/>
                      <w:lang w:val="en-US" w:eastAsia="en-US" w:bidi="ar-SA"/>
                    </w:rPr>
                    <w:t>施工用水就近取用</w:t>
                  </w:r>
                  <w:r>
                    <w:rPr>
                      <w:rFonts w:hint="eastAsia" w:ascii="宋体" w:hAnsi="宋体" w:eastAsia="宋体" w:cs="宋体"/>
                      <w:color w:val="auto"/>
                      <w:spacing w:val="-2"/>
                      <w:kern w:val="2"/>
                      <w:sz w:val="21"/>
                      <w:szCs w:val="21"/>
                      <w:highlight w:val="none"/>
                      <w:lang w:val="en-US" w:eastAsia="zh-CN" w:bidi="ar-SA"/>
                    </w:rPr>
                    <w:t>辜家</w:t>
                  </w:r>
                  <w:r>
                    <w:rPr>
                      <w:rFonts w:ascii="宋体" w:hAnsi="宋体" w:eastAsia="宋体" w:cs="宋体"/>
                      <w:color w:val="auto"/>
                      <w:spacing w:val="-2"/>
                      <w:kern w:val="2"/>
                      <w:sz w:val="21"/>
                      <w:szCs w:val="21"/>
                      <w:highlight w:val="none"/>
                      <w:lang w:val="en-US" w:eastAsia="en-US" w:bidi="ar-SA"/>
                    </w:rPr>
                    <w:t>河河水； 生活用水接当地居民自来水；</w:t>
                  </w:r>
                </w:p>
              </w:tc>
              <w:tc>
                <w:tcPr>
                  <w:tcW w:w="1050" w:type="pct"/>
                  <w:tcBorders>
                    <w:tl2br w:val="nil"/>
                    <w:tr2bl w:val="nil"/>
                  </w:tcBorders>
                  <w:vAlign w:val="center"/>
                </w:tcPr>
                <w:p>
                  <w:pPr>
                    <w:spacing w:before="37" w:line="229" w:lineRule="auto"/>
                    <w:ind w:left="125" w:right="197" w:hanging="11"/>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rPr>
                      <w:rFonts w:ascii="Times New Roman" w:hAnsi="Times New Roman" w:eastAsia="Times New Roman" w:cs="Times New Roman"/>
                      <w:color w:val="auto"/>
                      <w:sz w:val="21"/>
                      <w:szCs w:val="21"/>
                      <w:highlight w:val="none"/>
                    </w:rPr>
                  </w:pPr>
                  <w:r>
                    <w:rPr>
                      <w:rFonts w:hint="eastAsia"/>
                      <w:color w:val="auto"/>
                      <w:spacing w:val="-1"/>
                      <w:highlight w:val="none"/>
                      <w:lang w:val="en-US" w:eastAsia="zh-CN"/>
                    </w:rPr>
                    <w:t>/</w:t>
                  </w:r>
                </w:p>
              </w:tc>
              <w:tc>
                <w:tcPr>
                  <w:tcW w:w="4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olor w:val="auto"/>
                      <w:spacing w:val="-1"/>
                      <w:highlight w:val="none"/>
                      <w:lang w:val="en-US" w:eastAsia="zh-CN"/>
                    </w:rPr>
                  </w:pPr>
                  <w:r>
                    <w:rPr>
                      <w:rFonts w:hint="eastAsia"/>
                      <w:color w:val="auto"/>
                      <w:spacing w:val="-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jc w:val="center"/>
              </w:trPr>
              <w:tc>
                <w:tcPr>
                  <w:tcW w:w="597" w:type="pct"/>
                  <w:gridSpan w:val="2"/>
                  <w:vMerge w:val="continue"/>
                  <w:tcBorders>
                    <w:tl2br w:val="nil"/>
                    <w:tr2bl w:val="nil"/>
                  </w:tcBorders>
                  <w:vAlign w:val="center"/>
                </w:tcPr>
                <w:p>
                  <w:pPr>
                    <w:rPr>
                      <w:rFonts w:ascii="宋体" w:hAnsi="宋体" w:eastAsia="宋体" w:cs="宋体"/>
                      <w:color w:val="auto"/>
                      <w:spacing w:val="-2"/>
                      <w:kern w:val="2"/>
                      <w:sz w:val="21"/>
                      <w:szCs w:val="21"/>
                      <w:highlight w:val="none"/>
                      <w:lang w:val="en-US" w:eastAsia="en-US" w:bidi="ar-SA"/>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施工通讯</w:t>
                  </w:r>
                </w:p>
              </w:tc>
              <w:tc>
                <w:tcPr>
                  <w:tcW w:w="1793" w:type="pct"/>
                  <w:tcBorders>
                    <w:tl2br w:val="nil"/>
                    <w:tr2bl w:val="nil"/>
                  </w:tcBorders>
                  <w:vAlign w:val="center"/>
                </w:tcPr>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采用有线、无线通讯相结合的方式。</w:t>
                  </w:r>
                </w:p>
              </w:tc>
              <w:tc>
                <w:tcPr>
                  <w:tcW w:w="1050" w:type="pct"/>
                  <w:tcBorders>
                    <w:tl2br w:val="nil"/>
                    <w:tr2bl w:val="nil"/>
                  </w:tcBorders>
                  <w:vAlign w:val="center"/>
                </w:tcPr>
                <w:p>
                  <w:pPr>
                    <w:spacing w:before="37" w:line="229" w:lineRule="auto"/>
                    <w:ind w:left="125" w:right="197" w:hanging="11"/>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rPr>
                      <w:rFonts w:ascii="Times New Roman" w:hAnsi="Times New Roman" w:eastAsia="Times New Roman" w:cs="Times New Roman"/>
                      <w:color w:val="auto"/>
                      <w:sz w:val="21"/>
                      <w:szCs w:val="21"/>
                      <w:highlight w:val="none"/>
                    </w:rPr>
                  </w:pPr>
                  <w:r>
                    <w:rPr>
                      <w:rFonts w:hint="eastAsia"/>
                      <w:color w:val="auto"/>
                      <w:spacing w:val="-1"/>
                      <w:highlight w:val="none"/>
                      <w:lang w:val="en-US" w:eastAsia="zh-CN"/>
                    </w:rPr>
                    <w:t>/</w:t>
                  </w:r>
                </w:p>
              </w:tc>
              <w:tc>
                <w:tcPr>
                  <w:tcW w:w="407" w:type="pct"/>
                  <w:vMerge w:val="continue"/>
                  <w:tcBorders>
                    <w:tl2br w:val="nil"/>
                    <w:tr2bl w:val="nil"/>
                  </w:tcBorders>
                  <w:vAlign w:val="center"/>
                </w:tcPr>
                <w:p>
                  <w:pPr>
                    <w:spacing w:before="60" w:line="232" w:lineRule="auto"/>
                    <w:ind w:left="421"/>
                    <w:rPr>
                      <w:rFonts w:hint="eastAsia"/>
                      <w:color w:val="auto"/>
                      <w:spacing w:val="-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8" w:hRule="atLeast"/>
                <w:jc w:val="center"/>
              </w:trPr>
              <w:tc>
                <w:tcPr>
                  <w:tcW w:w="597" w:type="pct"/>
                  <w:gridSpan w:val="2"/>
                  <w:vMerge w:val="continue"/>
                  <w:tcBorders>
                    <w:tl2br w:val="nil"/>
                    <w:tr2bl w:val="nil"/>
                  </w:tcBorders>
                  <w:vAlign w:val="center"/>
                </w:tcPr>
                <w:p>
                  <w:pPr>
                    <w:rPr>
                      <w:rFonts w:ascii="宋体" w:hAnsi="宋体" w:eastAsia="宋体" w:cs="宋体"/>
                      <w:color w:val="auto"/>
                      <w:spacing w:val="-2"/>
                      <w:kern w:val="2"/>
                      <w:sz w:val="21"/>
                      <w:szCs w:val="21"/>
                      <w:highlight w:val="none"/>
                      <w:lang w:val="en-US" w:eastAsia="en-US" w:bidi="ar-SA"/>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施工供电</w:t>
                  </w:r>
                </w:p>
              </w:tc>
              <w:tc>
                <w:tcPr>
                  <w:tcW w:w="1793" w:type="pct"/>
                  <w:tcBorders>
                    <w:tl2br w:val="nil"/>
                    <w:tr2bl w:val="nil"/>
                  </w:tcBorders>
                  <w:vAlign w:val="center"/>
                </w:tcPr>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b/>
                      <w:bCs/>
                      <w:color w:val="auto"/>
                      <w:spacing w:val="-2"/>
                      <w:kern w:val="2"/>
                      <w:sz w:val="21"/>
                      <w:szCs w:val="21"/>
                      <w:highlight w:val="none"/>
                      <w:u w:val="single"/>
                      <w:lang w:val="en-US" w:eastAsia="en-US" w:bidi="ar-SA"/>
                    </w:rPr>
                    <w:t>枢纽工程</w:t>
                  </w:r>
                  <w:r>
                    <w:rPr>
                      <w:rFonts w:ascii="宋体" w:hAnsi="宋体" w:eastAsia="宋体" w:cs="宋体"/>
                      <w:color w:val="auto"/>
                      <w:spacing w:val="-2"/>
                      <w:kern w:val="2"/>
                      <w:sz w:val="21"/>
                      <w:szCs w:val="21"/>
                      <w:highlight w:val="none"/>
                      <w:lang w:val="en-US" w:eastAsia="en-US" w:bidi="ar-SA"/>
                    </w:rPr>
                    <w:t>：全部来自电网供电，备用1台50kW和1台150kW柴油发电机，以保证施工安全和防洪抢险，作业面照明，基坑排水等需要；</w:t>
                  </w:r>
                </w:p>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b/>
                      <w:bCs/>
                      <w:color w:val="auto"/>
                      <w:spacing w:val="-2"/>
                      <w:kern w:val="2"/>
                      <w:sz w:val="21"/>
                      <w:szCs w:val="21"/>
                      <w:highlight w:val="none"/>
                      <w:u w:val="single"/>
                      <w:lang w:val="en-US" w:eastAsia="en-US" w:bidi="ar-SA"/>
                    </w:rPr>
                    <w:t>渠系工程</w:t>
                  </w:r>
                  <w:r>
                    <w:rPr>
                      <w:rFonts w:ascii="宋体" w:hAnsi="宋体" w:eastAsia="宋体" w:cs="宋体"/>
                      <w:color w:val="auto"/>
                      <w:spacing w:val="-2"/>
                      <w:kern w:val="2"/>
                      <w:sz w:val="21"/>
                      <w:szCs w:val="21"/>
                      <w:highlight w:val="none"/>
                      <w:lang w:val="en-US" w:eastAsia="en-US" w:bidi="ar-SA"/>
                    </w:rPr>
                    <w:t>：采用柴油发电机供电</w:t>
                  </w:r>
                </w:p>
              </w:tc>
              <w:tc>
                <w:tcPr>
                  <w:tcW w:w="1050" w:type="pct"/>
                  <w:tcBorders>
                    <w:tl2br w:val="nil"/>
                    <w:tr2bl w:val="nil"/>
                  </w:tcBorders>
                  <w:vAlign w:val="center"/>
                </w:tcPr>
                <w:p>
                  <w:pPr>
                    <w:spacing w:before="37" w:line="229" w:lineRule="auto"/>
                    <w:ind w:left="125" w:right="197" w:hanging="11"/>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rPr>
                      <w:rFonts w:ascii="Times New Roman" w:hAnsi="Times New Roman" w:eastAsia="Times New Roman" w:cs="Times New Roman"/>
                      <w:color w:val="auto"/>
                      <w:sz w:val="21"/>
                      <w:szCs w:val="21"/>
                      <w:highlight w:val="none"/>
                    </w:rPr>
                  </w:pPr>
                  <w:r>
                    <w:rPr>
                      <w:rFonts w:hint="eastAsia"/>
                      <w:color w:val="auto"/>
                      <w:spacing w:val="-1"/>
                      <w:highlight w:val="none"/>
                      <w:lang w:val="en-US" w:eastAsia="zh-CN"/>
                    </w:rPr>
                    <w:t>/</w:t>
                  </w:r>
                </w:p>
              </w:tc>
              <w:tc>
                <w:tcPr>
                  <w:tcW w:w="407" w:type="pct"/>
                  <w:vMerge w:val="continue"/>
                  <w:tcBorders>
                    <w:tl2br w:val="nil"/>
                    <w:tr2bl w:val="nil"/>
                  </w:tcBorders>
                  <w:vAlign w:val="center"/>
                </w:tcPr>
                <w:p>
                  <w:pPr>
                    <w:spacing w:before="60" w:line="232" w:lineRule="auto"/>
                    <w:ind w:left="421"/>
                    <w:rPr>
                      <w:rFonts w:hint="eastAsia"/>
                      <w:color w:val="auto"/>
                      <w:spacing w:val="-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jc w:val="center"/>
              </w:trPr>
              <w:tc>
                <w:tcPr>
                  <w:tcW w:w="236" w:type="pct"/>
                  <w:vMerge w:val="restart"/>
                  <w:tcBorders>
                    <w:tl2br w:val="nil"/>
                    <w:tr2bl w:val="nil"/>
                  </w:tcBorders>
                  <w:vAlign w:val="center"/>
                </w:tcPr>
                <w:p>
                  <w:pPr>
                    <w:jc w:val="center"/>
                    <w:rPr>
                      <w:rFonts w:hint="eastAsia" w:ascii="Arial" w:eastAsia="宋体"/>
                      <w:color w:val="auto"/>
                      <w:sz w:val="21"/>
                      <w:highlight w:val="none"/>
                      <w:lang w:val="en-US" w:eastAsia="zh-CN"/>
                    </w:rPr>
                  </w:pPr>
                  <w:r>
                    <w:rPr>
                      <w:rFonts w:hint="eastAsia" w:ascii="Arial"/>
                      <w:color w:val="auto"/>
                      <w:sz w:val="21"/>
                      <w:highlight w:val="none"/>
                      <w:lang w:val="en-US" w:eastAsia="zh-CN"/>
                    </w:rPr>
                    <w:t>环保工程</w:t>
                  </w:r>
                </w:p>
              </w:tc>
              <w:tc>
                <w:tcPr>
                  <w:tcW w:w="361" w:type="pct"/>
                  <w:vMerge w:val="restart"/>
                  <w:tcBorders>
                    <w:tl2br w:val="nil"/>
                    <w:tr2bl w:val="nil"/>
                  </w:tcBorders>
                  <w:vAlign w:val="center"/>
                </w:tcPr>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废水</w:t>
                  </w:r>
                </w:p>
              </w:tc>
              <w:tc>
                <w:tcPr>
                  <w:tcW w:w="654" w:type="pct"/>
                  <w:tcBorders>
                    <w:tl2br w:val="nil"/>
                    <w:tr2bl w:val="nil"/>
                  </w:tcBorders>
                  <w:vAlign w:val="center"/>
                </w:tcPr>
                <w:p>
                  <w:pPr>
                    <w:jc w:val="center"/>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施工期</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bCs/>
                      <w:color w:val="auto"/>
                      <w:spacing w:val="0"/>
                      <w:sz w:val="21"/>
                      <w:szCs w:val="21"/>
                      <w:highlight w:val="none"/>
                    </w:rPr>
                  </w:pPr>
                  <w:r>
                    <w:rPr>
                      <w:rFonts w:hint="eastAsia"/>
                      <w:b/>
                      <w:bCs/>
                      <w:color w:val="auto"/>
                      <w:spacing w:val="0"/>
                      <w:sz w:val="21"/>
                      <w:szCs w:val="21"/>
                      <w:highlight w:val="none"/>
                      <w:lang w:val="en-US" w:eastAsia="zh-CN"/>
                    </w:rPr>
                    <w:t>1、</w:t>
                  </w:r>
                  <w:r>
                    <w:rPr>
                      <w:b/>
                      <w:bCs/>
                      <w:color w:val="auto"/>
                      <w:spacing w:val="0"/>
                      <w:sz w:val="21"/>
                      <w:szCs w:val="21"/>
                      <w:highlight w:val="none"/>
                    </w:rPr>
                    <w:t>混凝土拌和废水：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val="0"/>
                      <w:bCs w:val="0"/>
                      <w:color w:val="auto"/>
                      <w:spacing w:val="0"/>
                      <w:sz w:val="21"/>
                      <w:szCs w:val="21"/>
                      <w:highlight w:val="none"/>
                    </w:rPr>
                  </w:pPr>
                  <w:r>
                    <w:rPr>
                      <w:rFonts w:hint="eastAsia"/>
                      <w:b/>
                      <w:bCs/>
                      <w:color w:val="auto"/>
                      <w:spacing w:val="0"/>
                      <w:sz w:val="21"/>
                      <w:szCs w:val="21"/>
                      <w:highlight w:val="none"/>
                      <w:lang w:val="en-US" w:eastAsia="zh-CN"/>
                    </w:rPr>
                    <w:t>⑴ 枢纽工程：</w:t>
                  </w:r>
                  <w:r>
                    <w:rPr>
                      <w:rFonts w:hint="eastAsia"/>
                      <w:b w:val="0"/>
                      <w:bCs w:val="0"/>
                      <w:color w:val="auto"/>
                      <w:spacing w:val="0"/>
                      <w:sz w:val="21"/>
                      <w:szCs w:val="21"/>
                      <w:highlight w:val="none"/>
                      <w:lang w:val="en-US" w:eastAsia="zh-CN"/>
                    </w:rPr>
                    <w:t>用自然沉淀方法进行处理，设置1座沉淀池，采用矩形设计，有效容积2.6m</w:t>
                  </w:r>
                  <w:r>
                    <w:rPr>
                      <w:rFonts w:hint="eastAsia"/>
                      <w:b w:val="0"/>
                      <w:bCs w:val="0"/>
                      <w:color w:val="auto"/>
                      <w:spacing w:val="0"/>
                      <w:sz w:val="21"/>
                      <w:szCs w:val="21"/>
                      <w:highlight w:val="none"/>
                      <w:vertAlign w:val="superscript"/>
                      <w:lang w:val="en-US" w:eastAsia="zh-CN"/>
                    </w:rPr>
                    <w:t>3</w:t>
                  </w:r>
                  <w:r>
                    <w:rPr>
                      <w:rFonts w:hint="eastAsia"/>
                      <w:b w:val="0"/>
                      <w:bCs w:val="0"/>
                      <w:color w:val="auto"/>
                      <w:spacing w:val="0"/>
                      <w:sz w:val="21"/>
                      <w:szCs w:val="21"/>
                      <w:highlight w:val="none"/>
                      <w:lang w:val="en-US" w:eastAsia="zh-CN"/>
                    </w:rPr>
                    <w:t>(设计尺寸长×宽×高2.0m×1.0m×1.3m)，每台班末的冲洗废水排入沉淀池内，静置沉淀到下一台班末上清液回用于混凝土拌和，沉淀时间达6h以上，沉淀运至渣场</w:t>
                  </w:r>
                  <w:r>
                    <w:rPr>
                      <w:b w:val="0"/>
                      <w:bCs w:val="0"/>
                      <w:color w:val="auto"/>
                      <w:spacing w:val="0"/>
                      <w:sz w:val="21"/>
                      <w:szCs w:val="21"/>
                      <w:highlight w:val="none"/>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eastAsia="宋体"/>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⑵ 灌区工程：</w:t>
                  </w:r>
                  <w:r>
                    <w:rPr>
                      <w:rFonts w:hint="eastAsia"/>
                      <w:b w:val="0"/>
                      <w:bCs w:val="0"/>
                      <w:color w:val="auto"/>
                      <w:spacing w:val="0"/>
                      <w:sz w:val="21"/>
                      <w:szCs w:val="21"/>
                      <w:highlight w:val="none"/>
                      <w:lang w:val="en-US" w:eastAsia="zh-CN"/>
                    </w:rPr>
                    <w:t>用自然沉淀方法进行处理，设置1座沉淀池，采用矩形设计，有效容积2.6m</w:t>
                  </w:r>
                  <w:r>
                    <w:rPr>
                      <w:rFonts w:hint="eastAsia"/>
                      <w:b w:val="0"/>
                      <w:bCs w:val="0"/>
                      <w:color w:val="auto"/>
                      <w:spacing w:val="0"/>
                      <w:sz w:val="21"/>
                      <w:szCs w:val="21"/>
                      <w:highlight w:val="none"/>
                      <w:vertAlign w:val="superscript"/>
                      <w:lang w:val="en-US" w:eastAsia="zh-CN"/>
                    </w:rPr>
                    <w:t>3</w:t>
                  </w:r>
                  <w:r>
                    <w:rPr>
                      <w:rFonts w:hint="eastAsia"/>
                      <w:b w:val="0"/>
                      <w:bCs w:val="0"/>
                      <w:color w:val="auto"/>
                      <w:spacing w:val="0"/>
                      <w:sz w:val="21"/>
                      <w:szCs w:val="21"/>
                      <w:highlight w:val="none"/>
                      <w:lang w:val="en-US" w:eastAsia="zh-CN"/>
                    </w:rPr>
                    <w:t>(设计尺寸长×宽×高2.0m×1.0m×1.3m)，每台班末的冲洗废水排入沉淀池内，静置沉淀到下一台班末上清液回用于混凝土拌和，沉淀时间达6h以上，沉淀运至渣场。其余移动式混凝土搅拌机产生的冲洗废水通过在搅拌机附近设置临时沉淀池收集后回用于施工过程洒水降尘或自然蒸发。</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bCs/>
                      <w:color w:val="auto"/>
                      <w:spacing w:val="0"/>
                      <w:sz w:val="21"/>
                      <w:szCs w:val="21"/>
                      <w:highlight w:val="none"/>
                    </w:rPr>
                  </w:pPr>
                  <w:r>
                    <w:rPr>
                      <w:rFonts w:hint="eastAsia"/>
                      <w:b/>
                      <w:bCs/>
                      <w:color w:val="auto"/>
                      <w:spacing w:val="0"/>
                      <w:sz w:val="21"/>
                      <w:szCs w:val="21"/>
                      <w:highlight w:val="none"/>
                      <w:lang w:val="en-US" w:eastAsia="zh-CN"/>
                    </w:rPr>
                    <w:t>2、</w:t>
                  </w:r>
                  <w:r>
                    <w:rPr>
                      <w:b/>
                      <w:bCs/>
                      <w:color w:val="auto"/>
                      <w:spacing w:val="0"/>
                      <w:sz w:val="21"/>
                      <w:szCs w:val="21"/>
                      <w:highlight w:val="none"/>
                    </w:rPr>
                    <w:t>设备冲洗废水：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⑴ 枢纽工程：</w:t>
                  </w:r>
                  <w:r>
                    <w:rPr>
                      <w:rFonts w:hint="eastAsia"/>
                      <w:b w:val="0"/>
                      <w:bCs w:val="0"/>
                      <w:color w:val="auto"/>
                      <w:spacing w:val="0"/>
                      <w:sz w:val="21"/>
                      <w:szCs w:val="21"/>
                      <w:highlight w:val="none"/>
                      <w:lang w:val="en-US" w:eastAsia="zh-CN"/>
                    </w:rPr>
                    <w:t>在施工营地附近设置一处隔油沉淀池沉淀后回用于混凝土拌合站生产使用；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b/>
                      <w:bCs/>
                      <w:color w:val="auto"/>
                      <w:spacing w:val="0"/>
                      <w:sz w:val="21"/>
                      <w:szCs w:val="21"/>
                      <w:highlight w:val="none"/>
                      <w:lang w:val="en-US" w:eastAsia="zh-CN"/>
                    </w:rPr>
                  </w:pPr>
                  <w:r>
                    <w:rPr>
                      <w:rFonts w:hint="eastAsia"/>
                      <w:b/>
                      <w:bCs/>
                      <w:color w:val="auto"/>
                      <w:spacing w:val="0"/>
                      <w:sz w:val="21"/>
                      <w:szCs w:val="21"/>
                      <w:highlight w:val="none"/>
                      <w:lang w:val="en-US" w:eastAsia="zh-CN"/>
                    </w:rPr>
                    <w:t>⑵ 灌区工程：</w:t>
                  </w:r>
                  <w:r>
                    <w:rPr>
                      <w:rFonts w:hint="eastAsia"/>
                      <w:b w:val="0"/>
                      <w:bCs w:val="0"/>
                      <w:color w:val="auto"/>
                      <w:spacing w:val="0"/>
                      <w:sz w:val="21"/>
                      <w:szCs w:val="21"/>
                      <w:highlight w:val="none"/>
                      <w:lang w:val="en-US" w:eastAsia="zh-CN"/>
                    </w:rPr>
                    <w:t>不涉及设备冲洗废水；</w:t>
                  </w:r>
                </w:p>
                <w:p>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b/>
                      <w:bCs/>
                      <w:color w:val="auto"/>
                      <w:spacing w:val="0"/>
                      <w:sz w:val="21"/>
                      <w:szCs w:val="21"/>
                      <w:highlight w:val="none"/>
                    </w:rPr>
                  </w:pPr>
                  <w:r>
                    <w:rPr>
                      <w:rFonts w:hint="eastAsia" w:cs="宋体"/>
                      <w:b/>
                      <w:bCs/>
                      <w:color w:val="auto"/>
                      <w:spacing w:val="0"/>
                      <w:kern w:val="2"/>
                      <w:sz w:val="21"/>
                      <w:szCs w:val="21"/>
                      <w:highlight w:val="none"/>
                      <w:lang w:val="en-US" w:eastAsia="zh-CN" w:bidi="ar-SA"/>
                    </w:rPr>
                    <w:t>2</w:t>
                  </w:r>
                  <w:r>
                    <w:rPr>
                      <w:rFonts w:ascii="宋体" w:hAnsi="宋体" w:eastAsia="宋体" w:cs="宋体"/>
                      <w:b/>
                      <w:bCs/>
                      <w:color w:val="auto"/>
                      <w:spacing w:val="0"/>
                      <w:kern w:val="2"/>
                      <w:sz w:val="21"/>
                      <w:szCs w:val="21"/>
                      <w:highlight w:val="none"/>
                      <w:lang w:val="en-US" w:eastAsia="en-US" w:bidi="ar-SA"/>
                    </w:rPr>
                    <w:t>、</w:t>
                  </w:r>
                  <w:r>
                    <w:rPr>
                      <w:rFonts w:hint="eastAsia"/>
                      <w:b/>
                      <w:bCs/>
                      <w:color w:val="auto"/>
                      <w:spacing w:val="0"/>
                      <w:sz w:val="21"/>
                      <w:szCs w:val="21"/>
                      <w:highlight w:val="none"/>
                      <w:lang w:val="en-US" w:eastAsia="zh-CN"/>
                    </w:rPr>
                    <w:t>基坑排水</w:t>
                  </w:r>
                  <w:r>
                    <w:rPr>
                      <w:b/>
                      <w:bCs/>
                      <w:color w:val="auto"/>
                      <w:spacing w:val="0"/>
                      <w:sz w:val="21"/>
                      <w:szCs w:val="21"/>
                      <w:highlight w:val="none"/>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spacing w:val="0"/>
                      <w:sz w:val="21"/>
                      <w:szCs w:val="21"/>
                      <w:highlight w:val="none"/>
                    </w:rPr>
                  </w:pPr>
                  <w:r>
                    <w:rPr>
                      <w:rFonts w:hint="eastAsia"/>
                      <w:b/>
                      <w:bCs/>
                      <w:color w:val="auto"/>
                      <w:spacing w:val="0"/>
                      <w:sz w:val="21"/>
                      <w:szCs w:val="21"/>
                      <w:highlight w:val="none"/>
                      <w:lang w:val="en-US" w:eastAsia="zh-CN"/>
                    </w:rPr>
                    <w:t>⑴ 枢纽工程</w:t>
                  </w:r>
                  <w:r>
                    <w:rPr>
                      <w:b/>
                      <w:bCs/>
                      <w:color w:val="auto"/>
                      <w:spacing w:val="0"/>
                      <w:sz w:val="21"/>
                      <w:szCs w:val="21"/>
                      <w:highlight w:val="none"/>
                    </w:rPr>
                    <w:t>：</w:t>
                  </w:r>
                  <w:r>
                    <w:rPr>
                      <w:color w:val="auto"/>
                      <w:spacing w:val="0"/>
                      <w:sz w:val="21"/>
                      <w:szCs w:val="21"/>
                      <w:highlight w:val="none"/>
                    </w:rPr>
                    <w:t>在基坑地势低洼处开挖沉淀池（</w:t>
                  </w:r>
                  <w:r>
                    <w:rPr>
                      <w:rFonts w:ascii="Times New Roman" w:hAnsi="Times New Roman" w:eastAsia="Times New Roman" w:cs="Times New Roman"/>
                      <w:color w:val="auto"/>
                      <w:spacing w:val="0"/>
                      <w:sz w:val="21"/>
                      <w:szCs w:val="21"/>
                      <w:highlight w:val="none"/>
                    </w:rPr>
                    <w:t>5m</w:t>
                  </w:r>
                  <w:r>
                    <w:rPr>
                      <w:rFonts w:hint="eastAsia" w:ascii="Times New Roman" w:hAnsi="Times New Roman" w:cs="Times New Roman"/>
                      <w:color w:val="auto"/>
                      <w:spacing w:val="0"/>
                      <w:sz w:val="21"/>
                      <w:szCs w:val="21"/>
                      <w:highlight w:val="none"/>
                      <w:vertAlign w:val="superscript"/>
                      <w:lang w:val="en-US" w:eastAsia="zh-CN"/>
                    </w:rPr>
                    <w:t>3</w:t>
                  </w:r>
                  <w:r>
                    <w:rPr>
                      <w:color w:val="auto"/>
                      <w:spacing w:val="0"/>
                      <w:sz w:val="21"/>
                      <w:szCs w:val="21"/>
                      <w:highlight w:val="none"/>
                    </w:rPr>
                    <w:t>），沉淀后回用于洒水降尘，不外排；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spacing w:val="0"/>
                      <w:sz w:val="21"/>
                      <w:szCs w:val="21"/>
                      <w:highlight w:val="none"/>
                    </w:rPr>
                  </w:pPr>
                  <w:r>
                    <w:rPr>
                      <w:rFonts w:hint="eastAsia"/>
                      <w:b/>
                      <w:bCs/>
                      <w:color w:val="auto"/>
                      <w:spacing w:val="0"/>
                      <w:sz w:val="21"/>
                      <w:szCs w:val="21"/>
                      <w:highlight w:val="none"/>
                      <w:lang w:val="en-US" w:eastAsia="zh-CN"/>
                    </w:rPr>
                    <w:t>4、</w:t>
                  </w:r>
                  <w:r>
                    <w:rPr>
                      <w:b/>
                      <w:bCs/>
                      <w:color w:val="auto"/>
                      <w:spacing w:val="0"/>
                      <w:sz w:val="21"/>
                      <w:szCs w:val="21"/>
                      <w:highlight w:val="none"/>
                    </w:rPr>
                    <w:t>管道试压水：</w:t>
                  </w:r>
                  <w:r>
                    <w:rPr>
                      <w:color w:val="auto"/>
                      <w:spacing w:val="0"/>
                      <w:sz w:val="21"/>
                      <w:szCs w:val="21"/>
                      <w:highlight w:val="none"/>
                    </w:rPr>
                    <w:t>在管道末端设置简易沉淀池（</w:t>
                  </w:r>
                  <w:r>
                    <w:rPr>
                      <w:rFonts w:ascii="Times New Roman" w:hAnsi="Times New Roman" w:eastAsia="Times New Roman" w:cs="Times New Roman"/>
                      <w:color w:val="auto"/>
                      <w:spacing w:val="0"/>
                      <w:sz w:val="21"/>
                      <w:szCs w:val="21"/>
                      <w:highlight w:val="none"/>
                    </w:rPr>
                    <w:t>5m</w:t>
                  </w:r>
                  <w:r>
                    <w:rPr>
                      <w:rFonts w:hint="eastAsia" w:ascii="Times New Roman" w:hAnsi="Times New Roman" w:cs="Times New Roman"/>
                      <w:color w:val="auto"/>
                      <w:spacing w:val="0"/>
                      <w:sz w:val="21"/>
                      <w:szCs w:val="21"/>
                      <w:highlight w:val="none"/>
                      <w:vertAlign w:val="superscript"/>
                      <w:lang w:val="en-US" w:eastAsia="zh-CN"/>
                    </w:rPr>
                    <w:t>3</w:t>
                  </w:r>
                  <w:r>
                    <w:rPr>
                      <w:color w:val="auto"/>
                      <w:spacing w:val="0"/>
                      <w:sz w:val="21"/>
                      <w:szCs w:val="21"/>
                      <w:highlight w:val="none"/>
                    </w:rPr>
                    <w:t>）沉淀后回用于管道施工覆土过程，不外排；</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b/>
                      <w:bCs/>
                      <w:color w:val="auto"/>
                      <w:spacing w:val="0"/>
                      <w:sz w:val="21"/>
                      <w:szCs w:val="21"/>
                      <w:highlight w:val="none"/>
                    </w:rPr>
                  </w:pPr>
                  <w:r>
                    <w:rPr>
                      <w:rFonts w:hint="eastAsia"/>
                      <w:b/>
                      <w:bCs/>
                      <w:color w:val="auto"/>
                      <w:spacing w:val="0"/>
                      <w:sz w:val="21"/>
                      <w:szCs w:val="21"/>
                      <w:highlight w:val="none"/>
                      <w:lang w:val="en-US" w:eastAsia="zh-CN"/>
                    </w:rPr>
                    <w:t>5、</w:t>
                  </w:r>
                  <w:r>
                    <w:rPr>
                      <w:b/>
                      <w:bCs/>
                      <w:color w:val="auto"/>
                      <w:spacing w:val="0"/>
                      <w:sz w:val="21"/>
                      <w:szCs w:val="21"/>
                      <w:highlight w:val="none"/>
                    </w:rPr>
                    <w:t>生活污水：</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color w:val="auto"/>
                      <w:spacing w:val="0"/>
                      <w:sz w:val="21"/>
                      <w:szCs w:val="21"/>
                      <w:highlight w:val="none"/>
                    </w:rPr>
                  </w:pPr>
                  <w:r>
                    <w:rPr>
                      <w:rFonts w:hint="eastAsia"/>
                      <w:b/>
                      <w:bCs/>
                      <w:color w:val="auto"/>
                      <w:spacing w:val="0"/>
                      <w:sz w:val="21"/>
                      <w:szCs w:val="21"/>
                      <w:highlight w:val="none"/>
                      <w:lang w:val="en-US" w:eastAsia="zh-CN"/>
                    </w:rPr>
                    <w:t>⑴ 枢纽工程</w:t>
                  </w:r>
                  <w:r>
                    <w:rPr>
                      <w:b/>
                      <w:bCs/>
                      <w:color w:val="auto"/>
                      <w:spacing w:val="0"/>
                      <w:sz w:val="21"/>
                      <w:szCs w:val="21"/>
                      <w:highlight w:val="none"/>
                    </w:rPr>
                    <w:t>：</w:t>
                  </w:r>
                  <w:r>
                    <w:rPr>
                      <w:color w:val="auto"/>
                      <w:spacing w:val="0"/>
                      <w:sz w:val="21"/>
                      <w:szCs w:val="21"/>
                      <w:highlight w:val="none"/>
                    </w:rPr>
                    <w:t>在枢纽工程施工营地配备</w:t>
                  </w:r>
                  <w:r>
                    <w:rPr>
                      <w:rFonts w:hint="eastAsia"/>
                      <w:color w:val="auto"/>
                      <w:spacing w:val="0"/>
                      <w:sz w:val="21"/>
                      <w:szCs w:val="21"/>
                      <w:highlight w:val="none"/>
                    </w:rPr>
                    <w:t>简易旱厕及化粪池初步处理后</w:t>
                  </w:r>
                  <w:r>
                    <w:rPr>
                      <w:rFonts w:hint="eastAsia"/>
                      <w:color w:val="auto"/>
                      <w:spacing w:val="0"/>
                      <w:sz w:val="21"/>
                      <w:szCs w:val="21"/>
                      <w:highlight w:val="none"/>
                      <w:lang w:val="en-US" w:eastAsia="zh-CN"/>
                    </w:rPr>
                    <w:t>定期清运做农肥使用；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spacing w:val="4"/>
                      <w:sz w:val="20"/>
                      <w:szCs w:val="20"/>
                      <w:highlight w:val="none"/>
                    </w:rPr>
                  </w:pPr>
                  <w:r>
                    <w:rPr>
                      <w:rFonts w:hint="eastAsia"/>
                      <w:b/>
                      <w:bCs/>
                      <w:color w:val="auto"/>
                      <w:spacing w:val="0"/>
                      <w:sz w:val="21"/>
                      <w:szCs w:val="21"/>
                      <w:highlight w:val="none"/>
                      <w:lang w:val="en-US" w:eastAsia="zh-CN"/>
                    </w:rPr>
                    <w:t>⑵ 灌区工程：</w:t>
                  </w:r>
                  <w:r>
                    <w:rPr>
                      <w:color w:val="auto"/>
                      <w:spacing w:val="0"/>
                      <w:sz w:val="21"/>
                      <w:szCs w:val="21"/>
                      <w:highlight w:val="none"/>
                    </w:rPr>
                    <w:t>在</w:t>
                  </w:r>
                  <w:r>
                    <w:rPr>
                      <w:rFonts w:hint="eastAsia"/>
                      <w:color w:val="auto"/>
                      <w:spacing w:val="0"/>
                      <w:sz w:val="21"/>
                      <w:szCs w:val="21"/>
                      <w:highlight w:val="none"/>
                      <w:lang w:val="en-US" w:eastAsia="zh-CN"/>
                    </w:rPr>
                    <w:t>拟配套的生产设备区域设置一处</w:t>
                  </w:r>
                  <w:r>
                    <w:rPr>
                      <w:rFonts w:hint="eastAsia"/>
                      <w:color w:val="auto"/>
                      <w:spacing w:val="0"/>
                      <w:sz w:val="21"/>
                      <w:szCs w:val="21"/>
                      <w:highlight w:val="none"/>
                    </w:rPr>
                    <w:t>简易旱厕及化粪池初步处理后</w:t>
                  </w:r>
                  <w:r>
                    <w:rPr>
                      <w:rFonts w:hint="eastAsia"/>
                      <w:color w:val="auto"/>
                      <w:spacing w:val="0"/>
                      <w:sz w:val="21"/>
                      <w:szCs w:val="21"/>
                      <w:highlight w:val="none"/>
                      <w:lang w:val="en-US" w:eastAsia="zh-CN"/>
                    </w:rPr>
                    <w:t>定期清运做农肥使用；</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color w:val="auto"/>
                      <w:spacing w:val="8"/>
                      <w:sz w:val="20"/>
                      <w:szCs w:val="20"/>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运营期</w:t>
                  </w:r>
                </w:p>
              </w:tc>
              <w:tc>
                <w:tcPr>
                  <w:tcW w:w="1793" w:type="pct"/>
                  <w:tcBorders>
                    <w:tl2br w:val="nil"/>
                    <w:tr2bl w:val="nil"/>
                  </w:tcBorders>
                  <w:vAlign w:val="center"/>
                </w:tcPr>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①在水库蓄水前必须对库底进行清理，验收合格后方能进行水库蓄水；</w:t>
                  </w:r>
                </w:p>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②控制工业污染、农村面源污染；</w:t>
                  </w:r>
                </w:p>
                <w:p>
                  <w:pPr>
                    <w:pStyle w:val="75"/>
                    <w:spacing w:before="36" w:line="229" w:lineRule="auto"/>
                    <w:ind w:right="129"/>
                    <w:jc w:val="both"/>
                    <w:rPr>
                      <w:rFonts w:ascii="宋体" w:hAnsi="宋体" w:eastAsia="宋体" w:cs="宋体"/>
                      <w:color w:val="auto"/>
                      <w:spacing w:val="-2"/>
                      <w:kern w:val="2"/>
                      <w:sz w:val="21"/>
                      <w:szCs w:val="21"/>
                      <w:highlight w:val="none"/>
                      <w:lang w:val="en-US" w:eastAsia="en-US" w:bidi="ar-SA"/>
                    </w:rPr>
                  </w:pPr>
                  <w:r>
                    <w:rPr>
                      <w:rFonts w:ascii="宋体" w:hAnsi="宋体" w:eastAsia="宋体" w:cs="宋体"/>
                      <w:color w:val="auto"/>
                      <w:spacing w:val="-2"/>
                      <w:kern w:val="2"/>
                      <w:sz w:val="21"/>
                      <w:szCs w:val="21"/>
                      <w:highlight w:val="none"/>
                      <w:lang w:val="en-US" w:eastAsia="en-US" w:bidi="ar-SA"/>
                    </w:rPr>
                    <w:t>③库区划定饮用水水源保护区范围，制定水污染防治规划；</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未建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8" w:hRule="atLeast"/>
                <w:jc w:val="center"/>
              </w:trPr>
              <w:tc>
                <w:tcPr>
                  <w:tcW w:w="236" w:type="pct"/>
                  <w:vMerge w:val="restart"/>
                  <w:tcBorders>
                    <w:tl2br w:val="nil"/>
                    <w:tr2bl w:val="nil"/>
                  </w:tcBorders>
                  <w:vAlign w:val="center"/>
                </w:tcPr>
                <w:p>
                  <w:pPr>
                    <w:rPr>
                      <w:rFonts w:ascii="Arial"/>
                      <w:color w:val="auto"/>
                      <w:sz w:val="21"/>
                      <w:highlight w:val="none"/>
                    </w:rPr>
                  </w:pPr>
                  <w:r>
                    <w:rPr>
                      <w:rFonts w:hint="eastAsia" w:ascii="Arial"/>
                      <w:color w:val="auto"/>
                      <w:sz w:val="21"/>
                      <w:highlight w:val="none"/>
                      <w:lang w:val="en-US" w:eastAsia="zh-CN"/>
                    </w:rPr>
                    <w:t>环保工程</w:t>
                  </w:r>
                </w:p>
              </w:tc>
              <w:tc>
                <w:tcPr>
                  <w:tcW w:w="3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pacing w:val="8"/>
                      <w:sz w:val="21"/>
                      <w:szCs w:val="21"/>
                      <w:highlight w:val="none"/>
                      <w:lang w:val="en-US" w:eastAsia="zh-CN"/>
                    </w:rPr>
                  </w:pPr>
                  <w:r>
                    <w:rPr>
                      <w:rFonts w:hint="eastAsia"/>
                      <w:color w:val="auto"/>
                      <w:spacing w:val="8"/>
                      <w:sz w:val="21"/>
                      <w:szCs w:val="21"/>
                      <w:highlight w:val="none"/>
                      <w:lang w:val="en-US" w:eastAsia="zh-CN"/>
                    </w:rPr>
                    <w:t>废气</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pacing w:val="6"/>
                      <w:sz w:val="21"/>
                      <w:szCs w:val="21"/>
                      <w:highlight w:val="none"/>
                    </w:rPr>
                  </w:pPr>
                  <w:r>
                    <w:rPr>
                      <w:color w:val="auto"/>
                      <w:spacing w:val="7"/>
                      <w:sz w:val="21"/>
                      <w:szCs w:val="21"/>
                      <w:highlight w:val="none"/>
                    </w:rPr>
                    <w:t>施工期</w:t>
                  </w:r>
                </w:p>
              </w:tc>
              <w:tc>
                <w:tcPr>
                  <w:tcW w:w="1793" w:type="pct"/>
                  <w:tcBorders>
                    <w:tl2br w:val="nil"/>
                    <w:tr2bl w:val="nil"/>
                  </w:tcBorders>
                  <w:vAlign w:val="center"/>
                </w:tcPr>
                <w:p>
                  <w:pPr>
                    <w:pStyle w:val="75"/>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right="0" w:firstLine="0"/>
                    <w:textAlignment w:val="auto"/>
                    <w:rPr>
                      <w:color w:val="auto"/>
                      <w:spacing w:val="0"/>
                      <w:sz w:val="21"/>
                      <w:szCs w:val="21"/>
                      <w:highlight w:val="none"/>
                    </w:rPr>
                  </w:pPr>
                  <w:r>
                    <w:rPr>
                      <w:b/>
                      <w:bCs/>
                      <w:color w:val="auto"/>
                      <w:spacing w:val="0"/>
                      <w:sz w:val="21"/>
                      <w:szCs w:val="21"/>
                      <w:highlight w:val="none"/>
                    </w:rPr>
                    <w:t>取料场及弃渣场扬尘：</w:t>
                  </w:r>
                  <w:r>
                    <w:rPr>
                      <w:color w:val="auto"/>
                      <w:spacing w:val="0"/>
                      <w:sz w:val="21"/>
                      <w:szCs w:val="21"/>
                      <w:highlight w:val="none"/>
                    </w:rPr>
                    <w:t>弃渣场剥离表土及库区清理固废堆存过程中采取边堆存边恢复生态的措施，堆存面临时覆盖并洒水降尘；</w:t>
                  </w:r>
                </w:p>
                <w:p>
                  <w:pPr>
                    <w:pStyle w:val="75"/>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right="0" w:firstLine="0"/>
                    <w:textAlignment w:val="auto"/>
                    <w:rPr>
                      <w:color w:val="auto"/>
                      <w:spacing w:val="0"/>
                      <w:sz w:val="21"/>
                      <w:szCs w:val="21"/>
                      <w:highlight w:val="none"/>
                    </w:rPr>
                  </w:pPr>
                  <w:r>
                    <w:rPr>
                      <w:b/>
                      <w:bCs/>
                      <w:color w:val="auto"/>
                      <w:spacing w:val="0"/>
                      <w:sz w:val="21"/>
                      <w:szCs w:val="21"/>
                      <w:highlight w:val="none"/>
                    </w:rPr>
                    <w:t>车辆运输扬尘：</w:t>
                  </w:r>
                  <w:r>
                    <w:rPr>
                      <w:color w:val="auto"/>
                      <w:spacing w:val="0"/>
                      <w:sz w:val="21"/>
                      <w:szCs w:val="21"/>
                      <w:highlight w:val="none"/>
                    </w:rPr>
                    <w:t>运输车辆尽可能冲洗轮胎，限速行驶，并定期清扫运输路段及配备专用洒水车洒水降尘，以减少运输沿途的粉尘污染；</w:t>
                  </w:r>
                </w:p>
                <w:p>
                  <w:pPr>
                    <w:pStyle w:val="75"/>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firstLine="0" w:firstLineChars="0"/>
                    <w:textAlignment w:val="auto"/>
                    <w:rPr>
                      <w:color w:val="auto"/>
                      <w:spacing w:val="0"/>
                      <w:sz w:val="21"/>
                      <w:szCs w:val="21"/>
                      <w:highlight w:val="none"/>
                    </w:rPr>
                  </w:pPr>
                  <w:r>
                    <w:rPr>
                      <w:b/>
                      <w:bCs/>
                      <w:color w:val="auto"/>
                      <w:spacing w:val="0"/>
                      <w:sz w:val="21"/>
                      <w:szCs w:val="21"/>
                      <w:highlight w:val="none"/>
                    </w:rPr>
                    <w:t>混凝土拌和站废气：</w:t>
                  </w:r>
                  <w:r>
                    <w:rPr>
                      <w:color w:val="auto"/>
                      <w:spacing w:val="0"/>
                      <w:sz w:val="21"/>
                      <w:szCs w:val="21"/>
                      <w:highlight w:val="none"/>
                    </w:rPr>
                    <w:t>呼吸粉尘通过粉料筒仓仓顶均设置</w:t>
                  </w:r>
                  <w:r>
                    <w:rPr>
                      <w:rFonts w:ascii="Times New Roman" w:hAnsi="Times New Roman" w:eastAsia="Times New Roman" w:cs="Times New Roman"/>
                      <w:color w:val="auto"/>
                      <w:spacing w:val="0"/>
                      <w:sz w:val="21"/>
                      <w:szCs w:val="21"/>
                      <w:highlight w:val="none"/>
                    </w:rPr>
                    <w:t>1</w:t>
                  </w:r>
                  <w:r>
                    <w:rPr>
                      <w:color w:val="auto"/>
                      <w:spacing w:val="0"/>
                      <w:sz w:val="21"/>
                      <w:szCs w:val="21"/>
                      <w:highlight w:val="none"/>
                    </w:rPr>
                    <w:t>台布袋除尘器处理后无组织排放；搅拌粉尘通过拌和机布袋除尘器处理后无组织排放；</w:t>
                  </w:r>
                </w:p>
                <w:p>
                  <w:pPr>
                    <w:pStyle w:val="75"/>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firstLine="0" w:firstLineChars="0"/>
                    <w:textAlignment w:val="auto"/>
                    <w:rPr>
                      <w:color w:val="auto"/>
                      <w:spacing w:val="0"/>
                      <w:sz w:val="21"/>
                      <w:szCs w:val="21"/>
                      <w:highlight w:val="none"/>
                    </w:rPr>
                  </w:pPr>
                  <w:r>
                    <w:rPr>
                      <w:b/>
                      <w:bCs/>
                      <w:color w:val="auto"/>
                      <w:spacing w:val="0"/>
                      <w:sz w:val="21"/>
                      <w:szCs w:val="21"/>
                      <w:highlight w:val="none"/>
                    </w:rPr>
                    <w:t>施工扬尘：</w:t>
                  </w:r>
                  <w:r>
                    <w:rPr>
                      <w:color w:val="auto"/>
                      <w:spacing w:val="0"/>
                      <w:sz w:val="21"/>
                      <w:szCs w:val="21"/>
                      <w:highlight w:val="none"/>
                    </w:rPr>
                    <w:t>施工开挖作业时选用具有降尘功能和湿法作业的施工机械、施工场地洒水降尘；原材料堆场洒水防尘，采取覆盖防尘等措施；汽车封闭、遮盖运输，及时清扫道路沿线遗洒物料；敏感点附近设置围挡；</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color w:val="auto"/>
                      <w:spacing w:val="0"/>
                      <w:sz w:val="21"/>
                      <w:szCs w:val="21"/>
                      <w:highlight w:val="none"/>
                    </w:rPr>
                  </w:pPr>
                  <w:r>
                    <w:rPr>
                      <w:rFonts w:hint="eastAsia"/>
                      <w:b/>
                      <w:bCs/>
                      <w:color w:val="auto"/>
                      <w:spacing w:val="0"/>
                      <w:sz w:val="21"/>
                      <w:szCs w:val="21"/>
                      <w:highlight w:val="none"/>
                      <w:lang w:val="en-US" w:eastAsia="zh-CN"/>
                    </w:rPr>
                    <w:t>5、</w:t>
                  </w:r>
                  <w:r>
                    <w:rPr>
                      <w:b/>
                      <w:bCs/>
                      <w:color w:val="auto"/>
                      <w:spacing w:val="0"/>
                      <w:sz w:val="21"/>
                      <w:szCs w:val="21"/>
                      <w:highlight w:val="none"/>
                    </w:rPr>
                    <w:t>施工机械尾气：</w:t>
                  </w:r>
                  <w:r>
                    <w:rPr>
                      <w:color w:val="auto"/>
                      <w:spacing w:val="0"/>
                      <w:sz w:val="21"/>
                      <w:szCs w:val="21"/>
                      <w:highlight w:val="none"/>
                    </w:rPr>
                    <w:t>在施工过程中应选择符合国家尾气排放标准的施工机械，强化机械设备的维护、保养，加强管理、合理施工，同禁止设备超负荷运行；建立施工期非道路移动机械进出场台账和用油台账，禁止使用不符合环保检验要求的施工机械；加强设备的维护和检修，使用合格油品，减少燃油机械、设备及车辆燃油废气的产生；</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b/>
                      <w:bCs/>
                      <w:color w:val="auto"/>
                      <w:spacing w:val="0"/>
                      <w:sz w:val="21"/>
                      <w:szCs w:val="21"/>
                      <w:highlight w:val="none"/>
                    </w:rPr>
                  </w:pPr>
                  <w:r>
                    <w:rPr>
                      <w:rFonts w:hint="eastAsia"/>
                      <w:b/>
                      <w:bCs/>
                      <w:color w:val="auto"/>
                      <w:spacing w:val="0"/>
                      <w:sz w:val="21"/>
                      <w:szCs w:val="21"/>
                      <w:highlight w:val="none"/>
                      <w:lang w:val="en-US" w:eastAsia="zh-CN"/>
                    </w:rPr>
                    <w:t>6、沥青拌合站废气</w:t>
                  </w:r>
                  <w:r>
                    <w:rPr>
                      <w:b/>
                      <w:bCs/>
                      <w:color w:val="auto"/>
                      <w:spacing w:val="0"/>
                      <w:sz w:val="21"/>
                      <w:szCs w:val="21"/>
                      <w:highlight w:val="none"/>
                    </w:rPr>
                    <w:t>：</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⑴干燥筒粉尘：</w:t>
                  </w:r>
                  <w:r>
                    <w:rPr>
                      <w:rFonts w:hint="eastAsia"/>
                      <w:b w:val="0"/>
                      <w:bCs w:val="0"/>
                      <w:color w:val="auto"/>
                      <w:spacing w:val="0"/>
                      <w:sz w:val="21"/>
                      <w:szCs w:val="21"/>
                      <w:highlight w:val="none"/>
                      <w:lang w:val="en-US" w:eastAsia="zh-CN"/>
                    </w:rPr>
                    <w:t>干燥筒进出料口设置集气罩将其引至配套的布袋除尘器处理后通过1根15m的排气筒排放；</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⑵ 皮带输送粉尘</w:t>
                  </w:r>
                  <w:r>
                    <w:rPr>
                      <w:rFonts w:hint="eastAsia"/>
                      <w:b w:val="0"/>
                      <w:bCs w:val="0"/>
                      <w:color w:val="auto"/>
                      <w:spacing w:val="0"/>
                      <w:sz w:val="21"/>
                      <w:szCs w:val="21"/>
                      <w:highlight w:val="none"/>
                      <w:lang w:val="en-US" w:eastAsia="zh-CN"/>
                    </w:rPr>
                    <w:t>：通过将皮带进行全封闭；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⑶ 原料堆场扬尘</w:t>
                  </w:r>
                  <w:r>
                    <w:rPr>
                      <w:rFonts w:hint="eastAsia"/>
                      <w:b w:val="0"/>
                      <w:bCs w:val="0"/>
                      <w:color w:val="auto"/>
                      <w:spacing w:val="0"/>
                      <w:sz w:val="21"/>
                      <w:szCs w:val="21"/>
                      <w:highlight w:val="none"/>
                      <w:lang w:val="en-US" w:eastAsia="zh-CN"/>
                    </w:rPr>
                    <w:t>：设置封闭的原料仓，并在原料堆场周围设置喷雾装置；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val="0"/>
                      <w:bCs w:val="0"/>
                      <w:color w:val="auto"/>
                      <w:spacing w:val="0"/>
                      <w:sz w:val="21"/>
                      <w:szCs w:val="21"/>
                      <w:highlight w:val="none"/>
                      <w:lang w:val="en-US" w:eastAsia="zh-CN"/>
                    </w:rPr>
                  </w:pPr>
                  <w:r>
                    <w:rPr>
                      <w:rFonts w:hint="eastAsia"/>
                      <w:b/>
                      <w:bCs/>
                      <w:color w:val="auto"/>
                      <w:spacing w:val="0"/>
                      <w:sz w:val="21"/>
                      <w:szCs w:val="21"/>
                      <w:highlight w:val="none"/>
                      <w:lang w:val="en-US" w:eastAsia="zh-CN"/>
                    </w:rPr>
                    <w:t>⑷ 导热油炉废气</w:t>
                  </w:r>
                  <w:r>
                    <w:rPr>
                      <w:rFonts w:hint="eastAsia"/>
                      <w:b w:val="0"/>
                      <w:bCs w:val="0"/>
                      <w:color w:val="auto"/>
                      <w:spacing w:val="0"/>
                      <w:sz w:val="21"/>
                      <w:szCs w:val="21"/>
                      <w:highlight w:val="none"/>
                      <w:lang w:val="en-US" w:eastAsia="zh-CN"/>
                    </w:rPr>
                    <w:t>：配套的沥青拌合站导热油炉采用电力作为能源，无废气产生；</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color w:val="auto"/>
                      <w:spacing w:val="6"/>
                      <w:sz w:val="21"/>
                      <w:szCs w:val="21"/>
                      <w:highlight w:val="none"/>
                    </w:rPr>
                  </w:pPr>
                  <w:r>
                    <w:rPr>
                      <w:rFonts w:hint="eastAsia"/>
                      <w:b/>
                      <w:bCs/>
                      <w:color w:val="auto"/>
                      <w:spacing w:val="0"/>
                      <w:sz w:val="21"/>
                      <w:szCs w:val="21"/>
                      <w:highlight w:val="none"/>
                      <w:lang w:val="en-US" w:eastAsia="zh-CN"/>
                    </w:rPr>
                    <w:t>⑸ 沥青烟气</w:t>
                  </w:r>
                  <w:r>
                    <w:rPr>
                      <w:rFonts w:hint="eastAsia"/>
                      <w:b w:val="0"/>
                      <w:bCs w:val="0"/>
                      <w:color w:val="auto"/>
                      <w:spacing w:val="0"/>
                      <w:sz w:val="21"/>
                      <w:szCs w:val="21"/>
                      <w:highlight w:val="none"/>
                      <w:lang w:val="en-US" w:eastAsia="zh-CN"/>
                    </w:rPr>
                    <w:t>：主要来源于沥青储罐和沥青混合料拌合过程，通过在沥青储罐进料口设置集气罩，拌合设备上方设置集气罩将其收集至配套的“活性炭+UV光解”处理后通过一根15m排气筒排放；</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color w:val="auto"/>
                      <w:spacing w:val="8"/>
                      <w:sz w:val="21"/>
                      <w:szCs w:val="21"/>
                      <w:highlight w:val="none"/>
                      <w:lang w:val="en-US" w:eastAsia="zh-CN"/>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pacing w:val="7"/>
                      <w:sz w:val="21"/>
                      <w:szCs w:val="21"/>
                      <w:highlight w:val="none"/>
                    </w:rPr>
                  </w:pPr>
                  <w:r>
                    <w:rPr>
                      <w:rFonts w:ascii="宋体" w:hAnsi="宋体" w:eastAsia="宋体" w:cs="宋体"/>
                      <w:color w:val="auto"/>
                      <w:spacing w:val="-2"/>
                      <w:kern w:val="2"/>
                      <w:sz w:val="21"/>
                      <w:szCs w:val="21"/>
                      <w:highlight w:val="none"/>
                      <w:lang w:val="en-US" w:eastAsia="en-US" w:bidi="ar-SA"/>
                    </w:rPr>
                    <w:t>运营期</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b/>
                      <w:bCs/>
                      <w:color w:val="auto"/>
                      <w:spacing w:val="7"/>
                      <w:sz w:val="21"/>
                      <w:szCs w:val="21"/>
                      <w:highlight w:val="none"/>
                      <w:lang w:val="en-US" w:eastAsia="zh-CN"/>
                    </w:rPr>
                  </w:pPr>
                  <w:r>
                    <w:rPr>
                      <w:rFonts w:hint="eastAsia"/>
                      <w:b w:val="0"/>
                      <w:bCs w:val="0"/>
                      <w:color w:val="auto"/>
                      <w:spacing w:val="7"/>
                      <w:sz w:val="21"/>
                      <w:szCs w:val="21"/>
                      <w:highlight w:val="none"/>
                      <w:lang w:val="en-US" w:eastAsia="zh-CN"/>
                    </w:rPr>
                    <w:t>项目运营期无废气产生</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rFonts w:hint="eastAsia"/>
                      <w:color w:val="auto"/>
                      <w:spacing w:val="-1"/>
                      <w:highlight w:val="none"/>
                      <w:lang w:val="en-US" w:eastAsia="zh-CN"/>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spacing w:before="60" w:line="232" w:lineRule="auto"/>
                    <w:ind w:left="421" w:lef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tcBorders>
                    <w:top w:val="single" w:color="auto" w:sz="4" w:space="0"/>
                    <w:tl2br w:val="nil"/>
                    <w:tr2bl w:val="nil"/>
                  </w:tcBorders>
                  <w:vAlign w:val="center"/>
                </w:tcPr>
                <w:p>
                  <w:pPr>
                    <w:jc w:val="center"/>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噪声</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宋体" w:hAnsi="宋体" w:eastAsia="宋体" w:cs="宋体"/>
                      <w:color w:val="auto"/>
                      <w:spacing w:val="-2"/>
                      <w:kern w:val="2"/>
                      <w:sz w:val="21"/>
                      <w:szCs w:val="21"/>
                      <w:highlight w:val="none"/>
                      <w:lang w:val="en-US" w:eastAsia="en-US" w:bidi="ar-SA"/>
                    </w:rPr>
                  </w:pPr>
                  <w:r>
                    <w:rPr>
                      <w:rFonts w:hint="eastAsia" w:ascii="宋体" w:hAnsi="宋体" w:eastAsia="宋体" w:cs="宋体"/>
                      <w:color w:val="auto"/>
                      <w:spacing w:val="-2"/>
                      <w:kern w:val="2"/>
                      <w:sz w:val="21"/>
                      <w:szCs w:val="21"/>
                      <w:highlight w:val="none"/>
                      <w:lang w:val="en-US" w:eastAsia="zh-CN" w:bidi="ar-SA"/>
                    </w:rPr>
                    <w:t>施工</w:t>
                  </w:r>
                  <w:r>
                    <w:rPr>
                      <w:rFonts w:ascii="宋体" w:hAnsi="宋体" w:eastAsia="宋体" w:cs="宋体"/>
                      <w:color w:val="auto"/>
                      <w:spacing w:val="-2"/>
                      <w:kern w:val="2"/>
                      <w:sz w:val="21"/>
                      <w:szCs w:val="21"/>
                      <w:highlight w:val="none"/>
                      <w:lang w:val="en-US" w:eastAsia="en-US" w:bidi="ar-SA"/>
                    </w:rPr>
                    <w:t>期</w:t>
                  </w:r>
                </w:p>
              </w:tc>
              <w:tc>
                <w:tcPr>
                  <w:tcW w:w="1793" w:type="pct"/>
                  <w:tcBorders>
                    <w:tl2br w:val="nil"/>
                    <w:tr2bl w:val="nil"/>
                  </w:tcBorders>
                  <w:vAlign w:val="center"/>
                </w:tcPr>
                <w:p>
                  <w:pPr>
                    <w:pStyle w:val="75"/>
                    <w:spacing w:before="36" w:line="229" w:lineRule="auto"/>
                    <w:ind w:right="129"/>
                    <w:jc w:val="left"/>
                    <w:rPr>
                      <w:rFonts w:ascii="宋体" w:hAnsi="宋体" w:eastAsia="宋体" w:cs="宋体"/>
                      <w:color w:val="auto"/>
                      <w:spacing w:val="0"/>
                      <w:kern w:val="2"/>
                      <w:sz w:val="21"/>
                      <w:szCs w:val="21"/>
                      <w:highlight w:val="none"/>
                      <w:lang w:val="en-US" w:eastAsia="en-US" w:bidi="ar-SA"/>
                    </w:rPr>
                  </w:pPr>
                  <w:r>
                    <w:rPr>
                      <w:rFonts w:ascii="宋体" w:hAnsi="宋体" w:eastAsia="宋体" w:cs="宋体"/>
                      <w:color w:val="auto"/>
                      <w:spacing w:val="0"/>
                      <w:kern w:val="2"/>
                      <w:sz w:val="21"/>
                      <w:szCs w:val="21"/>
                      <w:highlight w:val="none"/>
                      <w:lang w:val="en-US" w:eastAsia="en-US" w:bidi="ar-SA"/>
                    </w:rPr>
                    <w:t>合理布置施工场地、打围施工、高噪声源设置围护型构筑物、施工场地设置围墙，合理安排施工时间，禁止午间、夜间休息时间施工。</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spacing w:before="60" w:line="232"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cs="宋体"/>
                      <w:color w:val="auto"/>
                      <w:spacing w:val="-2"/>
                      <w:kern w:val="2"/>
                      <w:sz w:val="21"/>
                      <w:szCs w:val="21"/>
                      <w:highlight w:val="none"/>
                      <w:lang w:val="en-US" w:eastAsia="zh-CN" w:bidi="ar-SA"/>
                    </w:rPr>
                  </w:pPr>
                  <w:r>
                    <w:rPr>
                      <w:rFonts w:hint="eastAsia" w:ascii="宋体" w:hAnsi="宋体" w:cs="宋体"/>
                      <w:color w:val="auto"/>
                      <w:spacing w:val="-2"/>
                      <w:kern w:val="2"/>
                      <w:sz w:val="21"/>
                      <w:szCs w:val="21"/>
                      <w:highlight w:val="none"/>
                      <w:lang w:val="en-US" w:eastAsia="zh-CN" w:bidi="ar-SA"/>
                    </w:rPr>
                    <w:t>固体</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cs="宋体"/>
                      <w:color w:val="auto"/>
                      <w:spacing w:val="-2"/>
                      <w:kern w:val="2"/>
                      <w:sz w:val="21"/>
                      <w:szCs w:val="21"/>
                      <w:highlight w:val="none"/>
                      <w:lang w:val="en-US" w:eastAsia="zh-CN" w:bidi="ar-SA"/>
                    </w:rPr>
                    <w:t>废物</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施工期</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pacing w:val="0"/>
                      <w:kern w:val="2"/>
                      <w:sz w:val="21"/>
                      <w:szCs w:val="21"/>
                      <w:highlight w:val="none"/>
                      <w:lang w:val="en-US" w:eastAsia="en-US" w:bidi="ar-SA"/>
                    </w:rPr>
                  </w:pPr>
                  <w:r>
                    <w:rPr>
                      <w:rFonts w:ascii="宋体" w:hAnsi="宋体" w:eastAsia="宋体" w:cs="宋体"/>
                      <w:b/>
                      <w:bCs/>
                      <w:color w:val="auto"/>
                      <w:spacing w:val="0"/>
                      <w:kern w:val="2"/>
                      <w:sz w:val="21"/>
                      <w:szCs w:val="21"/>
                      <w:highlight w:val="none"/>
                      <w:lang w:val="en-US" w:eastAsia="en-US" w:bidi="ar-SA"/>
                    </w:rPr>
                    <w:t>建筑垃圾</w:t>
                  </w:r>
                  <w:r>
                    <w:rPr>
                      <w:rFonts w:ascii="宋体" w:hAnsi="宋体" w:eastAsia="宋体" w:cs="宋体"/>
                      <w:color w:val="auto"/>
                      <w:spacing w:val="0"/>
                      <w:kern w:val="2"/>
                      <w:sz w:val="21"/>
                      <w:szCs w:val="21"/>
                      <w:highlight w:val="none"/>
                      <w:lang w:val="en-US" w:eastAsia="en-US" w:bidi="ar-SA"/>
                    </w:rPr>
                    <w:t>：主要包括工程下脚料、碎砖瓦、废弃混凝土料、废旧的钢管、钢筋、包装袋、木材等</w:t>
                  </w:r>
                  <w:r>
                    <w:rPr>
                      <w:rFonts w:hint="eastAsia" w:cs="宋体"/>
                      <w:color w:val="auto"/>
                      <w:spacing w:val="0"/>
                      <w:kern w:val="2"/>
                      <w:sz w:val="21"/>
                      <w:szCs w:val="21"/>
                      <w:highlight w:val="none"/>
                      <w:lang w:val="en-US" w:eastAsia="zh-CN" w:bidi="ar-SA"/>
                    </w:rPr>
                    <w:t>，</w:t>
                  </w:r>
                  <w:r>
                    <w:rPr>
                      <w:rFonts w:ascii="宋体" w:hAnsi="宋体" w:eastAsia="宋体" w:cs="宋体"/>
                      <w:color w:val="auto"/>
                      <w:spacing w:val="0"/>
                      <w:kern w:val="2"/>
                      <w:sz w:val="21"/>
                      <w:szCs w:val="21"/>
                      <w:highlight w:val="none"/>
                      <w:lang w:val="en-US" w:eastAsia="en-US" w:bidi="ar-SA"/>
                    </w:rPr>
                    <w:t>能利用的尽可能重新利用，不能利用的清运至政府指定的弃渣场。</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pacing w:val="0"/>
                      <w:kern w:val="2"/>
                      <w:sz w:val="21"/>
                      <w:szCs w:val="21"/>
                      <w:highlight w:val="none"/>
                      <w:lang w:val="en-US" w:eastAsia="en-US" w:bidi="ar-SA"/>
                    </w:rPr>
                  </w:pPr>
                  <w:r>
                    <w:rPr>
                      <w:rFonts w:ascii="宋体" w:hAnsi="宋体" w:eastAsia="宋体" w:cs="宋体"/>
                      <w:b/>
                      <w:bCs/>
                      <w:color w:val="auto"/>
                      <w:spacing w:val="0"/>
                      <w:kern w:val="2"/>
                      <w:sz w:val="21"/>
                      <w:szCs w:val="21"/>
                      <w:highlight w:val="none"/>
                      <w:lang w:val="en-US" w:eastAsia="en-US" w:bidi="ar-SA"/>
                    </w:rPr>
                    <w:t>废弃土石方</w:t>
                  </w:r>
                  <w:r>
                    <w:rPr>
                      <w:rFonts w:ascii="宋体" w:hAnsi="宋体" w:eastAsia="宋体" w:cs="宋体"/>
                      <w:color w:val="auto"/>
                      <w:spacing w:val="0"/>
                      <w:kern w:val="2"/>
                      <w:sz w:val="21"/>
                      <w:szCs w:val="21"/>
                      <w:highlight w:val="none"/>
                      <w:lang w:val="en-US" w:eastAsia="en-US" w:bidi="ar-SA"/>
                    </w:rPr>
                    <w:t>：弃方中地表耕植土、腐殖土等可用于后期的绿化工程植被复垦用土的堆放在施工场地的临时堆场；不能利用的弃方运输至弃土场。堆渣完毕后应进行迹地恢复，</w:t>
                  </w:r>
                  <w:r>
                    <w:rPr>
                      <w:rFonts w:hint="eastAsia" w:cs="宋体"/>
                      <w:color w:val="auto"/>
                      <w:spacing w:val="0"/>
                      <w:kern w:val="2"/>
                      <w:sz w:val="21"/>
                      <w:szCs w:val="21"/>
                      <w:highlight w:val="none"/>
                      <w:lang w:val="en-US" w:eastAsia="zh-CN" w:bidi="ar-SA"/>
                    </w:rPr>
                    <w:t>绿化树种选用</w:t>
                  </w:r>
                  <w:r>
                    <w:rPr>
                      <w:rFonts w:ascii="宋体" w:hAnsi="宋体" w:eastAsia="宋体" w:cs="宋体"/>
                      <w:color w:val="auto"/>
                      <w:spacing w:val="0"/>
                      <w:kern w:val="2"/>
                      <w:sz w:val="21"/>
                      <w:szCs w:val="21"/>
                      <w:highlight w:val="none"/>
                      <w:lang w:val="en-US" w:eastAsia="en-US" w:bidi="ar-SA"/>
                    </w:rPr>
                    <w:t>当地植被。</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pacing w:val="0"/>
                      <w:kern w:val="2"/>
                      <w:sz w:val="21"/>
                      <w:szCs w:val="21"/>
                      <w:highlight w:val="none"/>
                      <w:lang w:val="en-US" w:eastAsia="en-US" w:bidi="ar-SA"/>
                    </w:rPr>
                  </w:pPr>
                  <w:r>
                    <w:rPr>
                      <w:rFonts w:ascii="宋体" w:hAnsi="宋体" w:eastAsia="宋体" w:cs="宋体"/>
                      <w:b/>
                      <w:bCs/>
                      <w:color w:val="auto"/>
                      <w:spacing w:val="0"/>
                      <w:kern w:val="2"/>
                      <w:sz w:val="21"/>
                      <w:szCs w:val="21"/>
                      <w:highlight w:val="none"/>
                      <w:lang w:val="en-US" w:eastAsia="en-US" w:bidi="ar-SA"/>
                    </w:rPr>
                    <w:t>库底垃圾</w:t>
                  </w:r>
                  <w:r>
                    <w:rPr>
                      <w:rFonts w:ascii="宋体" w:hAnsi="宋体" w:eastAsia="宋体" w:cs="宋体"/>
                      <w:color w:val="auto"/>
                      <w:spacing w:val="0"/>
                      <w:kern w:val="2"/>
                      <w:sz w:val="21"/>
                      <w:szCs w:val="21"/>
                      <w:highlight w:val="none"/>
                      <w:lang w:val="en-US" w:eastAsia="en-US" w:bidi="ar-SA"/>
                    </w:rPr>
                    <w:t>：运至指定的建筑垃圾堆放场处置。</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pacing w:val="0"/>
                      <w:kern w:val="2"/>
                      <w:sz w:val="21"/>
                      <w:szCs w:val="21"/>
                      <w:highlight w:val="none"/>
                      <w:lang w:val="en-US" w:eastAsia="en-US" w:bidi="ar-SA"/>
                    </w:rPr>
                  </w:pPr>
                  <w:r>
                    <w:rPr>
                      <w:rFonts w:ascii="宋体" w:hAnsi="宋体" w:eastAsia="宋体" w:cs="宋体"/>
                      <w:b/>
                      <w:bCs/>
                      <w:color w:val="auto"/>
                      <w:spacing w:val="0"/>
                      <w:kern w:val="2"/>
                      <w:sz w:val="21"/>
                      <w:szCs w:val="21"/>
                      <w:highlight w:val="none"/>
                      <w:lang w:val="en-US" w:eastAsia="en-US" w:bidi="ar-SA"/>
                    </w:rPr>
                    <w:t>生活垃圾</w:t>
                  </w:r>
                  <w:r>
                    <w:rPr>
                      <w:rFonts w:ascii="宋体" w:hAnsi="宋体" w:eastAsia="宋体" w:cs="宋体"/>
                      <w:color w:val="auto"/>
                      <w:spacing w:val="0"/>
                      <w:kern w:val="2"/>
                      <w:sz w:val="21"/>
                      <w:szCs w:val="21"/>
                      <w:highlight w:val="none"/>
                      <w:lang w:val="en-US" w:eastAsia="en-US" w:bidi="ar-SA"/>
                    </w:rPr>
                    <w:t>：在施工</w:t>
                  </w:r>
                  <w:r>
                    <w:rPr>
                      <w:rFonts w:hint="eastAsia" w:cs="宋体"/>
                      <w:color w:val="auto"/>
                      <w:spacing w:val="0"/>
                      <w:kern w:val="2"/>
                      <w:sz w:val="21"/>
                      <w:szCs w:val="21"/>
                      <w:highlight w:val="none"/>
                      <w:lang w:val="en-US" w:eastAsia="zh-CN" w:bidi="ar-SA"/>
                    </w:rPr>
                    <w:t>营地等附近</w:t>
                  </w:r>
                  <w:r>
                    <w:rPr>
                      <w:rFonts w:ascii="宋体" w:hAnsi="宋体" w:eastAsia="宋体" w:cs="宋体"/>
                      <w:color w:val="auto"/>
                      <w:spacing w:val="0"/>
                      <w:kern w:val="2"/>
                      <w:sz w:val="21"/>
                      <w:szCs w:val="21"/>
                      <w:highlight w:val="none"/>
                      <w:lang w:val="en-US" w:eastAsia="en-US" w:bidi="ar-SA"/>
                    </w:rPr>
                    <w:t>设置</w:t>
                  </w:r>
                  <w:r>
                    <w:rPr>
                      <w:rFonts w:hint="eastAsia" w:cs="宋体"/>
                      <w:color w:val="auto"/>
                      <w:spacing w:val="0"/>
                      <w:kern w:val="2"/>
                      <w:sz w:val="21"/>
                      <w:szCs w:val="21"/>
                      <w:highlight w:val="none"/>
                      <w:lang w:val="en-US" w:eastAsia="zh-CN" w:bidi="ar-SA"/>
                    </w:rPr>
                    <w:t>一定数量的</w:t>
                  </w:r>
                  <w:r>
                    <w:rPr>
                      <w:rFonts w:ascii="宋体" w:hAnsi="宋体" w:eastAsia="宋体" w:cs="宋体"/>
                      <w:color w:val="auto"/>
                      <w:spacing w:val="0"/>
                      <w:kern w:val="2"/>
                      <w:sz w:val="21"/>
                      <w:szCs w:val="21"/>
                      <w:highlight w:val="none"/>
                      <w:lang w:val="en-US" w:eastAsia="en-US" w:bidi="ar-SA"/>
                    </w:rPr>
                    <w:t>垃圾桶，收集的生活垃圾运至生活垃圾集中填埋场。</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cs="宋体"/>
                      <w:color w:val="auto"/>
                      <w:spacing w:val="0"/>
                      <w:kern w:val="2"/>
                      <w:sz w:val="21"/>
                      <w:szCs w:val="21"/>
                      <w:highlight w:val="none"/>
                      <w:lang w:val="en-US" w:eastAsia="zh-CN" w:bidi="ar-SA"/>
                    </w:rPr>
                  </w:pPr>
                  <w:r>
                    <w:rPr>
                      <w:rFonts w:hint="eastAsia" w:cs="宋体"/>
                      <w:b/>
                      <w:bCs/>
                      <w:color w:val="auto"/>
                      <w:spacing w:val="0"/>
                      <w:kern w:val="2"/>
                      <w:sz w:val="21"/>
                      <w:szCs w:val="21"/>
                      <w:highlight w:val="none"/>
                      <w:lang w:val="en-US" w:eastAsia="zh-CN" w:bidi="ar-SA"/>
                    </w:rPr>
                    <w:t>除尘器收集粉尘</w:t>
                  </w:r>
                  <w:r>
                    <w:rPr>
                      <w:rFonts w:hint="eastAsia" w:cs="宋体"/>
                      <w:color w:val="auto"/>
                      <w:spacing w:val="0"/>
                      <w:kern w:val="2"/>
                      <w:sz w:val="21"/>
                      <w:szCs w:val="21"/>
                      <w:highlight w:val="none"/>
                      <w:lang w:val="en-US" w:eastAsia="zh-CN" w:bidi="ar-SA"/>
                    </w:rPr>
                    <w:t>：回用于生产工序；</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cs="宋体"/>
                      <w:color w:val="auto"/>
                      <w:spacing w:val="0"/>
                      <w:kern w:val="2"/>
                      <w:sz w:val="21"/>
                      <w:szCs w:val="21"/>
                      <w:highlight w:val="none"/>
                      <w:lang w:val="en-US" w:eastAsia="zh-CN" w:bidi="ar-SA"/>
                    </w:rPr>
                  </w:pPr>
                  <w:r>
                    <w:rPr>
                      <w:rFonts w:hint="eastAsia" w:cs="宋体"/>
                      <w:b/>
                      <w:bCs/>
                      <w:color w:val="auto"/>
                      <w:spacing w:val="0"/>
                      <w:kern w:val="2"/>
                      <w:sz w:val="21"/>
                      <w:szCs w:val="21"/>
                      <w:highlight w:val="none"/>
                      <w:lang w:val="en-US" w:eastAsia="zh-CN" w:bidi="ar-SA"/>
                    </w:rPr>
                    <w:t>废活性炭、废润滑油</w:t>
                  </w:r>
                  <w:r>
                    <w:rPr>
                      <w:rFonts w:hint="eastAsia" w:cs="宋体"/>
                      <w:color w:val="auto"/>
                      <w:spacing w:val="0"/>
                      <w:kern w:val="2"/>
                      <w:sz w:val="21"/>
                      <w:szCs w:val="21"/>
                      <w:highlight w:val="none"/>
                      <w:lang w:val="en-US" w:eastAsia="zh-CN" w:bidi="ar-SA"/>
                    </w:rPr>
                    <w:t>等危险废物集中收集后交由资质单位处置；</w:t>
                  </w:r>
                </w:p>
                <w:p>
                  <w:pPr>
                    <w:pStyle w:val="75"/>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s="宋体"/>
                      <w:color w:val="auto"/>
                      <w:spacing w:val="0"/>
                      <w:kern w:val="2"/>
                      <w:sz w:val="21"/>
                      <w:szCs w:val="21"/>
                      <w:highlight w:val="none"/>
                      <w:lang w:val="en-US" w:eastAsia="zh-CN" w:bidi="ar-SA"/>
                    </w:rPr>
                  </w:pPr>
                  <w:r>
                    <w:rPr>
                      <w:rFonts w:hint="eastAsia" w:cs="宋体"/>
                      <w:b/>
                      <w:bCs/>
                      <w:color w:val="auto"/>
                      <w:spacing w:val="0"/>
                      <w:kern w:val="2"/>
                      <w:sz w:val="21"/>
                      <w:szCs w:val="21"/>
                      <w:highlight w:val="none"/>
                      <w:lang w:val="en-US" w:eastAsia="zh-CN" w:bidi="ar-SA"/>
                    </w:rPr>
                    <w:t>废石料、滴漏沥青</w:t>
                  </w:r>
                  <w:r>
                    <w:rPr>
                      <w:rFonts w:hint="eastAsia" w:cs="宋体"/>
                      <w:color w:val="auto"/>
                      <w:spacing w:val="0"/>
                      <w:kern w:val="2"/>
                      <w:sz w:val="21"/>
                      <w:szCs w:val="21"/>
                      <w:highlight w:val="none"/>
                      <w:lang w:val="en-US" w:eastAsia="zh-CN" w:bidi="ar-SA"/>
                    </w:rPr>
                    <w:t>：回用于生产过程；</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color w:val="auto"/>
                      <w:spacing w:val="8"/>
                      <w:sz w:val="20"/>
                      <w:szCs w:val="20"/>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运营期</w:t>
                  </w:r>
                </w:p>
              </w:tc>
              <w:tc>
                <w:tcPr>
                  <w:tcW w:w="1793" w:type="pct"/>
                  <w:tcBorders>
                    <w:tl2br w:val="nil"/>
                    <w:tr2bl w:val="nil"/>
                  </w:tcBorders>
                  <w:vAlign w:val="center"/>
                </w:tcPr>
                <w:p>
                  <w:pPr>
                    <w:pStyle w:val="75"/>
                    <w:spacing w:before="36" w:line="229" w:lineRule="auto"/>
                    <w:ind w:right="129"/>
                    <w:jc w:val="both"/>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b/>
                      <w:bCs/>
                      <w:color w:val="auto"/>
                      <w:spacing w:val="-2"/>
                      <w:kern w:val="2"/>
                      <w:sz w:val="21"/>
                      <w:szCs w:val="21"/>
                      <w:highlight w:val="none"/>
                      <w:lang w:val="en-US" w:eastAsia="zh-CN" w:bidi="ar-SA"/>
                    </w:rPr>
                    <w:t>生活垃圾</w:t>
                  </w:r>
                  <w:r>
                    <w:rPr>
                      <w:rFonts w:hint="eastAsia" w:ascii="宋体" w:hAnsi="宋体" w:eastAsia="宋体" w:cs="宋体"/>
                      <w:color w:val="auto"/>
                      <w:spacing w:val="-2"/>
                      <w:kern w:val="2"/>
                      <w:sz w:val="21"/>
                      <w:szCs w:val="21"/>
                      <w:highlight w:val="none"/>
                      <w:lang w:val="en-US" w:eastAsia="zh-CN" w:bidi="ar-SA"/>
                    </w:rPr>
                    <w:t>：委托环卫部门进行定期清运</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spacing w:before="60" w:line="232" w:lineRule="auto"/>
                    <w:ind w:left="421" w:lef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236" w:type="pct"/>
                  <w:vMerge w:val="continue"/>
                  <w:tcBorders>
                    <w:tl2br w:val="nil"/>
                    <w:tr2bl w:val="nil"/>
                  </w:tcBorders>
                  <w:vAlign w:val="center"/>
                </w:tcPr>
                <w:p>
                  <w:pPr>
                    <w:rPr>
                      <w:rFonts w:ascii="Arial"/>
                      <w:color w:val="auto"/>
                      <w:sz w:val="21"/>
                      <w:highlight w:val="none"/>
                    </w:rPr>
                  </w:pPr>
                </w:p>
              </w:tc>
              <w:tc>
                <w:tcPr>
                  <w:tcW w:w="361" w:type="pct"/>
                  <w:vMerge w:val="restart"/>
                  <w:tcBorders>
                    <w:tl2br w:val="nil"/>
                    <w:tr2bl w:val="nil"/>
                  </w:tcBorders>
                  <w:vAlign w:val="center"/>
                </w:tcPr>
                <w:p>
                  <w:pPr>
                    <w:jc w:val="center"/>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生态</w:t>
                  </w:r>
                </w:p>
                <w:p>
                  <w:pPr>
                    <w:jc w:val="center"/>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保护</w:t>
                  </w:r>
                </w:p>
                <w:p>
                  <w:pPr>
                    <w:jc w:val="center"/>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措施</w:t>
                  </w: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施工期</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①加强环境保护宣传教育；设置宣传牌及标语；加强制度建设和基础设施建设；严控施工占地范围，减少对植被的破坏；加强各项管理工作，规避生态风险。</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②主要水土流失防治措施：</w:t>
                  </w:r>
                  <w:r>
                    <w:rPr>
                      <w:rFonts w:hint="eastAsia" w:cs="宋体"/>
                      <w:color w:val="auto"/>
                      <w:spacing w:val="0"/>
                      <w:kern w:val="2"/>
                      <w:sz w:val="21"/>
                      <w:szCs w:val="21"/>
                      <w:highlight w:val="none"/>
                      <w:lang w:val="en-US" w:eastAsia="zh-CN" w:bidi="ar-SA"/>
                    </w:rPr>
                    <w:t>主体</w:t>
                  </w:r>
                  <w:r>
                    <w:rPr>
                      <w:rFonts w:hint="eastAsia" w:ascii="宋体" w:hAnsi="宋体" w:eastAsia="宋体" w:cs="宋体"/>
                      <w:color w:val="auto"/>
                      <w:spacing w:val="0"/>
                      <w:kern w:val="2"/>
                      <w:sz w:val="21"/>
                      <w:szCs w:val="21"/>
                      <w:highlight w:val="none"/>
                      <w:lang w:val="en-US" w:eastAsia="zh-CN" w:bidi="ar-SA"/>
                    </w:rPr>
                    <w:t>工程区主要采用临时排水沟、沉砂池以及密目网覆盖等措施；弃土场主要采用截排水沟、挡渣墙、临时覆盖、临时拦挡以及排水沟末端的沉沙等措施；施工临时工程区主要采用临时排水及沉沙、表土回铺、复耕措施。</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③优化施工组织设计，减少对鱼类资源的影响。河流鱼类繁殖期主要集中在4~7月，为减少对鱼类的影响，应调整施工进度，在鱼类繁殖期尽量避免在河道及周边进行爆破、截流等施工作业，以减少对鱼类繁殖的影响。</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④开展施工期水生生态监测。通过对河流水生生态因子（水环境、浮游生物、底栖动物、水生维管束植物）、鱼类种群动态和重要生境等进行监测，及时反映评价河段水生生态环境的变化趋势，针对发现的问题及时采取补救措施，为鱼类和水生生物多样性保护提供科学依据。</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spacing w:before="60" w:line="232" w:lineRule="auto"/>
                    <w:ind w:left="421" w:lef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236" w:type="pct"/>
                  <w:tcBorders>
                    <w:tl2br w:val="nil"/>
                    <w:tr2bl w:val="nil"/>
                  </w:tcBorders>
                  <w:vAlign w:val="center"/>
                </w:tcPr>
                <w:p>
                  <w:pPr>
                    <w:rPr>
                      <w:rFonts w:ascii="Arial"/>
                      <w:color w:val="auto"/>
                      <w:sz w:val="21"/>
                      <w:highlight w:val="none"/>
                    </w:rPr>
                  </w:pPr>
                </w:p>
              </w:tc>
              <w:tc>
                <w:tcPr>
                  <w:tcW w:w="361" w:type="pct"/>
                  <w:vMerge w:val="continue"/>
                  <w:tcBorders>
                    <w:tl2br w:val="nil"/>
                    <w:tr2bl w:val="nil"/>
                  </w:tcBorders>
                  <w:vAlign w:val="center"/>
                </w:tcPr>
                <w:p>
                  <w:pPr>
                    <w:rPr>
                      <w:color w:val="auto"/>
                      <w:spacing w:val="8"/>
                      <w:sz w:val="20"/>
                      <w:szCs w:val="20"/>
                      <w:highlight w:val="none"/>
                    </w:rPr>
                  </w:pPr>
                </w:p>
              </w:tc>
              <w:tc>
                <w:tcPr>
                  <w:tcW w:w="65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auto"/>
                      <w:spacing w:val="-2"/>
                      <w:kern w:val="2"/>
                      <w:sz w:val="21"/>
                      <w:szCs w:val="21"/>
                      <w:highlight w:val="none"/>
                      <w:lang w:val="en-US" w:eastAsia="zh-CN" w:bidi="ar-SA"/>
                    </w:rPr>
                  </w:pPr>
                  <w:r>
                    <w:rPr>
                      <w:rFonts w:hint="eastAsia" w:ascii="宋体" w:hAnsi="宋体" w:eastAsia="宋体" w:cs="宋体"/>
                      <w:color w:val="auto"/>
                      <w:spacing w:val="-2"/>
                      <w:kern w:val="2"/>
                      <w:sz w:val="21"/>
                      <w:szCs w:val="21"/>
                      <w:highlight w:val="none"/>
                      <w:lang w:val="en-US" w:eastAsia="zh-CN" w:bidi="ar-SA"/>
                    </w:rPr>
                    <w:t>运营期</w:t>
                  </w:r>
                </w:p>
              </w:tc>
              <w:tc>
                <w:tcPr>
                  <w:tcW w:w="1793"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①设置1根生态流量钢管及下泄流量在线监控设施确保下泄生态流量</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②严格执行《中华人民共和国渔业法》，加强渔政管理，严禁休渔期和一定范围的禁渔区进行天然捕鱼；严禁毒鱼、电鱼、炸鱼和用小目密网捕捞。</w:t>
                  </w:r>
                </w:p>
                <w:p>
                  <w:pPr>
                    <w:pStyle w:val="75"/>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③禁止在库区进行网箱养鱼及其他可能对库区水环境造成污染的产业</w:t>
                  </w:r>
                </w:p>
              </w:tc>
              <w:tc>
                <w:tcPr>
                  <w:tcW w:w="1050" w:type="pct"/>
                  <w:tcBorders>
                    <w:tl2br w:val="nil"/>
                    <w:tr2bl w:val="nil"/>
                  </w:tcBorders>
                  <w:vAlign w:val="center"/>
                </w:tcPr>
                <w:p>
                  <w:pPr>
                    <w:pStyle w:val="75"/>
                    <w:spacing w:before="37" w:line="229" w:lineRule="auto"/>
                    <w:ind w:left="125" w:leftChars="0" w:right="197" w:rightChars="0" w:hanging="11" w:firstLineChars="0"/>
                    <w:jc w:val="center"/>
                    <w:rPr>
                      <w:color w:val="auto"/>
                      <w:spacing w:val="-1"/>
                      <w:highlight w:val="none"/>
                    </w:rPr>
                  </w:pPr>
                  <w:r>
                    <w:rPr>
                      <w:rFonts w:hint="eastAsia"/>
                      <w:color w:val="auto"/>
                      <w:spacing w:val="-1"/>
                      <w:highlight w:val="none"/>
                      <w:lang w:val="en-US" w:eastAsia="zh-CN"/>
                    </w:rPr>
                    <w:t>/</w:t>
                  </w:r>
                </w:p>
              </w:tc>
              <w:tc>
                <w:tcPr>
                  <w:tcW w:w="497" w:type="pct"/>
                  <w:tcBorders>
                    <w:tl2br w:val="nil"/>
                    <w:tr2bl w:val="nil"/>
                  </w:tcBorders>
                  <w:vAlign w:val="center"/>
                </w:tcPr>
                <w:p>
                  <w:pPr>
                    <w:spacing w:before="60" w:line="232" w:lineRule="auto"/>
                    <w:ind w:left="421" w:leftChars="0"/>
                    <w:rPr>
                      <w:rFonts w:ascii="Times New Roman" w:hAnsi="Times New Roman" w:eastAsia="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407" w:type="pct"/>
                  <w:tcBorders>
                    <w:tl2br w:val="nil"/>
                    <w:tr2bl w:val="nil"/>
                  </w:tcBorders>
                  <w:vAlign w:val="center"/>
                </w:tcPr>
                <w:p>
                  <w:pPr>
                    <w:spacing w:before="60" w:line="232" w:lineRule="auto"/>
                    <w:ind w:left="421" w:lef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宋体" w:eastAsia="宋体" w:cs="Arial"/>
                <w:b/>
                <w:color w:val="auto"/>
                <w:sz w:val="24"/>
                <w:highlight w:val="none"/>
                <w:lang w:val="en-US" w:eastAsia="zh-CN" w:bidi="en-US"/>
              </w:rPr>
            </w:pPr>
            <w:r>
              <w:rPr>
                <w:rFonts w:hint="eastAsia" w:ascii="Arial" w:hAnsi="宋体" w:cs="Arial"/>
                <w:b/>
                <w:color w:val="auto"/>
                <w:sz w:val="24"/>
                <w:highlight w:val="none"/>
                <w:lang w:bidi="en-US"/>
              </w:rPr>
              <w:t>四、</w:t>
            </w:r>
            <w:r>
              <w:rPr>
                <w:rFonts w:hint="eastAsia" w:ascii="Arial" w:hAnsi="宋体" w:cs="Arial"/>
                <w:b/>
                <w:color w:val="auto"/>
                <w:sz w:val="24"/>
                <w:highlight w:val="none"/>
                <w:lang w:val="en-US" w:eastAsia="zh-CN" w:bidi="en-US"/>
              </w:rPr>
              <w:t>工程</w:t>
            </w:r>
            <w:r>
              <w:rPr>
                <w:rFonts w:hint="eastAsia" w:ascii="Arial" w:hAnsi="宋体" w:cs="Arial"/>
                <w:b/>
                <w:color w:val="auto"/>
                <w:sz w:val="24"/>
                <w:highlight w:val="none"/>
                <w:lang w:bidi="en-US"/>
              </w:rPr>
              <w:t>开发任务</w:t>
            </w:r>
            <w:r>
              <w:rPr>
                <w:rFonts w:hint="eastAsia" w:ascii="Arial" w:hAnsi="宋体" w:cs="Arial"/>
                <w:b/>
                <w:color w:val="auto"/>
                <w:sz w:val="24"/>
                <w:highlight w:val="none"/>
                <w:lang w:val="en-US" w:eastAsia="zh-CN" w:bidi="en-US"/>
              </w:rPr>
              <w:t>及规划</w:t>
            </w:r>
          </w:p>
          <w:p>
            <w:pPr>
              <w:spacing w:line="360" w:lineRule="auto"/>
              <w:ind w:firstLine="482" w:firstLineChars="200"/>
              <w:rPr>
                <w:rFonts w:hint="eastAsia"/>
                <w:color w:val="auto"/>
                <w:sz w:val="24"/>
                <w:highlight w:val="none"/>
              </w:rPr>
            </w:pPr>
            <w:r>
              <w:rPr>
                <w:rFonts w:hint="eastAsia" w:ascii="Arial" w:hAnsi="宋体" w:cs="Arial"/>
                <w:b/>
                <w:color w:val="auto"/>
                <w:sz w:val="24"/>
                <w:highlight w:val="none"/>
              </w:rPr>
              <w:t>1、工程建设任务</w:t>
            </w:r>
          </w:p>
          <w:p>
            <w:pPr>
              <w:spacing w:line="360" w:lineRule="auto"/>
              <w:ind w:firstLine="480" w:firstLineChars="200"/>
              <w:rPr>
                <w:rFonts w:hint="eastAsia"/>
                <w:color w:val="auto"/>
                <w:sz w:val="24"/>
                <w:highlight w:val="none"/>
              </w:rPr>
            </w:pPr>
            <w:r>
              <w:rPr>
                <w:rFonts w:hint="eastAsia"/>
                <w:color w:val="auto"/>
                <w:sz w:val="24"/>
                <w:highlight w:val="none"/>
              </w:rPr>
              <w:t>根据《四川省重点水源工程近期建设规划（2010～2020）》、《广元市“十三五”水利发展规划》、《旺苍县水资源综合规划报告》和《旺苍县国民经济和社会发展第十三个五年规划纲要》，以及区域经济社会发展要求和项目开发建设条件的分析，确定三合水库工程开发任务为农业灌溉、乡村供等综合利用，并作为旺苍县城应急备用水源。</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⑴ </w:t>
            </w:r>
            <w:r>
              <w:rPr>
                <w:rFonts w:hint="eastAsia"/>
                <w:b/>
                <w:bCs/>
                <w:color w:val="auto"/>
                <w:sz w:val="24"/>
                <w:highlight w:val="none"/>
              </w:rPr>
              <w:t>灌溉</w:t>
            </w:r>
          </w:p>
          <w:p>
            <w:pPr>
              <w:spacing w:line="360" w:lineRule="auto"/>
              <w:ind w:firstLine="480" w:firstLineChars="200"/>
              <w:rPr>
                <w:rFonts w:hint="eastAsia"/>
                <w:color w:val="auto"/>
                <w:sz w:val="24"/>
                <w:highlight w:val="none"/>
              </w:rPr>
            </w:pPr>
            <w:r>
              <w:rPr>
                <w:rFonts w:hint="eastAsia"/>
                <w:color w:val="auto"/>
                <w:sz w:val="24"/>
                <w:highlight w:val="none"/>
              </w:rPr>
              <w:t>根据灌区地形条件和灌面分布高程，配合当地水利设施的运用，作为骨干水利调度工程，三合水库灌区向东以灌区高程控制，向西以东河为界，向北至东河镇谢家碥，向南至嘉川镇五四村石板沟，可解决灌区范围内旺苍县东河镇、嘉川镇2个镇13个村2.14万亩耕园地的农业灌溉问题，其中耕地1.18万亩，林果地0.96万亩。按灌溉性质分，新增灌面1.57万亩，改善灌面0.57万亩；按灌溉方式分，自流灌面1.30万亩，提水灌面0.84万亩（含集中提灌0.51万亩）。</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⑵ </w:t>
            </w:r>
            <w:r>
              <w:rPr>
                <w:rFonts w:hint="eastAsia"/>
                <w:b/>
                <w:bCs/>
                <w:color w:val="auto"/>
                <w:sz w:val="24"/>
                <w:highlight w:val="none"/>
              </w:rPr>
              <w:t>乡村供水</w:t>
            </w:r>
          </w:p>
          <w:p>
            <w:pPr>
              <w:spacing w:line="360" w:lineRule="auto"/>
              <w:ind w:firstLine="480" w:firstLineChars="200"/>
              <w:rPr>
                <w:rFonts w:hint="eastAsia"/>
                <w:color w:val="auto"/>
                <w:sz w:val="24"/>
                <w:highlight w:val="none"/>
              </w:rPr>
            </w:pPr>
            <w:r>
              <w:rPr>
                <w:rFonts w:hint="eastAsia"/>
                <w:color w:val="auto"/>
                <w:sz w:val="24"/>
                <w:highlight w:val="none"/>
              </w:rPr>
              <w:t>灌区范围内包含东河镇凤阳村、红垭村、五峰村、陈坪村、石坝村和嘉川镇五四村、大树村、蔬菜村共8个村的新村安置点，规划至2030年前，全部由三合水库提供优质可靠水源，其中农村人口0.54万人，大小牲畜共1.12万头（大牲畜0.09万头，小牲畜1.03万头）。</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⑶ 旺苍县城应急备用供水</w:t>
            </w:r>
          </w:p>
          <w:p>
            <w:pPr>
              <w:spacing w:line="360" w:lineRule="auto"/>
              <w:ind w:firstLine="480" w:firstLineChars="200"/>
              <w:rPr>
                <w:rFonts w:hint="eastAsia"/>
                <w:color w:val="auto"/>
                <w:sz w:val="24"/>
                <w:highlight w:val="none"/>
              </w:rPr>
            </w:pPr>
            <w:r>
              <w:rPr>
                <w:rFonts w:hint="eastAsia"/>
                <w:color w:val="auto"/>
                <w:sz w:val="24"/>
                <w:highlight w:val="none"/>
              </w:rPr>
              <w:t>旺苍县城规划建设区范围为东至广巴高速东入口；北至东河镇长滩坝齐家沟；西至尚武镇三房沟；南至广巴高速，除去现状建成区，可用地约26平方公里，包括东河镇、嘉川镇、尚武镇。按照《旺苍县水资源综合规划报告》，旺苍县城市规划2030年人口17.5万人，按应急供水84.5L/d.人，应急备用30天考虑，需备用库容45万m</w:t>
            </w:r>
            <w:r>
              <w:rPr>
                <w:rFonts w:hint="eastAsia"/>
                <w:color w:val="auto"/>
                <w:sz w:val="24"/>
                <w:highlight w:val="none"/>
                <w:vertAlign w:val="superscript"/>
              </w:rPr>
              <w:t>3</w:t>
            </w:r>
            <w:r>
              <w:rPr>
                <w:rFonts w:hint="eastAsia"/>
                <w:color w:val="auto"/>
                <w:sz w:val="24"/>
                <w:highlight w:val="none"/>
              </w:rPr>
              <w:t>。现状黄洋河支流已建备用水源库容22万m</w:t>
            </w:r>
            <w:r>
              <w:rPr>
                <w:rFonts w:hint="eastAsia"/>
                <w:color w:val="auto"/>
                <w:sz w:val="24"/>
                <w:highlight w:val="none"/>
                <w:vertAlign w:val="superscript"/>
              </w:rPr>
              <w:t>3</w:t>
            </w:r>
            <w:r>
              <w:rPr>
                <w:rFonts w:hint="eastAsia"/>
                <w:color w:val="auto"/>
                <w:sz w:val="24"/>
                <w:highlight w:val="none"/>
              </w:rPr>
              <w:t>，则需补充备用水源库容23万m</w:t>
            </w:r>
            <w:r>
              <w:rPr>
                <w:rFonts w:hint="eastAsia"/>
                <w:color w:val="auto"/>
                <w:sz w:val="24"/>
                <w:highlight w:val="none"/>
                <w:vertAlign w:val="superscript"/>
              </w:rPr>
              <w:t>3</w:t>
            </w:r>
            <w:r>
              <w:rPr>
                <w:rFonts w:hint="eastAsia"/>
                <w:color w:val="auto"/>
                <w:sz w:val="24"/>
                <w:highlight w:val="none"/>
              </w:rPr>
              <w:t>。拟建三合水库总库容313万m，死库容34万m</w:t>
            </w:r>
            <w:r>
              <w:rPr>
                <w:rFonts w:hint="eastAsia"/>
                <w:color w:val="auto"/>
                <w:sz w:val="24"/>
                <w:highlight w:val="none"/>
                <w:vertAlign w:val="superscript"/>
              </w:rPr>
              <w:t>3</w:t>
            </w:r>
            <w:r>
              <w:rPr>
                <w:rFonts w:hint="eastAsia"/>
                <w:color w:val="auto"/>
                <w:sz w:val="24"/>
                <w:highlight w:val="none"/>
              </w:rPr>
              <w:t>，扣除泥沙淤积库容后，水库能够满足旺苍县城市应急备用供水需求。</w:t>
            </w:r>
          </w:p>
          <w:p>
            <w:pPr>
              <w:spacing w:line="360" w:lineRule="auto"/>
              <w:ind w:firstLine="480" w:firstLineChars="200"/>
              <w:rPr>
                <w:rFonts w:hint="eastAsia"/>
                <w:color w:val="auto"/>
                <w:sz w:val="24"/>
                <w:highlight w:val="none"/>
              </w:rPr>
            </w:pPr>
            <w:r>
              <w:rPr>
                <w:rFonts w:hint="eastAsia"/>
                <w:color w:val="auto"/>
                <w:sz w:val="24"/>
                <w:highlight w:val="none"/>
              </w:rPr>
              <w:t>综上所述，三合水库工程是一项具有农业灌溉、乡村供水等综合利用的小（1）型水利工程，并作为旺苍县城应急备用水源。</w:t>
            </w:r>
          </w:p>
          <w:p>
            <w:pPr>
              <w:spacing w:line="360" w:lineRule="auto"/>
              <w:ind w:firstLine="482" w:firstLineChars="200"/>
              <w:rPr>
                <w:rFonts w:hint="eastAsia"/>
                <w:b/>
                <w:bCs/>
                <w:color w:val="auto"/>
                <w:sz w:val="24"/>
                <w:highlight w:val="none"/>
              </w:rPr>
            </w:pPr>
            <w:r>
              <w:rPr>
                <w:rFonts w:hint="eastAsia"/>
                <w:b/>
                <w:bCs/>
                <w:color w:val="auto"/>
                <w:sz w:val="24"/>
                <w:highlight w:val="none"/>
              </w:rPr>
              <w:t>2、设计水平年</w:t>
            </w:r>
          </w:p>
          <w:p>
            <w:pPr>
              <w:spacing w:line="360" w:lineRule="auto"/>
              <w:ind w:firstLine="480" w:firstLineChars="200"/>
              <w:rPr>
                <w:rFonts w:hint="eastAsia"/>
                <w:color w:val="auto"/>
                <w:sz w:val="24"/>
                <w:highlight w:val="none"/>
              </w:rPr>
            </w:pPr>
            <w:r>
              <w:rPr>
                <w:rFonts w:hint="eastAsia"/>
                <w:color w:val="auto"/>
                <w:sz w:val="24"/>
                <w:highlight w:val="none"/>
              </w:rPr>
              <w:t>依据区域国民经济发展规划，结合水利建设发展规划、流域综合规划等，拟定现状水平年为20</w:t>
            </w:r>
            <w:r>
              <w:rPr>
                <w:rFonts w:hint="eastAsia"/>
                <w:color w:val="auto"/>
                <w:sz w:val="24"/>
                <w:highlight w:val="none"/>
                <w:lang w:val="en-US" w:eastAsia="zh-CN"/>
              </w:rPr>
              <w:t>24</w:t>
            </w:r>
            <w:r>
              <w:rPr>
                <w:rFonts w:hint="eastAsia"/>
                <w:color w:val="auto"/>
                <w:sz w:val="24"/>
                <w:highlight w:val="none"/>
              </w:rPr>
              <w:t>年，规划水平年为2030年。</w:t>
            </w:r>
          </w:p>
          <w:p>
            <w:pPr>
              <w:spacing w:line="360" w:lineRule="auto"/>
              <w:ind w:firstLine="482" w:firstLineChars="200"/>
              <w:rPr>
                <w:rFonts w:hint="eastAsia"/>
                <w:b/>
                <w:bCs/>
                <w:color w:val="auto"/>
                <w:sz w:val="24"/>
                <w:highlight w:val="none"/>
              </w:rPr>
            </w:pPr>
            <w:r>
              <w:rPr>
                <w:rFonts w:hint="eastAsia"/>
                <w:b/>
                <w:bCs/>
                <w:color w:val="auto"/>
                <w:sz w:val="24"/>
                <w:highlight w:val="none"/>
              </w:rPr>
              <w:t>3、设计保证率</w:t>
            </w:r>
          </w:p>
          <w:p>
            <w:pPr>
              <w:spacing w:line="360" w:lineRule="auto"/>
              <w:ind w:firstLine="480" w:firstLineChars="200"/>
              <w:rPr>
                <w:rFonts w:hint="eastAsia"/>
                <w:color w:val="auto"/>
                <w:sz w:val="24"/>
                <w:highlight w:val="none"/>
              </w:rPr>
            </w:pPr>
            <w:r>
              <w:rPr>
                <w:rFonts w:hint="eastAsia"/>
                <w:color w:val="auto"/>
                <w:sz w:val="24"/>
                <w:highlight w:val="none"/>
              </w:rPr>
              <w:t>根据区域水资源条件分析，本区水资源总量较缺乏，年际变化大，水资源利用较为困难，属水资源紧缺地区；根据当地农作物种植比例分析，水稻的播种面积约占耕地面积的53.6%。根据《灌溉与排水工程设计标准》（GB50288-2018），工程区作物以水稻为主，水资源紧缺，灌溉供水保证率采用75%。</w:t>
            </w:r>
          </w:p>
          <w:p>
            <w:pPr>
              <w:spacing w:line="360" w:lineRule="auto"/>
              <w:ind w:firstLine="480" w:firstLineChars="200"/>
              <w:rPr>
                <w:rFonts w:hint="eastAsia"/>
                <w:color w:val="auto"/>
                <w:sz w:val="24"/>
                <w:highlight w:val="none"/>
              </w:rPr>
            </w:pPr>
            <w:r>
              <w:rPr>
                <w:rFonts w:hint="eastAsia"/>
                <w:color w:val="auto"/>
                <w:sz w:val="24"/>
                <w:highlight w:val="none"/>
              </w:rPr>
              <w:t>依据《镇规划标准》（GB50188-2007）、《卫生部关于加强饮用水卫生监督监测工作的指导意见》（卫监督发〔2012〕3号）以及全国爱国卫生运动委员会《全国爱卫会关于印发&lt;关于开展健康城市健康村镇建设的指导意见&gt;的通知》（全爱卫发〔2016〕5号）等指导意见，镇地表水源供水枯期供水保证率不低于90%，拟定乡镇生活供水保证率采用95%。</w:t>
            </w:r>
          </w:p>
          <w:p>
            <w:pPr>
              <w:spacing w:line="360" w:lineRule="auto"/>
              <w:ind w:firstLine="480" w:firstLineChars="200"/>
              <w:rPr>
                <w:rFonts w:hint="eastAsia"/>
                <w:color w:val="auto"/>
                <w:sz w:val="24"/>
                <w:highlight w:val="none"/>
              </w:rPr>
            </w:pPr>
            <w:r>
              <w:rPr>
                <w:rFonts w:hint="eastAsia"/>
                <w:color w:val="auto"/>
                <w:sz w:val="24"/>
                <w:highlight w:val="none"/>
              </w:rPr>
              <w:t>根据水利部和卫生部联合下发的《关于印发农村饮用水安全卫生评价指标体系的通知》（水农[2004]547号），灌区农村人畜供水保证率采用95%。</w:t>
            </w:r>
          </w:p>
          <w:p>
            <w:pPr>
              <w:spacing w:line="360" w:lineRule="auto"/>
              <w:ind w:firstLine="482" w:firstLineChars="200"/>
              <w:rPr>
                <w:rFonts w:hint="eastAsia" w:ascii="Arial" w:hAnsi="宋体" w:cs="Arial"/>
                <w:b/>
                <w:color w:val="auto"/>
                <w:sz w:val="24"/>
                <w:highlight w:val="none"/>
              </w:rPr>
            </w:pPr>
            <w:r>
              <w:rPr>
                <w:rFonts w:hint="eastAsia" w:ascii="Arial" w:hAnsi="宋体" w:cs="Arial"/>
                <w:b/>
                <w:color w:val="auto"/>
                <w:sz w:val="24"/>
                <w:highlight w:val="none"/>
                <w:lang w:val="en-US" w:eastAsia="zh-CN"/>
              </w:rPr>
              <w:t>4、</w:t>
            </w:r>
            <w:r>
              <w:rPr>
                <w:rFonts w:hint="eastAsia" w:ascii="Arial" w:hAnsi="宋体" w:cs="Arial"/>
                <w:b/>
                <w:color w:val="auto"/>
                <w:sz w:val="24"/>
                <w:highlight w:val="none"/>
              </w:rPr>
              <w:t>灌区供水规划</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⑴ </w:t>
            </w:r>
            <w:r>
              <w:rPr>
                <w:rFonts w:hint="eastAsia"/>
                <w:b/>
                <w:bCs/>
                <w:color w:val="auto"/>
                <w:sz w:val="24"/>
                <w:highlight w:val="none"/>
              </w:rPr>
              <w:t>需水预测</w:t>
            </w:r>
          </w:p>
          <w:p>
            <w:pPr>
              <w:spacing w:line="360" w:lineRule="auto"/>
              <w:ind w:firstLine="480" w:firstLineChars="200"/>
              <w:rPr>
                <w:rFonts w:hint="eastAsia"/>
                <w:color w:val="auto"/>
                <w:sz w:val="24"/>
                <w:highlight w:val="none"/>
              </w:rPr>
            </w:pPr>
            <w:r>
              <w:rPr>
                <w:rFonts w:hint="eastAsia"/>
                <w:color w:val="auto"/>
                <w:sz w:val="24"/>
                <w:highlight w:val="none"/>
              </w:rPr>
              <w:t>根据灌区乡镇土地利用规划和产业结构调整要求，结合地形条件，在水源有保证的情况下，到规划水平年2030年，田土比调整为31:69，耕园地比例为55:45。灌区地处四川盆地北部边缘，属于亚热带湿润季风气候，日照适宜，气候温和，雨量充沛，主要粮食作物有水稻、小麦、玉米、薯类等，主要经济作物有油菜、蔬菜等。</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规划2030年三合水库灌区多年平均年需水量为281万m</w:t>
            </w:r>
            <w:r>
              <w:rPr>
                <w:rFonts w:hint="eastAsia"/>
                <w:color w:val="auto"/>
                <w:sz w:val="24"/>
                <w:highlight w:val="none"/>
                <w:vertAlign w:val="superscript"/>
              </w:rPr>
              <w:t>3</w:t>
            </w:r>
            <w:r>
              <w:rPr>
                <w:rFonts w:hint="eastAsia"/>
                <w:color w:val="auto"/>
                <w:sz w:val="24"/>
                <w:highlight w:val="none"/>
              </w:rPr>
              <w:t>，P=75%典型年灌区总净需水量为303万m</w:t>
            </w:r>
            <w:r>
              <w:rPr>
                <w:rFonts w:hint="eastAsia"/>
                <w:color w:val="auto"/>
                <w:sz w:val="24"/>
                <w:highlight w:val="none"/>
                <w:vertAlign w:val="superscript"/>
              </w:rPr>
              <w:t>3</w:t>
            </w:r>
            <w:r>
              <w:rPr>
                <w:rFonts w:hint="eastAsia"/>
                <w:color w:val="auto"/>
                <w:sz w:val="24"/>
                <w:highlight w:val="none"/>
              </w:rPr>
              <w:t>。三合水库灌区综合需水量成果汇总见表</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3所示：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rFonts w:hint="eastAsia"/>
                <w:b/>
                <w:color w:val="auto"/>
                <w:szCs w:val="21"/>
                <w:highlight w:val="none"/>
                <w:lang w:val="en-US" w:eastAsia="zh-CN"/>
              </w:rPr>
              <w:t xml:space="preserve">表2-3   </w:t>
            </w:r>
            <w:r>
              <w:rPr>
                <w:b/>
                <w:color w:val="auto"/>
                <w:szCs w:val="21"/>
                <w:highlight w:val="none"/>
              </w:rPr>
              <w:t>三合水库灌区综合需水量成果汇总见表</w:t>
            </w:r>
            <w:r>
              <w:rPr>
                <w:color w:val="auto"/>
                <w:highlight w:val="none"/>
              </w:rPr>
              <w:t xml:space="preserve"> </w:t>
            </w:r>
            <w:r>
              <w:rPr>
                <w:rFonts w:hint="eastAsia"/>
                <w:color w:val="auto"/>
                <w:highlight w:val="none"/>
                <w:lang w:val="en-US" w:eastAsia="zh-CN"/>
              </w:rPr>
              <w:t xml:space="preserve">   </w:t>
            </w:r>
            <w:r>
              <w:rPr>
                <w:rFonts w:hint="eastAsia"/>
                <w:b/>
                <w:color w:val="auto"/>
                <w:szCs w:val="21"/>
                <w:highlight w:val="none"/>
                <w:lang w:val="en-US" w:eastAsia="zh-CN"/>
              </w:rPr>
              <w:t>单位：万m</w:t>
            </w:r>
            <w:r>
              <w:rPr>
                <w:rFonts w:hint="eastAsia"/>
                <w:b/>
                <w:color w:val="auto"/>
                <w:szCs w:val="21"/>
                <w:highlight w:val="none"/>
                <w:vertAlign w:val="superscript"/>
                <w:lang w:val="en-US" w:eastAsia="zh-CN"/>
              </w:rPr>
              <w:t>3</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2903"/>
              <w:gridCol w:w="2252"/>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34" w:type="pct"/>
                  <w:gridSpan w:val="2"/>
                  <w:shd w:val="clear" w:color="auto" w:fill="auto"/>
                  <w:vAlign w:val="center"/>
                </w:tcPr>
                <w:p>
                  <w:pPr>
                    <w:widowControl/>
                    <w:spacing w:line="240" w:lineRule="auto"/>
                    <w:ind w:firstLine="0" w:firstLineChars="0"/>
                    <w:jc w:val="center"/>
                    <w:rPr>
                      <w:rFonts w:ascii="华文中宋" w:hAnsi="华文中宋" w:cs="宋体"/>
                      <w:b/>
                      <w:bCs/>
                      <w:color w:val="auto"/>
                      <w:kern w:val="0"/>
                      <w:sz w:val="21"/>
                      <w:szCs w:val="21"/>
                      <w:highlight w:val="none"/>
                    </w:rPr>
                  </w:pPr>
                  <w:r>
                    <w:rPr>
                      <w:rFonts w:hint="eastAsia" w:ascii="华文中宋" w:hAnsi="华文中宋" w:cs="宋体"/>
                      <w:b/>
                      <w:bCs/>
                      <w:color w:val="auto"/>
                      <w:kern w:val="0"/>
                      <w:sz w:val="21"/>
                      <w:szCs w:val="21"/>
                      <w:highlight w:val="none"/>
                    </w:rPr>
                    <w:t>项</w:t>
                  </w:r>
                  <w:r>
                    <w:rPr>
                      <w:b/>
                      <w:bCs/>
                      <w:color w:val="auto"/>
                      <w:kern w:val="0"/>
                      <w:sz w:val="21"/>
                      <w:szCs w:val="21"/>
                      <w:highlight w:val="none"/>
                    </w:rPr>
                    <w:t xml:space="preserve">  </w:t>
                  </w:r>
                  <w:r>
                    <w:rPr>
                      <w:rFonts w:hint="eastAsia" w:ascii="华文中宋" w:hAnsi="华文中宋" w:cs="宋体"/>
                      <w:b/>
                      <w:bCs/>
                      <w:color w:val="auto"/>
                      <w:kern w:val="0"/>
                      <w:sz w:val="21"/>
                      <w:szCs w:val="21"/>
                      <w:highlight w:val="none"/>
                    </w:rPr>
                    <w:t>目</w:t>
                  </w:r>
                </w:p>
              </w:tc>
              <w:tc>
                <w:tcPr>
                  <w:tcW w:w="1233" w:type="pct"/>
                  <w:shd w:val="clear" w:color="auto" w:fill="auto"/>
                  <w:vAlign w:val="center"/>
                </w:tcPr>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20</w:t>
                  </w:r>
                  <w:r>
                    <w:rPr>
                      <w:rFonts w:hint="eastAsia"/>
                      <w:b/>
                      <w:bCs/>
                      <w:color w:val="auto"/>
                      <w:kern w:val="0"/>
                      <w:sz w:val="21"/>
                      <w:szCs w:val="21"/>
                      <w:highlight w:val="none"/>
                      <w:lang w:val="en-US" w:eastAsia="zh-CN"/>
                    </w:rPr>
                    <w:t>24</w:t>
                  </w:r>
                  <w:r>
                    <w:rPr>
                      <w:rFonts w:hint="eastAsia" w:ascii="华文中宋" w:hAnsi="华文中宋"/>
                      <w:b/>
                      <w:bCs/>
                      <w:color w:val="auto"/>
                      <w:kern w:val="0"/>
                      <w:sz w:val="21"/>
                      <w:szCs w:val="21"/>
                      <w:highlight w:val="none"/>
                    </w:rPr>
                    <w:t>年</w:t>
                  </w:r>
                </w:p>
              </w:tc>
              <w:tc>
                <w:tcPr>
                  <w:tcW w:w="1233" w:type="pct"/>
                  <w:shd w:val="clear" w:color="auto" w:fill="auto"/>
                  <w:vAlign w:val="center"/>
                </w:tcPr>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2030</w:t>
                  </w:r>
                  <w:r>
                    <w:rPr>
                      <w:rFonts w:hint="eastAsia" w:ascii="华文中宋" w:hAnsi="华文中宋"/>
                      <w:b/>
                      <w:bCs/>
                      <w:color w:val="auto"/>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5" w:type="pct"/>
                  <w:vMerge w:val="restar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灌溉需水</w:t>
                  </w:r>
                </w:p>
              </w:tc>
              <w:tc>
                <w:tcPr>
                  <w:tcW w:w="1589" w:type="pc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多年平均</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67</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24</w:t>
                  </w:r>
                  <w:r>
                    <w:rPr>
                      <w:rFonts w:hint="eastAsia"/>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vMerge w:val="continue"/>
                  <w:shd w:val="clear" w:color="auto" w:fill="auto"/>
                  <w:vAlign w:val="center"/>
                </w:tcPr>
                <w:p>
                  <w:pPr>
                    <w:widowControl/>
                    <w:spacing w:line="240" w:lineRule="auto"/>
                    <w:ind w:firstLine="0" w:firstLineChars="0"/>
                    <w:rPr>
                      <w:rFonts w:ascii="华文中宋" w:hAnsi="华文中宋" w:cs="宋体"/>
                      <w:color w:val="auto"/>
                      <w:kern w:val="0"/>
                      <w:sz w:val="21"/>
                      <w:szCs w:val="21"/>
                      <w:highlight w:val="none"/>
                    </w:rPr>
                  </w:pPr>
                </w:p>
              </w:tc>
              <w:tc>
                <w:tcPr>
                  <w:tcW w:w="1589" w:type="pct"/>
                  <w:shd w:val="clear" w:color="auto" w:fill="auto"/>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P=7</w:t>
                  </w:r>
                  <w:r>
                    <w:rPr>
                      <w:rFonts w:hint="eastAsia"/>
                      <w:color w:val="auto"/>
                      <w:kern w:val="0"/>
                      <w:sz w:val="21"/>
                      <w:szCs w:val="21"/>
                      <w:highlight w:val="none"/>
                    </w:rPr>
                    <w:t>5</w:t>
                  </w:r>
                  <w:r>
                    <w:rPr>
                      <w:color w:val="auto"/>
                      <w:kern w:val="0"/>
                      <w:sz w:val="21"/>
                      <w:szCs w:val="21"/>
                      <w:highlight w:val="none"/>
                    </w:rPr>
                    <w:t>%</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6</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7</w:t>
                  </w:r>
                  <w:r>
                    <w:rPr>
                      <w:rFonts w:hint="eastAsia" w:ascii="华文中宋" w:hAnsi="华文中宋"/>
                      <w:color w:val="auto"/>
                      <w:kern w:val="0"/>
                      <w:sz w:val="21"/>
                      <w:szCs w:val="21"/>
                      <w:highlight w:val="none"/>
                    </w:rPr>
                    <w:t>年）</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75</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2</w:t>
                  </w:r>
                  <w:r>
                    <w:rPr>
                      <w:rFonts w:hint="eastAsia"/>
                      <w:color w:val="auto"/>
                      <w:sz w:val="21"/>
                      <w:szCs w:val="21"/>
                      <w:highlight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vMerge w:val="continue"/>
                  <w:shd w:val="clear" w:color="auto" w:fill="auto"/>
                  <w:vAlign w:val="center"/>
                </w:tcPr>
                <w:p>
                  <w:pPr>
                    <w:widowControl/>
                    <w:spacing w:line="240" w:lineRule="auto"/>
                    <w:ind w:firstLine="0" w:firstLineChars="0"/>
                    <w:rPr>
                      <w:rFonts w:ascii="华文中宋" w:hAnsi="华文中宋" w:cs="宋体"/>
                      <w:color w:val="auto"/>
                      <w:kern w:val="0"/>
                      <w:sz w:val="21"/>
                      <w:szCs w:val="21"/>
                      <w:highlight w:val="none"/>
                    </w:rPr>
                  </w:pPr>
                </w:p>
              </w:tc>
              <w:tc>
                <w:tcPr>
                  <w:tcW w:w="1589" w:type="pct"/>
                  <w:shd w:val="clear" w:color="auto" w:fill="auto"/>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P=95%</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5</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6</w:t>
                  </w:r>
                  <w:r>
                    <w:rPr>
                      <w:rFonts w:hint="eastAsia" w:ascii="华文中宋" w:hAnsi="华文中宋"/>
                      <w:color w:val="auto"/>
                      <w:kern w:val="0"/>
                      <w:sz w:val="21"/>
                      <w:szCs w:val="21"/>
                      <w:highlight w:val="none"/>
                    </w:rPr>
                    <w:t>年）</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79</w:t>
                  </w:r>
                </w:p>
              </w:tc>
              <w:tc>
                <w:tcPr>
                  <w:tcW w:w="1233" w:type="pct"/>
                  <w:shd w:val="clear" w:color="auto" w:fill="auto"/>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乡村需水</w:t>
                  </w:r>
                </w:p>
              </w:tc>
              <w:tc>
                <w:tcPr>
                  <w:tcW w:w="1589" w:type="pc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多年平均</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13</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vMerge w:val="restar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灌区综合需水</w:t>
                  </w:r>
                </w:p>
              </w:tc>
              <w:tc>
                <w:tcPr>
                  <w:tcW w:w="1589" w:type="pct"/>
                  <w:shd w:val="clear" w:color="auto" w:fill="auto"/>
                  <w:vAlign w:val="center"/>
                </w:tcPr>
                <w:p>
                  <w:pPr>
                    <w:widowControl/>
                    <w:spacing w:line="240" w:lineRule="auto"/>
                    <w:ind w:firstLine="0" w:firstLineChars="0"/>
                    <w:jc w:val="center"/>
                    <w:rPr>
                      <w:rFonts w:ascii="华文中宋" w:hAnsi="华文中宋" w:cs="宋体"/>
                      <w:color w:val="auto"/>
                      <w:kern w:val="0"/>
                      <w:sz w:val="21"/>
                      <w:szCs w:val="21"/>
                      <w:highlight w:val="none"/>
                    </w:rPr>
                  </w:pPr>
                  <w:r>
                    <w:rPr>
                      <w:rFonts w:hint="eastAsia" w:ascii="华文中宋" w:hAnsi="华文中宋" w:cs="宋体"/>
                      <w:color w:val="auto"/>
                      <w:kern w:val="0"/>
                      <w:sz w:val="21"/>
                      <w:szCs w:val="21"/>
                      <w:highlight w:val="none"/>
                    </w:rPr>
                    <w:t>多年平均</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80</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vMerge w:val="continue"/>
                  <w:shd w:val="clear" w:color="auto" w:fill="auto"/>
                  <w:vAlign w:val="center"/>
                </w:tcPr>
                <w:p>
                  <w:pPr>
                    <w:widowControl/>
                    <w:spacing w:line="240" w:lineRule="auto"/>
                    <w:ind w:firstLine="0" w:firstLineChars="0"/>
                    <w:rPr>
                      <w:rFonts w:ascii="华文中宋" w:hAnsi="华文中宋" w:cs="宋体"/>
                      <w:color w:val="auto"/>
                      <w:kern w:val="0"/>
                      <w:sz w:val="21"/>
                      <w:szCs w:val="21"/>
                      <w:highlight w:val="none"/>
                    </w:rPr>
                  </w:pPr>
                </w:p>
              </w:tc>
              <w:tc>
                <w:tcPr>
                  <w:tcW w:w="1589" w:type="pct"/>
                  <w:shd w:val="clear" w:color="auto" w:fill="auto"/>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P=7</w:t>
                  </w:r>
                  <w:r>
                    <w:rPr>
                      <w:rFonts w:hint="eastAsia"/>
                      <w:color w:val="auto"/>
                      <w:kern w:val="0"/>
                      <w:sz w:val="21"/>
                      <w:szCs w:val="21"/>
                      <w:highlight w:val="none"/>
                    </w:rPr>
                    <w:t>5</w:t>
                  </w:r>
                  <w:r>
                    <w:rPr>
                      <w:color w:val="auto"/>
                      <w:kern w:val="0"/>
                      <w:sz w:val="21"/>
                      <w:szCs w:val="21"/>
                      <w:highlight w:val="none"/>
                    </w:rPr>
                    <w:t>%</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6</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7</w:t>
                  </w:r>
                  <w:r>
                    <w:rPr>
                      <w:rFonts w:hint="eastAsia" w:ascii="华文中宋" w:hAnsi="华文中宋"/>
                      <w:color w:val="auto"/>
                      <w:kern w:val="0"/>
                      <w:sz w:val="21"/>
                      <w:szCs w:val="21"/>
                      <w:highlight w:val="none"/>
                    </w:rPr>
                    <w:t>年）</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88</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45" w:type="pct"/>
                  <w:vMerge w:val="continue"/>
                  <w:shd w:val="clear" w:color="auto" w:fill="auto"/>
                  <w:vAlign w:val="center"/>
                </w:tcPr>
                <w:p>
                  <w:pPr>
                    <w:widowControl/>
                    <w:spacing w:line="240" w:lineRule="auto"/>
                    <w:ind w:firstLine="0" w:firstLineChars="0"/>
                    <w:rPr>
                      <w:rFonts w:ascii="华文中宋" w:hAnsi="华文中宋" w:cs="宋体"/>
                      <w:color w:val="auto"/>
                      <w:kern w:val="0"/>
                      <w:sz w:val="21"/>
                      <w:szCs w:val="21"/>
                      <w:highlight w:val="none"/>
                    </w:rPr>
                  </w:pPr>
                </w:p>
              </w:tc>
              <w:tc>
                <w:tcPr>
                  <w:tcW w:w="1589" w:type="pct"/>
                  <w:shd w:val="clear" w:color="auto" w:fill="auto"/>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P=95%</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5</w:t>
                  </w:r>
                  <w:r>
                    <w:rPr>
                      <w:rFonts w:hint="eastAsia" w:ascii="华文中宋" w:hAnsi="华文中宋"/>
                      <w:color w:val="auto"/>
                      <w:kern w:val="0"/>
                      <w:sz w:val="21"/>
                      <w:szCs w:val="21"/>
                      <w:highlight w:val="none"/>
                    </w:rPr>
                    <w:t>～</w:t>
                  </w:r>
                  <w:r>
                    <w:rPr>
                      <w:color w:val="auto"/>
                      <w:kern w:val="0"/>
                      <w:sz w:val="21"/>
                      <w:szCs w:val="21"/>
                      <w:highlight w:val="none"/>
                    </w:rPr>
                    <w:t>199</w:t>
                  </w:r>
                  <w:r>
                    <w:rPr>
                      <w:rFonts w:hint="eastAsia"/>
                      <w:color w:val="auto"/>
                      <w:kern w:val="0"/>
                      <w:sz w:val="21"/>
                      <w:szCs w:val="21"/>
                      <w:highlight w:val="none"/>
                    </w:rPr>
                    <w:t>6</w:t>
                  </w:r>
                  <w:r>
                    <w:rPr>
                      <w:rFonts w:hint="eastAsia" w:ascii="华文中宋" w:hAnsi="华文中宋"/>
                      <w:color w:val="auto"/>
                      <w:kern w:val="0"/>
                      <w:sz w:val="21"/>
                      <w:szCs w:val="21"/>
                      <w:highlight w:val="none"/>
                    </w:rPr>
                    <w:t>年）</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92</w:t>
                  </w:r>
                </w:p>
              </w:tc>
              <w:tc>
                <w:tcPr>
                  <w:tcW w:w="1233" w:type="pct"/>
                  <w:shd w:val="clear" w:color="auto" w:fill="auto"/>
                  <w:vAlign w:val="center"/>
                </w:tcPr>
                <w:p>
                  <w:pPr>
                    <w:spacing w:line="240" w:lineRule="auto"/>
                    <w:ind w:firstLine="0" w:firstLineChars="0"/>
                    <w:jc w:val="center"/>
                    <w:rPr>
                      <w:color w:val="auto"/>
                      <w:sz w:val="21"/>
                      <w:szCs w:val="21"/>
                      <w:highlight w:val="none"/>
                    </w:rPr>
                  </w:pPr>
                  <w:r>
                    <w:rPr>
                      <w:color w:val="auto"/>
                      <w:sz w:val="21"/>
                      <w:szCs w:val="21"/>
                      <w:highlight w:val="none"/>
                    </w:rPr>
                    <w:t>337</w:t>
                  </w:r>
                </w:p>
              </w:tc>
            </w:tr>
          </w:tbl>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⑵ 水资源供需平衡分析</w:t>
            </w:r>
          </w:p>
          <w:p>
            <w:pPr>
              <w:spacing w:line="360" w:lineRule="auto"/>
              <w:ind w:firstLine="480" w:firstLineChars="200"/>
              <w:rPr>
                <w:rFonts w:hint="eastAsia"/>
                <w:color w:val="auto"/>
                <w:sz w:val="24"/>
                <w:highlight w:val="none"/>
              </w:rPr>
            </w:pPr>
            <w:r>
              <w:rPr>
                <w:rFonts w:hint="eastAsia"/>
                <w:color w:val="auto"/>
                <w:sz w:val="24"/>
                <w:highlight w:val="none"/>
              </w:rPr>
              <w:t>灌区多年平均年需水281万m</w:t>
            </w:r>
            <w:r>
              <w:rPr>
                <w:rFonts w:hint="eastAsia"/>
                <w:color w:val="auto"/>
                <w:sz w:val="24"/>
                <w:highlight w:val="none"/>
                <w:vertAlign w:val="superscript"/>
              </w:rPr>
              <w:t>3</w:t>
            </w:r>
            <w:r>
              <w:rPr>
                <w:rFonts w:hint="eastAsia"/>
                <w:color w:val="auto"/>
                <w:sz w:val="24"/>
                <w:highlight w:val="none"/>
              </w:rPr>
              <w:t>，其中</w:t>
            </w:r>
            <w:r>
              <w:rPr>
                <w:rFonts w:hint="eastAsia"/>
                <w:color w:val="auto"/>
                <w:sz w:val="24"/>
                <w:highlight w:val="none"/>
                <w:lang w:eastAsia="zh-CN"/>
              </w:rPr>
              <w:t>：</w:t>
            </w:r>
            <w:r>
              <w:rPr>
                <w:rFonts w:hint="eastAsia"/>
                <w:color w:val="auto"/>
                <w:sz w:val="24"/>
                <w:highlight w:val="none"/>
              </w:rPr>
              <w:t>灌溉需水245万m</w:t>
            </w:r>
            <w:r>
              <w:rPr>
                <w:rFonts w:hint="eastAsia"/>
                <w:color w:val="auto"/>
                <w:sz w:val="24"/>
                <w:highlight w:val="none"/>
                <w:vertAlign w:val="superscript"/>
              </w:rPr>
              <w:t>3</w:t>
            </w:r>
            <w:r>
              <w:rPr>
                <w:rFonts w:hint="eastAsia"/>
                <w:color w:val="auto"/>
                <w:sz w:val="24"/>
                <w:highlight w:val="none"/>
              </w:rPr>
              <w:t>，乡村需水36万m</w:t>
            </w:r>
            <w:r>
              <w:rPr>
                <w:rFonts w:hint="eastAsia"/>
                <w:color w:val="auto"/>
                <w:sz w:val="24"/>
                <w:highlight w:val="none"/>
                <w:vertAlign w:val="superscript"/>
              </w:rPr>
              <w:t>3</w:t>
            </w:r>
            <w:r>
              <w:rPr>
                <w:rFonts w:hint="eastAsia"/>
                <w:color w:val="auto"/>
                <w:sz w:val="24"/>
                <w:highlight w:val="none"/>
              </w:rPr>
              <w:t>。灌区当地水利设施可供水量116万m</w:t>
            </w:r>
            <w:r>
              <w:rPr>
                <w:rFonts w:hint="eastAsia"/>
                <w:color w:val="auto"/>
                <w:sz w:val="24"/>
                <w:highlight w:val="none"/>
                <w:vertAlign w:val="superscript"/>
              </w:rPr>
              <w:t>3</w:t>
            </w:r>
            <w:r>
              <w:rPr>
                <w:rFonts w:hint="eastAsia"/>
                <w:color w:val="auto"/>
                <w:sz w:val="24"/>
                <w:highlight w:val="none"/>
              </w:rPr>
              <w:t>，灌区需三合水库净供水165万m</w:t>
            </w:r>
            <w:r>
              <w:rPr>
                <w:rFonts w:hint="eastAsia"/>
                <w:color w:val="auto"/>
                <w:sz w:val="24"/>
                <w:highlight w:val="none"/>
                <w:vertAlign w:val="superscript"/>
              </w:rPr>
              <w:t>3</w:t>
            </w:r>
            <w:r>
              <w:rPr>
                <w:rFonts w:hint="eastAsia"/>
                <w:color w:val="auto"/>
                <w:sz w:val="24"/>
                <w:highlight w:val="none"/>
              </w:rPr>
              <w:t>，需三合水库毛供水192万m</w:t>
            </w:r>
            <w:r>
              <w:rPr>
                <w:rFonts w:hint="eastAsia"/>
                <w:color w:val="auto"/>
                <w:sz w:val="24"/>
                <w:highlight w:val="none"/>
                <w:vertAlign w:val="superscript"/>
              </w:rPr>
              <w:t>3</w:t>
            </w:r>
            <w:r>
              <w:rPr>
                <w:rFonts w:hint="eastAsia"/>
                <w:color w:val="auto"/>
                <w:sz w:val="24"/>
                <w:highlight w:val="none"/>
              </w:rPr>
              <w:t>。P=75%典型年（1986年~1987年）需水316万m</w:t>
            </w:r>
            <w:r>
              <w:rPr>
                <w:rFonts w:hint="eastAsia"/>
                <w:color w:val="auto"/>
                <w:sz w:val="24"/>
                <w:highlight w:val="none"/>
                <w:vertAlign w:val="superscript"/>
              </w:rPr>
              <w:t>3</w:t>
            </w:r>
            <w:r>
              <w:rPr>
                <w:rFonts w:hint="eastAsia"/>
                <w:color w:val="auto"/>
                <w:sz w:val="24"/>
                <w:highlight w:val="none"/>
              </w:rPr>
              <w:t>，其中</w:t>
            </w:r>
            <w:r>
              <w:rPr>
                <w:rFonts w:hint="eastAsia"/>
                <w:color w:val="auto"/>
                <w:sz w:val="24"/>
                <w:highlight w:val="none"/>
                <w:lang w:eastAsia="zh-CN"/>
              </w:rPr>
              <w:t>：</w:t>
            </w:r>
            <w:r>
              <w:rPr>
                <w:rFonts w:hint="eastAsia"/>
                <w:color w:val="auto"/>
                <w:sz w:val="24"/>
                <w:highlight w:val="none"/>
              </w:rPr>
              <w:t>灌溉需水280万m</w:t>
            </w:r>
            <w:r>
              <w:rPr>
                <w:rFonts w:hint="eastAsia"/>
                <w:color w:val="auto"/>
                <w:sz w:val="24"/>
                <w:highlight w:val="none"/>
                <w:vertAlign w:val="superscript"/>
              </w:rPr>
              <w:t>3</w:t>
            </w:r>
            <w:r>
              <w:rPr>
                <w:rFonts w:hint="eastAsia"/>
                <w:color w:val="auto"/>
                <w:sz w:val="24"/>
                <w:highlight w:val="none"/>
              </w:rPr>
              <w:t>，乡村需水36万m</w:t>
            </w:r>
            <w:r>
              <w:rPr>
                <w:rFonts w:hint="eastAsia"/>
                <w:color w:val="auto"/>
                <w:sz w:val="24"/>
                <w:highlight w:val="none"/>
                <w:vertAlign w:val="superscript"/>
              </w:rPr>
              <w:t>3</w:t>
            </w:r>
            <w:r>
              <w:rPr>
                <w:rFonts w:hint="eastAsia"/>
                <w:color w:val="auto"/>
                <w:sz w:val="24"/>
                <w:highlight w:val="none"/>
              </w:rPr>
              <w:t>。灌区当地水利设施可供水量138万m</w:t>
            </w:r>
            <w:r>
              <w:rPr>
                <w:rFonts w:hint="eastAsia"/>
                <w:color w:val="auto"/>
                <w:sz w:val="24"/>
                <w:highlight w:val="none"/>
                <w:vertAlign w:val="superscript"/>
              </w:rPr>
              <w:t>3</w:t>
            </w:r>
            <w:r>
              <w:rPr>
                <w:rFonts w:hint="eastAsia"/>
                <w:color w:val="auto"/>
                <w:sz w:val="24"/>
                <w:highlight w:val="none"/>
              </w:rPr>
              <w:t>，灌区需三合水库净供水178万m</w:t>
            </w:r>
            <w:r>
              <w:rPr>
                <w:rFonts w:hint="eastAsia"/>
                <w:color w:val="auto"/>
                <w:sz w:val="24"/>
                <w:highlight w:val="none"/>
                <w:vertAlign w:val="superscript"/>
              </w:rPr>
              <w:t>3</w:t>
            </w:r>
            <w:r>
              <w:rPr>
                <w:rFonts w:hint="eastAsia"/>
                <w:color w:val="auto"/>
                <w:sz w:val="24"/>
                <w:highlight w:val="none"/>
              </w:rPr>
              <w:t>，需三合水库毛供水207万m</w:t>
            </w:r>
            <w:r>
              <w:rPr>
                <w:rFonts w:hint="eastAsia"/>
                <w:color w:val="auto"/>
                <w:sz w:val="24"/>
                <w:highlight w:val="none"/>
                <w:vertAlign w:val="superscript"/>
              </w:rPr>
              <w:t>3</w:t>
            </w:r>
            <w:r>
              <w:rPr>
                <w:rFonts w:hint="eastAsia"/>
                <w:color w:val="auto"/>
                <w:sz w:val="24"/>
                <w:highlight w:val="none"/>
              </w:rPr>
              <w:t>。</w:t>
            </w:r>
          </w:p>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5、水库调节计算及特征水位</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⑴ </w:t>
            </w:r>
            <w:r>
              <w:rPr>
                <w:rFonts w:hint="eastAsia"/>
                <w:b/>
                <w:bCs/>
                <w:color w:val="auto"/>
                <w:sz w:val="24"/>
                <w:highlight w:val="none"/>
              </w:rPr>
              <w:t>径流调节计算</w:t>
            </w:r>
          </w:p>
          <w:p>
            <w:pPr>
              <w:spacing w:line="360" w:lineRule="auto"/>
              <w:ind w:firstLine="480" w:firstLineChars="200"/>
              <w:rPr>
                <w:rFonts w:hint="eastAsia"/>
                <w:color w:val="auto"/>
                <w:sz w:val="24"/>
                <w:highlight w:val="none"/>
              </w:rPr>
            </w:pPr>
            <w:r>
              <w:rPr>
                <w:rFonts w:hint="eastAsia"/>
                <w:color w:val="auto"/>
                <w:sz w:val="24"/>
                <w:highlight w:val="none"/>
              </w:rPr>
              <w:t>水库来水优先满足下游河道内生态需水，坝址下游河道生态下泄流量以不低于坝址处多年平均流量的20%计算（4月~9月取多年平均流量的30%），多年平均年下泄生态流量99万m</w:t>
            </w:r>
            <w:r>
              <w:rPr>
                <w:rFonts w:hint="eastAsia"/>
                <w:color w:val="auto"/>
                <w:sz w:val="24"/>
                <w:highlight w:val="none"/>
                <w:vertAlign w:val="superscript"/>
              </w:rPr>
              <w:t>3</w:t>
            </w:r>
            <w:r>
              <w:rPr>
                <w:rFonts w:hint="eastAsia"/>
                <w:color w:val="auto"/>
                <w:sz w:val="24"/>
                <w:highlight w:val="none"/>
              </w:rPr>
              <w:t>。根据本区水源条件及灌区综合需水要求，本次水库调节计算采用时历法进行平衡，从1967年6月至2018年5月共51年水利年来、用水系列逐旬操作。本阶段考虑到三合水库各供水保证率不同，在供水不足时，首先考虑灌溉用水破坏。</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⑵ 死水位</w:t>
            </w:r>
          </w:p>
          <w:p>
            <w:pPr>
              <w:spacing w:line="360" w:lineRule="auto"/>
              <w:ind w:firstLine="480" w:firstLineChars="200"/>
              <w:rPr>
                <w:rFonts w:hint="eastAsia"/>
                <w:color w:val="auto"/>
                <w:sz w:val="24"/>
                <w:highlight w:val="none"/>
              </w:rPr>
            </w:pPr>
            <w:r>
              <w:rPr>
                <w:rFonts w:hint="eastAsia"/>
                <w:color w:val="auto"/>
                <w:sz w:val="24"/>
                <w:highlight w:val="none"/>
              </w:rPr>
              <w:t>水库死水位主要以满足灌区控灌和应急备用水源要求为控制因素，由于死水位567.00m方案水库供水情况以及经济性较好，因此推荐三合水库死水位为567.00m，相应死库容为34万m</w:t>
            </w:r>
            <w:r>
              <w:rPr>
                <w:rFonts w:hint="eastAsia"/>
                <w:color w:val="auto"/>
                <w:sz w:val="24"/>
                <w:highlight w:val="none"/>
                <w:vertAlign w:val="superscript"/>
              </w:rPr>
              <w:t>3</w:t>
            </w:r>
            <w:r>
              <w:rPr>
                <w:rFonts w:hint="eastAsia"/>
                <w:color w:val="auto"/>
                <w:sz w:val="24"/>
                <w:highlight w:val="none"/>
              </w:rPr>
              <w:t>。</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⑶ 正常蓄水位</w:t>
            </w:r>
          </w:p>
          <w:p>
            <w:pPr>
              <w:spacing w:line="360" w:lineRule="auto"/>
              <w:ind w:firstLine="480" w:firstLineChars="200"/>
              <w:rPr>
                <w:rFonts w:hint="eastAsia"/>
                <w:color w:val="auto"/>
                <w:sz w:val="24"/>
                <w:highlight w:val="none"/>
              </w:rPr>
            </w:pPr>
            <w:r>
              <w:rPr>
                <w:rFonts w:hint="eastAsia"/>
                <w:color w:val="auto"/>
                <w:sz w:val="24"/>
                <w:highlight w:val="none"/>
              </w:rPr>
              <w:t>当正常蓄水位低于594.50m时，不能满足灌溉供水保证率要求，若在594.50m基础上加大水库规模，提高正常蓄水位，灌溉保证率不发生变化，说明选择正常蓄水位594.50m时水库已经发挥其最大效益，加大规模则经济效益降低。因此，本阶段推荐正常蓄水位为594.50m，相应库容307万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经51年长系列计算，正常蓄水位594.50m时，水库满蓄年数25年，多年平均年供水量172万m</w:t>
            </w:r>
            <w:r>
              <w:rPr>
                <w:rFonts w:hint="eastAsia"/>
                <w:color w:val="auto"/>
                <w:sz w:val="24"/>
                <w:highlight w:val="none"/>
                <w:vertAlign w:val="superscript"/>
              </w:rPr>
              <w:t>3</w:t>
            </w:r>
            <w:r>
              <w:rPr>
                <w:rFonts w:hint="eastAsia"/>
                <w:color w:val="auto"/>
                <w:sz w:val="24"/>
                <w:highlight w:val="none"/>
              </w:rPr>
              <w:t>，占水库坝址来水量的43.3%。多年平均年灌溉供水量148万m</w:t>
            </w:r>
            <w:r>
              <w:rPr>
                <w:rFonts w:hint="eastAsia"/>
                <w:color w:val="auto"/>
                <w:sz w:val="24"/>
                <w:highlight w:val="none"/>
                <w:vertAlign w:val="superscript"/>
              </w:rPr>
              <w:t>3</w:t>
            </w:r>
            <w:r>
              <w:rPr>
                <w:rFonts w:hint="eastAsia"/>
                <w:color w:val="auto"/>
                <w:sz w:val="24"/>
                <w:highlight w:val="none"/>
              </w:rPr>
              <w:t>，灌溉破坏12年（缺水率5%以下考虑为轻度缺水，忽略不计），满足灌区灌溉供水保证率75%；多年平均年乡村供水量为24万m</w:t>
            </w:r>
            <w:r>
              <w:rPr>
                <w:rFonts w:hint="eastAsia"/>
                <w:color w:val="auto"/>
                <w:sz w:val="24"/>
                <w:highlight w:val="none"/>
                <w:vertAlign w:val="superscript"/>
              </w:rPr>
              <w:t>3</w:t>
            </w:r>
            <w:r>
              <w:rPr>
                <w:rFonts w:hint="eastAsia"/>
                <w:color w:val="auto"/>
                <w:sz w:val="24"/>
                <w:highlight w:val="none"/>
              </w:rPr>
              <w:t>，供水破坏84旬，满足供水保证率95%；保证下泄生态水量99万m</w:t>
            </w:r>
            <w:r>
              <w:rPr>
                <w:rFonts w:hint="eastAsia"/>
                <w:color w:val="auto"/>
                <w:sz w:val="24"/>
                <w:highlight w:val="none"/>
                <w:vertAlign w:val="superscript"/>
              </w:rPr>
              <w:t>3</w:t>
            </w:r>
            <w:r>
              <w:rPr>
                <w:rFonts w:hint="eastAsia"/>
                <w:color w:val="auto"/>
                <w:sz w:val="24"/>
                <w:highlight w:val="none"/>
              </w:rPr>
              <w:t>。</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⑷ 汛期限制水位和排沙运行水位</w:t>
            </w:r>
          </w:p>
          <w:p>
            <w:pPr>
              <w:spacing w:line="360" w:lineRule="auto"/>
              <w:ind w:firstLine="480" w:firstLineChars="200"/>
              <w:rPr>
                <w:rFonts w:hint="eastAsia" w:eastAsia="宋体"/>
                <w:color w:val="auto"/>
                <w:sz w:val="24"/>
                <w:highlight w:val="none"/>
                <w:u w:val="single"/>
                <w:lang w:eastAsia="zh-CN"/>
              </w:rPr>
            </w:pPr>
            <w:r>
              <w:rPr>
                <w:rFonts w:hint="eastAsia"/>
                <w:color w:val="auto"/>
                <w:sz w:val="24"/>
                <w:highlight w:val="none"/>
                <w:u w:val="single"/>
              </w:rPr>
              <w:t>经过方案比选和经济比较分析，本阶段不设汛期限制水位和排沙运行水位</w:t>
            </w:r>
            <w:r>
              <w:rPr>
                <w:rFonts w:hint="eastAsia"/>
                <w:color w:val="auto"/>
                <w:sz w:val="24"/>
                <w:highlight w:val="none"/>
                <w:u w:val="single"/>
                <w:lang w:eastAsia="zh-CN"/>
              </w:rPr>
              <w:t>。</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⑸ 设计洪水位及校核洪水位</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rPr>
              <w:t>根据水工设计，本阶段泄洪建筑物采用开敞式侧堰溢洪隧洞方案泄洪，侧堰采用WES实用堰，堰顶高程594.50m，净宽为20m，设计洪水位596.45m，校核洪水位597.25m，水库总库容371万m</w:t>
            </w:r>
            <w:r>
              <w:rPr>
                <w:rFonts w:hint="eastAsia"/>
                <w:color w:val="auto"/>
                <w:sz w:val="24"/>
                <w:highlight w:val="none"/>
                <w:vertAlign w:val="superscript"/>
              </w:rPr>
              <w:t>3</w:t>
            </w:r>
            <w:r>
              <w:rPr>
                <w:rFonts w:hint="eastAsia"/>
                <w:color w:val="auto"/>
                <w:sz w:val="24"/>
                <w:highlight w:val="none"/>
              </w:rPr>
              <w:t>。调洪成果见表</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4</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olor w:val="auto"/>
                <w:sz w:val="21"/>
                <w:szCs w:val="21"/>
                <w:highlight w:val="none"/>
              </w:rPr>
            </w:pPr>
            <w:r>
              <w:rPr>
                <w:rFonts w:hint="eastAsia"/>
                <w:b/>
                <w:color w:val="auto"/>
                <w:sz w:val="21"/>
                <w:szCs w:val="21"/>
                <w:highlight w:val="none"/>
                <w:lang w:val="en-US" w:eastAsia="zh-CN"/>
              </w:rPr>
              <w:t>表2-4   三合水库调洪计算成果表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523"/>
              <w:gridCol w:w="1524"/>
              <w:gridCol w:w="1524"/>
              <w:gridCol w:w="1522"/>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4"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频率</w:t>
                  </w:r>
                </w:p>
                <w:p>
                  <w:pPr>
                    <w:spacing w:line="240" w:lineRule="auto"/>
                    <w:ind w:firstLine="0" w:firstLineChars="0"/>
                    <w:jc w:val="center"/>
                    <w:rPr>
                      <w:b/>
                      <w:bCs/>
                      <w:color w:val="auto"/>
                      <w:sz w:val="21"/>
                      <w:szCs w:val="21"/>
                      <w:highlight w:val="none"/>
                    </w:rPr>
                  </w:pPr>
                  <w:r>
                    <w:rPr>
                      <w:rFonts w:hint="eastAsia"/>
                      <w:b/>
                      <w:bCs/>
                      <w:color w:val="auto"/>
                      <w:sz w:val="21"/>
                      <w:szCs w:val="21"/>
                      <w:highlight w:val="none"/>
                      <w:lang w:eastAsia="zh-CN"/>
                    </w:rPr>
                    <w:t>（</w:t>
                  </w:r>
                  <w:r>
                    <w:rPr>
                      <w:b/>
                      <w:bCs/>
                      <w:color w:val="auto"/>
                      <w:sz w:val="21"/>
                      <w:szCs w:val="21"/>
                      <w:highlight w:val="none"/>
                    </w:rPr>
                    <w:t>P</w:t>
                  </w:r>
                  <w:r>
                    <w:rPr>
                      <w:rFonts w:hint="eastAsia"/>
                      <w:b/>
                      <w:bCs/>
                      <w:color w:val="auto"/>
                      <w:sz w:val="21"/>
                      <w:szCs w:val="21"/>
                      <w:highlight w:val="none"/>
                      <w:lang w:eastAsia="zh-CN"/>
                    </w:rPr>
                    <w:t>）</w:t>
                  </w:r>
                </w:p>
              </w:tc>
              <w:tc>
                <w:tcPr>
                  <w:tcW w:w="834"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洪峰流量（m</w:t>
                  </w:r>
                  <w:r>
                    <w:rPr>
                      <w:b/>
                      <w:bCs/>
                      <w:color w:val="auto"/>
                      <w:kern w:val="0"/>
                      <w:sz w:val="21"/>
                      <w:szCs w:val="21"/>
                      <w:highlight w:val="none"/>
                      <w:vertAlign w:val="superscript"/>
                    </w:rPr>
                    <w:t>3</w:t>
                  </w:r>
                  <w:r>
                    <w:rPr>
                      <w:b/>
                      <w:bCs/>
                      <w:color w:val="auto"/>
                      <w:sz w:val="21"/>
                      <w:szCs w:val="21"/>
                      <w:highlight w:val="none"/>
                    </w:rPr>
                    <w:t>/s）</w:t>
                  </w:r>
                </w:p>
              </w:tc>
              <w:tc>
                <w:tcPr>
                  <w:tcW w:w="834"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最大泄流量（m</w:t>
                  </w:r>
                  <w:r>
                    <w:rPr>
                      <w:b/>
                      <w:bCs/>
                      <w:color w:val="auto"/>
                      <w:kern w:val="0"/>
                      <w:sz w:val="21"/>
                      <w:szCs w:val="21"/>
                      <w:highlight w:val="none"/>
                      <w:vertAlign w:val="superscript"/>
                    </w:rPr>
                    <w:t>3</w:t>
                  </w:r>
                  <w:r>
                    <w:rPr>
                      <w:b/>
                      <w:bCs/>
                      <w:color w:val="auto"/>
                      <w:sz w:val="21"/>
                      <w:szCs w:val="21"/>
                      <w:highlight w:val="none"/>
                    </w:rPr>
                    <w:t>/s）</w:t>
                  </w:r>
                </w:p>
              </w:tc>
              <w:tc>
                <w:tcPr>
                  <w:tcW w:w="834"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削峰流量（m</w:t>
                  </w:r>
                  <w:r>
                    <w:rPr>
                      <w:b/>
                      <w:bCs/>
                      <w:color w:val="auto"/>
                      <w:kern w:val="0"/>
                      <w:sz w:val="21"/>
                      <w:szCs w:val="21"/>
                      <w:highlight w:val="none"/>
                      <w:vertAlign w:val="superscript"/>
                    </w:rPr>
                    <w:t>3</w:t>
                  </w:r>
                  <w:r>
                    <w:rPr>
                      <w:b/>
                      <w:bCs/>
                      <w:color w:val="auto"/>
                      <w:sz w:val="21"/>
                      <w:szCs w:val="21"/>
                      <w:highlight w:val="none"/>
                    </w:rPr>
                    <w:t>/s）</w:t>
                  </w:r>
                </w:p>
              </w:tc>
              <w:tc>
                <w:tcPr>
                  <w:tcW w:w="833"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水位</w:t>
                  </w:r>
                </w:p>
                <w:p>
                  <w:pPr>
                    <w:spacing w:line="240" w:lineRule="auto"/>
                    <w:ind w:firstLine="0" w:firstLineChars="0"/>
                    <w:jc w:val="center"/>
                    <w:rPr>
                      <w:b/>
                      <w:bCs/>
                      <w:color w:val="auto"/>
                      <w:sz w:val="21"/>
                      <w:szCs w:val="21"/>
                      <w:highlight w:val="none"/>
                    </w:rPr>
                  </w:pPr>
                  <w:r>
                    <w:rPr>
                      <w:b/>
                      <w:bCs/>
                      <w:color w:val="auto"/>
                      <w:sz w:val="21"/>
                      <w:szCs w:val="21"/>
                      <w:highlight w:val="none"/>
                    </w:rPr>
                    <w:t>(m)</w:t>
                  </w:r>
                </w:p>
              </w:tc>
              <w:tc>
                <w:tcPr>
                  <w:tcW w:w="831" w:type="pct"/>
                  <w:vAlign w:val="center"/>
                </w:tcPr>
                <w:p>
                  <w:pPr>
                    <w:spacing w:line="240" w:lineRule="auto"/>
                    <w:ind w:firstLine="0" w:firstLineChars="0"/>
                    <w:jc w:val="center"/>
                    <w:rPr>
                      <w:b/>
                      <w:bCs/>
                      <w:color w:val="auto"/>
                      <w:sz w:val="21"/>
                      <w:szCs w:val="21"/>
                      <w:highlight w:val="none"/>
                    </w:rPr>
                  </w:pPr>
                  <w:r>
                    <w:rPr>
                      <w:b/>
                      <w:bCs/>
                      <w:color w:val="auto"/>
                      <w:sz w:val="21"/>
                      <w:szCs w:val="21"/>
                      <w:highlight w:val="none"/>
                    </w:rPr>
                    <w:t>相应库容</w:t>
                  </w:r>
                </w:p>
                <w:p>
                  <w:pPr>
                    <w:spacing w:line="240" w:lineRule="auto"/>
                    <w:ind w:firstLine="0" w:firstLineChars="0"/>
                    <w:jc w:val="center"/>
                    <w:rPr>
                      <w:b/>
                      <w:bCs/>
                      <w:color w:val="auto"/>
                      <w:sz w:val="21"/>
                      <w:szCs w:val="21"/>
                      <w:highlight w:val="none"/>
                    </w:rPr>
                  </w:pPr>
                  <w:r>
                    <w:rPr>
                      <w:b/>
                      <w:bCs/>
                      <w:color w:val="auto"/>
                      <w:sz w:val="21"/>
                      <w:szCs w:val="21"/>
                      <w:highlight w:val="none"/>
                    </w:rPr>
                    <w:t>（万m</w:t>
                  </w:r>
                  <w:r>
                    <w:rPr>
                      <w:b/>
                      <w:bCs/>
                      <w:color w:val="auto"/>
                      <w:kern w:val="0"/>
                      <w:sz w:val="21"/>
                      <w:szCs w:val="21"/>
                      <w:highlight w:val="none"/>
                      <w:vertAlign w:val="superscript"/>
                    </w:rPr>
                    <w:t>3</w:t>
                  </w:r>
                  <w:r>
                    <w:rPr>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4" w:type="pct"/>
                  <w:vAlign w:val="center"/>
                </w:tcPr>
                <w:p>
                  <w:pPr>
                    <w:spacing w:line="240" w:lineRule="auto"/>
                    <w:ind w:firstLine="0" w:firstLineChars="0"/>
                    <w:jc w:val="center"/>
                    <w:rPr>
                      <w:color w:val="auto"/>
                      <w:sz w:val="21"/>
                      <w:szCs w:val="21"/>
                      <w:highlight w:val="none"/>
                    </w:rPr>
                  </w:pPr>
                  <w:r>
                    <w:rPr>
                      <w:color w:val="auto"/>
                      <w:sz w:val="21"/>
                      <w:szCs w:val="21"/>
                      <w:highlight w:val="none"/>
                    </w:rPr>
                    <w:t>0.33%</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265</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203</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62</w:t>
                  </w:r>
                </w:p>
              </w:tc>
              <w:tc>
                <w:tcPr>
                  <w:tcW w:w="833"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597.25</w:t>
                  </w:r>
                </w:p>
              </w:tc>
              <w:tc>
                <w:tcPr>
                  <w:tcW w:w="831"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spacing w:line="240" w:lineRule="auto"/>
                    <w:ind w:firstLine="0" w:firstLineChars="0"/>
                    <w:jc w:val="center"/>
                    <w:rPr>
                      <w:color w:val="auto"/>
                      <w:sz w:val="21"/>
                      <w:szCs w:val="21"/>
                      <w:highlight w:val="none"/>
                    </w:rPr>
                  </w:pPr>
                  <w:r>
                    <w:rPr>
                      <w:color w:val="auto"/>
                      <w:sz w:val="21"/>
                      <w:szCs w:val="21"/>
                      <w:highlight w:val="none"/>
                    </w:rPr>
                    <w:t>3.33%</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163</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117</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46</w:t>
                  </w:r>
                </w:p>
              </w:tc>
              <w:tc>
                <w:tcPr>
                  <w:tcW w:w="833"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596.45</w:t>
                  </w:r>
                </w:p>
              </w:tc>
              <w:tc>
                <w:tcPr>
                  <w:tcW w:w="831"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146</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104</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42</w:t>
                  </w:r>
                </w:p>
              </w:tc>
              <w:tc>
                <w:tcPr>
                  <w:tcW w:w="833"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596.31</w:t>
                  </w:r>
                </w:p>
              </w:tc>
              <w:tc>
                <w:tcPr>
                  <w:tcW w:w="831"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spacing w:line="240" w:lineRule="auto"/>
                    <w:ind w:firstLine="0" w:firstLineChars="0"/>
                    <w:jc w:val="center"/>
                    <w:rPr>
                      <w:color w:val="auto"/>
                      <w:sz w:val="21"/>
                      <w:szCs w:val="21"/>
                      <w:highlight w:val="none"/>
                    </w:rPr>
                  </w:pPr>
                  <w:r>
                    <w:rPr>
                      <w:color w:val="auto"/>
                      <w:sz w:val="21"/>
                      <w:szCs w:val="21"/>
                      <w:highlight w:val="none"/>
                    </w:rPr>
                    <w:t>10%</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116</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83.0</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33</w:t>
                  </w:r>
                </w:p>
              </w:tc>
              <w:tc>
                <w:tcPr>
                  <w:tcW w:w="833"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596.08</w:t>
                  </w:r>
                </w:p>
              </w:tc>
              <w:tc>
                <w:tcPr>
                  <w:tcW w:w="831"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834" w:type="pct"/>
                  <w:vAlign w:val="center"/>
                </w:tcPr>
                <w:p>
                  <w:pPr>
                    <w:spacing w:line="240" w:lineRule="auto"/>
                    <w:ind w:firstLine="0" w:firstLineChars="0"/>
                    <w:jc w:val="center"/>
                    <w:rPr>
                      <w:color w:val="auto"/>
                      <w:sz w:val="21"/>
                      <w:szCs w:val="21"/>
                      <w:highlight w:val="none"/>
                    </w:rPr>
                  </w:pPr>
                  <w:r>
                    <w:rPr>
                      <w:color w:val="auto"/>
                      <w:sz w:val="21"/>
                      <w:szCs w:val="21"/>
                      <w:highlight w:val="none"/>
                    </w:rPr>
                    <w:t>20%</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87.3</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62.8</w:t>
                  </w:r>
                </w:p>
              </w:tc>
              <w:tc>
                <w:tcPr>
                  <w:tcW w:w="834"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24.5</w:t>
                  </w:r>
                </w:p>
              </w:tc>
              <w:tc>
                <w:tcPr>
                  <w:tcW w:w="833"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595.83</w:t>
                  </w:r>
                </w:p>
              </w:tc>
              <w:tc>
                <w:tcPr>
                  <w:tcW w:w="831" w:type="pct"/>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337</w:t>
                  </w:r>
                </w:p>
              </w:tc>
            </w:tr>
          </w:tbl>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6、泥沙淤积及回水计算</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⑴ </w:t>
            </w:r>
            <w:r>
              <w:rPr>
                <w:rFonts w:hint="eastAsia"/>
                <w:b/>
                <w:bCs/>
                <w:color w:val="auto"/>
                <w:sz w:val="24"/>
                <w:highlight w:val="none"/>
              </w:rPr>
              <w:t>泥沙淤积</w:t>
            </w:r>
          </w:p>
          <w:p>
            <w:pPr>
              <w:spacing w:line="360" w:lineRule="auto"/>
              <w:ind w:firstLine="480" w:firstLineChars="200"/>
              <w:rPr>
                <w:rFonts w:hint="eastAsia"/>
                <w:color w:val="auto"/>
                <w:sz w:val="24"/>
                <w:highlight w:val="none"/>
              </w:rPr>
            </w:pPr>
            <w:r>
              <w:rPr>
                <w:rFonts w:hint="eastAsia"/>
                <w:color w:val="auto"/>
                <w:sz w:val="24"/>
                <w:highlight w:val="none"/>
              </w:rPr>
              <w:t>三合水库入库泥沙由悬移质、推移质共同组成，其中</w:t>
            </w:r>
            <w:r>
              <w:rPr>
                <w:rFonts w:hint="eastAsia"/>
                <w:color w:val="auto"/>
                <w:sz w:val="24"/>
                <w:highlight w:val="none"/>
                <w:lang w:eastAsia="zh-CN"/>
              </w:rPr>
              <w:t>：</w:t>
            </w:r>
            <w:r>
              <w:rPr>
                <w:rFonts w:hint="eastAsia"/>
                <w:color w:val="auto"/>
                <w:sz w:val="24"/>
                <w:highlight w:val="none"/>
              </w:rPr>
              <w:t>悬移质年沙量0.258万t，体积为0.199万m</w:t>
            </w:r>
            <w:r>
              <w:rPr>
                <w:rFonts w:hint="eastAsia"/>
                <w:color w:val="auto"/>
                <w:sz w:val="24"/>
                <w:highlight w:val="none"/>
                <w:vertAlign w:val="superscript"/>
              </w:rPr>
              <w:t>3</w:t>
            </w:r>
            <w:r>
              <w:rPr>
                <w:rFonts w:hint="eastAsia"/>
                <w:color w:val="auto"/>
                <w:sz w:val="24"/>
                <w:highlight w:val="none"/>
              </w:rPr>
              <w:t>，推移质年沙量为0.052万t，体积为0.0196万m</w:t>
            </w:r>
            <w:r>
              <w:rPr>
                <w:rFonts w:hint="eastAsia"/>
                <w:color w:val="auto"/>
                <w:sz w:val="24"/>
                <w:highlight w:val="none"/>
                <w:vertAlign w:val="superscript"/>
              </w:rPr>
              <w:t>3</w:t>
            </w:r>
            <w:r>
              <w:rPr>
                <w:rFonts w:hint="eastAsia"/>
                <w:color w:val="auto"/>
                <w:sz w:val="24"/>
                <w:highlight w:val="none"/>
              </w:rPr>
              <w:t>。合计多年平均入库泥沙0.310万t，体积为0.2186万m</w:t>
            </w:r>
            <w:r>
              <w:rPr>
                <w:rFonts w:hint="eastAsia"/>
                <w:color w:val="auto"/>
                <w:sz w:val="24"/>
                <w:highlight w:val="none"/>
                <w:vertAlign w:val="superscript"/>
              </w:rPr>
              <w:t>3</w:t>
            </w:r>
            <w:r>
              <w:rPr>
                <w:rFonts w:hint="eastAsia"/>
                <w:color w:val="auto"/>
                <w:sz w:val="24"/>
                <w:highlight w:val="none"/>
              </w:rPr>
              <w:t>。水库运用50年入库总沙量为15.5万t，体积为10.9万m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对水库泥沙冲淤进行计算，计算结果表明：水库运行50年后坝前淤积高度为6m左右，泥沙淤积总量约10.9万m</w:t>
            </w:r>
            <w:r>
              <w:rPr>
                <w:rFonts w:hint="eastAsia"/>
                <w:color w:val="auto"/>
                <w:sz w:val="24"/>
                <w:highlight w:val="none"/>
                <w:vertAlign w:val="superscript"/>
              </w:rPr>
              <w:t>3</w:t>
            </w:r>
            <w:r>
              <w:rPr>
                <w:rFonts w:hint="eastAsia"/>
                <w:color w:val="auto"/>
                <w:sz w:val="24"/>
                <w:highlight w:val="none"/>
              </w:rPr>
              <w:t>，库容损失占死库容的32.1%，占正常蓄水位以下库容的3.55%，泥沙淤积不严重，水库泥沙淤积对死库容要求不大。</w:t>
            </w:r>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⑵ </w:t>
            </w:r>
            <w:r>
              <w:rPr>
                <w:rFonts w:hint="eastAsia"/>
                <w:b/>
                <w:bCs/>
                <w:color w:val="auto"/>
                <w:sz w:val="24"/>
                <w:highlight w:val="none"/>
              </w:rPr>
              <w:t>回水计算</w:t>
            </w:r>
          </w:p>
          <w:p>
            <w:pPr>
              <w:spacing w:line="360" w:lineRule="auto"/>
              <w:ind w:firstLine="480" w:firstLineChars="200"/>
              <w:rPr>
                <w:rFonts w:hint="eastAsia"/>
                <w:color w:val="auto"/>
                <w:sz w:val="24"/>
                <w:highlight w:val="none"/>
              </w:rPr>
            </w:pPr>
            <w:r>
              <w:rPr>
                <w:rFonts w:hint="eastAsia"/>
                <w:color w:val="auto"/>
                <w:sz w:val="24"/>
                <w:highlight w:val="none"/>
              </w:rPr>
              <w:t>采用恒定非均匀渐变流能量方程，用有限差分法计算了库区20年一遇（P=5%）、5年一遇（P=20%）洪水天然情况及建库后的库区回水水面线，水库回水长度约为0.91km。</w:t>
            </w:r>
          </w:p>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7、节水评价</w:t>
            </w:r>
          </w:p>
          <w:p>
            <w:pPr>
              <w:spacing w:line="360" w:lineRule="auto"/>
              <w:ind w:firstLine="480" w:firstLineChars="200"/>
              <w:rPr>
                <w:rFonts w:hint="eastAsia"/>
                <w:color w:val="auto"/>
                <w:sz w:val="24"/>
                <w:highlight w:val="none"/>
              </w:rPr>
            </w:pPr>
            <w:r>
              <w:rPr>
                <w:rFonts w:hint="eastAsia"/>
                <w:color w:val="auto"/>
                <w:sz w:val="24"/>
                <w:highlight w:val="none"/>
              </w:rPr>
              <w:t>根据国家发展改革委、水利部关于印发《国家节水行动方案》的通知（发改环资规〔2019〕695号），全国节水行动目标是：到2035年，节水护水惜水成为全社会自觉行动，全国用水总量控制在7000亿立方米以内。</w:t>
            </w:r>
          </w:p>
          <w:p>
            <w:pPr>
              <w:spacing w:line="360" w:lineRule="auto"/>
              <w:ind w:firstLine="480" w:firstLineChars="200"/>
              <w:rPr>
                <w:rFonts w:hint="eastAsia"/>
                <w:color w:val="auto"/>
                <w:sz w:val="24"/>
                <w:highlight w:val="none"/>
              </w:rPr>
            </w:pPr>
            <w:r>
              <w:rPr>
                <w:rFonts w:hint="eastAsia"/>
                <w:color w:val="auto"/>
                <w:sz w:val="24"/>
                <w:highlight w:val="none"/>
              </w:rPr>
              <w:t>按照《广元市人民政府办公室关于广元市实行最严格水资源管理制度考核办法的通知》（广府办发﹝2014﹞25号），在保障社会经济发展和改善生态环境用水状况的前提下，广元市2030年控制在9.28亿m</w:t>
            </w:r>
            <w:r>
              <w:rPr>
                <w:rFonts w:hint="eastAsia"/>
                <w:color w:val="auto"/>
                <w:sz w:val="24"/>
                <w:highlight w:val="none"/>
                <w:vertAlign w:val="superscript"/>
              </w:rPr>
              <w:t>3</w:t>
            </w:r>
            <w:r>
              <w:rPr>
                <w:rFonts w:hint="eastAsia"/>
                <w:color w:val="auto"/>
                <w:sz w:val="24"/>
                <w:highlight w:val="none"/>
              </w:rPr>
              <w:t>以内，农田旺苍县2030年控制在1.26亿m</w:t>
            </w:r>
            <w:r>
              <w:rPr>
                <w:rFonts w:hint="eastAsia"/>
                <w:color w:val="auto"/>
                <w:sz w:val="24"/>
                <w:highlight w:val="none"/>
                <w:vertAlign w:val="superscript"/>
              </w:rPr>
              <w:t>3</w:t>
            </w:r>
            <w:r>
              <w:rPr>
                <w:rFonts w:hint="eastAsia"/>
                <w:color w:val="auto"/>
                <w:sz w:val="24"/>
                <w:highlight w:val="none"/>
              </w:rPr>
              <w:t>以内。</w:t>
            </w:r>
          </w:p>
          <w:p>
            <w:pPr>
              <w:spacing w:line="360" w:lineRule="auto"/>
              <w:ind w:firstLine="480" w:firstLineChars="200"/>
              <w:rPr>
                <w:rFonts w:hint="eastAsia"/>
                <w:color w:val="auto"/>
                <w:sz w:val="24"/>
                <w:highlight w:val="none"/>
              </w:rPr>
            </w:pPr>
            <w:r>
              <w:rPr>
                <w:rFonts w:hint="eastAsia"/>
                <w:color w:val="auto"/>
                <w:sz w:val="24"/>
                <w:highlight w:val="none"/>
              </w:rPr>
              <w:t>按照以水定城、以水定地、以水定人、以水定产的要求，三合水库经51年长系列调节计算，正常蓄水位594.50m时，水库满蓄年数25年，多年平均年供水量172万m</w:t>
            </w:r>
            <w:r>
              <w:rPr>
                <w:rFonts w:hint="eastAsia"/>
                <w:color w:val="auto"/>
                <w:sz w:val="24"/>
                <w:highlight w:val="none"/>
                <w:vertAlign w:val="superscript"/>
              </w:rPr>
              <w:t>3</w:t>
            </w:r>
            <w:r>
              <w:rPr>
                <w:rFonts w:hint="eastAsia"/>
                <w:color w:val="auto"/>
                <w:sz w:val="24"/>
                <w:highlight w:val="none"/>
              </w:rPr>
              <w:t>，占水库坝址来水量的43.3%。多年平均年灌溉供水量148万m</w:t>
            </w:r>
            <w:r>
              <w:rPr>
                <w:rFonts w:hint="eastAsia"/>
                <w:color w:val="auto"/>
                <w:sz w:val="24"/>
                <w:highlight w:val="none"/>
                <w:vertAlign w:val="superscript"/>
              </w:rPr>
              <w:t>3</w:t>
            </w:r>
            <w:r>
              <w:rPr>
                <w:rFonts w:hint="eastAsia"/>
                <w:color w:val="auto"/>
                <w:sz w:val="24"/>
                <w:highlight w:val="none"/>
              </w:rPr>
              <w:t>，灌溉破坏12年（缺水率5%以下考虑为轻度缺水，忽略不计），满足灌区灌溉供水保证率75%；多年平均年乡村供水量为24万m</w:t>
            </w:r>
            <w:r>
              <w:rPr>
                <w:rFonts w:hint="eastAsia"/>
                <w:color w:val="auto"/>
                <w:sz w:val="24"/>
                <w:highlight w:val="none"/>
                <w:vertAlign w:val="superscript"/>
              </w:rPr>
              <w:t>3</w:t>
            </w:r>
            <w:r>
              <w:rPr>
                <w:rFonts w:hint="eastAsia"/>
                <w:color w:val="auto"/>
                <w:sz w:val="24"/>
                <w:highlight w:val="none"/>
              </w:rPr>
              <w:t>，满足供水保证率95%；保证多年平均下泄生态水量99万m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rFonts w:hint="eastAsia"/>
                <w:color w:val="auto"/>
                <w:sz w:val="24"/>
                <w:highlight w:val="none"/>
              </w:rPr>
            </w:pPr>
            <w:r>
              <w:rPr>
                <w:rFonts w:hint="eastAsia"/>
                <w:color w:val="auto"/>
                <w:sz w:val="24"/>
                <w:highlight w:val="none"/>
              </w:rPr>
              <w:t>三合水库灌区水资源配置方案充分考虑了节水优先、充分当地水利设施利用后，在灌区缺水时段调蓄不足水量。灌区配置的水量充分考虑了渠道节水方案下的输水能力，灌区配置的水量是能得到有效保障的，符合节水要求。</w:t>
            </w:r>
          </w:p>
          <w:p>
            <w:pPr>
              <w:spacing w:line="360" w:lineRule="auto"/>
              <w:ind w:firstLine="480" w:firstLineChars="200"/>
              <w:rPr>
                <w:rFonts w:hint="eastAsia"/>
                <w:color w:val="auto"/>
                <w:sz w:val="24"/>
                <w:highlight w:val="none"/>
              </w:rPr>
            </w:pPr>
            <w:r>
              <w:rPr>
                <w:rFonts w:hint="eastAsia"/>
                <w:color w:val="auto"/>
                <w:sz w:val="24"/>
                <w:highlight w:val="none"/>
              </w:rPr>
              <w:t>灌区需水指标符合最严格水资源管理制度对用水效率的目标要求，与四川省及涉及各市最严格水资源管理制度用水效率控制指标是协调一致的，符合灌区内建设节水型社会的要求。</w:t>
            </w:r>
          </w:p>
          <w:p>
            <w:pPr>
              <w:spacing w:line="360" w:lineRule="auto"/>
              <w:ind w:firstLine="480" w:firstLineChars="200"/>
              <w:rPr>
                <w:rFonts w:hint="eastAsia"/>
                <w:color w:val="auto"/>
                <w:sz w:val="24"/>
                <w:highlight w:val="none"/>
              </w:rPr>
            </w:pPr>
            <w:r>
              <w:rPr>
                <w:rFonts w:hint="eastAsia"/>
                <w:color w:val="auto"/>
                <w:sz w:val="24"/>
                <w:highlight w:val="none"/>
              </w:rPr>
              <w:t>三合水库多年平均年供水量172万m</w:t>
            </w:r>
            <w:r>
              <w:rPr>
                <w:rFonts w:hint="eastAsia"/>
                <w:color w:val="auto"/>
                <w:sz w:val="24"/>
                <w:highlight w:val="none"/>
                <w:vertAlign w:val="superscript"/>
              </w:rPr>
              <w:t>3</w:t>
            </w:r>
            <w:r>
              <w:rPr>
                <w:rFonts w:hint="eastAsia"/>
                <w:color w:val="auto"/>
                <w:sz w:val="24"/>
                <w:highlight w:val="none"/>
              </w:rPr>
              <w:t>，其中灌溉供水148万m</w:t>
            </w:r>
            <w:r>
              <w:rPr>
                <w:rFonts w:hint="eastAsia"/>
                <w:color w:val="auto"/>
                <w:sz w:val="24"/>
                <w:highlight w:val="none"/>
                <w:vertAlign w:val="superscript"/>
              </w:rPr>
              <w:t>3</w:t>
            </w:r>
            <w:r>
              <w:rPr>
                <w:rFonts w:hint="eastAsia"/>
                <w:color w:val="auto"/>
                <w:sz w:val="24"/>
                <w:highlight w:val="none"/>
              </w:rPr>
              <w:t>，乡村供水24万m</w:t>
            </w:r>
            <w:r>
              <w:rPr>
                <w:rFonts w:hint="eastAsia"/>
                <w:color w:val="auto"/>
                <w:sz w:val="24"/>
                <w:highlight w:val="none"/>
                <w:vertAlign w:val="superscript"/>
              </w:rPr>
              <w:t>3</w:t>
            </w:r>
            <w:r>
              <w:rPr>
                <w:rFonts w:hint="eastAsia"/>
                <w:color w:val="auto"/>
                <w:sz w:val="24"/>
                <w:highlight w:val="none"/>
              </w:rPr>
              <w:t>；保证生态水量99万m</w:t>
            </w:r>
            <w:r>
              <w:rPr>
                <w:rFonts w:hint="eastAsia"/>
                <w:color w:val="auto"/>
                <w:sz w:val="24"/>
                <w:highlight w:val="none"/>
                <w:vertAlign w:val="superscript"/>
              </w:rPr>
              <w:t>3</w:t>
            </w:r>
            <w:r>
              <w:rPr>
                <w:rFonts w:hint="eastAsia"/>
                <w:color w:val="auto"/>
                <w:sz w:val="24"/>
                <w:highlight w:val="none"/>
              </w:rPr>
              <w:t>，灌区灌溉水利用系数η=0.85，农村供水利用系数为0.90，灌溉用水、农村生活供水等均采用管道输水，用水总量和灌溉水利用系数远低于旺苍县“三条红线”控制指标，深入贯彻了“节水优先、空间均衡、系统治理、两手发力”的治水方针，符合国家相关法律法规和规程规范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宋体" w:cs="Arial"/>
                <w:b/>
                <w:color w:val="auto"/>
                <w:sz w:val="24"/>
                <w:highlight w:val="none"/>
                <w:lang w:bidi="en-US"/>
              </w:rPr>
            </w:pPr>
            <w:bookmarkStart w:id="7" w:name="_Toc10216"/>
            <w:bookmarkStart w:id="8" w:name="_Toc55205104"/>
            <w:bookmarkStart w:id="9" w:name="_Toc428452772"/>
            <w:r>
              <w:rPr>
                <w:rFonts w:hint="eastAsia" w:ascii="Arial" w:hAnsi="宋体" w:cs="Arial"/>
                <w:b/>
                <w:color w:val="auto"/>
                <w:sz w:val="24"/>
                <w:highlight w:val="none"/>
                <w:lang w:val="en-US" w:eastAsia="zh-CN" w:bidi="en-US"/>
              </w:rPr>
              <w:t>五、</w:t>
            </w:r>
            <w:r>
              <w:rPr>
                <w:rFonts w:hint="eastAsia" w:ascii="Arial" w:hAnsi="宋体" w:cs="Arial"/>
                <w:b/>
                <w:color w:val="auto"/>
                <w:sz w:val="24"/>
                <w:highlight w:val="none"/>
                <w:lang w:bidi="en-US"/>
              </w:rPr>
              <w:t>工程布置及建筑物</w:t>
            </w:r>
            <w:bookmarkEnd w:id="7"/>
            <w:bookmarkEnd w:id="8"/>
            <w:bookmarkEnd w:id="9"/>
          </w:p>
          <w:p>
            <w:pPr>
              <w:spacing w:line="360" w:lineRule="auto"/>
              <w:ind w:firstLine="482" w:firstLineChars="200"/>
              <w:rPr>
                <w:rFonts w:hint="eastAsia" w:ascii="Arial" w:hAnsi="宋体" w:cs="Arial"/>
                <w:b/>
                <w:color w:val="auto"/>
                <w:sz w:val="24"/>
                <w:highlight w:val="none"/>
                <w:lang w:val="en-US" w:eastAsia="zh-CN"/>
              </w:rPr>
            </w:pPr>
            <w:bookmarkStart w:id="10" w:name="_Toc55205105"/>
            <w:bookmarkStart w:id="11" w:name="_Toc428452773"/>
            <w:bookmarkStart w:id="12" w:name="_Toc3204"/>
            <w:r>
              <w:rPr>
                <w:rFonts w:hint="eastAsia" w:ascii="Arial" w:hAnsi="宋体" w:cs="Arial"/>
                <w:b/>
                <w:color w:val="auto"/>
                <w:sz w:val="24"/>
                <w:highlight w:val="none"/>
                <w:lang w:val="en-US" w:eastAsia="zh-CN"/>
              </w:rPr>
              <w:t>1、工程等别和标准</w:t>
            </w:r>
            <w:bookmarkEnd w:id="10"/>
            <w:bookmarkEnd w:id="11"/>
            <w:bookmarkEnd w:id="12"/>
          </w:p>
          <w:p>
            <w:pPr>
              <w:spacing w:line="360" w:lineRule="auto"/>
              <w:ind w:firstLine="482" w:firstLineChars="200"/>
              <w:rPr>
                <w:rFonts w:hint="eastAsia"/>
                <w:b/>
                <w:bCs/>
                <w:color w:val="auto"/>
                <w:sz w:val="24"/>
                <w:highlight w:val="none"/>
              </w:rPr>
            </w:pPr>
            <w:r>
              <w:rPr>
                <w:rFonts w:hint="eastAsia"/>
                <w:b/>
                <w:bCs/>
                <w:color w:val="auto"/>
                <w:sz w:val="24"/>
                <w:highlight w:val="none"/>
                <w:lang w:val="en-US" w:eastAsia="zh-CN"/>
              </w:rPr>
              <w:t xml:space="preserve">⑴ </w:t>
            </w:r>
            <w:r>
              <w:rPr>
                <w:rFonts w:hint="eastAsia"/>
                <w:b/>
                <w:bCs/>
                <w:color w:val="auto"/>
                <w:sz w:val="24"/>
                <w:highlight w:val="none"/>
              </w:rPr>
              <w:t>工程等别</w:t>
            </w:r>
          </w:p>
          <w:p>
            <w:pPr>
              <w:spacing w:line="360" w:lineRule="auto"/>
              <w:ind w:firstLine="480" w:firstLineChars="200"/>
              <w:rPr>
                <w:rFonts w:hint="eastAsia"/>
                <w:color w:val="auto"/>
                <w:sz w:val="24"/>
                <w:highlight w:val="none"/>
              </w:rPr>
            </w:pPr>
            <w:r>
              <w:rPr>
                <w:rFonts w:hint="eastAsia"/>
                <w:color w:val="auto"/>
                <w:sz w:val="24"/>
                <w:highlight w:val="none"/>
              </w:rPr>
              <w:t>旺苍县三合水库工程位于旺苍县东河镇南峰村与凤阳村交界处，水库坝址位于坝址辜家河中游，坝址以上控制集雨面积7.6km</w:t>
            </w:r>
            <w:r>
              <w:rPr>
                <w:rFonts w:hint="eastAsia"/>
                <w:color w:val="auto"/>
                <w:sz w:val="24"/>
                <w:highlight w:val="none"/>
                <w:vertAlign w:val="superscript"/>
              </w:rPr>
              <w:t>2</w:t>
            </w:r>
            <w:r>
              <w:rPr>
                <w:rFonts w:hint="eastAsia"/>
                <w:color w:val="auto"/>
                <w:sz w:val="24"/>
                <w:highlight w:val="none"/>
              </w:rPr>
              <w:t>，距旺苍县城4.3km（直线距离）。</w:t>
            </w:r>
          </w:p>
          <w:p>
            <w:pPr>
              <w:spacing w:line="360" w:lineRule="auto"/>
              <w:ind w:firstLine="480" w:firstLineChars="200"/>
              <w:rPr>
                <w:rFonts w:hint="eastAsia"/>
                <w:color w:val="auto"/>
                <w:sz w:val="24"/>
                <w:highlight w:val="none"/>
              </w:rPr>
            </w:pPr>
            <w:r>
              <w:rPr>
                <w:rFonts w:hint="eastAsia"/>
                <w:color w:val="auto"/>
                <w:sz w:val="24"/>
                <w:highlight w:val="none"/>
              </w:rPr>
              <w:t>本工程开发任务为农业灌溉、乡村供水等综合利用，并作为旺苍县城市应急备用水源。灌区范围涉及东河镇、嘉川镇2个镇13个村，设计灌溉面积共2.14万亩，同时为灌区0.54万村民提供生产生活用水。</w:t>
            </w:r>
          </w:p>
          <w:p>
            <w:pPr>
              <w:spacing w:line="360" w:lineRule="auto"/>
              <w:ind w:firstLine="480" w:firstLineChars="200"/>
              <w:rPr>
                <w:rFonts w:hint="eastAsia"/>
                <w:color w:val="auto"/>
                <w:sz w:val="24"/>
                <w:highlight w:val="none"/>
              </w:rPr>
            </w:pPr>
            <w:r>
              <w:rPr>
                <w:rFonts w:hint="eastAsia"/>
                <w:color w:val="auto"/>
                <w:sz w:val="24"/>
                <w:highlight w:val="none"/>
              </w:rPr>
              <w:t>本工程水库总库容为371万m</w:t>
            </w:r>
            <w:r>
              <w:rPr>
                <w:rFonts w:hint="eastAsia"/>
                <w:color w:val="auto"/>
                <w:sz w:val="24"/>
                <w:highlight w:val="none"/>
                <w:vertAlign w:val="superscript"/>
              </w:rPr>
              <w:t>3</w:t>
            </w:r>
            <w:r>
              <w:rPr>
                <w:rFonts w:hint="eastAsia"/>
                <w:color w:val="auto"/>
                <w:sz w:val="24"/>
                <w:highlight w:val="none"/>
              </w:rPr>
              <w:t>，设计灌溉面积为2.14万亩，根据《水利水电工程等级划分及洪水标准》（SL252-2017），本工程等别为Ⅳ等，工程规模为小（1）型，其主要永久性水工建筑物级别为4级，次要建筑物为5级；灌区渠系建筑物按5级设计。</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⑵ 洪水标准</w:t>
            </w:r>
          </w:p>
          <w:p>
            <w:pPr>
              <w:spacing w:line="360" w:lineRule="auto"/>
              <w:ind w:firstLine="480" w:firstLineChars="200"/>
              <w:rPr>
                <w:rFonts w:hint="eastAsia"/>
                <w:color w:val="auto"/>
                <w:sz w:val="24"/>
                <w:highlight w:val="none"/>
              </w:rPr>
            </w:pPr>
            <w:r>
              <w:rPr>
                <w:rFonts w:hint="eastAsia"/>
                <w:color w:val="auto"/>
                <w:sz w:val="24"/>
                <w:highlight w:val="none"/>
              </w:rPr>
              <w:t>三合水库总库容371万m</w:t>
            </w:r>
            <w:r>
              <w:rPr>
                <w:rFonts w:hint="eastAsia"/>
                <w:color w:val="auto"/>
                <w:sz w:val="24"/>
                <w:highlight w:val="none"/>
                <w:vertAlign w:val="superscript"/>
              </w:rPr>
              <w:t>3</w:t>
            </w:r>
            <w:r>
              <w:rPr>
                <w:rFonts w:hint="eastAsia"/>
                <w:color w:val="auto"/>
                <w:sz w:val="24"/>
                <w:highlight w:val="none"/>
              </w:rPr>
              <w:t>，大坝为沥青混凝土心墙石渣坝，根据《防洪标准》（GB50201-2014）、《水利水电工程等级划分及洪水标准》（SL252-2017）的规定，大坝设计洪水重现期为30年一遇（p=3%）</w:t>
            </w:r>
            <w:r>
              <w:rPr>
                <w:rFonts w:hint="eastAsia"/>
                <w:color w:val="auto"/>
                <w:sz w:val="24"/>
                <w:highlight w:val="none"/>
                <w:lang w:eastAsia="zh-CN"/>
              </w:rPr>
              <w:t>，</w:t>
            </w:r>
            <w:r>
              <w:rPr>
                <w:rFonts w:hint="eastAsia"/>
                <w:color w:val="auto"/>
                <w:sz w:val="24"/>
                <w:highlight w:val="none"/>
              </w:rPr>
              <w:t>相应洪峰流量为163m</w:t>
            </w:r>
            <w:r>
              <w:rPr>
                <w:rFonts w:hint="eastAsia"/>
                <w:color w:val="auto"/>
                <w:sz w:val="24"/>
                <w:highlight w:val="none"/>
                <w:vertAlign w:val="superscript"/>
              </w:rPr>
              <w:t>3</w:t>
            </w:r>
            <w:r>
              <w:rPr>
                <w:rFonts w:hint="eastAsia"/>
                <w:color w:val="auto"/>
                <w:sz w:val="24"/>
                <w:highlight w:val="none"/>
              </w:rPr>
              <w:t>/s，校核洪水重现期为300年一遇（p=0.3%），相应洪峰流量为265m</w:t>
            </w:r>
            <w:r>
              <w:rPr>
                <w:rFonts w:hint="eastAsia"/>
                <w:color w:val="auto"/>
                <w:sz w:val="24"/>
                <w:highlight w:val="none"/>
                <w:vertAlign w:val="superscript"/>
              </w:rPr>
              <w:t>3</w:t>
            </w:r>
            <w:r>
              <w:rPr>
                <w:rFonts w:hint="eastAsia"/>
                <w:color w:val="auto"/>
                <w:sz w:val="24"/>
                <w:highlight w:val="none"/>
              </w:rPr>
              <w:t>/s，消能防冲建筑物洪水重现期为20年一遇（p=5%），相应洪峰流量为146m</w:t>
            </w:r>
            <w:r>
              <w:rPr>
                <w:rFonts w:hint="eastAsia"/>
                <w:color w:val="auto"/>
                <w:sz w:val="24"/>
                <w:highlight w:val="none"/>
                <w:vertAlign w:val="superscript"/>
              </w:rPr>
              <w:t>3</w:t>
            </w:r>
            <w:r>
              <w:rPr>
                <w:rFonts w:hint="eastAsia"/>
                <w:color w:val="auto"/>
                <w:sz w:val="24"/>
                <w:highlight w:val="none"/>
              </w:rPr>
              <w:t>/s。根据《灌溉与排水工程设计标准》（GB50288—2018）规定，</w:t>
            </w:r>
            <w:r>
              <w:rPr>
                <w:rFonts w:hint="eastAsia"/>
                <w:color w:val="auto"/>
                <w:sz w:val="24"/>
                <w:highlight w:val="none"/>
                <w:lang w:val="en-US" w:eastAsia="zh-CN"/>
              </w:rPr>
              <w:t>拦河大坝涉及洪水标准为30年一遇，校核洪水标准为300年一遇，</w:t>
            </w:r>
            <w:r>
              <w:rPr>
                <w:rFonts w:hint="eastAsia"/>
                <w:color w:val="auto"/>
                <w:sz w:val="24"/>
                <w:highlight w:val="none"/>
              </w:rPr>
              <w:t>灌区</w:t>
            </w:r>
            <w:r>
              <w:rPr>
                <w:rFonts w:hint="eastAsia"/>
                <w:color w:val="auto"/>
                <w:sz w:val="24"/>
                <w:highlight w:val="none"/>
                <w:lang w:val="en-US" w:eastAsia="zh-CN"/>
              </w:rPr>
              <w:t>管道</w:t>
            </w:r>
            <w:r>
              <w:rPr>
                <w:rFonts w:hint="eastAsia"/>
                <w:color w:val="auto"/>
                <w:sz w:val="24"/>
                <w:highlight w:val="none"/>
              </w:rPr>
              <w:t>设计洪水重现期为10年一遇（P=10%）。</w:t>
            </w:r>
          </w:p>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2、地震设计烈度</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工程区位于上扬子地台之四川台坳的川北台陷北部，处于宽缓褶皱中，场地内无规模较大的区域性活动断裂，本身不具备发生中、强地震的地质背景。地震效应主要受外围中、强地震波及影响，历史地震对工程区的影响烈度均较小。据《中国地震动参数区划图》（GB 18306－2015），工区50年超越概率10%的地震动峰值加速度为0.05g，地震动反应谱特征周期0.4s，对应的地震基本烈度为Ⅵ度，本工程区域稳定性好。根据《水工建筑物抗震设计标准》（GB51247—2018），本工程抗震设计烈度为Ⅵ度。</w:t>
            </w:r>
          </w:p>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4、工程及永久性水工建筑物的合理使用年限</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等别为Ⅳ等小（1）型，按《水利水电工程合理使用年限及耐久性设计规范》（SL654-2014）表3.0.2规定，三合水库工程合理使用年限为50年。水库工程永久性主要建筑物拦河大坝、溢洪道、取水（放空、导流）隧洞为4级建筑物，其中拦河大坝、溢洪道合理使用年限为50年，取水（放空、导流）隧洞合理使用年限为30年。灌区渠系建筑物为5级建筑物，合理使用年限确定为30年。</w:t>
            </w:r>
          </w:p>
          <w:p>
            <w:pPr>
              <w:spacing w:line="360" w:lineRule="auto"/>
              <w:ind w:firstLine="482" w:firstLineChars="200"/>
              <w:rPr>
                <w:rFonts w:hint="eastAsia" w:ascii="Arial" w:hAnsi="宋体" w:cs="Arial"/>
                <w:b/>
                <w:color w:val="auto"/>
                <w:sz w:val="24"/>
                <w:highlight w:val="none"/>
                <w:lang w:val="en-US" w:eastAsia="zh-CN"/>
              </w:rPr>
            </w:pPr>
            <w:r>
              <w:rPr>
                <w:rFonts w:hint="eastAsia" w:ascii="Arial" w:hAnsi="宋体" w:cs="Arial"/>
                <w:b/>
                <w:color w:val="auto"/>
                <w:sz w:val="24"/>
                <w:highlight w:val="none"/>
                <w:lang w:val="en-US" w:eastAsia="zh-CN"/>
              </w:rPr>
              <w:t>5、设计标准和安全系数</w:t>
            </w:r>
          </w:p>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⑴ 大坝</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根据《碾压式土石坝设计规范》（SL274—2001），采用计及条块间作用力的计算方法时，坝坡抗滑稳定的安全系数不小于</w:t>
            </w:r>
            <w:r>
              <w:rPr>
                <w:rFonts w:hint="eastAsia" w:cs="Times New Roman"/>
                <w:color w:val="auto"/>
                <w:kern w:val="2"/>
                <w:sz w:val="24"/>
                <w:szCs w:val="24"/>
                <w:highlight w:val="none"/>
                <w:lang w:val="en-US" w:eastAsia="zh-CN" w:bidi="ar-SA"/>
              </w:rPr>
              <w:t>2-5</w:t>
            </w:r>
            <w:r>
              <w:rPr>
                <w:rFonts w:hint="eastAsia" w:ascii="Times New Roman" w:hAnsi="Times New Roman" w:eastAsia="宋体" w:cs="Times New Roman"/>
                <w:color w:val="auto"/>
                <w:kern w:val="2"/>
                <w:sz w:val="24"/>
                <w:szCs w:val="24"/>
                <w:highlight w:val="none"/>
                <w:lang w:val="en-US" w:eastAsia="zh-CN" w:bidi="ar-SA"/>
              </w:rPr>
              <w:t>规定的数值。</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ascii="黑体" w:hAnsi="黑体" w:eastAsia="黑体"/>
                <w:snapToGrid w:val="0"/>
                <w:color w:val="auto"/>
                <w:highlight w:val="none"/>
              </w:rPr>
            </w:pPr>
            <w:r>
              <w:rPr>
                <w:rFonts w:hint="eastAsia"/>
                <w:b/>
                <w:color w:val="auto"/>
                <w:sz w:val="21"/>
                <w:szCs w:val="21"/>
                <w:highlight w:val="none"/>
                <w:lang w:val="en-US" w:eastAsia="zh-CN"/>
              </w:rPr>
              <w:t>表2-5  坝坡抗滑稳定安全系数</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4"/>
              <w:gridCol w:w="3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2931" w:type="pct"/>
                  <w:vMerge w:val="restart"/>
                  <w:vAlign w:val="center"/>
                </w:tcPr>
                <w:p>
                  <w:pPr>
                    <w:pStyle w:val="79"/>
                    <w:ind w:firstLine="56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运用条件</w:t>
                  </w:r>
                </w:p>
              </w:tc>
              <w:tc>
                <w:tcPr>
                  <w:tcW w:w="2068" w:type="pct"/>
                  <w:vAlign w:val="center"/>
                </w:tcPr>
                <w:p>
                  <w:pPr>
                    <w:pStyle w:val="79"/>
                    <w:ind w:firstLine="56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工程等级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931" w:type="pct"/>
                  <w:vMerge w:val="continue"/>
                  <w:vAlign w:val="center"/>
                </w:tcPr>
                <w:p>
                  <w:pPr>
                    <w:pStyle w:val="79"/>
                    <w:ind w:firstLine="561"/>
                    <w:rPr>
                      <w:rFonts w:hint="eastAsia" w:ascii="宋体" w:hAnsi="宋体" w:eastAsia="宋体" w:cs="宋体"/>
                      <w:b/>
                      <w:bCs/>
                      <w:color w:val="auto"/>
                      <w:sz w:val="21"/>
                      <w:szCs w:val="21"/>
                      <w:highlight w:val="none"/>
                    </w:rPr>
                  </w:pPr>
                </w:p>
              </w:tc>
              <w:tc>
                <w:tcPr>
                  <w:tcW w:w="2068" w:type="pct"/>
                  <w:vAlign w:val="center"/>
                </w:tcPr>
                <w:p>
                  <w:pPr>
                    <w:pStyle w:val="79"/>
                    <w:ind w:firstLine="56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931"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正常运用条件</w:t>
                  </w:r>
                </w:p>
              </w:tc>
              <w:tc>
                <w:tcPr>
                  <w:tcW w:w="2068"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931"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非常运用条件Ⅰ</w:t>
                  </w:r>
                </w:p>
              </w:tc>
              <w:tc>
                <w:tcPr>
                  <w:tcW w:w="2068"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931"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非常运用条件Ⅱ</w:t>
                  </w:r>
                </w:p>
              </w:tc>
              <w:tc>
                <w:tcPr>
                  <w:tcW w:w="2068" w:type="pct"/>
                  <w:vAlign w:val="center"/>
                </w:tcPr>
                <w:p>
                  <w:pPr>
                    <w:pStyle w:val="79"/>
                    <w:ind w:firstLine="5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r>
          </w:tbl>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⑵ 进水口</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根据《水利水电工程进水口设计规范》（SL285—2003），进水口整体稳定安全标准应不小于表</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规定的数值。</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表2-6  独立布置进水口整体稳定安全标准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985"/>
              <w:gridCol w:w="1084"/>
              <w:gridCol w:w="1080"/>
              <w:gridCol w:w="974"/>
              <w:gridCol w:w="1140"/>
              <w:gridCol w:w="1022"/>
              <w:gridCol w:w="1058"/>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05" w:type="pct"/>
                  <w:vMerge w:val="restar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建筑物级别</w:t>
                  </w:r>
                </w:p>
              </w:tc>
              <w:tc>
                <w:tcPr>
                  <w:tcW w:w="2256" w:type="pct"/>
                  <w:gridSpan w:val="4"/>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抗滑稳定安全系数</w:t>
                  </w:r>
                </w:p>
              </w:tc>
              <w:tc>
                <w:tcPr>
                  <w:tcW w:w="1183" w:type="pct"/>
                  <w:gridSpan w:val="2"/>
                  <w:vMerge w:val="restar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抗倾覆稳定安全系数</w:t>
                  </w:r>
                </w:p>
              </w:tc>
              <w:tc>
                <w:tcPr>
                  <w:tcW w:w="1154" w:type="pct"/>
                  <w:gridSpan w:val="2"/>
                  <w:vMerge w:val="restar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抗浮稳定安全系数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05" w:type="pct"/>
                  <w:vMerge w:val="continue"/>
                  <w:vAlign w:val="center"/>
                </w:tcPr>
                <w:p>
                  <w:pPr>
                    <w:pStyle w:val="79"/>
                    <w:adjustRightInd w:val="0"/>
                    <w:snapToGrid w:val="0"/>
                    <w:rPr>
                      <w:b/>
                      <w:bCs/>
                      <w:color w:val="auto"/>
                      <w:highlight w:val="none"/>
                    </w:rPr>
                  </w:pPr>
                </w:p>
              </w:tc>
              <w:tc>
                <w:tcPr>
                  <w:tcW w:w="1132" w:type="pct"/>
                  <w:gridSpan w:val="2"/>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抗剪断公式</w:t>
                  </w:r>
                </w:p>
              </w:tc>
              <w:tc>
                <w:tcPr>
                  <w:tcW w:w="1123" w:type="pct"/>
                  <w:gridSpan w:val="2"/>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抗剪公式</w:t>
                  </w:r>
                </w:p>
              </w:tc>
              <w:tc>
                <w:tcPr>
                  <w:tcW w:w="1183" w:type="pct"/>
                  <w:gridSpan w:val="2"/>
                  <w:vMerge w:val="continue"/>
                  <w:vAlign w:val="center"/>
                </w:tcPr>
                <w:p>
                  <w:pPr>
                    <w:pStyle w:val="79"/>
                    <w:adjustRightInd w:val="0"/>
                    <w:snapToGrid w:val="0"/>
                    <w:rPr>
                      <w:b/>
                      <w:bCs/>
                      <w:color w:val="auto"/>
                      <w:highlight w:val="none"/>
                    </w:rPr>
                  </w:pPr>
                </w:p>
              </w:tc>
              <w:tc>
                <w:tcPr>
                  <w:tcW w:w="1154" w:type="pct"/>
                  <w:gridSpan w:val="2"/>
                  <w:vMerge w:val="continue"/>
                  <w:vAlign w:val="center"/>
                </w:tcPr>
                <w:p>
                  <w:pPr>
                    <w:pStyle w:val="79"/>
                    <w:adjustRightInd w:val="0"/>
                    <w:snapToGrid w:val="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05" w:type="pct"/>
                  <w:vMerge w:val="continue"/>
                  <w:vAlign w:val="center"/>
                </w:tcPr>
                <w:p>
                  <w:pPr>
                    <w:pStyle w:val="79"/>
                    <w:adjustRightInd w:val="0"/>
                    <w:snapToGrid w:val="0"/>
                    <w:rPr>
                      <w:color w:val="auto"/>
                      <w:highlight w:val="none"/>
                    </w:rPr>
                  </w:pPr>
                </w:p>
              </w:tc>
              <w:tc>
                <w:tcPr>
                  <w:tcW w:w="539"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7"/>
                      <w:sz w:val="21"/>
                      <w:highlight w:val="none"/>
                    </w:rPr>
                    <w:t>基本组合</w:t>
                  </w:r>
                </w:p>
              </w:tc>
              <w:tc>
                <w:tcPr>
                  <w:tcW w:w="593"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1"/>
                      <w:sz w:val="21"/>
                      <w:highlight w:val="none"/>
                    </w:rPr>
                    <w:t>特殊组合</w:t>
                  </w:r>
                </w:p>
              </w:tc>
              <w:tc>
                <w:tcPr>
                  <w:tcW w:w="591"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1"/>
                      <w:sz w:val="21"/>
                      <w:highlight w:val="none"/>
                    </w:rPr>
                    <w:t>基本组合</w:t>
                  </w:r>
                </w:p>
              </w:tc>
              <w:tc>
                <w:tcPr>
                  <w:tcW w:w="532"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7"/>
                      <w:sz w:val="21"/>
                      <w:highlight w:val="none"/>
                    </w:rPr>
                    <w:t>特殊组合</w:t>
                  </w:r>
                </w:p>
              </w:tc>
              <w:tc>
                <w:tcPr>
                  <w:tcW w:w="624"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1"/>
                      <w:sz w:val="21"/>
                      <w:highlight w:val="none"/>
                    </w:rPr>
                    <w:t>基本组合</w:t>
                  </w:r>
                </w:p>
              </w:tc>
              <w:tc>
                <w:tcPr>
                  <w:tcW w:w="559" w:type="pct"/>
                  <w:vAlign w:val="center"/>
                </w:tcPr>
                <w:p>
                  <w:pPr>
                    <w:pStyle w:val="79"/>
                    <w:adjustRightInd w:val="0"/>
                    <w:snapToGrid w:val="0"/>
                    <w:rPr>
                      <w:rFonts w:hint="eastAsia" w:ascii="宋体" w:hAnsi="宋体" w:eastAsia="宋体" w:cs="宋体"/>
                      <w:color w:val="auto"/>
                      <w:spacing w:val="-11"/>
                      <w:sz w:val="21"/>
                      <w:highlight w:val="none"/>
                    </w:rPr>
                  </w:pPr>
                  <w:r>
                    <w:rPr>
                      <w:rFonts w:hint="eastAsia" w:ascii="宋体" w:hAnsi="宋体" w:eastAsia="宋体" w:cs="宋体"/>
                      <w:color w:val="auto"/>
                      <w:spacing w:val="-11"/>
                      <w:sz w:val="21"/>
                      <w:highlight w:val="none"/>
                    </w:rPr>
                    <w:t>特殊组合</w:t>
                  </w:r>
                </w:p>
              </w:tc>
              <w:tc>
                <w:tcPr>
                  <w:tcW w:w="579" w:type="pct"/>
                  <w:vAlign w:val="center"/>
                </w:tcPr>
                <w:p>
                  <w:pPr>
                    <w:pStyle w:val="79"/>
                    <w:adjustRightInd w:val="0"/>
                    <w:snapToGrid w:val="0"/>
                    <w:rPr>
                      <w:rFonts w:hint="eastAsia" w:ascii="宋体" w:hAnsi="宋体" w:eastAsia="宋体" w:cs="宋体"/>
                      <w:color w:val="auto"/>
                      <w:highlight w:val="none"/>
                    </w:rPr>
                  </w:pPr>
                  <w:r>
                    <w:rPr>
                      <w:rFonts w:hint="eastAsia" w:ascii="宋体" w:hAnsi="宋体" w:eastAsia="宋体" w:cs="宋体"/>
                      <w:color w:val="auto"/>
                      <w:spacing w:val="-11"/>
                      <w:sz w:val="21"/>
                      <w:highlight w:val="none"/>
                    </w:rPr>
                    <w:t>基本组合</w:t>
                  </w:r>
                </w:p>
              </w:tc>
              <w:tc>
                <w:tcPr>
                  <w:tcW w:w="575" w:type="pct"/>
                  <w:vAlign w:val="center"/>
                </w:tcPr>
                <w:p>
                  <w:pPr>
                    <w:pStyle w:val="79"/>
                    <w:adjustRightInd w:val="0"/>
                    <w:snapToGrid w:val="0"/>
                    <w:rPr>
                      <w:rFonts w:hint="eastAsia" w:ascii="宋体" w:hAnsi="宋体" w:eastAsia="宋体" w:cs="宋体"/>
                      <w:color w:val="auto"/>
                      <w:highlight w:val="none"/>
                    </w:rPr>
                  </w:pPr>
                  <w:r>
                    <w:rPr>
                      <w:rFonts w:hint="eastAsia" w:ascii="宋体" w:hAnsi="宋体" w:eastAsia="宋体" w:cs="宋体"/>
                      <w:color w:val="auto"/>
                      <w:spacing w:val="-11"/>
                      <w:sz w:val="21"/>
                      <w:highlight w:val="none"/>
                    </w:rPr>
                    <w:t>特殊组合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 w:type="pct"/>
                  <w:vAlign w:val="center"/>
                </w:tcPr>
                <w:p>
                  <w:pPr>
                    <w:pStyle w:val="79"/>
                    <w:adjustRightInd w:val="0"/>
                    <w:snapToGrid w:val="0"/>
                    <w:rPr>
                      <w:color w:val="auto"/>
                      <w:highlight w:val="none"/>
                    </w:rPr>
                  </w:pPr>
                  <w:r>
                    <w:rPr>
                      <w:rFonts w:hint="eastAsia"/>
                      <w:color w:val="auto"/>
                      <w:highlight w:val="none"/>
                    </w:rPr>
                    <w:t>4级</w:t>
                  </w:r>
                </w:p>
              </w:tc>
              <w:tc>
                <w:tcPr>
                  <w:tcW w:w="539" w:type="pct"/>
                  <w:vAlign w:val="center"/>
                </w:tcPr>
                <w:p>
                  <w:pPr>
                    <w:pStyle w:val="79"/>
                    <w:adjustRightInd w:val="0"/>
                    <w:snapToGrid w:val="0"/>
                    <w:rPr>
                      <w:color w:val="auto"/>
                      <w:highlight w:val="none"/>
                    </w:rPr>
                  </w:pPr>
                  <w:r>
                    <w:rPr>
                      <w:rFonts w:hint="eastAsia"/>
                      <w:color w:val="auto"/>
                      <w:highlight w:val="none"/>
                    </w:rPr>
                    <w:t>3</w:t>
                  </w:r>
                  <w:r>
                    <w:rPr>
                      <w:color w:val="auto"/>
                      <w:highlight w:val="none"/>
                    </w:rPr>
                    <w:t>.0</w:t>
                  </w:r>
                </w:p>
              </w:tc>
              <w:tc>
                <w:tcPr>
                  <w:tcW w:w="593" w:type="pct"/>
                  <w:vAlign w:val="center"/>
                </w:tcPr>
                <w:p>
                  <w:pPr>
                    <w:pStyle w:val="79"/>
                    <w:adjustRightInd w:val="0"/>
                    <w:snapToGrid w:val="0"/>
                    <w:rPr>
                      <w:color w:val="auto"/>
                      <w:highlight w:val="none"/>
                    </w:rPr>
                  </w:pPr>
                  <w:r>
                    <w:rPr>
                      <w:rFonts w:hint="eastAsia"/>
                      <w:color w:val="auto"/>
                      <w:highlight w:val="none"/>
                    </w:rPr>
                    <w:t>2</w:t>
                  </w:r>
                  <w:r>
                    <w:rPr>
                      <w:color w:val="auto"/>
                      <w:highlight w:val="none"/>
                    </w:rPr>
                    <w:t>.5</w:t>
                  </w:r>
                </w:p>
              </w:tc>
              <w:tc>
                <w:tcPr>
                  <w:tcW w:w="591" w:type="pct"/>
                  <w:vAlign w:val="center"/>
                </w:tcPr>
                <w:p>
                  <w:pPr>
                    <w:pStyle w:val="79"/>
                    <w:adjustRightInd w:val="0"/>
                    <w:snapToGrid w:val="0"/>
                    <w:rPr>
                      <w:color w:val="auto"/>
                      <w:highlight w:val="none"/>
                    </w:rPr>
                  </w:pPr>
                  <w:r>
                    <w:rPr>
                      <w:color w:val="auto"/>
                      <w:highlight w:val="none"/>
                    </w:rPr>
                    <w:t>1.05</w:t>
                  </w:r>
                </w:p>
              </w:tc>
              <w:tc>
                <w:tcPr>
                  <w:tcW w:w="532" w:type="pct"/>
                  <w:vAlign w:val="center"/>
                </w:tcPr>
                <w:p>
                  <w:pPr>
                    <w:pStyle w:val="79"/>
                    <w:adjustRightInd w:val="0"/>
                    <w:snapToGrid w:val="0"/>
                    <w:rPr>
                      <w:color w:val="auto"/>
                      <w:highlight w:val="none"/>
                    </w:rPr>
                  </w:pPr>
                  <w:r>
                    <w:rPr>
                      <w:rFonts w:hint="eastAsia"/>
                      <w:color w:val="auto"/>
                      <w:highlight w:val="none"/>
                    </w:rPr>
                    <w:t>1</w:t>
                  </w:r>
                  <w:r>
                    <w:rPr>
                      <w:color w:val="auto"/>
                      <w:highlight w:val="none"/>
                    </w:rPr>
                    <w:t>.00</w:t>
                  </w:r>
                </w:p>
              </w:tc>
              <w:tc>
                <w:tcPr>
                  <w:tcW w:w="624" w:type="pct"/>
                  <w:vAlign w:val="center"/>
                </w:tcPr>
                <w:p>
                  <w:pPr>
                    <w:pStyle w:val="79"/>
                    <w:adjustRightInd w:val="0"/>
                    <w:snapToGrid w:val="0"/>
                    <w:rPr>
                      <w:color w:val="auto"/>
                      <w:highlight w:val="none"/>
                    </w:rPr>
                  </w:pPr>
                  <w:r>
                    <w:rPr>
                      <w:color w:val="auto"/>
                      <w:highlight w:val="none"/>
                    </w:rPr>
                    <w:t>1.3</w:t>
                  </w:r>
                </w:p>
              </w:tc>
              <w:tc>
                <w:tcPr>
                  <w:tcW w:w="559" w:type="pct"/>
                  <w:vAlign w:val="center"/>
                </w:tcPr>
                <w:p>
                  <w:pPr>
                    <w:pStyle w:val="79"/>
                    <w:adjustRightInd w:val="0"/>
                    <w:snapToGrid w:val="0"/>
                    <w:rPr>
                      <w:color w:val="auto"/>
                      <w:highlight w:val="none"/>
                    </w:rPr>
                  </w:pPr>
                  <w:r>
                    <w:rPr>
                      <w:color w:val="auto"/>
                      <w:highlight w:val="none"/>
                    </w:rPr>
                    <w:t>1.15</w:t>
                  </w:r>
                </w:p>
              </w:tc>
              <w:tc>
                <w:tcPr>
                  <w:tcW w:w="579" w:type="pct"/>
                  <w:vAlign w:val="center"/>
                </w:tcPr>
                <w:p>
                  <w:pPr>
                    <w:pStyle w:val="79"/>
                    <w:adjustRightInd w:val="0"/>
                    <w:snapToGrid w:val="0"/>
                    <w:rPr>
                      <w:color w:val="auto"/>
                      <w:highlight w:val="none"/>
                    </w:rPr>
                  </w:pPr>
                  <w:r>
                    <w:rPr>
                      <w:color w:val="auto"/>
                      <w:highlight w:val="none"/>
                    </w:rPr>
                    <w:t>1.10</w:t>
                  </w:r>
                </w:p>
              </w:tc>
              <w:tc>
                <w:tcPr>
                  <w:tcW w:w="575" w:type="pct"/>
                  <w:vAlign w:val="center"/>
                </w:tcPr>
                <w:p>
                  <w:pPr>
                    <w:pStyle w:val="79"/>
                    <w:adjustRightInd w:val="0"/>
                    <w:snapToGrid w:val="0"/>
                    <w:rPr>
                      <w:color w:val="auto"/>
                      <w:highlight w:val="none"/>
                    </w:rPr>
                  </w:pPr>
                  <w:r>
                    <w:rPr>
                      <w:rFonts w:hint="eastAsia"/>
                      <w:color w:val="auto"/>
                      <w:highlight w:val="none"/>
                    </w:rPr>
                    <w:t>1</w:t>
                  </w:r>
                  <w:r>
                    <w:rPr>
                      <w:color w:val="auto"/>
                      <w:highlight w:val="none"/>
                    </w:rPr>
                    <w:t>.05</w:t>
                  </w:r>
                </w:p>
              </w:tc>
            </w:tr>
          </w:tbl>
          <w:p>
            <w:p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⑶ 边坡</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根据《水利水电工程边坡设计规范》（SL386—2007），溢洪道开挖边坡为4级边坡，边坡在不同工况条件下的安全级别及安全标准详见表</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表2-7   边坡安全级别及安全系数标准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317"/>
              <w:gridCol w:w="1856"/>
              <w:gridCol w:w="1981"/>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95" w:type="pct"/>
                  <w:vMerge w:val="restar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部位</w:t>
                  </w:r>
                </w:p>
              </w:tc>
              <w:tc>
                <w:tcPr>
                  <w:tcW w:w="721" w:type="pct"/>
                  <w:vMerge w:val="restar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安全级别</w:t>
                  </w:r>
                </w:p>
              </w:tc>
              <w:tc>
                <w:tcPr>
                  <w:tcW w:w="3183" w:type="pct"/>
                  <w:gridSpan w:val="3"/>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095" w:type="pct"/>
                  <w:vMerge w:val="continue"/>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p>
              </w:tc>
              <w:tc>
                <w:tcPr>
                  <w:tcW w:w="721" w:type="pct"/>
                  <w:vMerge w:val="continue"/>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p>
              </w:tc>
              <w:tc>
                <w:tcPr>
                  <w:tcW w:w="1016" w:type="pc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正常运用条件</w:t>
                  </w:r>
                </w:p>
              </w:tc>
              <w:tc>
                <w:tcPr>
                  <w:tcW w:w="1084" w:type="pc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非常运用条件Ⅰ</w:t>
                  </w:r>
                </w:p>
              </w:tc>
              <w:tc>
                <w:tcPr>
                  <w:tcW w:w="1082" w:type="pct"/>
                  <w:vAlign w:val="center"/>
                </w:tcPr>
                <w:p>
                  <w:pPr>
                    <w:pStyle w:val="79"/>
                    <w:keepNext w:val="0"/>
                    <w:keepLines w:val="0"/>
                    <w:pageBreakBefore w:val="0"/>
                    <w:widowControl/>
                    <w:kinsoku/>
                    <w:wordWrap/>
                    <w:overflowPunct/>
                    <w:topLinePunct w:val="0"/>
                    <w:autoSpaceDE/>
                    <w:autoSpaceDN/>
                    <w:bidi w:val="0"/>
                    <w:adjustRightInd/>
                    <w:snapToGrid/>
                    <w:ind w:firstLine="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非常运用条件Ⅱ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5" w:type="pct"/>
                  <w:vAlign w:val="center"/>
                </w:tcPr>
                <w:p>
                  <w:pPr>
                    <w:pStyle w:val="79"/>
                    <w:rPr>
                      <w:rFonts w:hint="eastAsia" w:ascii="宋体" w:hAnsi="宋体" w:eastAsia="宋体" w:cs="宋体"/>
                      <w:color w:val="auto"/>
                      <w:highlight w:val="none"/>
                    </w:rPr>
                  </w:pPr>
                  <w:r>
                    <w:rPr>
                      <w:rFonts w:hint="eastAsia" w:ascii="宋体" w:hAnsi="宋体" w:eastAsia="宋体" w:cs="宋体"/>
                      <w:color w:val="auto"/>
                      <w:highlight w:val="none"/>
                    </w:rPr>
                    <w:t>溢洪道开挖边坡</w:t>
                  </w:r>
                </w:p>
              </w:tc>
              <w:tc>
                <w:tcPr>
                  <w:tcW w:w="721" w:type="pct"/>
                  <w:vAlign w:val="center"/>
                </w:tcPr>
                <w:p>
                  <w:pPr>
                    <w:pStyle w:val="79"/>
                    <w:rPr>
                      <w:rFonts w:hint="eastAsia" w:ascii="宋体" w:hAnsi="宋体" w:eastAsia="宋体" w:cs="宋体"/>
                      <w:color w:val="auto"/>
                      <w:highlight w:val="none"/>
                    </w:rPr>
                  </w:pPr>
                  <w:r>
                    <w:rPr>
                      <w:rFonts w:hint="eastAsia" w:ascii="宋体" w:hAnsi="宋体" w:eastAsia="宋体" w:cs="宋体"/>
                      <w:color w:val="auto"/>
                      <w:highlight w:val="none"/>
                    </w:rPr>
                    <w:t>4级</w:t>
                  </w:r>
                </w:p>
              </w:tc>
              <w:tc>
                <w:tcPr>
                  <w:tcW w:w="1016" w:type="pct"/>
                  <w:vAlign w:val="center"/>
                </w:tcPr>
                <w:p>
                  <w:pPr>
                    <w:pStyle w:val="79"/>
                    <w:rPr>
                      <w:color w:val="auto"/>
                      <w:highlight w:val="none"/>
                    </w:rPr>
                  </w:pPr>
                  <w:r>
                    <w:rPr>
                      <w:rFonts w:hint="eastAsia"/>
                      <w:color w:val="auto"/>
                      <w:highlight w:val="none"/>
                    </w:rPr>
                    <w:t>1</w:t>
                  </w:r>
                  <w:r>
                    <w:rPr>
                      <w:color w:val="auto"/>
                      <w:highlight w:val="none"/>
                    </w:rPr>
                    <w:t>.10</w:t>
                  </w:r>
                </w:p>
              </w:tc>
              <w:tc>
                <w:tcPr>
                  <w:tcW w:w="1084" w:type="pct"/>
                  <w:vAlign w:val="center"/>
                </w:tcPr>
                <w:p>
                  <w:pPr>
                    <w:pStyle w:val="79"/>
                    <w:rPr>
                      <w:color w:val="auto"/>
                      <w:highlight w:val="none"/>
                    </w:rPr>
                  </w:pPr>
                  <w:r>
                    <w:rPr>
                      <w:color w:val="auto"/>
                      <w:highlight w:val="none"/>
                    </w:rPr>
                    <w:t>1.05</w:t>
                  </w:r>
                </w:p>
              </w:tc>
              <w:tc>
                <w:tcPr>
                  <w:tcW w:w="1082" w:type="pct"/>
                  <w:vAlign w:val="center"/>
                </w:tcPr>
                <w:p>
                  <w:pPr>
                    <w:pStyle w:val="79"/>
                    <w:rPr>
                      <w:color w:val="auto"/>
                      <w:highlight w:val="none"/>
                    </w:rPr>
                  </w:pPr>
                  <w:r>
                    <w:rPr>
                      <w:rFonts w:hint="eastAsia"/>
                      <w:color w:val="auto"/>
                      <w:highlight w:val="none"/>
                    </w:rPr>
                    <w:t>1</w:t>
                  </w:r>
                  <w:r>
                    <w:rPr>
                      <w:color w:val="auto"/>
                      <w:highlight w:val="none"/>
                    </w:rPr>
                    <w:t>.0</w:t>
                  </w:r>
                </w:p>
              </w:tc>
            </w:tr>
          </w:tbl>
          <w:p>
            <w:pPr>
              <w:spacing w:line="360" w:lineRule="auto"/>
              <w:ind w:firstLine="482" w:firstLineChars="200"/>
              <w:rPr>
                <w:rFonts w:hint="eastAsia" w:ascii="Arial" w:hAnsi="宋体" w:cs="Arial"/>
                <w:b/>
                <w:color w:val="auto"/>
                <w:sz w:val="24"/>
                <w:highlight w:val="none"/>
                <w:lang w:val="en-US" w:eastAsia="zh-CN"/>
              </w:rPr>
            </w:pPr>
            <w:bookmarkStart w:id="13" w:name="_Toc55205106"/>
            <w:r>
              <w:rPr>
                <w:rFonts w:hint="eastAsia" w:ascii="Arial" w:hAnsi="宋体" w:cs="Arial"/>
                <w:b/>
                <w:color w:val="auto"/>
                <w:sz w:val="24"/>
                <w:highlight w:val="none"/>
                <w:lang w:val="en-US" w:eastAsia="zh-CN"/>
              </w:rPr>
              <w:t>6、主要建筑物轴线选择</w:t>
            </w:r>
            <w:bookmarkEnd w:id="13"/>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 xml:space="preserve">⑴ </w:t>
            </w:r>
            <w:r>
              <w:rPr>
                <w:rFonts w:hint="eastAsia" w:ascii="Times New Roman" w:hAnsi="Times New Roman" w:eastAsia="宋体" w:cs="Times New Roman"/>
                <w:b/>
                <w:bCs/>
                <w:color w:val="auto"/>
                <w:kern w:val="2"/>
                <w:sz w:val="24"/>
                <w:szCs w:val="24"/>
                <w:highlight w:val="none"/>
                <w:lang w:val="en-US" w:eastAsia="zh-CN" w:bidi="ar-SA"/>
              </w:rPr>
              <w:t>推荐坝址基本情况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辜家河为东河左岸一级支流，发源于广元市旺苍县东河镇川山村王台包（峰顶高程1085m），上游称作坊沟，向西南流至东河镇凤阳村左纳苟家湾沟后为中游，称作辜家河，又称奉家河，转西行至凤阳村境内左纳朱家湾，之后转西北进入东河镇红垭村左纳大塘沟，过井坝为下游，在昝家石坝处折向西南，于观音岩处汇入东河。辜家河流域介于东经106゜14′～106゜19′之间，北纬32゜11′～32゜13′之间，流域面积20.6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，河道长10.7km，河道平均比降20.2‰。辜家河流域呈树枝状，水系发育，地势由东向西倾斜，东高西低。</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在可行性研究阶段，</w:t>
            </w:r>
            <w:r>
              <w:rPr>
                <w:rFonts w:hint="eastAsia" w:cs="Times New Roman"/>
                <w:color w:val="auto"/>
                <w:kern w:val="2"/>
                <w:sz w:val="24"/>
                <w:szCs w:val="24"/>
                <w:highlight w:val="none"/>
                <w:lang w:val="en-US" w:eastAsia="zh-CN" w:bidi="ar-SA"/>
              </w:rPr>
              <w:t>项目业主</w:t>
            </w:r>
            <w:r>
              <w:rPr>
                <w:rFonts w:hint="eastAsia" w:ascii="Times New Roman" w:hAnsi="Times New Roman" w:eastAsia="宋体" w:cs="Times New Roman"/>
                <w:color w:val="auto"/>
                <w:kern w:val="2"/>
                <w:sz w:val="24"/>
                <w:szCs w:val="24"/>
                <w:highlight w:val="none"/>
                <w:lang w:val="en-US" w:eastAsia="zh-CN" w:bidi="ar-SA"/>
              </w:rPr>
              <w:t>经过多次对三合水库所在流域及灌区进行现场踏勘，并与相关部门研究，结合工程区的地形、地质及灌面分布情况，确定坝址河段位于辜家河中游河段，结合该河段多年平均年来水量、灌区高程及分布情况等因素，拟定上（天星桥坝址）、中（蒲家梁坝址）、下（下红岩坝址）3个坝址方案。经技术经济比较推荐上坝址（天星桥坝址）方案。</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上坝址位于两支沟汇口下游约100m处，距河口7.5km，河底高程为546.00m。该坝址控制集雨面积7.6km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，坝址多年平均来水量为397万m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，正常蓄水位594.50m，正常库容为307万m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，死水位567.00m，死库容34万m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，兴利库容为273万m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，设计灌面2.14万亩，具备建坝成库条件，能满足灌区灌溉等综合利用要求。</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⑵ 坝轴线方案初拟</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上坝址所在河段的地形、地质条件，本阶段在前期工作的基础上，拟定两条坝线进行比较，其中下坝线为原可研阶段上坝址轴线，上坝线为下坝线右岸向上游旋转约10°，左岸与下坝线相同，河床部位位于下坝线上游约15m，右岸位于下坝线上游约30m，两个坝线均具备枢纽布置条件。</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根据上坝址河段地形地貌，上坝线上游为河道交汇口，坝线不宜继续上移。下坝线下游两岸岸坡较缓，右岸岸坡分布一条冲沟和奉家河滑坡体，地形、地质条件均较差，故坝线不宜向下游选取。</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⑶ 上、下坝线枢纽布置方案</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上、下坝线的地层岩性均为侏罗系上统</w:t>
            </w:r>
            <w:r>
              <w:rPr>
                <w:rFonts w:hint="eastAsia" w:ascii="Times New Roman" w:hAnsi="Times New Roman" w:eastAsia="宋体" w:cs="Times New Roman"/>
                <w:color w:val="auto"/>
                <w:kern w:val="2"/>
                <w:sz w:val="24"/>
                <w:szCs w:val="24"/>
                <w:highlight w:val="none"/>
                <w:lang w:val="zh-CN" w:eastAsia="zh-CN" w:bidi="ar-SA"/>
              </w:rPr>
              <w:t>蓬莱镇组第一段（</w:t>
            </w:r>
            <w:r>
              <w:rPr>
                <w:rFonts w:hint="eastAsia" w:ascii="Times New Roman" w:hAnsi="Times New Roman" w:eastAsia="宋体" w:cs="Times New Roman"/>
                <w:color w:val="auto"/>
                <w:kern w:val="2"/>
                <w:sz w:val="24"/>
                <w:szCs w:val="24"/>
                <w:highlight w:val="none"/>
                <w:lang w:val="en-US" w:eastAsia="zh-CN" w:bidi="ar-SA"/>
              </w:rPr>
              <w:t>J3p1</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砂岩、粉砂质泥岩等两种岩性，弱风化和新鲜砂岩分别为27.2MPa和33.6MPa，属较软岩、中硬岩；弱风化和新鲜粉砂质泥岩分别为11.5MPa和16.5MPa，分别属软岩、较软岩。且坝址区岩层分布有多条软弱夹层，坝基存在深层抗滑稳定问题，地质条件较差，</w:t>
            </w:r>
            <w:r>
              <w:rPr>
                <w:rFonts w:hint="eastAsia" w:ascii="Times New Roman" w:hAnsi="Times New Roman" w:eastAsia="宋体" w:cs="Times New Roman"/>
                <w:b/>
                <w:bCs/>
                <w:color w:val="auto"/>
                <w:kern w:val="2"/>
                <w:sz w:val="24"/>
                <w:szCs w:val="24"/>
                <w:highlight w:val="none"/>
                <w:u w:val="single"/>
                <w:lang w:val="en-US" w:eastAsia="zh-CN" w:bidi="ar-SA"/>
              </w:rPr>
              <w:t>因此本工程不宜选用重力坝等刚性坝体</w:t>
            </w:r>
            <w:r>
              <w:rPr>
                <w:rFonts w:hint="eastAsia" w:ascii="Times New Roman" w:hAnsi="Times New Roman" w:eastAsia="宋体" w:cs="Times New Roman"/>
                <w:color w:val="auto"/>
                <w:kern w:val="2"/>
                <w:sz w:val="24"/>
                <w:szCs w:val="24"/>
                <w:highlight w:val="none"/>
                <w:lang w:val="en-US" w:eastAsia="zh-CN" w:bidi="ar-SA"/>
              </w:rPr>
              <w:t>。</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另外，</w:t>
            </w:r>
            <w:r>
              <w:rPr>
                <w:rFonts w:hint="eastAsia" w:ascii="Times New Roman" w:hAnsi="Times New Roman" w:eastAsia="宋体" w:cs="Times New Roman"/>
                <w:color w:val="auto"/>
                <w:kern w:val="2"/>
                <w:sz w:val="24"/>
                <w:szCs w:val="24"/>
                <w:highlight w:val="none"/>
                <w:lang w:val="en-US" w:eastAsia="zh-CN" w:bidi="ar-SA"/>
              </w:rPr>
              <w:t>工区附近有赵家山石渣料场，储量丰富，质量可满足石渣填筑料的要求。因此，本阶段根据上、下坝线地形、地质条件和当地建筑材料情况，初步拟定</w:t>
            </w:r>
            <w:r>
              <w:rPr>
                <w:rFonts w:hint="eastAsia" w:ascii="Times New Roman" w:hAnsi="Times New Roman" w:eastAsia="宋体" w:cs="Times New Roman"/>
                <w:b/>
                <w:bCs/>
                <w:color w:val="auto"/>
                <w:kern w:val="2"/>
                <w:sz w:val="24"/>
                <w:szCs w:val="24"/>
                <w:highlight w:val="none"/>
                <w:u w:val="single"/>
                <w:lang w:val="en-US" w:eastAsia="zh-CN" w:bidi="ar-SA"/>
              </w:rPr>
              <w:t>沥青混凝土心墙石渣坝</w:t>
            </w:r>
            <w:r>
              <w:rPr>
                <w:rFonts w:hint="eastAsia" w:ascii="Times New Roman" w:hAnsi="Times New Roman" w:eastAsia="宋体" w:cs="Times New Roman"/>
                <w:color w:val="auto"/>
                <w:kern w:val="2"/>
                <w:sz w:val="24"/>
                <w:szCs w:val="24"/>
                <w:highlight w:val="none"/>
                <w:lang w:val="en-US" w:eastAsia="zh-CN" w:bidi="ar-SA"/>
              </w:rPr>
              <w:t>作为代表坝型进行坝址比选。</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 xml:space="preserve">① </w:t>
            </w:r>
            <w:r>
              <w:rPr>
                <w:rFonts w:hint="eastAsia" w:ascii="Times New Roman" w:hAnsi="Times New Roman" w:eastAsia="宋体" w:cs="Times New Roman"/>
                <w:b/>
                <w:bCs/>
                <w:color w:val="auto"/>
                <w:kern w:val="2"/>
                <w:sz w:val="24"/>
                <w:szCs w:val="24"/>
                <w:highlight w:val="none"/>
                <w:lang w:val="en-US" w:eastAsia="zh-CN" w:bidi="ar-SA"/>
              </w:rPr>
              <w:t>上坝线方案</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bookmarkStart w:id="14" w:name="_Hlk11399489"/>
            <w:bookmarkStart w:id="15" w:name="_Hlk23925122"/>
            <w:r>
              <w:rPr>
                <w:rFonts w:hint="eastAsia" w:ascii="Times New Roman" w:hAnsi="Times New Roman" w:eastAsia="宋体" w:cs="Times New Roman"/>
                <w:color w:val="auto"/>
                <w:kern w:val="2"/>
                <w:sz w:val="24"/>
                <w:szCs w:val="24"/>
                <w:highlight w:val="none"/>
                <w:lang w:val="en-US" w:eastAsia="zh-CN" w:bidi="ar-SA"/>
              </w:rPr>
              <w:t>枢纽建筑物由拦河大坝、溢洪道、取水（放空、导流）隧洞等组成。</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A、拦河大坝</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大坝为碾压式沥青混凝土心墙石渣坝，坝轴线长175m，坝顶宽6m，坝顶高程597.50m，最大坝高54.5m，正常蓄水位为594.50m。坝顶上游侧设C25钢筋混凝土防浪墙，墙顶高程598.70m。坝顶采用20cm厚C20混凝土路面，下设20cm厚水泥稳定碎石垫层。大坝防渗体采用碾压式沥青混凝土心墙，其轴线位于坝轴线上游2m，心墙宽0.6~0.8m。心墙两侧设3~3.1m厚过渡层。心墙底部设置C25钢筋砼基座，宽6.8m，高1.5m。心墙与溢洪道边墙连接处，采用扩大接触面并设铜止水。坝壳采用石渣料填筑，大坝上游坝坡分为两级，高程569.00m以上坡比为1:2.25，以下坡比为1：2.5，采用15cm厚C20混凝土预制块护坡，护坡底界高程558.50m。下游坝坡坡分为3级，高程548.00m以上坡比均为1:2.25，采用C25钢筋混凝土框格草皮护坡，以下坡比1:1.5，为排水棱体，内坡坡比1:1。大坝下游高程547.50m以下为排水带，高程547.50m以上设0.5m厚反滤层。</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大坝基础及坝肩采用帷幕灌浆进行防渗，帷幕深度按伸入岩体透水率q≤10Lu界线以下5.0m控制。帷幕灌浆孔为单排设置，孔距2m。两岸帷幕分别向山体延伸至正常蓄水位与岩体透水率10Lu线的交汇处。左岸地形较陡，采用灌浆平硐，长46.5m。右岸坡度较缓，采用从地表钻孔灌浆，防渗线长62m。同时对基座下部岩石进行固结灌浆，灌浆深度为6m，固结灌浆孔共2排，排距4.0m，孔距2.0m。</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u w:val="none"/>
                <w:lang w:val="en-US" w:eastAsia="zh-CN" w:bidi="ar-SA"/>
              </w:rPr>
              <w:t>B、溢洪道</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溢洪道位于大坝左岸，水平投影总长322.30m，为开敞式侧堰无闸控制明槽溢洪道。侧堰采用WES实用堰，堰顶高程594.50m，净宽20m。侧槽首端断面底宽4m，末端断面底宽8m，底坡1:500。槽末接水平调整段，长20m。调整段后接泄槽段，泄槽采用矩形断面。泄槽缓坡段底坡1/20，水平投影长28.48m，陡坡段底坡1/3，水平投影长171.81m。泄槽段后接消力池，消力池长47m，深3m，宽6m，消力池底板顶高程531.50m。消力池为整体式消力池，采用C30钢筋混凝土衬砌，底板衬砌厚度2m，墙顶高程541.50m，边墙高10m，顶宽0.6m，面坡垂直，背坡坡比为1：0.25。消力池后接尾水渠段，水平投影长35m，尾水渠底板采用1m厚C20混凝土衬砌。两岸岸坡采用C20混凝土挡墙衬砌。</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C、</w:t>
            </w:r>
            <w:r>
              <w:rPr>
                <w:rFonts w:hint="eastAsia" w:ascii="Times New Roman" w:hAnsi="Times New Roman" w:eastAsia="宋体" w:cs="Times New Roman"/>
                <w:b/>
                <w:bCs/>
                <w:color w:val="auto"/>
                <w:kern w:val="2"/>
                <w:sz w:val="24"/>
                <w:szCs w:val="24"/>
                <w:highlight w:val="none"/>
                <w:lang w:val="en-US" w:eastAsia="zh-CN" w:bidi="ar-SA"/>
              </w:rPr>
              <w:t>取水（放空、导流）隧洞</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布置在大坝左岸山体内，由导流隧洞改建而成，由进口明渠段、拦砂竖井段、第一隧洞段、竖井闸室段、第二隧洞段、出口明渠段组成，水平投影总长331.05m，其中洞身段水平投影长293m。进口为明渠段，长7.5m，采用30cm厚C20混凝土衬砌，底板高程552.00m。明渠段后接拦砂竖井段，长5m，为C25钢筋混凝土结构，拦砂竖井内设钢筋砼叠梁门，竖井上部进水口高程为557.00m。拦砂竖井后接第一隧洞段，长69.7m，洞身为城门洞型结构，净尺寸为2.5×3.0m（宽×高）。第一隧洞段后为竖井闸室段，竖井采用C25钢筋混凝土结构，长5m。取水塔闸室内设拦污栅和检修（事故）闸门一扇，闸门后设DN100通气钢管。闸门板顶高程549.79m，孔口尺寸1.0×1.0m，闸后断面由矩形渐变为圆形，竖井闸室后接第二隧洞段，长218.3m，洞身为城门洞型结构，净尺寸为2.5×3.0m（宽×高）。沿隧洞敷设DN800取水（放空、生态放水）钢管。隧洞出口设置闸房，放空钢管末端设置锥形阀，并岔设DN100生态放水钢管，采用偏心半球阀控制。采用DN700取水钢管接灌区干管，于闸房内设偏心半球阀控制。出口设置明渠段，采用40cm厚C20混凝土衬砌。</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② 下坝线方案</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枢纽建筑物由拦河大坝、溢洪道、取水（放空、导流）隧洞等组成。</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A、大坝</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大坝为碾压式沥青混凝土心墙石渣坝，坝轴线长185m，坝顶宽6m，坝顶高程597.50m，最大坝高54.5m，正常蓄水位为594.50m。坝顶上游侧设C25钢筋混凝土防浪墙，墙顶高程598.70m。坝顶采用20cm厚C20混凝土路面，下设20cm厚水泥稳定碎石垫层。大坝防渗体碾压式沥青混凝土心墙，其轴线位于坝轴线上游2m，心墙宽0.6~0.8m。心墙两侧设3~3.1m厚过渡层。心墙底部设置C25钢筋砼基座，宽6.8m，高1.5m。心墙与溢洪道边墙连接处，采用扩大接触面并设铜止水。坝壳采用石渣料填筑，大坝上游坝坡分为两级，高程569.00m以上坡比为1:2.25，以下坡比为1：2.5，采用15cm厚C20混凝土预制块护坡，护坡底界高程558.50m。下游坝坡坡分为3级，高程548.00m以上坡比均为1:2.25，采用C25钢筋混凝土框格草皮护坡，以下坡比1:1.5，为排水棱体，内坡坡比1:1。大坝下游高程547.50m以下为排水带，高程547.50m以上设0.5m厚反滤层。</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大坝基础及坝肩采用帷幕灌浆进行防渗，帷幕深度按伸入岩体透水率q≤10Lu界线以下5m控制。设单排灌浆帷幕，孔距2m布置，两岸帷幕分别向山体延伸至正常蓄水位与水库蓄水前两岸的地下水位相交处。左岸利用灌浆平洞对左坝肩进行帷幕灌浆，灌浆平硐长32.80m。右岸从地表进行灌浆，防渗线长24m。对帷幕灌浆两侧进行固结灌浆，固结灌浆深6m，孔距2m，排距4m布置。</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B、</w:t>
            </w:r>
            <w:r>
              <w:rPr>
                <w:rFonts w:hint="eastAsia" w:ascii="Times New Roman" w:hAnsi="Times New Roman" w:eastAsia="宋体" w:cs="Times New Roman"/>
                <w:color w:val="auto"/>
                <w:kern w:val="2"/>
                <w:sz w:val="24"/>
                <w:szCs w:val="24"/>
                <w:highlight w:val="none"/>
                <w:lang w:val="en-US" w:eastAsia="zh-CN" w:bidi="ar-SA"/>
              </w:rPr>
              <w:t>溢洪道、取水（放空、导流）隧洞等建筑物布置与上坝线基本相同。</w:t>
            </w:r>
          </w:p>
          <w:bookmarkEnd w:id="14"/>
          <w:bookmarkEnd w:id="15"/>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⑷ 坝线选择</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根据上、下坝线的地形、地质条件，结合选定的坝型和相应的工程布置，分别从地形、地质条件、水库条件、水库淹没指标、工程布置条件、施工条件和经济指标等各方面对枢纽坝址方案进行比较，下坝线在工程投资优于上坝线。综合考虑，本阶段推荐下坝线。</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⑸ 枢纽工程总体布置</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枢纽工程由拦河大坝、开敞式溢洪道、取水放空（导流）隧洞组成。分别如下：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Arial" w:hAnsi="宋体" w:cs="Arial"/>
                <w:b/>
                <w:color w:val="auto"/>
                <w:sz w:val="24"/>
                <w:highlight w:val="none"/>
                <w:lang w:val="en-US" w:eastAsia="zh-CN" w:bidi="en-US"/>
              </w:rPr>
            </w:pPr>
            <w:r>
              <w:rPr>
                <w:rFonts w:hint="eastAsia" w:ascii="Arial" w:hAnsi="宋体" w:cs="Arial"/>
                <w:b/>
                <w:color w:val="auto"/>
                <w:sz w:val="24"/>
                <w:highlight w:val="none"/>
                <w:lang w:val="en-US" w:eastAsia="zh-CN" w:bidi="en-US"/>
              </w:rPr>
              <w:t>① 大坝工程</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大坝坝顶高程597.50m，坝顶上游侧设防浪墙，墙顶高程598.70m。坝顶宽6m，坝长185m，最大坝高54.5m。大坝上游坝坡分为两级，高程569.00m以上坡比为1:2.25，以下坡比为1：2.5。下游坝坡分为3级，高程548.00m以上坡比均为1:2.25，高程548.00m以下为排水棱体，外坡坡比1：1.5，内坡坡比1：1。坝体由上游混凝土预制块护坡、上游石渣料Ⅰ、上游石渣料Ⅱ、上游过渡层、碾压式沥青混凝土心墙、下游过渡层、下游石渣料、下游水平反滤层、下游排水带、下游排水棱体、下游混凝土框格草皮护坡组成。</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上游高程558.50m以上采用15cm厚C20混凝土预制六棱块块护坡，下铺15cm厚碎石垫层。大坝上游与临时挡水断面相结合，设一级马道，顶高程569.00m。大坝下游坡脚设排水棱体，顶高程548.00m，顶宽2m，外坡坡比1:1.5，内坡坡比1:1。坝顶采用20cm厚C20混凝土路面，下设20cm厚水泥稳定碎石垫层。大坝防渗体碾压式沥青混凝土心墙，心墙轴线位于坝轴线上游2m，顶高程596.85m，宽0.6~0.8m，并与防浪墙紧密衔接。心墙两侧设3m~3.1m厚过渡层，心墙与溢洪道闸室边墙连接处，采用接触面扩大和铜止水连接。下游护坡采用C25钢筋混凝土框格草皮护坡，框格尺寸为3.0m×3.0m，框格梁尺寸为0.20m×0.25m（B×H）。</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其中：</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上、下游石渣料选用赵家山料场开采的新鲜~弱风化的砂岩为主的石渣料填筑。石渣料最大粒径800mm，填筑碾压后粒径小于5mm；</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沥青混凝土心墙选择优质的沥青是保证沥青混凝土心墙质量的重要条件，本次工程配套设置一处沥青混凝土拌合站，专门生产水工沥青用作沥青心墙的沥青，整个配套沥青拌合站生产周期约450天，对此，评价要求项目配套的沥青拌合站仅用于项目建设所用沥青的生产，禁止对外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Arial" w:hAnsi="宋体" w:cs="Arial"/>
                <w:b/>
                <w:color w:val="auto"/>
                <w:sz w:val="24"/>
                <w:highlight w:val="none"/>
                <w:lang w:val="en-US" w:eastAsia="zh-CN" w:bidi="en-US"/>
              </w:rPr>
            </w:pPr>
            <w:r>
              <w:rPr>
                <w:rFonts w:hint="eastAsia" w:ascii="Arial" w:hAnsi="宋体" w:cs="Arial"/>
                <w:b/>
                <w:color w:val="auto"/>
                <w:sz w:val="24"/>
                <w:highlight w:val="none"/>
                <w:lang w:val="en-US" w:eastAsia="zh-CN" w:bidi="en-US"/>
              </w:rPr>
              <w:t>② 溢洪道</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溢洪道由侧槽段、调整段、泄槽段、消力池段和尾水渠段组成。</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A、</w:t>
            </w:r>
            <w:r>
              <w:rPr>
                <w:rFonts w:hint="default" w:cs="Times New Roman"/>
                <w:color w:val="auto"/>
                <w:kern w:val="2"/>
                <w:sz w:val="24"/>
                <w:szCs w:val="24"/>
                <w:highlight w:val="none"/>
                <w:lang w:val="en-US" w:eastAsia="zh-CN" w:bidi="ar-SA"/>
              </w:rPr>
              <w:t>侧槽段（桩号溢0+000.00～溢0+020.00）</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侧堰布置于大坝左岸，采用WES实用堰，堰顶高程594.50m，溢流净宽为20m。侧槽首端断面底宽4m，末端断面底宽8m，底坡为1:500。侧槽进口端墙顶高程598.00m，厚1m，采用C30钢筋混凝土衬砌。槽内为梯形断面，靠山侧坡比为1:0.75，溢流堰、侧槽边墙及底板均采用C30钢筋混凝土衬砌，底板衬砌厚度为80cm，边墙衬砌厚度为50cm，侧堰末端与调整段相接。</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B、</w:t>
            </w:r>
            <w:r>
              <w:rPr>
                <w:rFonts w:hint="default" w:cs="Times New Roman"/>
                <w:color w:val="auto"/>
                <w:kern w:val="2"/>
                <w:sz w:val="24"/>
                <w:szCs w:val="24"/>
                <w:highlight w:val="none"/>
                <w:lang w:val="en-US" w:eastAsia="zh-CN" w:bidi="ar-SA"/>
              </w:rPr>
              <w:t>调整段（桩号溢0+020.00～溢0+040.00）</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水平调整段底板高程为589.00m，长20m，断面底宽8m。边墙、底板均采用C30钢筋混凝土浇筑。顶部设交通桥，采用简支梁结构，实心板单跨9.0m，厚0.5m，两侧布置有扶手栏杆，桥面宽度6m，桥面高程597.50m。</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C、</w:t>
            </w:r>
            <w:r>
              <w:rPr>
                <w:rFonts w:hint="default" w:cs="Times New Roman"/>
                <w:color w:val="auto"/>
                <w:kern w:val="2"/>
                <w:sz w:val="24"/>
                <w:szCs w:val="24"/>
                <w:highlight w:val="none"/>
                <w:lang w:val="en-US" w:eastAsia="zh-CN" w:bidi="ar-SA"/>
              </w:rPr>
              <w:t>泄槽段（溢0+040.00～溢0+240.30）</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桩号溢0+040.00～溢0+068.48为泄槽缓坡段，底坡为1/20，泄槽段均采用整体式矩形衬砌断面，净宽8m，底板与边墙均采用80cm厚C30钢筋混凝土衬砌。</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溢0+068.48～溢0+240.30为泄槽陡坡段，其中桩号溢0+068.48～溢0+074.62为底坡渐变段，底坡由1/20渐变至1/3，采用抛物线连接，该段采用整体式矩形衬砌断面，净宽8m，底板与边墙均采用80cm厚C30钢筋混凝土衬砌。桩号溢0+074.62～溢0+089.62段底宽由8m渐变至6m，该段采用整体式矩形衬砌断面，底板与边墙均采用60cm厚C30钢筋混凝土衬砌。桩号溢0+089.62～溢0+240.30段净宽6m，该段采用整体式矩形衬砌断面，底板与边墙均采用60cm厚C30钢筋混凝土衬砌。</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D、</w:t>
            </w:r>
            <w:r>
              <w:rPr>
                <w:rFonts w:hint="default" w:cs="Times New Roman"/>
                <w:color w:val="auto"/>
                <w:kern w:val="2"/>
                <w:sz w:val="24"/>
                <w:szCs w:val="24"/>
                <w:highlight w:val="none"/>
                <w:lang w:val="en-US" w:eastAsia="zh-CN" w:bidi="ar-SA"/>
              </w:rPr>
              <w:t>消力池段（溢0+240.30～溢0+287.30）</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消力池采用底流消能，池底板高程531.50m，水平投影长47m，采用C30钢筋混凝土衬砌。消力池净宽6m，池深3m，底板衬砌厚度2m。消力池边墙顶高程541.50m，墙高10m，顶宽60cm，边墙面坡垂直，背坡坡比1：0.25。</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E、</w:t>
            </w:r>
            <w:r>
              <w:rPr>
                <w:rFonts w:hint="default" w:cs="Times New Roman"/>
                <w:color w:val="auto"/>
                <w:kern w:val="2"/>
                <w:sz w:val="24"/>
                <w:szCs w:val="24"/>
                <w:highlight w:val="none"/>
                <w:lang w:val="en-US" w:eastAsia="zh-CN" w:bidi="ar-SA"/>
              </w:rPr>
              <w:t>尾水渠段（溢0+287.30～溢0+322.30）</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消力池后接尾水渠段，水平投影长35m，底板采用1m厚C20砼衬砌。左岸岸坡采用C20混凝土重力式挡墙衬砌，挡墙顶高程为539.30m，墙顶宽80cm，背坡坡比为1:0.4，面坡垂直。右岸岸坡采用C20混凝土仰斜式挡墙衬砌，挡墙顶高程为539.30m，墙顶宽130cm，背坡坡比为1:0.15，面坡坡比为1:0.35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Arial" w:hAnsi="宋体" w:cs="Arial"/>
                <w:b/>
                <w:color w:val="auto"/>
                <w:sz w:val="24"/>
                <w:highlight w:val="none"/>
                <w:lang w:val="en-US" w:eastAsia="zh-CN" w:bidi="en-US"/>
              </w:rPr>
            </w:pPr>
            <w:r>
              <w:rPr>
                <w:rFonts w:hint="eastAsia" w:ascii="Arial" w:hAnsi="宋体" w:cs="Arial"/>
                <w:b/>
                <w:color w:val="auto"/>
                <w:sz w:val="24"/>
                <w:highlight w:val="none"/>
                <w:lang w:val="en-US" w:eastAsia="zh-CN" w:bidi="en-US"/>
              </w:rPr>
              <w:t xml:space="preserve">③ </w:t>
            </w:r>
            <w:r>
              <w:rPr>
                <w:rFonts w:hint="eastAsia" w:ascii="Times New Roman" w:hAnsi="Times New Roman" w:eastAsia="宋体" w:cs="Times New Roman"/>
                <w:b/>
                <w:bCs/>
                <w:color w:val="auto"/>
                <w:kern w:val="2"/>
                <w:sz w:val="24"/>
                <w:szCs w:val="24"/>
                <w:highlight w:val="none"/>
                <w:lang w:val="en-US" w:eastAsia="zh-CN" w:bidi="ar-SA"/>
              </w:rPr>
              <w:t>取水（放空、导流）隧洞</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根据本工程地形、地质条件，取水（放空、导流）隧洞布置在大坝左岸，由</w:t>
            </w:r>
            <w:r>
              <w:rPr>
                <w:rFonts w:hint="default" w:cs="Times New Roman"/>
                <w:b/>
                <w:bCs/>
                <w:color w:val="auto"/>
                <w:kern w:val="2"/>
                <w:sz w:val="24"/>
                <w:szCs w:val="24"/>
                <w:highlight w:val="none"/>
                <w:lang w:val="en-US" w:eastAsia="zh-CN" w:bidi="ar-SA"/>
              </w:rPr>
              <w:t>导流洞改建而成</w:t>
            </w:r>
            <w:r>
              <w:rPr>
                <w:rFonts w:hint="eastAsia" w:cs="Times New Roman"/>
                <w:color w:val="auto"/>
                <w:kern w:val="2"/>
                <w:sz w:val="24"/>
                <w:szCs w:val="24"/>
                <w:highlight w:val="none"/>
                <w:lang w:val="en-US" w:eastAsia="zh-CN" w:bidi="ar-SA"/>
              </w:rPr>
              <w:t>，</w:t>
            </w:r>
            <w:r>
              <w:rPr>
                <w:rFonts w:hint="default" w:cs="Times New Roman"/>
                <w:color w:val="auto"/>
                <w:kern w:val="2"/>
                <w:sz w:val="24"/>
                <w:szCs w:val="24"/>
                <w:highlight w:val="none"/>
                <w:lang w:val="en-US" w:eastAsia="zh-CN" w:bidi="ar-SA"/>
              </w:rPr>
              <w:t>采用竖井式取水口，进水口高程为557.00m，高于淤沙高程（555.36）1.64m。取水（放空、导流）隧洞由进口明渠段、拦砂竖井段、第一隧洞段、竖井闸室段、第二隧洞段和出口明渠段组成，取水（放空、导流）隧洞水平投影总长331.05m。</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A、</w:t>
            </w:r>
            <w:r>
              <w:rPr>
                <w:rFonts w:hint="default" w:cs="Times New Roman"/>
                <w:color w:val="auto"/>
                <w:kern w:val="2"/>
                <w:sz w:val="24"/>
                <w:szCs w:val="24"/>
                <w:highlight w:val="none"/>
                <w:lang w:val="en-US" w:eastAsia="zh-CN" w:bidi="ar-SA"/>
              </w:rPr>
              <w:t>进口明渠段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桩号取0-012.50~取0-005.00为进口明渠段，进口底板高程552.00m。底板净宽1m，采用30cm厚C20混凝土衬砌。两侧边墙高2m，坡比均为1:1，采用30cm厚C20混凝土衬砌。进口明渠段后接拦沙竖井段。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B、</w:t>
            </w:r>
            <w:r>
              <w:rPr>
                <w:rFonts w:hint="default" w:cs="Times New Roman"/>
                <w:color w:val="auto"/>
                <w:kern w:val="2"/>
                <w:sz w:val="24"/>
                <w:szCs w:val="24"/>
                <w:highlight w:val="none"/>
                <w:lang w:val="en-US" w:eastAsia="zh-CN" w:bidi="ar-SA"/>
              </w:rPr>
              <w:t>拦沙竖井段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桩号取0-005.00～取0+000.00段为拦沙竖井段，采用竖井取水口。竖井长5m，为C25钢筋混凝土结构，拦砂竖井内设钢筋砼叠梁门，竖井上部进水口高程为557.00m。</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C、</w:t>
            </w:r>
            <w:r>
              <w:rPr>
                <w:rFonts w:hint="default" w:cs="Times New Roman"/>
                <w:color w:val="auto"/>
                <w:kern w:val="2"/>
                <w:sz w:val="24"/>
                <w:szCs w:val="24"/>
                <w:highlight w:val="none"/>
                <w:lang w:val="en-US" w:eastAsia="zh-CN" w:bidi="ar-SA"/>
              </w:rPr>
              <w:t>第一隧洞段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取0+000.00~取0+069.70为第一隧洞段，长69.7m，隧洞底坡为1/31.6。洞身为城门洞型结构，净尺寸为2.5×3.0m（宽×高），采用C25钢筋混凝土衬砌，厚40cm。后接竖井闸室段。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D、</w:t>
            </w:r>
            <w:r>
              <w:rPr>
                <w:rFonts w:hint="default" w:cs="Times New Roman"/>
                <w:color w:val="auto"/>
                <w:kern w:val="2"/>
                <w:sz w:val="24"/>
                <w:szCs w:val="24"/>
                <w:highlight w:val="none"/>
                <w:lang w:val="en-US" w:eastAsia="zh-CN" w:bidi="ar-SA"/>
              </w:rPr>
              <w:t>竖井闸室段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取0+069.70~取0+074.70为竖井闸室段，竖井采用C25钢筋混凝土结构，长5m。竖井高49.91m（不计启闭机房高度），采用C30钢筋混凝土圆形结构，外径为5m。竖井内设置活动式拦污栅，尺寸为1×1.5m（宽×高），设置检修（事故）闸门一扇，采用平面钢闸门，固定式卷扬机启闭。闸门后设DN100通气钢管。闸门板顶高程549.79m，孔口尺寸1.0×1.0m，闸后断面由矩形渐变为圆形，渐变段每50cm设加劲环，收缩段后敷设DN800有压取水（放空、生态放水）钢管，钢管壁厚8mm。竖井闸室段后接第二隧洞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E、</w:t>
            </w:r>
            <w:r>
              <w:rPr>
                <w:rFonts w:hint="default" w:cs="Times New Roman"/>
                <w:color w:val="auto"/>
                <w:kern w:val="2"/>
                <w:sz w:val="24"/>
                <w:szCs w:val="24"/>
                <w:highlight w:val="none"/>
                <w:lang w:val="en-US" w:eastAsia="zh-CN" w:bidi="ar-SA"/>
              </w:rPr>
              <w:t>第二隧洞段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桩号取0+074.70～取0+293.00为第二隧洞段，洞身为城门洞型，净宽2.5m，净高3m，采用40cm厚C25钢筋混凝土衬砌，隧洞底坡为1/31.6。隧洞内敷设DN800钢管取水、放空。隧洞后接出口段。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F、</w:t>
            </w:r>
            <w:r>
              <w:rPr>
                <w:rFonts w:hint="default" w:cs="Times New Roman"/>
                <w:color w:val="auto"/>
                <w:kern w:val="2"/>
                <w:sz w:val="24"/>
                <w:szCs w:val="24"/>
                <w:highlight w:val="none"/>
                <w:lang w:val="en-US" w:eastAsia="zh-CN" w:bidi="ar-SA"/>
              </w:rPr>
              <w:t>出口段</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桩号取0+293.00～取0+318.55为出口段，出口底板起点高程542.73m。出口段底宽由2.5m渐变为6m，并与原河床平顺连接。明渠采用C20混凝土衬砌，衬砌厚度为0.4m。出口洞脸开挖坡比为1：0.75，采用钢筋网喷C20混凝土，厚10cm，设置Φ25砂浆锚杆，长5m，间排距2m布置。于出口处设管阀控制闸房，钢管末端设置锥形阀，置于闸房内，并设DN100生态放水钢管，采用偏心半球阀控制。采用DN700取水钢管接灌区干管，于闸房内设偏心半球阀控制。</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⑹ 灌区工程</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三合水库拟定灌区范围为：东以灌区高程控制，向西以东河为界，向北至东河镇谢家碥，向南至嘉川镇五四村石板沟，涉及旺苍县东河镇、嘉川镇2个镇13个村，灌溉面积为2.14万亩。三合水库灌区由1条干管和11条支管组成。灌区干管总长11.187km，支管总长13.052km。</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其中：</w:t>
            </w:r>
            <w:r>
              <w:rPr>
                <w:rFonts w:hint="default" w:cs="Times New Roman"/>
                <w:color w:val="auto"/>
                <w:kern w:val="2"/>
                <w:sz w:val="24"/>
                <w:szCs w:val="24"/>
                <w:highlight w:val="none"/>
                <w:lang w:val="en-US" w:eastAsia="zh-CN" w:bidi="ar-SA"/>
              </w:rPr>
              <w:t>干管起点接水库放水管末端，采用法兰连接，后沿右岸坡脚布置，沿途分别经过奉家河、下毛坪、红岩、甘家坡、李家梁、庙梁上、姚家梁、岩湾、梁家湾、南山坡、石板梁、南峰山、曹家沟、赵家沟、杨家湾、观音岩等，干管沿途设置奉家河支管提灌支管、奉家河支管、下毛坪支管、咎家院子支管、红岩提灌支管、吊脚楼支管、姚家梁支管、新房坪支管、赵家沟支管、小坪支管、谢家碥支管等共11条支管。下毛坪支管末端设置1座提灌站，小坪支管末端设置1座提灌站，控灌灌面面积为2.14万亩。干管共布置阀门井17座、给水口56座、排泥阀井24座、排气阀井33座</w:t>
            </w:r>
            <w:r>
              <w:rPr>
                <w:rFonts w:hint="eastAsia" w:cs="Times New Roman"/>
                <w:color w:val="auto"/>
                <w:kern w:val="2"/>
                <w:sz w:val="24"/>
                <w:szCs w:val="24"/>
                <w:highlight w:val="none"/>
                <w:lang w:val="en-US" w:eastAsia="zh-CN" w:bidi="ar-SA"/>
              </w:rPr>
              <w:t>。具体如下：</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① 干管</w:t>
            </w:r>
            <w:r>
              <w:rPr>
                <w:rFonts w:hint="default" w:cs="Times New Roman"/>
                <w:b/>
                <w:bCs/>
                <w:color w:val="auto"/>
                <w:kern w:val="2"/>
                <w:sz w:val="24"/>
                <w:szCs w:val="24"/>
                <w:highlight w:val="none"/>
                <w:lang w:val="en-US" w:eastAsia="zh-CN" w:bidi="ar-SA"/>
              </w:rPr>
              <w:t>布置</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A、干管走向</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干管起点接水库放水管末端，采用法兰连接，后沿右岸坡脚布置，于桩号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0+0</w:t>
            </w:r>
            <w:r>
              <w:rPr>
                <w:rFonts w:hint="default" w:cs="Times New Roman"/>
                <w:color w:val="auto"/>
                <w:kern w:val="2"/>
                <w:sz w:val="24"/>
                <w:szCs w:val="24"/>
                <w:highlight w:val="none"/>
                <w:lang w:val="en-US" w:eastAsia="zh-CN" w:bidi="ar-SA"/>
              </w:rPr>
              <w:t>75</w:t>
            </w:r>
            <w:r>
              <w:rPr>
                <w:rFonts w:hint="eastAsia" w:cs="Times New Roman"/>
                <w:color w:val="auto"/>
                <w:kern w:val="2"/>
                <w:sz w:val="24"/>
                <w:szCs w:val="24"/>
                <w:highlight w:val="none"/>
                <w:lang w:val="en-US" w:eastAsia="zh-CN" w:bidi="ar-SA"/>
              </w:rPr>
              <w:t>.</w:t>
            </w:r>
            <w:r>
              <w:rPr>
                <w:rFonts w:hint="default" w:cs="Times New Roman"/>
                <w:color w:val="auto"/>
                <w:kern w:val="2"/>
                <w:sz w:val="24"/>
                <w:szCs w:val="24"/>
                <w:highlight w:val="none"/>
                <w:lang w:val="en-US" w:eastAsia="zh-CN" w:bidi="ar-SA"/>
              </w:rPr>
              <w:t>00</w:t>
            </w:r>
            <w:r>
              <w:rPr>
                <w:rFonts w:hint="eastAsia" w:cs="Times New Roman"/>
                <w:color w:val="auto"/>
                <w:kern w:val="2"/>
                <w:sz w:val="24"/>
                <w:szCs w:val="24"/>
                <w:highlight w:val="none"/>
                <w:lang w:val="en-US" w:eastAsia="zh-CN" w:bidi="ar-SA"/>
              </w:rPr>
              <w:t>处设置奉家河提灌站，后沿路布置，于桩号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0+</w:t>
            </w:r>
            <w:r>
              <w:rPr>
                <w:rFonts w:hint="default" w:cs="Times New Roman"/>
                <w:color w:val="auto"/>
                <w:kern w:val="2"/>
                <w:sz w:val="24"/>
                <w:szCs w:val="24"/>
                <w:highlight w:val="none"/>
                <w:lang w:val="en-US" w:eastAsia="zh-CN" w:bidi="ar-SA"/>
              </w:rPr>
              <w:t>175.64</w:t>
            </w:r>
            <w:r>
              <w:rPr>
                <w:rFonts w:hint="eastAsia" w:cs="Times New Roman"/>
                <w:color w:val="auto"/>
                <w:kern w:val="2"/>
                <w:sz w:val="24"/>
                <w:szCs w:val="24"/>
                <w:highlight w:val="none"/>
                <w:lang w:val="en-US" w:eastAsia="zh-CN" w:bidi="ar-SA"/>
              </w:rPr>
              <w:t>处设置奉家河支管，继续沿山脚布置，以倒虹穿过陈家河，后于桩号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0+</w:t>
            </w:r>
            <w:r>
              <w:rPr>
                <w:rFonts w:hint="default" w:cs="Times New Roman"/>
                <w:color w:val="auto"/>
                <w:kern w:val="2"/>
                <w:sz w:val="24"/>
                <w:szCs w:val="24"/>
                <w:highlight w:val="none"/>
                <w:lang w:val="en-US" w:eastAsia="zh-CN" w:bidi="ar-SA"/>
              </w:rPr>
              <w:t>549.21</w:t>
            </w:r>
            <w:r>
              <w:rPr>
                <w:rFonts w:hint="eastAsia" w:cs="Times New Roman"/>
                <w:color w:val="auto"/>
                <w:kern w:val="2"/>
                <w:sz w:val="24"/>
                <w:szCs w:val="24"/>
                <w:highlight w:val="none"/>
                <w:lang w:val="en-US" w:eastAsia="zh-CN" w:bidi="ar-SA"/>
              </w:rPr>
              <w:t>处设置下毛坪支管，于下毛坪支管末端设置下毛坪提灌站，管道继续沿山坡布置，于桩号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1+</w:t>
            </w:r>
            <w:r>
              <w:rPr>
                <w:rFonts w:hint="default" w:cs="Times New Roman"/>
                <w:color w:val="auto"/>
                <w:kern w:val="2"/>
                <w:sz w:val="24"/>
                <w:szCs w:val="24"/>
                <w:highlight w:val="none"/>
                <w:lang w:val="en-US" w:eastAsia="zh-CN" w:bidi="ar-SA"/>
              </w:rPr>
              <w:t>103.51</w:t>
            </w:r>
            <w:r>
              <w:rPr>
                <w:rFonts w:hint="eastAsia" w:cs="Times New Roman"/>
                <w:color w:val="auto"/>
                <w:kern w:val="2"/>
                <w:sz w:val="24"/>
                <w:szCs w:val="24"/>
                <w:highlight w:val="none"/>
                <w:lang w:val="en-US" w:eastAsia="zh-CN" w:bidi="ar-SA"/>
              </w:rPr>
              <w:t>处设置咎家院子支管，管道继续沿山坡和道路布置，于桩号</w:t>
            </w:r>
            <w:r>
              <w:rPr>
                <w:rFonts w:hint="default" w:cs="Times New Roman"/>
                <w:color w:val="auto"/>
                <w:kern w:val="2"/>
                <w:sz w:val="24"/>
                <w:szCs w:val="24"/>
                <w:highlight w:val="none"/>
                <w:lang w:val="en-US" w:eastAsia="zh-CN" w:bidi="ar-SA"/>
              </w:rPr>
              <w:t>G2</w:t>
            </w:r>
            <w:r>
              <w:rPr>
                <w:rFonts w:hint="eastAsia" w:cs="Times New Roman"/>
                <w:color w:val="auto"/>
                <w:kern w:val="2"/>
                <w:sz w:val="24"/>
                <w:szCs w:val="24"/>
                <w:highlight w:val="none"/>
                <w:lang w:val="en-US" w:eastAsia="zh-CN" w:bidi="ar-SA"/>
              </w:rPr>
              <w:t>+</w:t>
            </w:r>
            <w:r>
              <w:rPr>
                <w:rFonts w:hint="default" w:cs="Times New Roman"/>
                <w:color w:val="auto"/>
                <w:kern w:val="2"/>
                <w:sz w:val="24"/>
                <w:szCs w:val="24"/>
                <w:highlight w:val="none"/>
                <w:lang w:val="en-US" w:eastAsia="zh-CN" w:bidi="ar-SA"/>
              </w:rPr>
              <w:t>942.25</w:t>
            </w:r>
            <w:r>
              <w:rPr>
                <w:rFonts w:hint="eastAsia" w:cs="Times New Roman"/>
                <w:color w:val="auto"/>
                <w:kern w:val="2"/>
                <w:sz w:val="24"/>
                <w:szCs w:val="24"/>
                <w:highlight w:val="none"/>
                <w:lang w:val="en-US" w:eastAsia="zh-CN" w:bidi="ar-SA"/>
              </w:rPr>
              <w:t>处设置红岩提灌站，管道继续沿山坡、沿道路布置，于桩号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3+9</w:t>
            </w:r>
            <w:r>
              <w:rPr>
                <w:rFonts w:hint="default" w:cs="Times New Roman"/>
                <w:color w:val="auto"/>
                <w:kern w:val="2"/>
                <w:sz w:val="24"/>
                <w:szCs w:val="24"/>
                <w:highlight w:val="none"/>
                <w:lang w:val="en-US" w:eastAsia="zh-CN" w:bidi="ar-SA"/>
              </w:rPr>
              <w:t>10.74</w:t>
            </w:r>
            <w:r>
              <w:rPr>
                <w:rFonts w:hint="eastAsia" w:cs="Times New Roman"/>
                <w:color w:val="auto"/>
                <w:kern w:val="2"/>
                <w:sz w:val="24"/>
                <w:szCs w:val="24"/>
                <w:highlight w:val="none"/>
                <w:lang w:val="en-US" w:eastAsia="zh-CN" w:bidi="ar-SA"/>
              </w:rPr>
              <w:t>处设置吊脚楼支管，于桩号</w:t>
            </w:r>
            <w:r>
              <w:rPr>
                <w:rFonts w:hint="default" w:cs="Times New Roman"/>
                <w:color w:val="auto"/>
                <w:kern w:val="2"/>
                <w:sz w:val="24"/>
                <w:szCs w:val="24"/>
                <w:highlight w:val="none"/>
                <w:lang w:val="en-US" w:eastAsia="zh-CN" w:bidi="ar-SA"/>
              </w:rPr>
              <w:t>G4</w:t>
            </w:r>
            <w:r>
              <w:rPr>
                <w:rFonts w:hint="eastAsia" w:cs="Times New Roman"/>
                <w:color w:val="auto"/>
                <w:kern w:val="2"/>
                <w:sz w:val="24"/>
                <w:szCs w:val="24"/>
                <w:highlight w:val="none"/>
                <w:lang w:val="en-US" w:eastAsia="zh-CN" w:bidi="ar-SA"/>
              </w:rPr>
              <w:t>+0</w:t>
            </w:r>
            <w:r>
              <w:rPr>
                <w:rFonts w:hint="default" w:cs="Times New Roman"/>
                <w:color w:val="auto"/>
                <w:kern w:val="2"/>
                <w:sz w:val="24"/>
                <w:szCs w:val="24"/>
                <w:highlight w:val="none"/>
                <w:lang w:val="en-US" w:eastAsia="zh-CN" w:bidi="ar-SA"/>
              </w:rPr>
              <w:t>16.72</w:t>
            </w:r>
            <w:r>
              <w:rPr>
                <w:rFonts w:hint="eastAsia" w:cs="Times New Roman"/>
                <w:color w:val="auto"/>
                <w:kern w:val="2"/>
                <w:sz w:val="24"/>
                <w:szCs w:val="24"/>
                <w:highlight w:val="none"/>
                <w:lang w:val="en-US" w:eastAsia="zh-CN" w:bidi="ar-SA"/>
              </w:rPr>
              <w:t>处设置姚家梁支管，后管道继续沿道路布置，于桩号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7+</w:t>
            </w:r>
            <w:r>
              <w:rPr>
                <w:rFonts w:hint="default" w:cs="Times New Roman"/>
                <w:color w:val="auto"/>
                <w:kern w:val="2"/>
                <w:sz w:val="24"/>
                <w:szCs w:val="24"/>
                <w:highlight w:val="none"/>
                <w:lang w:val="en-US" w:eastAsia="zh-CN" w:bidi="ar-SA"/>
              </w:rPr>
              <w:t>500.00</w:t>
            </w:r>
            <w:r>
              <w:rPr>
                <w:rFonts w:hint="eastAsia" w:cs="Times New Roman"/>
                <w:color w:val="auto"/>
                <w:kern w:val="2"/>
                <w:sz w:val="24"/>
                <w:szCs w:val="24"/>
                <w:highlight w:val="none"/>
                <w:lang w:val="en-US" w:eastAsia="zh-CN" w:bidi="ar-SA"/>
              </w:rPr>
              <w:t>处设置新房坪支管，后沿道路布置，于桩号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9+</w:t>
            </w:r>
            <w:r>
              <w:rPr>
                <w:rFonts w:hint="default" w:cs="Times New Roman"/>
                <w:color w:val="auto"/>
                <w:kern w:val="2"/>
                <w:sz w:val="24"/>
                <w:szCs w:val="24"/>
                <w:highlight w:val="none"/>
                <w:lang w:val="en-US" w:eastAsia="zh-CN" w:bidi="ar-SA"/>
              </w:rPr>
              <w:t>314.91</w:t>
            </w:r>
            <w:r>
              <w:rPr>
                <w:rFonts w:hint="eastAsia" w:cs="Times New Roman"/>
                <w:color w:val="auto"/>
                <w:kern w:val="2"/>
                <w:sz w:val="24"/>
                <w:szCs w:val="24"/>
                <w:highlight w:val="none"/>
                <w:lang w:val="en-US" w:eastAsia="zh-CN" w:bidi="ar-SA"/>
              </w:rPr>
              <w:t>处设置赵家沟支管，管道继续沿路布置，于桩号</w:t>
            </w:r>
            <w:r>
              <w:rPr>
                <w:rFonts w:hint="default" w:cs="Times New Roman"/>
                <w:color w:val="auto"/>
                <w:kern w:val="2"/>
                <w:sz w:val="24"/>
                <w:szCs w:val="24"/>
                <w:highlight w:val="none"/>
                <w:lang w:val="en-US" w:eastAsia="zh-CN" w:bidi="ar-SA"/>
              </w:rPr>
              <w:t>G</w:t>
            </w:r>
            <w:r>
              <w:rPr>
                <w:rFonts w:hint="eastAsia" w:cs="Times New Roman"/>
                <w:color w:val="auto"/>
                <w:kern w:val="2"/>
                <w:sz w:val="24"/>
                <w:szCs w:val="24"/>
                <w:highlight w:val="none"/>
                <w:lang w:val="en-US" w:eastAsia="zh-CN" w:bidi="ar-SA"/>
              </w:rPr>
              <w:t>11+</w:t>
            </w:r>
            <w:r>
              <w:rPr>
                <w:rFonts w:hint="default" w:cs="Times New Roman"/>
                <w:color w:val="auto"/>
                <w:kern w:val="2"/>
                <w:sz w:val="24"/>
                <w:szCs w:val="24"/>
                <w:highlight w:val="none"/>
                <w:lang w:val="en-US" w:eastAsia="zh-CN" w:bidi="ar-SA"/>
              </w:rPr>
              <w:t>187.12</w:t>
            </w:r>
            <w:r>
              <w:rPr>
                <w:rFonts w:hint="eastAsia" w:cs="Times New Roman"/>
                <w:color w:val="auto"/>
                <w:kern w:val="2"/>
                <w:sz w:val="24"/>
                <w:szCs w:val="24"/>
                <w:highlight w:val="none"/>
                <w:lang w:val="en-US" w:eastAsia="zh-CN" w:bidi="ar-SA"/>
              </w:rPr>
              <w:t>处止，末端设置小坪支管和谢家碥支管，其中谢家碥支管至谢家碥水厂止。</w:t>
            </w:r>
            <w:r>
              <w:rPr>
                <w:rFonts w:hint="default" w:cs="Times New Roman"/>
                <w:color w:val="auto"/>
                <w:kern w:val="2"/>
                <w:sz w:val="24"/>
                <w:szCs w:val="24"/>
                <w:highlight w:val="none"/>
                <w:lang w:val="en-US" w:eastAsia="zh-CN" w:bidi="ar-SA"/>
              </w:rPr>
              <w:t>共布置17座阀门井，</w:t>
            </w:r>
            <w:r>
              <w:rPr>
                <w:rFonts w:hint="eastAsia" w:cs="Times New Roman"/>
                <w:color w:val="auto"/>
                <w:kern w:val="2"/>
                <w:sz w:val="24"/>
                <w:szCs w:val="24"/>
                <w:highlight w:val="none"/>
                <w:lang w:val="en-US" w:eastAsia="zh-CN" w:bidi="ar-SA"/>
              </w:rPr>
              <w:t>干管</w:t>
            </w:r>
            <w:r>
              <w:rPr>
                <w:rFonts w:hint="default" w:cs="Times New Roman"/>
                <w:color w:val="auto"/>
                <w:kern w:val="2"/>
                <w:sz w:val="24"/>
                <w:szCs w:val="24"/>
                <w:highlight w:val="none"/>
                <w:lang w:val="en-US" w:eastAsia="zh-CN" w:bidi="ar-SA"/>
              </w:rPr>
              <w:t>布置</w:t>
            </w:r>
            <w:r>
              <w:rPr>
                <w:rFonts w:hint="eastAsia" w:cs="Times New Roman"/>
                <w:color w:val="auto"/>
                <w:kern w:val="2"/>
                <w:sz w:val="24"/>
                <w:szCs w:val="24"/>
                <w:highlight w:val="none"/>
                <w:lang w:val="en-US" w:eastAsia="zh-CN" w:bidi="ar-SA"/>
              </w:rPr>
              <w:t>56</w:t>
            </w:r>
            <w:r>
              <w:rPr>
                <w:rFonts w:hint="default" w:cs="Times New Roman"/>
                <w:color w:val="auto"/>
                <w:kern w:val="2"/>
                <w:sz w:val="24"/>
                <w:szCs w:val="24"/>
                <w:highlight w:val="none"/>
                <w:lang w:val="en-US" w:eastAsia="zh-CN" w:bidi="ar-SA"/>
              </w:rPr>
              <w:t>座给水口</w:t>
            </w:r>
            <w:r>
              <w:rPr>
                <w:rFonts w:hint="eastAsia" w:cs="Times New Roman"/>
                <w:color w:val="auto"/>
                <w:kern w:val="2"/>
                <w:sz w:val="24"/>
                <w:szCs w:val="24"/>
                <w:highlight w:val="none"/>
                <w:lang w:val="en-US" w:eastAsia="zh-CN" w:bidi="ar-SA"/>
              </w:rPr>
              <w:t>，</w:t>
            </w:r>
            <w:r>
              <w:rPr>
                <w:rFonts w:hint="default" w:cs="Times New Roman"/>
                <w:color w:val="auto"/>
                <w:kern w:val="2"/>
                <w:sz w:val="24"/>
                <w:szCs w:val="24"/>
                <w:highlight w:val="none"/>
                <w:lang w:val="en-US" w:eastAsia="zh-CN" w:bidi="ar-SA"/>
              </w:rPr>
              <w:t>排泥阀井24座、排气阀井33座。</w:t>
            </w:r>
            <w:r>
              <w:rPr>
                <w:rFonts w:hint="eastAsia" w:cs="Times New Roman"/>
                <w:color w:val="auto"/>
                <w:kern w:val="2"/>
                <w:sz w:val="24"/>
                <w:szCs w:val="24"/>
                <w:highlight w:val="none"/>
                <w:lang w:val="en-US" w:eastAsia="zh-CN" w:bidi="ar-SA"/>
              </w:rPr>
              <w:t>干管</w:t>
            </w:r>
            <w:r>
              <w:rPr>
                <w:rFonts w:hint="default" w:cs="Times New Roman"/>
                <w:color w:val="auto"/>
                <w:kern w:val="2"/>
                <w:sz w:val="24"/>
                <w:szCs w:val="24"/>
                <w:highlight w:val="none"/>
                <w:lang w:val="en-US" w:eastAsia="zh-CN" w:bidi="ar-SA"/>
              </w:rPr>
              <w:t>长11187m，</w:t>
            </w:r>
            <w:r>
              <w:rPr>
                <w:rFonts w:hint="eastAsia" w:cs="Times New Roman"/>
                <w:color w:val="auto"/>
                <w:kern w:val="2"/>
                <w:sz w:val="24"/>
                <w:szCs w:val="24"/>
                <w:highlight w:val="none"/>
                <w:lang w:val="en-US" w:eastAsia="zh-CN" w:bidi="ar-SA"/>
              </w:rPr>
              <w:t>管首</w:t>
            </w:r>
            <w:r>
              <w:rPr>
                <w:rFonts w:hint="default" w:cs="Times New Roman"/>
                <w:color w:val="auto"/>
                <w:kern w:val="2"/>
                <w:sz w:val="24"/>
                <w:szCs w:val="24"/>
                <w:highlight w:val="none"/>
                <w:lang w:val="en-US" w:eastAsia="zh-CN" w:bidi="ar-SA"/>
              </w:rPr>
              <w:t>设计流量0.</w:t>
            </w:r>
            <w:r>
              <w:rPr>
                <w:rFonts w:hint="eastAsia" w:cs="Times New Roman"/>
                <w:color w:val="auto"/>
                <w:kern w:val="2"/>
                <w:sz w:val="24"/>
                <w:szCs w:val="24"/>
                <w:highlight w:val="none"/>
                <w:lang w:val="en-US" w:eastAsia="zh-CN" w:bidi="ar-SA"/>
              </w:rPr>
              <w:t>711</w:t>
            </w:r>
            <w:r>
              <w:rPr>
                <w:rFonts w:hint="default" w:cs="Times New Roman"/>
                <w:color w:val="auto"/>
                <w:kern w:val="2"/>
                <w:sz w:val="24"/>
                <w:szCs w:val="24"/>
                <w:highlight w:val="none"/>
                <w:lang w:val="en-US" w:eastAsia="zh-CN" w:bidi="ar-SA"/>
              </w:rPr>
              <w:t>m³/s，</w:t>
            </w:r>
            <w:r>
              <w:rPr>
                <w:rFonts w:hint="eastAsia" w:cs="Times New Roman"/>
                <w:color w:val="auto"/>
                <w:kern w:val="2"/>
                <w:sz w:val="24"/>
                <w:szCs w:val="24"/>
                <w:highlight w:val="none"/>
                <w:lang w:val="en-US" w:eastAsia="zh-CN" w:bidi="ar-SA"/>
              </w:rPr>
              <w:t>管道</w:t>
            </w:r>
            <w:r>
              <w:rPr>
                <w:rFonts w:hint="default" w:cs="Times New Roman"/>
                <w:color w:val="auto"/>
                <w:kern w:val="2"/>
                <w:sz w:val="24"/>
                <w:szCs w:val="24"/>
                <w:highlight w:val="none"/>
                <w:lang w:val="en-US" w:eastAsia="zh-CN" w:bidi="ar-SA"/>
              </w:rPr>
              <w:t>选用D</w:t>
            </w:r>
            <w:r>
              <w:rPr>
                <w:rFonts w:hint="eastAsia" w:cs="Times New Roman"/>
                <w:color w:val="auto"/>
                <w:kern w:val="2"/>
                <w:sz w:val="24"/>
                <w:szCs w:val="24"/>
                <w:highlight w:val="none"/>
                <w:lang w:val="en-US" w:eastAsia="zh-CN" w:bidi="ar-SA"/>
              </w:rPr>
              <w:t>711×</w:t>
            </w:r>
            <w:r>
              <w:rPr>
                <w:rFonts w:hint="default" w:cs="Times New Roman"/>
                <w:color w:val="auto"/>
                <w:kern w:val="2"/>
                <w:sz w:val="24"/>
                <w:szCs w:val="24"/>
                <w:highlight w:val="none"/>
                <w:lang w:val="en-US" w:eastAsia="zh-CN" w:bidi="ar-SA"/>
              </w:rPr>
              <w:t>6.3</w:t>
            </w:r>
            <w:r>
              <w:rPr>
                <w:rFonts w:hint="eastAsia" w:cs="Times New Roman"/>
                <w:color w:val="auto"/>
                <w:kern w:val="2"/>
                <w:sz w:val="24"/>
                <w:szCs w:val="24"/>
                <w:highlight w:val="none"/>
                <w:lang w:val="en-US" w:eastAsia="zh-CN" w:bidi="ar-SA"/>
              </w:rPr>
              <w:t>、D610×</w:t>
            </w:r>
            <w:r>
              <w:rPr>
                <w:rFonts w:hint="default" w:cs="Times New Roman"/>
                <w:color w:val="auto"/>
                <w:kern w:val="2"/>
                <w:sz w:val="24"/>
                <w:szCs w:val="24"/>
                <w:highlight w:val="none"/>
                <w:lang w:val="en-US" w:eastAsia="zh-CN" w:bidi="ar-SA"/>
              </w:rPr>
              <w:t>6.3</w:t>
            </w:r>
            <w:r>
              <w:rPr>
                <w:rFonts w:hint="eastAsia" w:cs="Times New Roman"/>
                <w:color w:val="auto"/>
                <w:kern w:val="2"/>
                <w:sz w:val="24"/>
                <w:szCs w:val="24"/>
                <w:highlight w:val="none"/>
                <w:lang w:val="en-US" w:eastAsia="zh-CN" w:bidi="ar-SA"/>
              </w:rPr>
              <w:t>、D610×</w:t>
            </w:r>
            <w:r>
              <w:rPr>
                <w:rFonts w:hint="default" w:cs="Times New Roman"/>
                <w:color w:val="auto"/>
                <w:kern w:val="2"/>
                <w:sz w:val="24"/>
                <w:szCs w:val="24"/>
                <w:highlight w:val="none"/>
                <w:lang w:val="en-US" w:eastAsia="zh-CN" w:bidi="ar-SA"/>
              </w:rPr>
              <w:t>8</w:t>
            </w:r>
            <w:r>
              <w:rPr>
                <w:rFonts w:hint="eastAsia" w:cs="Times New Roman"/>
                <w:color w:val="auto"/>
                <w:kern w:val="2"/>
                <w:sz w:val="24"/>
                <w:szCs w:val="24"/>
                <w:highlight w:val="none"/>
                <w:lang w:val="en-US" w:eastAsia="zh-CN" w:bidi="ar-SA"/>
              </w:rPr>
              <w:t>、D610×</w:t>
            </w:r>
            <w:r>
              <w:rPr>
                <w:rFonts w:hint="default" w:cs="Times New Roman"/>
                <w:color w:val="auto"/>
                <w:kern w:val="2"/>
                <w:sz w:val="24"/>
                <w:szCs w:val="24"/>
                <w:highlight w:val="none"/>
                <w:lang w:val="en-US" w:eastAsia="zh-CN" w:bidi="ar-SA"/>
              </w:rPr>
              <w:t>8.8</w:t>
            </w:r>
            <w:r>
              <w:rPr>
                <w:rFonts w:hint="eastAsia" w:cs="Times New Roman"/>
                <w:color w:val="auto"/>
                <w:kern w:val="2"/>
                <w:sz w:val="24"/>
                <w:szCs w:val="24"/>
                <w:highlight w:val="none"/>
                <w:lang w:val="en-US" w:eastAsia="zh-CN" w:bidi="ar-SA"/>
              </w:rPr>
              <w:t>、D508×</w:t>
            </w:r>
            <w:r>
              <w:rPr>
                <w:rFonts w:hint="default" w:cs="Times New Roman"/>
                <w:color w:val="auto"/>
                <w:kern w:val="2"/>
                <w:sz w:val="24"/>
                <w:szCs w:val="24"/>
                <w:highlight w:val="none"/>
                <w:lang w:val="en-US" w:eastAsia="zh-CN" w:bidi="ar-SA"/>
              </w:rPr>
              <w:t>6.3</w:t>
            </w:r>
            <w:r>
              <w:rPr>
                <w:rFonts w:hint="eastAsia" w:cs="Times New Roman"/>
                <w:color w:val="auto"/>
                <w:kern w:val="2"/>
                <w:sz w:val="24"/>
                <w:szCs w:val="24"/>
                <w:highlight w:val="none"/>
                <w:lang w:val="en-US" w:eastAsia="zh-CN" w:bidi="ar-SA"/>
              </w:rPr>
              <w:t>、D508×</w:t>
            </w:r>
            <w:r>
              <w:rPr>
                <w:rFonts w:hint="default" w:cs="Times New Roman"/>
                <w:color w:val="auto"/>
                <w:kern w:val="2"/>
                <w:sz w:val="24"/>
                <w:szCs w:val="24"/>
                <w:highlight w:val="none"/>
                <w:lang w:val="en-US" w:eastAsia="zh-CN" w:bidi="ar-SA"/>
              </w:rPr>
              <w:t>7.1</w:t>
            </w:r>
            <w:r>
              <w:rPr>
                <w:rFonts w:hint="eastAsia" w:cs="Times New Roman"/>
                <w:color w:val="auto"/>
                <w:kern w:val="2"/>
                <w:sz w:val="24"/>
                <w:szCs w:val="24"/>
                <w:highlight w:val="none"/>
                <w:lang w:val="en-US" w:eastAsia="zh-CN" w:bidi="ar-SA"/>
              </w:rPr>
              <w:t>、D508×</w:t>
            </w:r>
            <w:r>
              <w:rPr>
                <w:rFonts w:hint="default" w:cs="Times New Roman"/>
                <w:color w:val="auto"/>
                <w:kern w:val="2"/>
                <w:sz w:val="24"/>
                <w:szCs w:val="24"/>
                <w:highlight w:val="none"/>
                <w:lang w:val="en-US" w:eastAsia="zh-CN" w:bidi="ar-SA"/>
              </w:rPr>
              <w:t>8</w:t>
            </w:r>
            <w:r>
              <w:rPr>
                <w:rFonts w:hint="eastAsia" w:cs="Times New Roman"/>
                <w:color w:val="auto"/>
                <w:kern w:val="2"/>
                <w:sz w:val="24"/>
                <w:szCs w:val="24"/>
                <w:highlight w:val="none"/>
                <w:lang w:val="en-US" w:eastAsia="zh-CN" w:bidi="ar-SA"/>
              </w:rPr>
              <w:t>、D</w:t>
            </w:r>
            <w:r>
              <w:rPr>
                <w:rFonts w:hint="default" w:cs="Times New Roman"/>
                <w:color w:val="auto"/>
                <w:kern w:val="2"/>
                <w:sz w:val="24"/>
                <w:szCs w:val="24"/>
                <w:highlight w:val="none"/>
                <w:lang w:val="en-US" w:eastAsia="zh-CN" w:bidi="ar-SA"/>
              </w:rPr>
              <w:t>457</w:t>
            </w:r>
            <w:r>
              <w:rPr>
                <w:rFonts w:hint="eastAsia" w:cs="Times New Roman"/>
                <w:color w:val="auto"/>
                <w:kern w:val="2"/>
                <w:sz w:val="24"/>
                <w:szCs w:val="24"/>
                <w:highlight w:val="none"/>
                <w:lang w:val="en-US" w:eastAsia="zh-CN" w:bidi="ar-SA"/>
              </w:rPr>
              <w:t>×</w:t>
            </w:r>
            <w:r>
              <w:rPr>
                <w:rFonts w:hint="default" w:cs="Times New Roman"/>
                <w:color w:val="auto"/>
                <w:kern w:val="2"/>
                <w:sz w:val="24"/>
                <w:szCs w:val="24"/>
                <w:highlight w:val="none"/>
                <w:lang w:val="en-US" w:eastAsia="zh-CN" w:bidi="ar-SA"/>
              </w:rPr>
              <w:t>6.3</w:t>
            </w:r>
            <w:r>
              <w:rPr>
                <w:rFonts w:hint="eastAsia" w:cs="Times New Roman"/>
                <w:color w:val="auto"/>
                <w:kern w:val="2"/>
                <w:sz w:val="24"/>
                <w:szCs w:val="24"/>
                <w:highlight w:val="none"/>
                <w:lang w:val="en-US" w:eastAsia="zh-CN" w:bidi="ar-SA"/>
              </w:rPr>
              <w:t>的钢管</w:t>
            </w:r>
            <w:r>
              <w:rPr>
                <w:rFonts w:hint="default" w:cs="Times New Roman"/>
                <w:color w:val="auto"/>
                <w:kern w:val="2"/>
                <w:sz w:val="24"/>
                <w:szCs w:val="24"/>
                <w:highlight w:val="none"/>
                <w:lang w:val="en-US" w:eastAsia="zh-CN" w:bidi="ar-SA"/>
              </w:rPr>
              <w:t>。</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项目干管走向穿越情况如下表所示：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表2-8   输水干管穿越工程统计表</w:t>
            </w:r>
          </w:p>
          <w:tbl>
            <w:tblPr>
              <w:tblStyle w:val="76"/>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85"/>
              <w:gridCol w:w="2477"/>
              <w:gridCol w:w="2053"/>
              <w:gridCol w:w="1511"/>
              <w:gridCol w:w="1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59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color w:val="auto"/>
                      <w:spacing w:val="0"/>
                      <w:sz w:val="21"/>
                      <w:szCs w:val="21"/>
                      <w:highlight w:val="none"/>
                    </w:rPr>
                  </w:pPr>
                  <w:r>
                    <w:rPr>
                      <w:rFonts w:hint="default" w:ascii="Arial" w:hAnsi="Arial" w:cs="Arial"/>
                      <w:b/>
                      <w:bCs/>
                      <w:color w:val="auto"/>
                      <w:spacing w:val="0"/>
                      <w:sz w:val="21"/>
                      <w:szCs w:val="21"/>
                      <w:highlight w:val="none"/>
                    </w:rPr>
                    <w:t>序 号</w:t>
                  </w:r>
                </w:p>
              </w:tc>
              <w:tc>
                <w:tcPr>
                  <w:tcW w:w="13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b/>
                      <w:bCs/>
                      <w:color w:val="auto"/>
                      <w:spacing w:val="0"/>
                      <w:sz w:val="21"/>
                      <w:szCs w:val="21"/>
                      <w:highlight w:val="none"/>
                      <w:lang w:val="en-US" w:eastAsia="zh-CN"/>
                    </w:rPr>
                  </w:pPr>
                  <w:r>
                    <w:rPr>
                      <w:rFonts w:hint="eastAsia" w:ascii="Arial" w:hAnsi="Arial" w:cs="Arial"/>
                      <w:b/>
                      <w:bCs/>
                      <w:color w:val="auto"/>
                      <w:spacing w:val="0"/>
                      <w:sz w:val="21"/>
                      <w:szCs w:val="21"/>
                      <w:highlight w:val="none"/>
                      <w:lang w:val="en-US" w:eastAsia="zh-CN"/>
                    </w:rPr>
                    <w:t>穿越名称</w:t>
                  </w:r>
                </w:p>
              </w:tc>
              <w:tc>
                <w:tcPr>
                  <w:tcW w:w="1125" w:type="pct"/>
                  <w:tcBorders>
                    <w:right w:val="single" w:color="auto" w:sz="4" w:space="0"/>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b/>
                      <w:bCs/>
                      <w:color w:val="auto"/>
                      <w:spacing w:val="0"/>
                      <w:sz w:val="21"/>
                      <w:szCs w:val="21"/>
                      <w:highlight w:val="none"/>
                      <w:lang w:val="en-US" w:eastAsia="zh-CN"/>
                    </w:rPr>
                  </w:pPr>
                  <w:r>
                    <w:rPr>
                      <w:rFonts w:hint="eastAsia" w:ascii="Arial" w:hAnsi="Arial" w:cs="Arial"/>
                      <w:b/>
                      <w:bCs/>
                      <w:color w:val="auto"/>
                      <w:spacing w:val="0"/>
                      <w:sz w:val="21"/>
                      <w:szCs w:val="21"/>
                      <w:highlight w:val="none"/>
                      <w:lang w:val="en-US" w:eastAsia="zh-CN"/>
                    </w:rPr>
                    <w:t>桩号</w:t>
                  </w:r>
                </w:p>
              </w:tc>
              <w:tc>
                <w:tcPr>
                  <w:tcW w:w="828" w:type="pct"/>
                  <w:tcBorders>
                    <w:left w:val="single" w:color="auto" w:sz="4" w:space="0"/>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cs="Arial"/>
                      <w:b/>
                      <w:bCs/>
                      <w:color w:val="auto"/>
                      <w:spacing w:val="0"/>
                      <w:sz w:val="21"/>
                      <w:szCs w:val="21"/>
                      <w:highlight w:val="none"/>
                      <w:lang w:val="en-US" w:eastAsia="zh-CN"/>
                    </w:rPr>
                  </w:pPr>
                  <w:r>
                    <w:rPr>
                      <w:rFonts w:hint="eastAsia" w:ascii="Arial" w:hAnsi="Arial" w:cs="Arial"/>
                      <w:b/>
                      <w:bCs/>
                      <w:color w:val="auto"/>
                      <w:spacing w:val="0"/>
                      <w:sz w:val="21"/>
                      <w:szCs w:val="21"/>
                      <w:highlight w:val="none"/>
                      <w:lang w:val="en-US" w:eastAsia="zh-CN"/>
                    </w:rPr>
                    <w:t>穿越方式</w:t>
                  </w: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b/>
                      <w:bCs/>
                      <w:color w:val="auto"/>
                      <w:spacing w:val="0"/>
                      <w:sz w:val="21"/>
                      <w:szCs w:val="21"/>
                      <w:highlight w:val="none"/>
                      <w:lang w:val="en-US" w:eastAsia="zh-CN"/>
                    </w:rPr>
                  </w:pPr>
                  <w:r>
                    <w:rPr>
                      <w:rFonts w:hint="eastAsia" w:ascii="Arial" w:hAnsi="Arial" w:cs="Arial"/>
                      <w:b/>
                      <w:bCs/>
                      <w:color w:val="auto"/>
                      <w:spacing w:val="0"/>
                      <w:sz w:val="21"/>
                      <w:szCs w:val="21"/>
                      <w:highlight w:val="none"/>
                      <w:lang w:val="en-US" w:eastAsia="zh-CN"/>
                    </w:rPr>
                    <w:t>施工方式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9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eastAsia="Times New Roman" w:cs="Arial"/>
                      <w:color w:val="auto"/>
                      <w:spacing w:val="0"/>
                      <w:sz w:val="21"/>
                      <w:szCs w:val="21"/>
                      <w:highlight w:val="none"/>
                    </w:rPr>
                    <w:t>1</w:t>
                  </w:r>
                </w:p>
              </w:tc>
              <w:tc>
                <w:tcPr>
                  <w:tcW w:w="1357"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lang w:val="en-US"/>
                    </w:rPr>
                  </w:pPr>
                  <w:r>
                    <w:rPr>
                      <w:rFonts w:hint="eastAsia" w:cs="Times New Roman"/>
                      <w:color w:val="auto"/>
                      <w:kern w:val="2"/>
                      <w:sz w:val="21"/>
                      <w:szCs w:val="21"/>
                      <w:highlight w:val="none"/>
                      <w:lang w:val="en-US" w:eastAsia="zh-CN" w:bidi="ar-SA"/>
                    </w:rPr>
                    <w:t>陈家河</w:t>
                  </w:r>
                </w:p>
              </w:tc>
              <w:tc>
                <w:tcPr>
                  <w:tcW w:w="1125"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b/>
                      <w:bCs/>
                      <w:color w:val="auto"/>
                      <w:spacing w:val="0"/>
                      <w:sz w:val="21"/>
                      <w:szCs w:val="21"/>
                      <w:highlight w:val="none"/>
                      <w:lang w:eastAsia="zh-CN"/>
                    </w:rPr>
                  </w:pPr>
                  <w:r>
                    <w:rPr>
                      <w:rFonts w:hint="default" w:cs="Times New Roman"/>
                      <w:color w:val="auto"/>
                      <w:kern w:val="2"/>
                      <w:sz w:val="21"/>
                      <w:szCs w:val="21"/>
                      <w:highlight w:val="none"/>
                      <w:lang w:val="en-US" w:eastAsia="zh-CN" w:bidi="ar-SA"/>
                    </w:rPr>
                    <w:t>G</w:t>
                  </w:r>
                  <w:r>
                    <w:rPr>
                      <w:rFonts w:hint="eastAsia" w:cs="Times New Roman"/>
                      <w:color w:val="auto"/>
                      <w:kern w:val="2"/>
                      <w:sz w:val="21"/>
                      <w:szCs w:val="21"/>
                      <w:highlight w:val="none"/>
                      <w:lang w:val="en-US" w:eastAsia="zh-CN" w:bidi="ar-SA"/>
                    </w:rPr>
                    <w:t>0+</w:t>
                  </w:r>
                  <w:r>
                    <w:rPr>
                      <w:rFonts w:hint="default" w:cs="Times New Roman"/>
                      <w:color w:val="auto"/>
                      <w:kern w:val="2"/>
                      <w:sz w:val="21"/>
                      <w:szCs w:val="21"/>
                      <w:highlight w:val="none"/>
                      <w:lang w:val="en-US" w:eastAsia="zh-CN" w:bidi="ar-SA"/>
                    </w:rPr>
                    <w:t>549.21</w:t>
                  </w:r>
                </w:p>
              </w:tc>
              <w:tc>
                <w:tcPr>
                  <w:tcW w:w="828"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b/>
                      <w:bCs/>
                      <w:color w:val="auto"/>
                      <w:spacing w:val="0"/>
                      <w:sz w:val="21"/>
                      <w:szCs w:val="21"/>
                      <w:highlight w:val="none"/>
                      <w:lang w:val="en-US" w:eastAsia="zh-CN"/>
                    </w:rPr>
                  </w:pPr>
                  <w:r>
                    <w:rPr>
                      <w:rFonts w:hint="eastAsia" w:ascii="Arial" w:hAnsi="Arial" w:cs="Arial"/>
                      <w:b/>
                      <w:bCs/>
                      <w:color w:val="auto"/>
                      <w:spacing w:val="0"/>
                      <w:sz w:val="21"/>
                      <w:szCs w:val="21"/>
                      <w:highlight w:val="none"/>
                      <w:lang w:val="en-US" w:eastAsia="zh-CN"/>
                    </w:rPr>
                    <w:t>下穿</w:t>
                  </w: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顶管</w:t>
                  </w:r>
                </w:p>
              </w:tc>
            </w:tr>
          </w:tbl>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B、管材选择</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经项目可研及设计方案比选，本工程干管材质均选用钢管。</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C、管径选择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根据管道流量和管道长度结合首尾的水位高差，选取合适的管径使损失水头小于水头差，满足出水要求。根据管径计算结果，本工程管道选择管径为DN450~D711。</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D、其他建筑物</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管线附属建筑有阀门井、排泥阀井、排气阀井、给水口、镇墩等。其中干管共布置阀门井17座、给水口56座、排气阀井33座、排泥阀井24座。</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E、防冲设计</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本工程位于山区，起伏较大，过河、过沟较多，为保证输水管道安全，在过河段、过沟段管道采用C20混凝土包裹，混凝土厚35cm。</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F、软基处理</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工程线路较长，覆盖面积较大，过河、过沟段较多，管线沿线地形起伏较大，地质情况复杂，存在局部地形地质条件软基地段。为保证输水管道运行安全及防止管道沉降，对局部软基地段采用砂卵石换填，并对过河、过沟段处设置C20砼镇墩。</w:t>
            </w:r>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bookmarkStart w:id="16" w:name="_Toc11777550"/>
            <w:bookmarkStart w:id="17" w:name="_Toc434917455"/>
            <w:bookmarkStart w:id="18" w:name="_Toc410743569"/>
            <w:r>
              <w:rPr>
                <w:rFonts w:hint="eastAsia" w:cs="Times New Roman"/>
                <w:b/>
                <w:bCs/>
                <w:color w:val="auto"/>
                <w:kern w:val="2"/>
                <w:sz w:val="24"/>
                <w:szCs w:val="24"/>
                <w:highlight w:val="none"/>
                <w:lang w:val="en-US" w:eastAsia="zh-CN" w:bidi="ar-SA"/>
              </w:rPr>
              <w:t>② 支管布置</w:t>
            </w:r>
            <w:bookmarkEnd w:id="16"/>
            <w:bookmarkEnd w:id="17"/>
            <w:bookmarkEnd w:id="18"/>
          </w:p>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A、支管走向</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干管共布置9条支管，分别为奉家河支管、下毛坪支管、咎家院子支管。</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奉家河支管起点位于桩号K0+174.39，管径为DN200，支管长306m，设计灌面为726亩，设计流量为0.026m³/s。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下毛坪支管起点位于桩号K0+541.61，管径为DN315，支管长406m，设计灌面为1396亩，设计流量为0.089m³/s。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咎家院子支管起点位于桩号K1+133.20，管径为DN160，支管长482m，设计灌面422亩，设计流量为0.015m³/s。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吊脚楼支管起点位于桩号K3+990.04，管径为DN400，支管长5127m，设计灌面4308亩，设计流量为0.152m³/s。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姚家梁支管起点位于桩号K4+091.76，管径为160，支管长452m，设计灌面473亩，设计流量为0.017m³/s。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新房坪支管起点位于桩号K7+625.73，管径为160，支管长703m，设计灌面535亩，设计流量为0.019m³/s。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赵家沟支管起点位于桩号K9+403.57，管径为200，支管长1417m，设计灌面755亩，设计流量为0.027m³/s。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小坪支管起点位于桩号K11+232.78，管径为315，支管长1408m，设计灌面1450亩，设计流量为0.063m³/s。</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谢家碥支管起点位于桩号K11+232.78，管径为315，支管长3984m，设计灌面2955亩，设计流量为0.078m³/s。</w:t>
            </w:r>
          </w:p>
          <w:p>
            <w:pPr>
              <w:pStyle w:val="78"/>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支管管材</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color w:val="auto"/>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本工程的适用管道口径为DN300～DN800，根据项目可研报告中硬质UPVC管、钢筋混凝土管、玻璃钢夹砂管、钢管、球墨铸铁管以及聚乙烯管（PE）等六种材质的比选，本工程管径≥500选用钢管，管径小于500选用PE管。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表2-9   输水管道及管件布置统计表</w:t>
            </w:r>
          </w:p>
          <w:tbl>
            <w:tblPr>
              <w:tblStyle w:val="76"/>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92"/>
              <w:gridCol w:w="4146"/>
              <w:gridCol w:w="1897"/>
              <w:gridCol w:w="19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59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color w:val="auto"/>
                      <w:spacing w:val="0"/>
                      <w:sz w:val="21"/>
                      <w:szCs w:val="21"/>
                      <w:highlight w:val="none"/>
                    </w:rPr>
                  </w:pPr>
                  <w:r>
                    <w:rPr>
                      <w:rFonts w:hint="default" w:ascii="Arial" w:hAnsi="Arial" w:cs="Arial"/>
                      <w:b/>
                      <w:bCs/>
                      <w:color w:val="auto"/>
                      <w:spacing w:val="0"/>
                      <w:sz w:val="21"/>
                      <w:szCs w:val="21"/>
                      <w:highlight w:val="none"/>
                    </w:rPr>
                    <w:t>序</w:t>
                  </w:r>
                  <w:r>
                    <w:rPr>
                      <w:rFonts w:hint="default" w:ascii="Arial" w:hAnsi="Arial" w:cs="Arial"/>
                      <w:color w:val="auto"/>
                      <w:spacing w:val="0"/>
                      <w:sz w:val="21"/>
                      <w:szCs w:val="21"/>
                      <w:highlight w:val="none"/>
                    </w:rPr>
                    <w:t xml:space="preserve"> </w:t>
                  </w:r>
                  <w:r>
                    <w:rPr>
                      <w:rFonts w:hint="default" w:ascii="Arial" w:hAnsi="Arial" w:cs="Arial"/>
                      <w:b/>
                      <w:bCs/>
                      <w:color w:val="auto"/>
                      <w:spacing w:val="0"/>
                      <w:sz w:val="21"/>
                      <w:szCs w:val="21"/>
                      <w:highlight w:val="none"/>
                    </w:rPr>
                    <w:t>号</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color w:val="auto"/>
                      <w:spacing w:val="0"/>
                      <w:sz w:val="21"/>
                      <w:szCs w:val="21"/>
                      <w:highlight w:val="none"/>
                    </w:rPr>
                  </w:pPr>
                  <w:r>
                    <w:rPr>
                      <w:rFonts w:hint="default" w:ascii="Arial" w:hAnsi="Arial" w:cs="Arial"/>
                      <w:b/>
                      <w:bCs/>
                      <w:color w:val="auto"/>
                      <w:spacing w:val="0"/>
                      <w:sz w:val="21"/>
                      <w:szCs w:val="21"/>
                      <w:highlight w:val="none"/>
                    </w:rPr>
                    <w:t>管段</w:t>
                  </w:r>
                </w:p>
              </w:tc>
              <w:tc>
                <w:tcPr>
                  <w:tcW w:w="10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color w:val="auto"/>
                      <w:spacing w:val="0"/>
                      <w:sz w:val="21"/>
                      <w:szCs w:val="21"/>
                      <w:highlight w:val="none"/>
                    </w:rPr>
                  </w:pPr>
                  <w:r>
                    <w:rPr>
                      <w:rFonts w:hint="default" w:ascii="Arial" w:hAnsi="Arial" w:cs="Arial"/>
                      <w:b/>
                      <w:bCs/>
                      <w:color w:val="auto"/>
                      <w:spacing w:val="0"/>
                      <w:sz w:val="21"/>
                      <w:szCs w:val="21"/>
                      <w:highlight w:val="none"/>
                      <w:lang w:val="en-US" w:eastAsia="zh-CN"/>
                    </w:rPr>
                    <w:t>单位</w:t>
                  </w: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color w:val="auto"/>
                      <w:spacing w:val="0"/>
                      <w:sz w:val="21"/>
                      <w:szCs w:val="21"/>
                      <w:highlight w:val="none"/>
                      <w:lang w:eastAsia="zh-CN"/>
                    </w:rPr>
                  </w:pPr>
                  <w:r>
                    <w:rPr>
                      <w:rFonts w:hint="default" w:ascii="Arial" w:hAnsi="Arial" w:cs="Arial"/>
                      <w:b/>
                      <w:bCs/>
                      <w:color w:val="auto"/>
                      <w:spacing w:val="0"/>
                      <w:sz w:val="21"/>
                      <w:szCs w:val="21"/>
                      <w:highlight w:val="none"/>
                      <w:lang w:val="en-US" w:eastAsia="zh-CN"/>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jc w:val="center"/>
              </w:trPr>
              <w:tc>
                <w:tcPr>
                  <w:tcW w:w="59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b/>
                      <w:bCs/>
                      <w:color w:val="auto"/>
                      <w:spacing w:val="0"/>
                      <w:sz w:val="21"/>
                      <w:szCs w:val="21"/>
                      <w:highlight w:val="none"/>
                      <w:lang w:val="en-US" w:eastAsia="zh-CN"/>
                    </w:rPr>
                  </w:pPr>
                  <w:r>
                    <w:rPr>
                      <w:rFonts w:hint="default" w:ascii="Arial" w:hAnsi="Arial" w:cs="Arial"/>
                      <w:b/>
                      <w:bCs/>
                      <w:color w:val="auto"/>
                      <w:spacing w:val="0"/>
                      <w:sz w:val="21"/>
                      <w:szCs w:val="21"/>
                      <w:highlight w:val="none"/>
                      <w:lang w:val="en-US" w:eastAsia="zh-CN"/>
                    </w:rPr>
                    <w:t>一</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b/>
                      <w:bCs/>
                      <w:color w:val="auto"/>
                      <w:spacing w:val="0"/>
                      <w:sz w:val="21"/>
                      <w:szCs w:val="21"/>
                      <w:highlight w:val="none"/>
                      <w:lang w:val="en-US" w:eastAsia="zh-CN"/>
                    </w:rPr>
                  </w:pPr>
                  <w:r>
                    <w:rPr>
                      <w:rFonts w:hint="default" w:ascii="Arial" w:hAnsi="Arial" w:cs="Arial"/>
                      <w:b/>
                      <w:bCs/>
                      <w:color w:val="auto"/>
                      <w:spacing w:val="0"/>
                      <w:sz w:val="21"/>
                      <w:szCs w:val="21"/>
                      <w:highlight w:val="none"/>
                      <w:lang w:val="en-US" w:eastAsia="zh-CN"/>
                    </w:rPr>
                    <w:t>输水管道</w:t>
                  </w:r>
                </w:p>
              </w:tc>
              <w:tc>
                <w:tcPr>
                  <w:tcW w:w="1038"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color w:val="auto"/>
                      <w:spacing w:val="0"/>
                      <w:sz w:val="21"/>
                      <w:szCs w:val="21"/>
                      <w:highlight w:val="none"/>
                      <w:lang w:val="en-US" w:eastAsia="zh-CN"/>
                    </w:rPr>
                  </w:pP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color w:val="auto"/>
                      <w:spacing w:val="0"/>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eastAsia="Times New Roman" w:cs="Arial"/>
                      <w:color w:val="auto"/>
                      <w:spacing w:val="0"/>
                      <w:sz w:val="21"/>
                      <w:szCs w:val="21"/>
                      <w:highlight w:val="none"/>
                    </w:rPr>
                    <w:t>1</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cs="Arial"/>
                      <w:color w:val="auto"/>
                      <w:spacing w:val="0"/>
                      <w:sz w:val="21"/>
                      <w:szCs w:val="21"/>
                      <w:highlight w:val="none"/>
                    </w:rPr>
                    <w:t>D711×8无缝钢管</w:t>
                  </w:r>
                </w:p>
              </w:tc>
              <w:tc>
                <w:tcPr>
                  <w:tcW w:w="103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b/>
                      <w:bCs/>
                      <w:color w:val="auto"/>
                      <w:spacing w:val="0"/>
                      <w:sz w:val="21"/>
                      <w:szCs w:val="21"/>
                      <w:highlight w:val="none"/>
                      <w:lang w:eastAsia="zh-CN"/>
                    </w:rPr>
                  </w:pPr>
                  <w:r>
                    <w:rPr>
                      <w:rFonts w:hint="default" w:ascii="Arial" w:hAnsi="Arial" w:cs="Arial"/>
                      <w:color w:val="auto"/>
                      <w:spacing w:val="0"/>
                      <w:sz w:val="21"/>
                      <w:szCs w:val="21"/>
                      <w:highlight w:val="none"/>
                      <w:lang w:val="en-US" w:eastAsia="zh-CN"/>
                    </w:rPr>
                    <w:t>m</w:t>
                  </w: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595.8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eastAsia="Times New Roman" w:cs="Arial"/>
                      <w:color w:val="auto"/>
                      <w:spacing w:val="0"/>
                      <w:sz w:val="21"/>
                      <w:szCs w:val="21"/>
                      <w:highlight w:val="none"/>
                    </w:rPr>
                    <w:t>2</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cs="Arial"/>
                      <w:color w:val="auto"/>
                      <w:spacing w:val="0"/>
                      <w:sz w:val="21"/>
                      <w:szCs w:val="21"/>
                      <w:highlight w:val="none"/>
                    </w:rPr>
                    <w:t>D610×7.1无缝钢管</w:t>
                  </w:r>
                </w:p>
              </w:tc>
              <w:tc>
                <w:tcPr>
                  <w:tcW w:w="10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3793.3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eastAsia="Times New Roman" w:cs="Arial"/>
                      <w:color w:val="auto"/>
                      <w:spacing w:val="0"/>
                      <w:sz w:val="21"/>
                      <w:szCs w:val="21"/>
                      <w:highlight w:val="none"/>
                    </w:rPr>
                    <w:t>3</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r>
                    <w:rPr>
                      <w:rFonts w:hint="default" w:ascii="Arial" w:hAnsi="Arial" w:cs="Arial"/>
                      <w:color w:val="auto"/>
                      <w:spacing w:val="0"/>
                      <w:sz w:val="21"/>
                      <w:szCs w:val="21"/>
                      <w:highlight w:val="none"/>
                    </w:rPr>
                    <w:t>D508×7.1无缝钢管</w:t>
                  </w:r>
                </w:p>
              </w:tc>
              <w:tc>
                <w:tcPr>
                  <w:tcW w:w="10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3998.9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4</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default" w:ascii="Arial" w:hAnsi="Arial" w:cs="Arial"/>
                      <w:color w:val="auto"/>
                      <w:spacing w:val="0"/>
                      <w:sz w:val="21"/>
                      <w:szCs w:val="21"/>
                      <w:highlight w:val="none"/>
                    </w:rPr>
                    <w:t>DN450PE管1.0MPa</w:t>
                  </w:r>
                </w:p>
              </w:tc>
              <w:tc>
                <w:tcPr>
                  <w:tcW w:w="103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3968.1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b/>
                      <w:bCs/>
                      <w:color w:val="auto"/>
                      <w:spacing w:val="0"/>
                      <w:sz w:val="21"/>
                      <w:szCs w:val="21"/>
                      <w:highlight w:val="none"/>
                      <w:lang w:val="en-US" w:eastAsia="zh-CN"/>
                    </w:rPr>
                  </w:pPr>
                  <w:r>
                    <w:rPr>
                      <w:rFonts w:hint="default" w:ascii="Arial" w:hAnsi="Arial" w:cs="Arial"/>
                      <w:b/>
                      <w:bCs/>
                      <w:color w:val="auto"/>
                      <w:spacing w:val="0"/>
                      <w:sz w:val="21"/>
                      <w:szCs w:val="21"/>
                      <w:highlight w:val="none"/>
                      <w:lang w:val="en-US" w:eastAsia="zh-CN"/>
                    </w:rPr>
                    <w:t>二</w:t>
                  </w:r>
                </w:p>
              </w:tc>
              <w:tc>
                <w:tcPr>
                  <w:tcW w:w="226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b/>
                      <w:bCs/>
                      <w:color w:val="auto"/>
                      <w:spacing w:val="0"/>
                      <w:sz w:val="21"/>
                      <w:szCs w:val="21"/>
                      <w:highlight w:val="none"/>
                      <w:lang w:val="en-US" w:eastAsia="zh-CN"/>
                    </w:rPr>
                  </w:pPr>
                  <w:r>
                    <w:rPr>
                      <w:rFonts w:hint="default" w:ascii="Arial" w:hAnsi="Arial" w:cs="Arial"/>
                      <w:b/>
                      <w:bCs/>
                      <w:color w:val="auto"/>
                      <w:spacing w:val="0"/>
                      <w:sz w:val="21"/>
                      <w:szCs w:val="21"/>
                      <w:highlight w:val="none"/>
                      <w:lang w:val="en-US" w:eastAsia="zh-CN"/>
                    </w:rPr>
                    <w:t>管件</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p>
              </w:tc>
              <w:tc>
                <w:tcPr>
                  <w:tcW w:w="1093"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b/>
                      <w:bCs/>
                      <w:color w:val="auto"/>
                      <w:spacing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1</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1.6MPaDN700蝶阀(D71X-16)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eastAsia="宋体" w:cs="Arial"/>
                      <w:color w:val="auto"/>
                      <w:spacing w:val="0"/>
                      <w:sz w:val="21"/>
                      <w:szCs w:val="21"/>
                      <w:highlight w:val="none"/>
                      <w:lang w:val="en-US" w:eastAsia="zh-CN"/>
                    </w:rPr>
                  </w:pPr>
                  <w:r>
                    <w:rPr>
                      <w:rFonts w:hint="default" w:ascii="Arial" w:hAnsi="Arial" w:cs="Arial"/>
                      <w:color w:val="auto"/>
                      <w:spacing w:val="0"/>
                      <w:sz w:val="21"/>
                      <w:szCs w:val="21"/>
                      <w:highlight w:val="none"/>
                      <w:lang w:val="en-US" w:eastAsia="zh-CN"/>
                    </w:rPr>
                    <w:t>2</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1.6MPaDN700金属伸缩接头(B2F-16)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3</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1.6MPADN600蝶阀(D71X-16)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4</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1.6MPaDN600金属伸缩接头(B2F-16)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5</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1.6MPADN500蝶阀(D71X-16)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6</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1.6MPaDN500金属伸缩接头(B2F-16)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7</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1.6MPADN450蝶阀(D71X-16)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8</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1.6MPaDN450金属伸缩接头(B2F-16)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9</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1.6MPaDN200排泥管</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m</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412.5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10</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1.6MPaDN700×200排泥三通</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11</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1.6MPaDN600×200排泥三通</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12</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1.6MPaDN500×200排泥三通</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13</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1.6MPaDN450×200排泥三通</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14</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1.6MPaDN200排泥闸阀(Z45X-16)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15</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1.6MPaDN80排气检修闸阀(Z45X-16)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16</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1.6MPaDN80自动进排气阀（CARX-16)</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17</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DM20通用型压力变送器</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18</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DN700/1.6mpa电磁流量计（一体式）</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19</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DN600/1.6mpa电磁流量计（一体式）</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20</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DN500/1.6mpa电磁流量计（一体式）</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21</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DN450/1.6mpa电磁流量计（一体式）</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22</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DN110/1.6Mpa铸铁给水栓</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个</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59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lang w:val="en-US" w:eastAsia="zh-CN"/>
                    </w:rPr>
                  </w:pPr>
                  <w:r>
                    <w:rPr>
                      <w:rFonts w:hint="eastAsia" w:ascii="Arial" w:hAnsi="Arial" w:cs="Arial"/>
                      <w:color w:val="auto"/>
                      <w:spacing w:val="0"/>
                      <w:sz w:val="21"/>
                      <w:szCs w:val="21"/>
                      <w:highlight w:val="none"/>
                      <w:lang w:val="en-US" w:eastAsia="zh-CN"/>
                    </w:rPr>
                    <w:t>23</w:t>
                  </w:r>
                </w:p>
              </w:tc>
              <w:tc>
                <w:tcPr>
                  <w:tcW w:w="4139"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DN110PE管</w:t>
                  </w:r>
                </w:p>
              </w:tc>
              <w:tc>
                <w:tcPr>
                  <w:tcW w:w="18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m</w:t>
                  </w:r>
                </w:p>
              </w:tc>
              <w:tc>
                <w:tcPr>
                  <w:tcW w:w="1994"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Arial" w:hAnsi="Arial" w:cs="Arial"/>
                      <w:color w:val="auto"/>
                      <w:spacing w:val="0"/>
                      <w:sz w:val="21"/>
                      <w:szCs w:val="21"/>
                      <w:highlight w:val="none"/>
                    </w:rPr>
                  </w:pPr>
                  <w:r>
                    <w:rPr>
                      <w:rFonts w:hint="eastAsia" w:ascii="Arial" w:hAnsi="Arial" w:cs="Arial"/>
                      <w:color w:val="auto"/>
                      <w:spacing w:val="0"/>
                      <w:sz w:val="21"/>
                      <w:szCs w:val="21"/>
                      <w:highlight w:val="none"/>
                      <w:lang w:val="en-US" w:eastAsia="zh-CN"/>
                    </w:rPr>
                    <w:t>73.9</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b/>
                <w:bCs/>
                <w:color w:val="auto"/>
                <w:spacing w:val="-3"/>
                <w:sz w:val="24"/>
                <w:szCs w:val="24"/>
                <w:highlight w:val="none"/>
                <w:lang w:val="en-US" w:eastAsia="zh-CN"/>
              </w:rPr>
              <w:t>六</w:t>
            </w:r>
            <w:r>
              <w:rPr>
                <w:b/>
                <w:bCs/>
                <w:color w:val="auto"/>
                <w:spacing w:val="-3"/>
                <w:sz w:val="24"/>
                <w:szCs w:val="24"/>
                <w:highlight w:val="none"/>
              </w:rPr>
              <w:t>、施工期原辅材料和主要设备</w:t>
            </w:r>
          </w:p>
          <w:p>
            <w:pPr>
              <w:pStyle w:val="75"/>
              <w:keepNext w:val="0"/>
              <w:keepLines w:val="0"/>
              <w:pageBreakBefore w:val="0"/>
              <w:widowControl w:val="0"/>
              <w:kinsoku/>
              <w:wordWrap/>
              <w:overflowPunct/>
              <w:topLinePunct w:val="0"/>
              <w:autoSpaceDE/>
              <w:autoSpaceDN/>
              <w:bidi w:val="0"/>
              <w:adjustRightInd/>
              <w:snapToGrid/>
              <w:spacing w:line="360" w:lineRule="auto"/>
              <w:ind w:firstLine="452" w:firstLineChars="200"/>
              <w:textAlignment w:val="auto"/>
              <w:rPr>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b/>
                <w:bCs/>
                <w:color w:val="auto"/>
                <w:spacing w:val="-7"/>
                <w:sz w:val="24"/>
                <w:szCs w:val="24"/>
                <w:highlight w:val="none"/>
              </w:rPr>
              <w:t>、施工期原辅材料</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color w:val="auto"/>
                <w:spacing w:val="-1"/>
                <w:sz w:val="24"/>
                <w:szCs w:val="24"/>
                <w:highlight w:val="none"/>
                <w:lang w:eastAsia="zh-CN"/>
              </w:rPr>
            </w:pPr>
            <w:r>
              <w:rPr>
                <w:color w:val="auto"/>
                <w:spacing w:val="-1"/>
                <w:sz w:val="24"/>
                <w:szCs w:val="24"/>
                <w:highlight w:val="none"/>
              </w:rPr>
              <w:t>本项目施工期主要原辅材料及能耗情况见下表</w:t>
            </w:r>
            <w:r>
              <w:rPr>
                <w:rFonts w:hint="eastAsia"/>
                <w:color w:val="auto"/>
                <w:spacing w:val="-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表2-10   主要原辅材料及能耗情况一览表</w:t>
            </w:r>
          </w:p>
          <w:tbl>
            <w:tblPr>
              <w:tblStyle w:val="76"/>
              <w:tblW w:w="487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5"/>
              <w:gridCol w:w="976"/>
              <w:gridCol w:w="2520"/>
              <w:gridCol w:w="1193"/>
              <w:gridCol w:w="1480"/>
              <w:gridCol w:w="17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5"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4"/>
                      <w:sz w:val="21"/>
                      <w:szCs w:val="21"/>
                      <w:highlight w:val="none"/>
                    </w:rPr>
                    <w:t>序号</w:t>
                  </w:r>
                </w:p>
              </w:tc>
              <w:tc>
                <w:tcPr>
                  <w:tcW w:w="976"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3"/>
                      <w:sz w:val="21"/>
                      <w:szCs w:val="21"/>
                      <w:highlight w:val="none"/>
                    </w:rPr>
                    <w:t>类别</w:t>
                  </w: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2"/>
                      <w:sz w:val="21"/>
                      <w:szCs w:val="21"/>
                      <w:highlight w:val="none"/>
                    </w:rPr>
                    <w:t>名称</w:t>
                  </w:r>
                </w:p>
              </w:tc>
              <w:tc>
                <w:tcPr>
                  <w:tcW w:w="119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3"/>
                      <w:sz w:val="21"/>
                      <w:szCs w:val="21"/>
                      <w:highlight w:val="none"/>
                    </w:rPr>
                    <w:t>单位</w:t>
                  </w:r>
                </w:p>
              </w:tc>
              <w:tc>
                <w:tcPr>
                  <w:tcW w:w="148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4"/>
                      <w:sz w:val="21"/>
                      <w:szCs w:val="21"/>
                      <w:highlight w:val="none"/>
                    </w:rPr>
                    <w:t>消耗量</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b/>
                      <w:bCs/>
                      <w:color w:val="auto"/>
                      <w:spacing w:val="3"/>
                      <w:sz w:val="21"/>
                      <w:szCs w:val="21"/>
                      <w:highlight w:val="none"/>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1</w:t>
                  </w:r>
                </w:p>
              </w:tc>
              <w:tc>
                <w:tcPr>
                  <w:tcW w:w="976" w:type="dxa"/>
                  <w:vMerge w:val="restar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原料</w:t>
                  </w: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3"/>
                      <w:sz w:val="21"/>
                      <w:szCs w:val="21"/>
                      <w:highlight w:val="none"/>
                    </w:rPr>
                    <w:t>水泥</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t</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6369</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2</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8"/>
                      <w:sz w:val="21"/>
                      <w:szCs w:val="21"/>
                      <w:highlight w:val="none"/>
                    </w:rPr>
                    <w:t>钢筋及型材</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t</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color w:val="auto"/>
                      <w:sz w:val="21"/>
                      <w:szCs w:val="21"/>
                      <w:highlight w:val="none"/>
                    </w:rPr>
                    <w:t>1074</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3</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6"/>
                      <w:sz w:val="21"/>
                      <w:szCs w:val="21"/>
                      <w:highlight w:val="none"/>
                    </w:rPr>
                    <w:t>板枋材</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hAnsi="Arial" w:eastAsia="宋体" w:cs="Arial"/>
                      <w:color w:val="auto"/>
                      <w:sz w:val="21"/>
                      <w:szCs w:val="21"/>
                      <w:highlight w:val="none"/>
                      <w:lang w:val="en-US" w:eastAsia="zh-CN"/>
                    </w:rPr>
                  </w:pPr>
                  <w:r>
                    <w:rPr>
                      <w:rFonts w:hint="eastAsia" w:ascii="Arial" w:hAnsi="Arial" w:cs="Arial"/>
                      <w:color w:val="auto"/>
                      <w:spacing w:val="4"/>
                      <w:position w:val="-3"/>
                      <w:sz w:val="21"/>
                      <w:szCs w:val="21"/>
                      <w:highlight w:val="none"/>
                      <w:lang w:val="en-US" w:eastAsia="zh-CN"/>
                    </w:rPr>
                    <w:t>m</w:t>
                  </w:r>
                  <w:r>
                    <w:rPr>
                      <w:rFonts w:hint="eastAsia" w:ascii="Arial" w:hAnsi="Arial" w:cs="Arial"/>
                      <w:color w:val="auto"/>
                      <w:spacing w:val="4"/>
                      <w:position w:val="-3"/>
                      <w:sz w:val="21"/>
                      <w:szCs w:val="21"/>
                      <w:highlight w:val="none"/>
                      <w:vertAlign w:val="superscript"/>
                      <w:lang w:val="en-US" w:eastAsia="zh-CN"/>
                    </w:rPr>
                    <w:t>3</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3"/>
                      <w:sz w:val="21"/>
                      <w:szCs w:val="21"/>
                      <w:highlight w:val="none"/>
                    </w:rPr>
                    <w:t>1.95</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4</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7"/>
                      <w:sz w:val="21"/>
                      <w:szCs w:val="21"/>
                      <w:highlight w:val="none"/>
                    </w:rPr>
                    <w:t>砂石料</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hAnsi="Arial" w:eastAsia="宋体" w:cs="Arial"/>
                      <w:color w:val="auto"/>
                      <w:sz w:val="21"/>
                      <w:szCs w:val="21"/>
                      <w:highlight w:val="none"/>
                      <w:lang w:val="en-US" w:eastAsia="zh-CN"/>
                    </w:rPr>
                  </w:pPr>
                  <w:r>
                    <w:rPr>
                      <w:rFonts w:hint="eastAsia" w:ascii="Arial" w:hAnsi="Arial" w:cs="Arial"/>
                      <w:color w:val="auto"/>
                      <w:spacing w:val="4"/>
                      <w:position w:val="-3"/>
                      <w:sz w:val="21"/>
                      <w:szCs w:val="21"/>
                      <w:highlight w:val="none"/>
                      <w:lang w:val="en-US" w:eastAsia="zh-CN"/>
                    </w:rPr>
                    <w:t>万m</w:t>
                  </w:r>
                  <w:r>
                    <w:rPr>
                      <w:rFonts w:hint="eastAsia" w:ascii="Arial" w:hAnsi="Arial" w:cs="Arial"/>
                      <w:color w:val="auto"/>
                      <w:spacing w:val="4"/>
                      <w:position w:val="-3"/>
                      <w:sz w:val="21"/>
                      <w:szCs w:val="21"/>
                      <w:highlight w:val="none"/>
                      <w:vertAlign w:val="superscript"/>
                      <w:lang w:val="en-US" w:eastAsia="zh-CN"/>
                    </w:rPr>
                    <w:t>3</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lang w:val="en-US" w:eastAsia="zh-CN"/>
                    </w:rPr>
                  </w:pPr>
                  <w:r>
                    <w:rPr>
                      <w:rFonts w:hint="eastAsia" w:ascii="Arial" w:hAnsi="Arial" w:cs="Arial"/>
                      <w:color w:val="auto"/>
                      <w:spacing w:val="1"/>
                      <w:sz w:val="21"/>
                      <w:szCs w:val="21"/>
                      <w:highlight w:val="none"/>
                      <w:lang w:val="en-US" w:eastAsia="zh-CN"/>
                    </w:rPr>
                    <w:t>9.42</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5</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4"/>
                      <w:sz w:val="21"/>
                      <w:szCs w:val="21"/>
                      <w:highlight w:val="none"/>
                    </w:rPr>
                    <w:t>沥青</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t</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3"/>
                      <w:sz w:val="21"/>
                      <w:szCs w:val="21"/>
                      <w:highlight w:val="none"/>
                    </w:rPr>
                    <w:t>0.4836</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6</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3"/>
                      <w:sz w:val="21"/>
                      <w:szCs w:val="21"/>
                      <w:highlight w:val="none"/>
                    </w:rPr>
                    <w:t>炸药</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t</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lang w:val="en-US" w:eastAsia="zh-CN"/>
                    </w:rPr>
                  </w:pPr>
                  <w:r>
                    <w:rPr>
                      <w:rFonts w:hint="default" w:ascii="Arial" w:hAnsi="Arial" w:eastAsia="宋体" w:cs="Arial"/>
                      <w:color w:val="auto"/>
                      <w:spacing w:val="-1"/>
                      <w:sz w:val="21"/>
                      <w:szCs w:val="21"/>
                      <w:highlight w:val="none"/>
                    </w:rPr>
                    <w:t>1</w:t>
                  </w:r>
                  <w:r>
                    <w:rPr>
                      <w:rFonts w:hint="eastAsia" w:ascii="Arial" w:hAnsi="Arial" w:cs="Arial"/>
                      <w:color w:val="auto"/>
                      <w:spacing w:val="-1"/>
                      <w:sz w:val="21"/>
                      <w:szCs w:val="21"/>
                      <w:highlight w:val="none"/>
                      <w:lang w:val="en-US" w:eastAsia="zh-CN"/>
                    </w:rPr>
                    <w:t>79.0</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7</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8"/>
                      <w:sz w:val="21"/>
                      <w:szCs w:val="21"/>
                      <w:highlight w:val="none"/>
                    </w:rPr>
                    <w:t>汽油、柴油</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t</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lang w:val="en-US" w:eastAsia="zh-CN"/>
                    </w:rPr>
                  </w:pPr>
                  <w:r>
                    <w:rPr>
                      <w:rFonts w:hint="eastAsia" w:ascii="Arial" w:hAnsi="Arial" w:cs="Arial"/>
                      <w:color w:val="auto"/>
                      <w:sz w:val="21"/>
                      <w:szCs w:val="21"/>
                      <w:highlight w:val="none"/>
                      <w:lang w:val="en-US" w:eastAsia="zh-CN"/>
                    </w:rPr>
                    <w:t>957</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8</w:t>
                  </w:r>
                </w:p>
              </w:tc>
              <w:tc>
                <w:tcPr>
                  <w:tcW w:w="97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pacing w:val="8"/>
                      <w:sz w:val="21"/>
                      <w:szCs w:val="21"/>
                      <w:highlight w:val="none"/>
                      <w:lang w:val="en-US" w:eastAsia="zh-CN"/>
                    </w:rPr>
                  </w:pPr>
                  <w:r>
                    <w:rPr>
                      <w:rFonts w:hint="eastAsia" w:ascii="Arial" w:hAnsi="Arial" w:cs="Arial"/>
                      <w:color w:val="auto"/>
                      <w:spacing w:val="8"/>
                      <w:sz w:val="21"/>
                      <w:szCs w:val="21"/>
                      <w:highlight w:val="none"/>
                      <w:lang w:val="en-US" w:eastAsia="zh-CN"/>
                    </w:rPr>
                    <w:t>沥青混凝土</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eastAsia" w:ascii="Arial" w:hAnsi="Arial" w:cs="Arial"/>
                      <w:color w:val="auto"/>
                      <w:spacing w:val="4"/>
                      <w:position w:val="-3"/>
                      <w:sz w:val="21"/>
                      <w:szCs w:val="21"/>
                      <w:highlight w:val="none"/>
                      <w:lang w:val="en-US" w:eastAsia="zh-CN"/>
                    </w:rPr>
                    <w:t>m</w:t>
                  </w:r>
                  <w:r>
                    <w:rPr>
                      <w:rFonts w:hint="eastAsia" w:ascii="Arial" w:hAnsi="Arial" w:cs="Arial"/>
                      <w:color w:val="auto"/>
                      <w:spacing w:val="4"/>
                      <w:position w:val="-3"/>
                      <w:sz w:val="21"/>
                      <w:szCs w:val="21"/>
                      <w:highlight w:val="none"/>
                      <w:vertAlign w:val="superscript"/>
                      <w:lang w:val="en-US" w:eastAsia="zh-CN"/>
                    </w:rPr>
                    <w:t>3</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cs="Arial"/>
                      <w:color w:val="auto"/>
                      <w:sz w:val="21"/>
                      <w:szCs w:val="21"/>
                      <w:highlight w:val="none"/>
                      <w:lang w:val="en-US" w:eastAsia="zh-CN"/>
                    </w:rPr>
                  </w:pPr>
                  <w:r>
                    <w:rPr>
                      <w:rFonts w:hint="eastAsia" w:ascii="Arial" w:hAnsi="Arial" w:cs="Arial"/>
                      <w:color w:val="auto"/>
                      <w:sz w:val="21"/>
                      <w:szCs w:val="21"/>
                      <w:highlight w:val="none"/>
                      <w:lang w:val="en-US" w:eastAsia="zh-CN"/>
                    </w:rPr>
                    <w:t>6200</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Arial" w:hAnsi="Arial" w:eastAsia="宋体" w:cs="Arial"/>
                      <w:color w:val="auto"/>
                      <w:spacing w:val="2"/>
                      <w:sz w:val="21"/>
                      <w:szCs w:val="21"/>
                      <w:highlight w:val="none"/>
                      <w:lang w:val="en-US" w:eastAsia="zh-CN"/>
                    </w:rPr>
                  </w:pPr>
                  <w:r>
                    <w:rPr>
                      <w:rFonts w:hint="eastAsia" w:ascii="Arial" w:hAnsi="Arial" w:cs="Arial"/>
                      <w:color w:val="auto"/>
                      <w:spacing w:val="2"/>
                      <w:sz w:val="21"/>
                      <w:szCs w:val="21"/>
                      <w:highlight w:val="none"/>
                      <w:lang w:val="en-US" w:eastAsia="zh-CN"/>
                    </w:rPr>
                    <w:t>自制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Arial" w:hAnsi="Arial" w:eastAsia="宋体" w:cs="Arial"/>
                      <w:color w:val="auto"/>
                      <w:kern w:val="2"/>
                      <w:sz w:val="21"/>
                      <w:szCs w:val="21"/>
                      <w:highlight w:val="none"/>
                      <w:lang w:val="en-US" w:eastAsia="zh-CN" w:bidi="ar-SA"/>
                    </w:rPr>
                  </w:pPr>
                  <w:r>
                    <w:rPr>
                      <w:rFonts w:hint="default" w:ascii="Arial" w:hAnsi="Arial" w:eastAsia="宋体" w:cs="Arial"/>
                      <w:color w:val="auto"/>
                      <w:sz w:val="21"/>
                      <w:szCs w:val="21"/>
                      <w:highlight w:val="none"/>
                    </w:rPr>
                    <w:t>9</w:t>
                  </w:r>
                </w:p>
              </w:tc>
              <w:tc>
                <w:tcPr>
                  <w:tcW w:w="976" w:type="dxa"/>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能耗</w:t>
                  </w: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7"/>
                      <w:sz w:val="21"/>
                      <w:szCs w:val="21"/>
                      <w:highlight w:val="none"/>
                    </w:rPr>
                    <w:t>施工用电</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kW</w:t>
                  </w:r>
                  <w:r>
                    <w:rPr>
                      <w:rFonts w:hint="default" w:ascii="Arial" w:hAnsi="Arial" w:eastAsia="宋体" w:cs="Arial"/>
                      <w:color w:val="auto"/>
                      <w:spacing w:val="9"/>
                      <w:sz w:val="21"/>
                      <w:szCs w:val="21"/>
                      <w:highlight w:val="none"/>
                    </w:rPr>
                    <w:t>·h</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13776</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8"/>
                      <w:sz w:val="21"/>
                      <w:szCs w:val="21"/>
                      <w:highlight w:val="none"/>
                    </w:rPr>
                    <w:t>电网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9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lang w:val="en-US" w:eastAsia="zh-CN"/>
                    </w:rPr>
                  </w:pPr>
                  <w:r>
                    <w:rPr>
                      <w:rFonts w:hint="eastAsia" w:ascii="Arial" w:hAnsi="Arial" w:cs="Arial"/>
                      <w:color w:val="auto"/>
                      <w:sz w:val="21"/>
                      <w:szCs w:val="21"/>
                      <w:highlight w:val="none"/>
                      <w:lang w:val="en-US" w:eastAsia="zh-CN"/>
                    </w:rPr>
                    <w:t>10</w:t>
                  </w:r>
                </w:p>
              </w:tc>
              <w:tc>
                <w:tcPr>
                  <w:tcW w:w="97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hint="default" w:ascii="Arial" w:hAnsi="Arial" w:eastAsia="宋体" w:cs="Arial"/>
                      <w:color w:val="auto"/>
                      <w:sz w:val="21"/>
                      <w:szCs w:val="21"/>
                      <w:highlight w:val="none"/>
                    </w:rPr>
                  </w:pPr>
                </w:p>
              </w:tc>
              <w:tc>
                <w:tcPr>
                  <w:tcW w:w="252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7"/>
                      <w:sz w:val="21"/>
                      <w:szCs w:val="21"/>
                      <w:highlight w:val="none"/>
                    </w:rPr>
                    <w:t>施工用水</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4"/>
                      <w:position w:val="-3"/>
                      <w:sz w:val="21"/>
                      <w:szCs w:val="21"/>
                      <w:highlight w:val="none"/>
                    </w:rPr>
                    <w:t>m</w:t>
                  </w:r>
                  <w:r>
                    <w:rPr>
                      <w:rFonts w:hint="default" w:ascii="Arial" w:hAnsi="Arial" w:eastAsia="宋体" w:cs="Arial"/>
                      <w:color w:val="auto"/>
                      <w:spacing w:val="4"/>
                      <w:position w:val="3"/>
                      <w:sz w:val="21"/>
                      <w:szCs w:val="21"/>
                      <w:highlight w:val="none"/>
                    </w:rPr>
                    <w:t>3</w:t>
                  </w:r>
                </w:p>
              </w:tc>
              <w:tc>
                <w:tcPr>
                  <w:tcW w:w="14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3"/>
                      <w:sz w:val="21"/>
                      <w:szCs w:val="21"/>
                      <w:highlight w:val="none"/>
                    </w:rPr>
                    <w:t>4268.5</w:t>
                  </w:r>
                </w:p>
              </w:tc>
              <w:tc>
                <w:tcPr>
                  <w:tcW w:w="985"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pacing w:val="5"/>
                      <w:sz w:val="21"/>
                      <w:szCs w:val="21"/>
                      <w:highlight w:val="none"/>
                    </w:rPr>
                    <w:t>市政供水</w:t>
                  </w:r>
                </w:p>
              </w:tc>
            </w:tr>
          </w:tbl>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、施工期主要设备</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color w:val="auto"/>
                <w:spacing w:val="-1"/>
                <w:sz w:val="24"/>
                <w:szCs w:val="24"/>
                <w:highlight w:val="none"/>
                <w:lang w:val="en-US" w:eastAsia="zh-CN"/>
              </w:rPr>
            </w:pPr>
            <w:r>
              <w:rPr>
                <w:rFonts w:hint="eastAsia"/>
                <w:color w:val="auto"/>
                <w:spacing w:val="-1"/>
                <w:sz w:val="24"/>
                <w:szCs w:val="24"/>
                <w:highlight w:val="none"/>
              </w:rPr>
              <w:t>本项目枢纽工程施工期主要设备见表</w:t>
            </w:r>
            <w:r>
              <w:rPr>
                <w:rFonts w:hint="eastAsia"/>
                <w:color w:val="auto"/>
                <w:spacing w:val="-1"/>
                <w:sz w:val="24"/>
                <w:szCs w:val="24"/>
                <w:highlight w:val="none"/>
                <w:lang w:val="en-US" w:eastAsia="zh-CN"/>
              </w:rPr>
              <w:t>2</w:t>
            </w:r>
            <w:r>
              <w:rPr>
                <w:rFonts w:hint="eastAsia"/>
                <w:color w:val="auto"/>
                <w:spacing w:val="-1"/>
                <w:sz w:val="24"/>
                <w:szCs w:val="24"/>
                <w:highlight w:val="none"/>
              </w:rPr>
              <w:t>-</w:t>
            </w:r>
            <w:r>
              <w:rPr>
                <w:rFonts w:hint="eastAsia"/>
                <w:color w:val="auto"/>
                <w:spacing w:val="-1"/>
                <w:sz w:val="24"/>
                <w:szCs w:val="24"/>
                <w:highlight w:val="none"/>
                <w:lang w:val="en-US" w:eastAsia="zh-CN"/>
              </w:rPr>
              <w:t>11</w:t>
            </w:r>
            <w:r>
              <w:rPr>
                <w:rFonts w:hint="eastAsia"/>
                <w:color w:val="auto"/>
                <w:spacing w:val="-1"/>
                <w:sz w:val="24"/>
                <w:szCs w:val="24"/>
                <w:highlight w:val="none"/>
              </w:rPr>
              <w:t>，</w:t>
            </w:r>
            <w:r>
              <w:rPr>
                <w:color w:val="auto"/>
                <w:spacing w:val="-1"/>
                <w:sz w:val="24"/>
                <w:szCs w:val="24"/>
                <w:highlight w:val="none"/>
              </w:rPr>
              <w:t>灌区工程施工期主要设备见表</w:t>
            </w:r>
            <w:r>
              <w:rPr>
                <w:rFonts w:hint="eastAsia"/>
                <w:color w:val="auto"/>
                <w:spacing w:val="-1"/>
                <w:sz w:val="24"/>
                <w:szCs w:val="24"/>
                <w:highlight w:val="none"/>
                <w:lang w:val="en-US" w:eastAsia="zh-CN"/>
              </w:rPr>
              <w:t>2</w:t>
            </w:r>
            <w:r>
              <w:rPr>
                <w:rFonts w:hint="eastAsia"/>
                <w:color w:val="auto"/>
                <w:spacing w:val="-1"/>
                <w:sz w:val="24"/>
                <w:szCs w:val="24"/>
                <w:highlight w:val="none"/>
              </w:rPr>
              <w:t>-</w:t>
            </w:r>
            <w:r>
              <w:rPr>
                <w:rFonts w:hint="eastAsia"/>
                <w:color w:val="auto"/>
                <w:spacing w:val="-1"/>
                <w:sz w:val="24"/>
                <w:szCs w:val="24"/>
                <w:highlight w:val="none"/>
                <w:lang w:val="en-US" w:eastAsia="zh-CN"/>
              </w:rPr>
              <w:t>12。</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表2-11  枢纽工程主要施工机械设备汇总表</w:t>
            </w:r>
          </w:p>
          <w:tbl>
            <w:tblPr>
              <w:tblStyle w:val="23"/>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084"/>
              <w:gridCol w:w="1396"/>
              <w:gridCol w:w="1910"/>
              <w:gridCol w:w="961"/>
              <w:gridCol w:w="743"/>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序号</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设备名称</w:t>
                  </w:r>
                </w:p>
              </w:tc>
              <w:tc>
                <w:tcPr>
                  <w:tcW w:w="1059"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型号或规格</w:t>
                  </w:r>
                </w:p>
              </w:tc>
              <w:tc>
                <w:tcPr>
                  <w:tcW w:w="533"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单位</w:t>
                  </w:r>
                </w:p>
              </w:tc>
              <w:tc>
                <w:tcPr>
                  <w:tcW w:w="41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数量</w:t>
                  </w:r>
                </w:p>
              </w:tc>
              <w:tc>
                <w:tcPr>
                  <w:tcW w:w="1227"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一</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土石方施工机械</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液压反铲挖掘机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320型（1.6m</w:t>
                  </w:r>
                  <w:r>
                    <w:rPr>
                      <w:snapToGrid w:val="0"/>
                      <w:color w:val="auto"/>
                      <w:kern w:val="0"/>
                      <w:sz w:val="21"/>
                      <w:szCs w:val="21"/>
                      <w:highlight w:val="none"/>
                      <w:vertAlign w:val="superscript"/>
                    </w:rPr>
                    <w:t>3</w:t>
                  </w:r>
                  <w:r>
                    <w:rPr>
                      <w:snapToGrid w:val="0"/>
                      <w:color w:val="auto"/>
                      <w:kern w:val="0"/>
                      <w:sz w:val="21"/>
                      <w:szCs w:val="21"/>
                      <w:highlight w:val="none"/>
                    </w:rPr>
                    <w: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9</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液压反铲挖掘机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240型（1 m</w:t>
                  </w:r>
                  <w:r>
                    <w:rPr>
                      <w:snapToGrid w:val="0"/>
                      <w:color w:val="auto"/>
                      <w:kern w:val="0"/>
                      <w:sz w:val="21"/>
                      <w:szCs w:val="21"/>
                      <w:highlight w:val="none"/>
                      <w:vertAlign w:val="superscript"/>
                    </w:rPr>
                    <w:t>3</w:t>
                  </w:r>
                  <w:r>
                    <w:rPr>
                      <w:snapToGrid w:val="0"/>
                      <w:color w:val="auto"/>
                      <w:kern w:val="0"/>
                      <w:sz w:val="21"/>
                      <w:szCs w:val="21"/>
                      <w:highlight w:val="none"/>
                    </w:rPr>
                    <w: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液压反铲挖掘机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220型（0.6m</w:t>
                  </w:r>
                  <w:r>
                    <w:rPr>
                      <w:snapToGrid w:val="0"/>
                      <w:color w:val="auto"/>
                      <w:kern w:val="0"/>
                      <w:sz w:val="21"/>
                      <w:szCs w:val="21"/>
                      <w:highlight w:val="none"/>
                      <w:vertAlign w:val="superscript"/>
                    </w:rPr>
                    <w:t>3</w:t>
                  </w:r>
                  <w:r>
                    <w:rPr>
                      <w:snapToGrid w:val="0"/>
                      <w:color w:val="auto"/>
                      <w:kern w:val="0"/>
                      <w:sz w:val="21"/>
                      <w:szCs w:val="21"/>
                      <w:highlight w:val="none"/>
                    </w:rPr>
                    <w: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装载机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ZL30型（2m</w:t>
                  </w:r>
                  <w:r>
                    <w:rPr>
                      <w:snapToGrid w:val="0"/>
                      <w:color w:val="auto"/>
                      <w:kern w:val="0"/>
                      <w:sz w:val="21"/>
                      <w:szCs w:val="21"/>
                      <w:highlight w:val="none"/>
                      <w:vertAlign w:val="superscript"/>
                    </w:rPr>
                    <w:t>3</w:t>
                  </w:r>
                  <w:r>
                    <w:rPr>
                      <w:snapToGrid w:val="0"/>
                      <w:color w:val="auto"/>
                      <w:kern w:val="0"/>
                      <w:sz w:val="21"/>
                      <w:szCs w:val="21"/>
                      <w:highlight w:val="none"/>
                    </w:rPr>
                    <w: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装载机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ZL50型（3m</w:t>
                  </w:r>
                  <w:r>
                    <w:rPr>
                      <w:snapToGrid w:val="0"/>
                      <w:color w:val="auto"/>
                      <w:kern w:val="0"/>
                      <w:sz w:val="21"/>
                      <w:szCs w:val="21"/>
                      <w:highlight w:val="none"/>
                      <w:vertAlign w:val="superscript"/>
                    </w:rPr>
                    <w:t>3</w:t>
                  </w:r>
                  <w:r>
                    <w:rPr>
                      <w:snapToGrid w:val="0"/>
                      <w:color w:val="auto"/>
                      <w:kern w:val="0"/>
                      <w:sz w:val="21"/>
                      <w:szCs w:val="21"/>
                      <w:highlight w:val="none"/>
                    </w:rPr>
                    <w: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推土机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T180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装岩机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立式</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8</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振动碾</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20t牵引式</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9</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小型振动碾</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YZ2自行式</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碾重2t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潜孔钻</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气腿式风钻</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YT28</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手持式风钻</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Y24</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破碎锤</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KCB-40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小松破碎锤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风镐</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SK-10型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二</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混凝土施工机械</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混凝土拌合系统</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HZS35</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座</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移动式搅拌机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0.35m</w:t>
                  </w:r>
                  <w:r>
                    <w:rPr>
                      <w:snapToGrid w:val="0"/>
                      <w:color w:val="auto"/>
                      <w:kern w:val="0"/>
                      <w:sz w:val="21"/>
                      <w:szCs w:val="21"/>
                      <w:highlight w:val="none"/>
                      <w:vertAlign w:val="superscript"/>
                    </w:rPr>
                    <w:t>3</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刷毛机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SM400/800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混凝土泵</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NCP-700S-3</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砂浆搅拌机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JD250型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插入式振捣器</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ZP70型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平板振捣器</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ZF20型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8</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混凝土喷射机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QPJ型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三</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起重运输机械</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自卸汽车</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5/10t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3/5</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自卸汽车</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15/20t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10/15</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洒水车</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机动翻动车</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胶轮车</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汽车起重机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10/30t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快</w:t>
                  </w:r>
                  <w:r>
                    <w:rPr>
                      <w:snapToGrid w:val="0"/>
                      <w:color w:val="auto"/>
                      <w:kern w:val="0"/>
                      <w:sz w:val="21"/>
                      <w:szCs w:val="21"/>
                      <w:highlight w:val="none"/>
                    </w:rPr>
                    <w:t>速卷扬机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5t</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8</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手动葫芦</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四</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施工动力机械</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空压机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VY-9/7和4L-20/8</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2和7</w:t>
                  </w:r>
                </w:p>
              </w:tc>
              <w:tc>
                <w:tcPr>
                  <w:tcW w:w="1227" w:type="pct"/>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变压器</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 xml:space="preserve">SG10-800KVA </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b/>
                      <w:snapToGrid w:val="0"/>
                      <w:color w:val="auto"/>
                      <w:kern w:val="0"/>
                      <w:sz w:val="21"/>
                      <w:szCs w:val="21"/>
                      <w:highlight w:val="none"/>
                    </w:rPr>
                  </w:pPr>
                  <w:r>
                    <w:rPr>
                      <w:color w:val="auto"/>
                      <w:sz w:val="21"/>
                      <w:szCs w:val="21"/>
                      <w:highlight w:val="none"/>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变压器</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SG10-500KVA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变压器</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SG10-315KVA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发电机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100kW</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五</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修理加工设备</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修钎机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421-90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功率2.2</w:t>
                  </w:r>
                  <w:r>
                    <w:rPr>
                      <w:bCs/>
                      <w:snapToGrid w:val="0"/>
                      <w:color w:val="auto"/>
                      <w:kern w:val="0"/>
                      <w:sz w:val="21"/>
                      <w:szCs w:val="21"/>
                      <w:highlight w:val="none"/>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断筋机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GQ40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弯筋机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GW40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调直机</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对焊机</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点焊机</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圆盘锯</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8</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普通车床</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9</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钻床</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冲击钻</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highlight w:val="none"/>
                    </w:rPr>
                    <w:fldChar w:fldCharType="begin"/>
                  </w:r>
                  <w:r>
                    <w:rPr>
                      <w:color w:val="auto"/>
                      <w:highlight w:val="none"/>
                    </w:rPr>
                    <w:instrText xml:space="preserve"> HYPERLINK "http://china.coovee.net/business1/SmallSort282444/Index.Html" \t "_blank" </w:instrText>
                  </w:r>
                  <w:r>
                    <w:rPr>
                      <w:color w:val="auto"/>
                      <w:highlight w:val="none"/>
                    </w:rPr>
                    <w:fldChar w:fldCharType="separate"/>
                  </w:r>
                  <w:r>
                    <w:rPr>
                      <w:snapToGrid w:val="0"/>
                      <w:color w:val="auto"/>
                      <w:kern w:val="0"/>
                      <w:sz w:val="21"/>
                      <w:szCs w:val="21"/>
                      <w:highlight w:val="none"/>
                    </w:rPr>
                    <w:t>FDV16VB2</w:t>
                  </w:r>
                  <w:r>
                    <w:rPr>
                      <w:snapToGrid w:val="0"/>
                      <w:color w:val="auto"/>
                      <w:kern w:val="0"/>
                      <w:sz w:val="21"/>
                      <w:szCs w:val="21"/>
                      <w:highlight w:val="none"/>
                    </w:rPr>
                    <w:fldChar w:fldCharType="end"/>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r>
                    <w:rPr>
                      <w:color w:val="auto"/>
                      <w:highlight w:val="none"/>
                    </w:rPr>
                    <w:fldChar w:fldCharType="begin"/>
                  </w:r>
                  <w:r>
                    <w:rPr>
                      <w:color w:val="auto"/>
                      <w:highlight w:val="none"/>
                    </w:rPr>
                    <w:instrText xml:space="preserve"> HYPERLINK "http://china.coovee.net/business1/SmallSort282443/Index.Html" \t "_blank" </w:instrText>
                  </w:r>
                  <w:r>
                    <w:rPr>
                      <w:color w:val="auto"/>
                      <w:highlight w:val="none"/>
                    </w:rPr>
                    <w:fldChar w:fldCharType="separate"/>
                  </w:r>
                  <w:r>
                    <w:rPr>
                      <w:snapToGrid w:val="0"/>
                      <w:color w:val="auto"/>
                      <w:kern w:val="0"/>
                      <w:sz w:val="21"/>
                      <w:szCs w:val="21"/>
                      <w:highlight w:val="none"/>
                    </w:rPr>
                    <w:t>日立，功率</w:t>
                  </w:r>
                  <w:r>
                    <w:rPr>
                      <w:snapToGrid w:val="0"/>
                      <w:color w:val="auto"/>
                      <w:kern w:val="0"/>
                      <w:sz w:val="21"/>
                      <w:szCs w:val="21"/>
                      <w:highlight w:val="none"/>
                    </w:rPr>
                    <w:fldChar w:fldCharType="end"/>
                  </w:r>
                  <w:r>
                    <w:rPr>
                      <w:bCs/>
                      <w:snapToGrid w:val="0"/>
                      <w:color w:val="auto"/>
                      <w:kern w:val="0"/>
                      <w:sz w:val="21"/>
                      <w:szCs w:val="21"/>
                      <w:highlight w:val="none"/>
                    </w:rPr>
                    <w:t>0.55kW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电焊机</w:t>
                  </w:r>
                </w:p>
              </w:tc>
              <w:tc>
                <w:tcPr>
                  <w:tcW w:w="1059" w:type="pct"/>
                  <w:vAlign w:val="center"/>
                </w:tcPr>
                <w:p>
                  <w:pPr>
                    <w:spacing w:line="240" w:lineRule="auto"/>
                    <w:ind w:firstLine="0" w:firstLineChars="0"/>
                    <w:jc w:val="center"/>
                    <w:rPr>
                      <w:bCs/>
                      <w:snapToGrid w:val="0"/>
                      <w:color w:val="auto"/>
                      <w:kern w:val="0"/>
                      <w:sz w:val="21"/>
                      <w:szCs w:val="21"/>
                      <w:highlight w:val="none"/>
                    </w:rPr>
                  </w:pPr>
                  <w:r>
                    <w:rPr>
                      <w:bCs/>
                      <w:snapToGrid w:val="0"/>
                      <w:color w:val="auto"/>
                      <w:kern w:val="0"/>
                      <w:sz w:val="21"/>
                      <w:szCs w:val="21"/>
                      <w:highlight w:val="none"/>
                    </w:rPr>
                    <w:t>BX1型（100A）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227" w:type="pct"/>
                  <w:vAlign w:val="center"/>
                </w:tcPr>
                <w:p>
                  <w:pPr>
                    <w:spacing w:line="240" w:lineRule="auto"/>
                    <w:ind w:firstLine="0" w:firstLineChars="0"/>
                    <w:jc w:val="center"/>
                    <w:rPr>
                      <w:bCs/>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氧焊机</w:t>
                  </w:r>
                </w:p>
              </w:tc>
              <w:tc>
                <w:tcPr>
                  <w:tcW w:w="1059" w:type="pct"/>
                  <w:vAlign w:val="center"/>
                </w:tcPr>
                <w:p>
                  <w:pPr>
                    <w:spacing w:line="240" w:lineRule="auto"/>
                    <w:ind w:firstLine="0" w:firstLineChars="0"/>
                    <w:jc w:val="center"/>
                    <w:rPr>
                      <w:bCs/>
                      <w:snapToGrid w:val="0"/>
                      <w:color w:val="auto"/>
                      <w:kern w:val="0"/>
                      <w:sz w:val="21"/>
                      <w:szCs w:val="21"/>
                      <w:highlight w:val="none"/>
                    </w:rPr>
                  </w:pPr>
                  <w:r>
                    <w:rPr>
                      <w:snapToGrid w:val="0"/>
                      <w:color w:val="auto"/>
                      <w:kern w:val="0"/>
                      <w:sz w:val="21"/>
                      <w:szCs w:val="21"/>
                      <w:highlight w:val="none"/>
                    </w:rPr>
                    <w:t>OH300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bCs/>
                      <w:snapToGrid w:val="0"/>
                      <w:color w:val="auto"/>
                      <w:kern w:val="0"/>
                      <w:sz w:val="21"/>
                      <w:szCs w:val="21"/>
                      <w:highlight w:val="none"/>
                    </w:rPr>
                  </w:pPr>
                  <w:r>
                    <w:rPr>
                      <w:bCs/>
                      <w:snapToGrid w:val="0"/>
                      <w:color w:val="auto"/>
                      <w:kern w:val="0"/>
                      <w:sz w:val="21"/>
                      <w:szCs w:val="21"/>
                      <w:highlight w:val="none"/>
                    </w:rPr>
                    <w:t>氧气、乙炔瓶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砂轮机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台式</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砂轮机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手持式</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砂轮切割机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J3GY-LD-400A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功率2.2</w:t>
                  </w:r>
                  <w:r>
                    <w:rPr>
                      <w:bCs/>
                      <w:snapToGrid w:val="0"/>
                      <w:color w:val="auto"/>
                      <w:kern w:val="0"/>
                      <w:sz w:val="21"/>
                      <w:szCs w:val="21"/>
                      <w:highlight w:val="none"/>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砼路面切缝机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Y132S2-2型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六</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钻灌浆设备</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地质钻</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200型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备用1台，功率15kW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地质钻</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150型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备用1台，功率11kW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灰浆机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双桶立式300L</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功率2.2kW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高速制浆机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JRD-ST800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灌浆泵</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WB-250/50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功率15kW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灌浆泵</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WB-150/50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锚杆注浆机</w:t>
                  </w:r>
                </w:p>
              </w:tc>
              <w:tc>
                <w:tcPr>
                  <w:tcW w:w="1059"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XZ50/40型</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七</w:t>
                  </w:r>
                </w:p>
              </w:tc>
              <w:tc>
                <w:tcPr>
                  <w:tcW w:w="1375" w:type="pct"/>
                  <w:gridSpan w:val="2"/>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抽排设备</w:t>
                  </w:r>
                </w:p>
              </w:tc>
              <w:tc>
                <w:tcPr>
                  <w:tcW w:w="1059" w:type="pct"/>
                  <w:vAlign w:val="center"/>
                </w:tcPr>
                <w:p>
                  <w:pPr>
                    <w:spacing w:line="240" w:lineRule="auto"/>
                    <w:ind w:firstLine="0" w:firstLineChars="0"/>
                    <w:jc w:val="center"/>
                    <w:rPr>
                      <w:snapToGrid w:val="0"/>
                      <w:color w:val="auto"/>
                      <w:kern w:val="0"/>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离心泵</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IS50-32-160A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离心泵</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IS100-65-250A</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离心泵</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IS80-65-160</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离心泵</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4级100TSWA</w:t>
                  </w:r>
                  <w:r>
                    <w:rPr>
                      <w:snapToGrid w:val="0"/>
                      <w:color w:val="auto"/>
                      <w:kern w:val="0"/>
                      <w:sz w:val="21"/>
                      <w:szCs w:val="21"/>
                      <w:highlight w:val="none"/>
                    </w:rPr>
                    <w:t xml:space="preserve"> </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备用1台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375" w:type="pct"/>
                  <w:gridSpan w:val="2"/>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离心泵</w:t>
                  </w:r>
                </w:p>
              </w:tc>
              <w:tc>
                <w:tcPr>
                  <w:tcW w:w="1059"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IS65-40-315C</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eastAsia" w:eastAsia="宋体"/>
                      <w:b/>
                      <w:bCs/>
                      <w:snapToGrid w:val="0"/>
                      <w:color w:val="auto"/>
                      <w:kern w:val="0"/>
                      <w:sz w:val="21"/>
                      <w:szCs w:val="21"/>
                      <w:highlight w:val="none"/>
                      <w:lang w:val="en-US" w:eastAsia="zh-CN"/>
                    </w:rPr>
                  </w:pPr>
                  <w:r>
                    <w:rPr>
                      <w:rFonts w:hint="eastAsia"/>
                      <w:b/>
                      <w:bCs/>
                      <w:snapToGrid w:val="0"/>
                      <w:color w:val="auto"/>
                      <w:kern w:val="0"/>
                      <w:sz w:val="21"/>
                      <w:szCs w:val="21"/>
                      <w:highlight w:val="none"/>
                      <w:lang w:val="en-US" w:eastAsia="zh-CN"/>
                    </w:rPr>
                    <w:t>八</w:t>
                  </w:r>
                </w:p>
              </w:tc>
              <w:tc>
                <w:tcPr>
                  <w:tcW w:w="1375" w:type="pct"/>
                  <w:gridSpan w:val="2"/>
                  <w:vAlign w:val="center"/>
                </w:tcPr>
                <w:p>
                  <w:pPr>
                    <w:spacing w:line="240" w:lineRule="auto"/>
                    <w:ind w:firstLine="0" w:firstLineChars="0"/>
                    <w:jc w:val="center"/>
                    <w:rPr>
                      <w:rFonts w:hint="default" w:eastAsia="宋体"/>
                      <w:b/>
                      <w:bCs/>
                      <w:snapToGrid w:val="0"/>
                      <w:color w:val="auto"/>
                      <w:kern w:val="0"/>
                      <w:sz w:val="21"/>
                      <w:szCs w:val="21"/>
                      <w:highlight w:val="none"/>
                      <w:lang w:val="en-US" w:eastAsia="zh-CN"/>
                    </w:rPr>
                  </w:pPr>
                  <w:r>
                    <w:rPr>
                      <w:rFonts w:hint="eastAsia"/>
                      <w:b/>
                      <w:bCs/>
                      <w:snapToGrid w:val="0"/>
                      <w:color w:val="auto"/>
                      <w:kern w:val="0"/>
                      <w:sz w:val="21"/>
                      <w:szCs w:val="21"/>
                      <w:highlight w:val="none"/>
                      <w:lang w:val="en-US" w:eastAsia="zh-CN"/>
                    </w:rPr>
                    <w:t>沥青搅拌站设备</w:t>
                  </w:r>
                </w:p>
              </w:tc>
              <w:tc>
                <w:tcPr>
                  <w:tcW w:w="1059" w:type="pct"/>
                  <w:vAlign w:val="center"/>
                </w:tcPr>
                <w:p>
                  <w:pPr>
                    <w:spacing w:line="240" w:lineRule="auto"/>
                    <w:ind w:firstLine="0" w:firstLineChars="0"/>
                    <w:jc w:val="center"/>
                    <w:rPr>
                      <w:color w:val="auto"/>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p>
              </w:tc>
              <w:tc>
                <w:tcPr>
                  <w:tcW w:w="412" w:type="pct"/>
                  <w:vAlign w:val="center"/>
                </w:tcPr>
                <w:p>
                  <w:pPr>
                    <w:spacing w:line="240" w:lineRule="auto"/>
                    <w:ind w:firstLine="0" w:firstLineChars="0"/>
                    <w:jc w:val="center"/>
                    <w:rPr>
                      <w:snapToGrid w:val="0"/>
                      <w:color w:val="auto"/>
                      <w:kern w:val="0"/>
                      <w:sz w:val="21"/>
                      <w:szCs w:val="21"/>
                      <w:highlight w:val="none"/>
                    </w:rPr>
                  </w:pP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w:t>
                  </w:r>
                </w:p>
              </w:tc>
              <w:tc>
                <w:tcPr>
                  <w:tcW w:w="601" w:type="pct"/>
                  <w:vMerge w:val="restar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冷料</w:t>
                  </w:r>
                </w:p>
                <w:p>
                  <w:pPr>
                    <w:spacing w:line="240" w:lineRule="auto"/>
                    <w:ind w:firstLine="0" w:firstLineChars="0"/>
                    <w:jc w:val="center"/>
                    <w:rPr>
                      <w:rFonts w:hint="eastAsia" w:eastAsia="仿宋"/>
                      <w:snapToGrid w:val="0"/>
                      <w:color w:val="auto"/>
                      <w:kern w:val="0"/>
                      <w:sz w:val="21"/>
                      <w:szCs w:val="21"/>
                      <w:highlight w:val="none"/>
                      <w:lang w:eastAsia="zh-CN"/>
                    </w:rPr>
                  </w:pPr>
                  <w:r>
                    <w:rPr>
                      <w:rFonts w:ascii="Times New Roman" w:hAnsi="Times New Roman" w:cs="Times New Roman"/>
                      <w:snapToGrid w:val="0"/>
                      <w:color w:val="auto"/>
                      <w:kern w:val="0"/>
                      <w:sz w:val="21"/>
                      <w:szCs w:val="21"/>
                      <w:highlight w:val="none"/>
                    </w:rPr>
                    <w:t>系统</w:t>
                  </w:r>
                </w:p>
              </w:tc>
              <w:tc>
                <w:tcPr>
                  <w:tcW w:w="774"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冷料仓</w:t>
                  </w:r>
                </w:p>
              </w:tc>
              <w:tc>
                <w:tcPr>
                  <w:tcW w:w="1059"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10m</w:t>
                  </w:r>
                  <w:r>
                    <w:rPr>
                      <w:rFonts w:hint="eastAsia" w:ascii="Times New Roman" w:hAnsi="Times New Roman" w:cs="Times New Roman"/>
                      <w:snapToGrid w:val="0"/>
                      <w:color w:val="auto"/>
                      <w:kern w:val="0"/>
                      <w:sz w:val="21"/>
                      <w:szCs w:val="21"/>
                      <w:highlight w:val="none"/>
                      <w:vertAlign w:val="superscript"/>
                      <w:lang w:val="en-US" w:eastAsia="zh-CN"/>
                    </w:rPr>
                    <w:t>3</w:t>
                  </w:r>
                </w:p>
              </w:tc>
              <w:tc>
                <w:tcPr>
                  <w:tcW w:w="533" w:type="pct"/>
                  <w:vAlign w:val="center"/>
                </w:tcPr>
                <w:p>
                  <w:pPr>
                    <w:spacing w:line="240" w:lineRule="auto"/>
                    <w:ind w:firstLine="0" w:firstLineChars="0"/>
                    <w:jc w:val="center"/>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个</w:t>
                  </w:r>
                </w:p>
              </w:tc>
              <w:tc>
                <w:tcPr>
                  <w:tcW w:w="412" w:type="pct"/>
                  <w:vAlign w:val="center"/>
                </w:tcPr>
                <w:p>
                  <w:pPr>
                    <w:spacing w:line="240" w:lineRule="auto"/>
                    <w:ind w:firstLine="0" w:firstLineChars="0"/>
                    <w:jc w:val="center"/>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jc w:val="center"/>
              </w:trPr>
              <w:tc>
                <w:tcPr>
                  <w:tcW w:w="392" w:type="pct"/>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lang w:val="en-US" w:eastAsia="zh-CN"/>
                    </w:rPr>
                    <w:t>2</w:t>
                  </w:r>
                </w:p>
              </w:tc>
              <w:tc>
                <w:tcPr>
                  <w:tcW w:w="601" w:type="pct"/>
                  <w:vMerge w:val="continue"/>
                  <w:vAlign w:val="center"/>
                </w:tcPr>
                <w:p>
                  <w:pPr>
                    <w:spacing w:line="240" w:lineRule="auto"/>
                    <w:ind w:firstLine="0" w:firstLineChars="0"/>
                    <w:jc w:val="center"/>
                    <w:rPr>
                      <w:snapToGrid w:val="0"/>
                      <w:color w:val="auto"/>
                      <w:kern w:val="0"/>
                      <w:sz w:val="21"/>
                      <w:szCs w:val="21"/>
                      <w:highlight w:val="none"/>
                    </w:rPr>
                  </w:pPr>
                </w:p>
              </w:tc>
              <w:tc>
                <w:tcPr>
                  <w:tcW w:w="774"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皮带输送机</w:t>
                  </w:r>
                </w:p>
              </w:tc>
              <w:tc>
                <w:tcPr>
                  <w:tcW w:w="1059"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5.5kw</w:t>
                  </w:r>
                </w:p>
              </w:tc>
              <w:tc>
                <w:tcPr>
                  <w:tcW w:w="533"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412"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3</w:t>
                  </w:r>
                </w:p>
              </w:tc>
              <w:tc>
                <w:tcPr>
                  <w:tcW w:w="601"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烘干系统</w:t>
                  </w: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烘干滚筒</w:t>
                  </w:r>
                </w:p>
              </w:tc>
              <w:tc>
                <w:tcPr>
                  <w:tcW w:w="1059"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w:t>
                  </w: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个</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1</w:t>
                  </w:r>
                </w:p>
              </w:tc>
              <w:tc>
                <w:tcPr>
                  <w:tcW w:w="1227" w:type="pct"/>
                  <w:vAlign w:val="center"/>
                </w:tcPr>
                <w:p>
                  <w:pPr>
                    <w:spacing w:line="240" w:lineRule="auto"/>
                    <w:ind w:firstLine="0" w:firstLineChars="0"/>
                    <w:jc w:val="center"/>
                    <w:rPr>
                      <w:rFonts w:hint="default"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4</w:t>
                  </w:r>
                </w:p>
              </w:tc>
              <w:tc>
                <w:tcPr>
                  <w:tcW w:w="601"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热骨料</w:t>
                  </w:r>
                </w:p>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系统</w:t>
                  </w: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热骨料仓</w:t>
                  </w:r>
                </w:p>
              </w:tc>
              <w:tc>
                <w:tcPr>
                  <w:tcW w:w="1059" w:type="pct"/>
                  <w:vAlign w:val="center"/>
                </w:tcPr>
                <w:p>
                  <w:pPr>
                    <w:spacing w:line="240" w:lineRule="auto"/>
                    <w:ind w:firstLine="0" w:firstLineChars="0"/>
                    <w:jc w:val="center"/>
                    <w:rPr>
                      <w:color w:val="auto"/>
                      <w:sz w:val="21"/>
                      <w:szCs w:val="21"/>
                      <w:highlight w:val="none"/>
                    </w:rPr>
                  </w:pPr>
                </w:p>
              </w:tc>
              <w:tc>
                <w:tcPr>
                  <w:tcW w:w="533" w:type="pct"/>
                  <w:vAlign w:val="center"/>
                </w:tcPr>
                <w:p>
                  <w:pPr>
                    <w:spacing w:line="240" w:lineRule="auto"/>
                    <w:ind w:firstLine="0" w:firstLineChars="0"/>
                    <w:jc w:val="center"/>
                    <w:rPr>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个</w:t>
                  </w:r>
                </w:p>
              </w:tc>
              <w:tc>
                <w:tcPr>
                  <w:tcW w:w="412" w:type="pct"/>
                  <w:vAlign w:val="center"/>
                </w:tcPr>
                <w:p>
                  <w:pPr>
                    <w:spacing w:line="240" w:lineRule="auto"/>
                    <w:ind w:firstLine="0" w:firstLineChars="0"/>
                    <w:jc w:val="center"/>
                    <w:rPr>
                      <w:snapToGrid w:val="0"/>
                      <w:color w:val="auto"/>
                      <w:kern w:val="0"/>
                      <w:sz w:val="21"/>
                      <w:szCs w:val="21"/>
                      <w:highlight w:val="none"/>
                    </w:rPr>
                  </w:pPr>
                  <w:r>
                    <w:rPr>
                      <w:rFonts w:hint="eastAsia" w:ascii="Times New Roman" w:hAnsi="Times New Roman" w:cs="Times New Roman"/>
                      <w:snapToGrid w:val="0"/>
                      <w:color w:val="auto"/>
                      <w:kern w:val="0"/>
                      <w:sz w:val="21"/>
                      <w:szCs w:val="21"/>
                      <w:highlight w:val="none"/>
                      <w:lang w:val="en-US" w:eastAsia="zh-CN"/>
                    </w:rPr>
                    <w:t>1</w:t>
                  </w:r>
                </w:p>
              </w:tc>
              <w:tc>
                <w:tcPr>
                  <w:tcW w:w="1227"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5</w:t>
                  </w:r>
                </w:p>
              </w:tc>
              <w:tc>
                <w:tcPr>
                  <w:tcW w:w="601"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搅拌系统</w:t>
                  </w: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搅拌机组</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套</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6</w:t>
                  </w:r>
                </w:p>
              </w:tc>
              <w:tc>
                <w:tcPr>
                  <w:tcW w:w="601" w:type="pct"/>
                  <w:vMerge w:val="restar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沥青供给系统</w:t>
                  </w: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沥青加温罐</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50m</w:t>
                  </w:r>
                  <w:r>
                    <w:rPr>
                      <w:rFonts w:ascii="Times New Roman" w:hAnsi="Times New Roman" w:cs="Times New Roman"/>
                      <w:snapToGrid w:val="0"/>
                      <w:color w:val="auto"/>
                      <w:kern w:val="0"/>
                      <w:sz w:val="21"/>
                      <w:szCs w:val="21"/>
                      <w:highlight w:val="none"/>
                      <w:vertAlign w:val="superscript"/>
                    </w:rPr>
                    <w:t>3</w:t>
                  </w:r>
                  <w:r>
                    <w:rPr>
                      <w:rFonts w:ascii="Times New Roman" w:hAnsi="Times New Roman" w:cs="Times New Roman"/>
                      <w:snapToGrid w:val="0"/>
                      <w:color w:val="auto"/>
                      <w:kern w:val="0"/>
                      <w:sz w:val="21"/>
                      <w:szCs w:val="21"/>
                      <w:highlight w:val="none"/>
                    </w:rPr>
                    <w:t>（带搅拌器）</w:t>
                  </w: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个</w:t>
                  </w:r>
                </w:p>
              </w:tc>
              <w:tc>
                <w:tcPr>
                  <w:tcW w:w="412" w:type="pct"/>
                  <w:vAlign w:val="center"/>
                </w:tcPr>
                <w:p>
                  <w:pPr>
                    <w:spacing w:line="240" w:lineRule="auto"/>
                    <w:ind w:firstLine="0" w:firstLineChars="0"/>
                    <w:jc w:val="center"/>
                    <w:rPr>
                      <w:rFonts w:hint="eastAsia" w:ascii="Times New Roman" w:hAnsi="Times New Roman" w:cs="Times New Roman"/>
                      <w:snapToGrid w:val="0"/>
                      <w:color w:val="auto"/>
                      <w:kern w:val="0"/>
                      <w:sz w:val="21"/>
                      <w:szCs w:val="21"/>
                      <w:highlight w:val="none"/>
                      <w:lang w:eastAsia="zh-CN"/>
                    </w:rPr>
                  </w:pPr>
                  <w:r>
                    <w:rPr>
                      <w:rFonts w:hint="eastAsia" w:ascii="Times New Roman" w:hAnsi="Times New Roman" w:cs="Times New Roman"/>
                      <w:snapToGrid w:val="0"/>
                      <w:color w:val="auto"/>
                      <w:kern w:val="0"/>
                      <w:sz w:val="21"/>
                      <w:szCs w:val="21"/>
                      <w:highlight w:val="none"/>
                      <w:lang w:val="en-US" w:eastAsia="zh-CN"/>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7</w:t>
                  </w:r>
                </w:p>
              </w:tc>
              <w:tc>
                <w:tcPr>
                  <w:tcW w:w="601" w:type="pct"/>
                  <w:vMerge w:val="continue"/>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重油罐</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50m</w:t>
                  </w:r>
                  <w:r>
                    <w:rPr>
                      <w:rFonts w:ascii="Times New Roman" w:hAnsi="Times New Roman" w:cs="Times New Roman"/>
                      <w:snapToGrid w:val="0"/>
                      <w:color w:val="auto"/>
                      <w:kern w:val="0"/>
                      <w:sz w:val="21"/>
                      <w:szCs w:val="21"/>
                      <w:highlight w:val="none"/>
                      <w:vertAlign w:val="superscript"/>
                    </w:rPr>
                    <w:t>3</w:t>
                  </w: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个</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8</w:t>
                  </w:r>
                </w:p>
              </w:tc>
              <w:tc>
                <w:tcPr>
                  <w:tcW w:w="601" w:type="pct"/>
                  <w:vMerge w:val="continue"/>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柴油罐</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5m</w:t>
                  </w:r>
                  <w:r>
                    <w:rPr>
                      <w:rFonts w:ascii="Times New Roman" w:hAnsi="Times New Roman" w:cs="Times New Roman"/>
                      <w:snapToGrid w:val="0"/>
                      <w:color w:val="auto"/>
                      <w:kern w:val="0"/>
                      <w:sz w:val="21"/>
                      <w:szCs w:val="21"/>
                      <w:highlight w:val="none"/>
                      <w:vertAlign w:val="superscript"/>
                    </w:rPr>
                    <w:t>3</w:t>
                  </w: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个</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9</w:t>
                  </w:r>
                </w:p>
              </w:tc>
              <w:tc>
                <w:tcPr>
                  <w:tcW w:w="601" w:type="pct"/>
                  <w:vMerge w:val="continue"/>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导热油炉</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QXM-900YY</w:t>
                  </w: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台</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10</w:t>
                  </w:r>
                </w:p>
              </w:tc>
              <w:tc>
                <w:tcPr>
                  <w:tcW w:w="601" w:type="pct"/>
                  <w:vMerge w:val="continue"/>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774"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螺杆沥青泵</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台</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spacing w:line="240" w:lineRule="auto"/>
                    <w:ind w:firstLine="0" w:firstLineChars="0"/>
                    <w:jc w:val="center"/>
                    <w:rPr>
                      <w:rFonts w:hint="default"/>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11</w:t>
                  </w:r>
                </w:p>
              </w:tc>
              <w:tc>
                <w:tcPr>
                  <w:tcW w:w="601"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控制系统</w:t>
                  </w:r>
                </w:p>
              </w:tc>
              <w:tc>
                <w:tcPr>
                  <w:tcW w:w="774" w:type="pct"/>
                  <w:vAlign w:val="center"/>
                </w:tcPr>
                <w:p>
                  <w:pPr>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eastAsia="zh-CN"/>
                    </w:rPr>
                  </w:pPr>
                  <w:r>
                    <w:rPr>
                      <w:rFonts w:ascii="Times New Roman" w:hAnsi="Times New Roman" w:cs="Times New Roman"/>
                      <w:snapToGrid w:val="0"/>
                      <w:color w:val="auto"/>
                      <w:kern w:val="0"/>
                      <w:sz w:val="21"/>
                      <w:szCs w:val="21"/>
                      <w:highlight w:val="none"/>
                    </w:rPr>
                    <w:t>计算机系统、搅拌站控制</w:t>
                  </w:r>
                  <w:r>
                    <w:rPr>
                      <w:rFonts w:hint="eastAsia" w:ascii="Times New Roman" w:hAnsi="Times New Roman" w:cs="Times New Roman"/>
                      <w:snapToGrid w:val="0"/>
                      <w:color w:val="auto"/>
                      <w:kern w:val="0"/>
                      <w:sz w:val="21"/>
                      <w:szCs w:val="21"/>
                      <w:highlight w:val="none"/>
                      <w:lang w:val="en-US" w:eastAsia="zh-CN"/>
                    </w:rPr>
                    <w:t>系统</w:t>
                  </w:r>
                </w:p>
              </w:tc>
              <w:tc>
                <w:tcPr>
                  <w:tcW w:w="1059"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p>
              </w:tc>
              <w:tc>
                <w:tcPr>
                  <w:tcW w:w="533"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套</w:t>
                  </w:r>
                </w:p>
              </w:tc>
              <w:tc>
                <w:tcPr>
                  <w:tcW w:w="412"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1</w:t>
                  </w:r>
                </w:p>
              </w:tc>
              <w:tc>
                <w:tcPr>
                  <w:tcW w:w="1227" w:type="pct"/>
                  <w:vAlign w:val="center"/>
                </w:tcPr>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对全站设备运行进行</w:t>
                  </w:r>
                </w:p>
                <w:p>
                  <w:pPr>
                    <w:spacing w:line="240" w:lineRule="auto"/>
                    <w:ind w:firstLine="0" w:firstLineChars="0"/>
                    <w:jc w:val="center"/>
                    <w:rPr>
                      <w:rFonts w:ascii="Times New Roman" w:hAnsi="Times New Roman" w:cs="Times New Roman"/>
                      <w:snapToGrid w:val="0"/>
                      <w:color w:val="auto"/>
                      <w:kern w:val="0"/>
                      <w:sz w:val="21"/>
                      <w:szCs w:val="21"/>
                      <w:highlight w:val="none"/>
                    </w:rPr>
                  </w:pPr>
                  <w:r>
                    <w:rPr>
                      <w:rFonts w:ascii="Times New Roman" w:hAnsi="Times New Roman" w:cs="Times New Roman"/>
                      <w:snapToGrid w:val="0"/>
                      <w:color w:val="auto"/>
                      <w:kern w:val="0"/>
                      <w:sz w:val="21"/>
                      <w:szCs w:val="21"/>
                      <w:highlight w:val="none"/>
                    </w:rPr>
                    <w:t>自控</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表2-12  灌区工程主要施工机械设备统计表</w:t>
            </w:r>
          </w:p>
          <w:tbl>
            <w:tblPr>
              <w:tblStyle w:val="23"/>
              <w:tblW w:w="49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152"/>
              <w:gridCol w:w="1856"/>
              <w:gridCol w:w="967"/>
              <w:gridCol w:w="967"/>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序号</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设备名称</w:t>
                  </w:r>
                </w:p>
              </w:tc>
              <w:tc>
                <w:tcPr>
                  <w:tcW w:w="1027"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规格及型号</w:t>
                  </w:r>
                </w:p>
              </w:tc>
              <w:tc>
                <w:tcPr>
                  <w:tcW w:w="535"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单位</w:t>
                  </w:r>
                </w:p>
              </w:tc>
              <w:tc>
                <w:tcPr>
                  <w:tcW w:w="535"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数量</w:t>
                  </w:r>
                </w:p>
              </w:tc>
              <w:tc>
                <w:tcPr>
                  <w:tcW w:w="1174"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一</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土石机械</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反铲挖掘机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0.5-1.0m</w:t>
                  </w:r>
                  <w:r>
                    <w:rPr>
                      <w:snapToGrid w:val="0"/>
                      <w:color w:val="auto"/>
                      <w:kern w:val="0"/>
                      <w:sz w:val="21"/>
                      <w:szCs w:val="21"/>
                      <w:highlight w:val="none"/>
                      <w:vertAlign w:val="superscript"/>
                    </w:rPr>
                    <w:t>3</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7</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蛙夯机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HW60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振动夯</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立式电动夯</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风镐</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174"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二</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钻孔设备</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手持式风钻</w:t>
                  </w:r>
                </w:p>
              </w:tc>
              <w:tc>
                <w:tcPr>
                  <w:tcW w:w="1027" w:type="pct"/>
                  <w:vAlign w:val="center"/>
                </w:tcPr>
                <w:p>
                  <w:pPr>
                    <w:spacing w:line="240" w:lineRule="auto"/>
                    <w:ind w:firstLine="0" w:firstLineChars="0"/>
                    <w:jc w:val="center"/>
                    <w:rPr>
                      <w:b/>
                      <w:bCs/>
                      <w:snapToGrid w:val="0"/>
                      <w:color w:val="auto"/>
                      <w:kern w:val="0"/>
                      <w:sz w:val="21"/>
                      <w:szCs w:val="21"/>
                      <w:highlight w:val="none"/>
                    </w:rPr>
                  </w:pPr>
                  <w:r>
                    <w:rPr>
                      <w:snapToGrid w:val="0"/>
                      <w:color w:val="auto"/>
                      <w:kern w:val="0"/>
                      <w:sz w:val="21"/>
                      <w:szCs w:val="21"/>
                      <w:highlight w:val="none"/>
                    </w:rPr>
                    <w:t>Y30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15</w:t>
                  </w:r>
                </w:p>
              </w:tc>
              <w:tc>
                <w:tcPr>
                  <w:tcW w:w="1174"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用于石方开挖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电钻</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JIZC20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把</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6</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三</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混凝土机械</w:t>
                  </w:r>
                </w:p>
              </w:tc>
              <w:tc>
                <w:tcPr>
                  <w:tcW w:w="1027" w:type="pct"/>
                  <w:tcBorders>
                    <w:bottom w:val="single" w:color="auto" w:sz="4" w:space="0"/>
                  </w:tcBorders>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混凝土搅拌站</w:t>
                  </w:r>
                </w:p>
              </w:tc>
              <w:tc>
                <w:tcPr>
                  <w:tcW w:w="1027" w:type="pct"/>
                  <w:tcBorders>
                    <w:bottom w:val="single" w:color="auto" w:sz="4" w:space="0"/>
                  </w:tcBorders>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HZS25</w:t>
                  </w:r>
                </w:p>
              </w:tc>
              <w:tc>
                <w:tcPr>
                  <w:tcW w:w="535" w:type="pct"/>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套</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91" w:type="pct"/>
                  <w:tcBorders>
                    <w:righ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移动式搅拌机</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0.35m</w:t>
                  </w:r>
                  <w:r>
                    <w:rPr>
                      <w:snapToGrid w:val="0"/>
                      <w:color w:val="auto"/>
                      <w:kern w:val="0"/>
                      <w:sz w:val="21"/>
                      <w:szCs w:val="21"/>
                      <w:highlight w:val="none"/>
                      <w:vertAlign w:val="superscript"/>
                    </w:rPr>
                    <w:t>3</w:t>
                  </w:r>
                </w:p>
              </w:tc>
              <w:tc>
                <w:tcPr>
                  <w:tcW w:w="535" w:type="pct"/>
                  <w:tcBorders>
                    <w:left w:val="single" w:color="auto" w:sz="4" w:space="0"/>
                    <w:bottom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四</w:t>
                  </w:r>
                </w:p>
              </w:tc>
              <w:tc>
                <w:tcPr>
                  <w:tcW w:w="1191" w:type="pct"/>
                  <w:tcBorders>
                    <w:right w:val="single" w:color="auto" w:sz="4" w:space="0"/>
                  </w:tcBorders>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运输机械</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color w:val="auto"/>
                      <w:kern w:val="0"/>
                      <w:sz w:val="21"/>
                      <w:szCs w:val="21"/>
                      <w:highlight w:val="none"/>
                    </w:rPr>
                  </w:pPr>
                </w:p>
              </w:tc>
              <w:tc>
                <w:tcPr>
                  <w:tcW w:w="53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color w:val="auto"/>
                      <w:kern w:val="0"/>
                      <w:sz w:val="21"/>
                      <w:szCs w:val="21"/>
                      <w:highlight w:val="none"/>
                    </w:rPr>
                  </w:pPr>
                </w:p>
              </w:tc>
              <w:tc>
                <w:tcPr>
                  <w:tcW w:w="535" w:type="pct"/>
                  <w:tcBorders>
                    <w:left w:val="single" w:color="auto" w:sz="4" w:space="0"/>
                  </w:tcBorders>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tcBorders>
                    <w:righ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自卸汽车</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5/10t</w:t>
                  </w:r>
                </w:p>
              </w:tc>
              <w:tc>
                <w:tcPr>
                  <w:tcW w:w="53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535" w:type="pct"/>
                  <w:tcBorders>
                    <w:left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自卸汽车</w:t>
                  </w:r>
                </w:p>
              </w:tc>
              <w:tc>
                <w:tcPr>
                  <w:tcW w:w="1027" w:type="pct"/>
                  <w:tcBorders>
                    <w:top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15～20t</w:t>
                  </w:r>
                </w:p>
              </w:tc>
              <w:tc>
                <w:tcPr>
                  <w:tcW w:w="535" w:type="pct"/>
                  <w:tcBorders>
                    <w:top w:val="single" w:color="auto" w:sz="4" w:space="0"/>
                  </w:tcBorders>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拖拉机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3t</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五</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起重设备</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汽车起重机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20t</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辆</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电动葫芦</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2t</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六</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动力设备</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变压器</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250kVA</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移动式空压机</w:t>
                  </w:r>
                </w:p>
              </w:tc>
              <w:tc>
                <w:tcPr>
                  <w:tcW w:w="1027" w:type="pct"/>
                  <w:vAlign w:val="center"/>
                </w:tcPr>
                <w:p>
                  <w:pPr>
                    <w:spacing w:line="240" w:lineRule="auto"/>
                    <w:ind w:firstLine="0" w:firstLineChars="0"/>
                    <w:jc w:val="center"/>
                    <w:rPr>
                      <w:snapToGrid w:val="0"/>
                      <w:color w:val="auto"/>
                      <w:kern w:val="0"/>
                      <w:sz w:val="21"/>
                      <w:szCs w:val="21"/>
                      <w:highlight w:val="none"/>
                    </w:rPr>
                  </w:pPr>
                  <w:r>
                    <w:rPr>
                      <w:color w:val="auto"/>
                      <w:sz w:val="21"/>
                      <w:szCs w:val="21"/>
                      <w:highlight w:val="none"/>
                    </w:rPr>
                    <w:t>YV-6/7</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8</w:t>
                  </w:r>
                </w:p>
              </w:tc>
              <w:tc>
                <w:tcPr>
                  <w:tcW w:w="1174" w:type="pct"/>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一</w:t>
                  </w:r>
                  <w:r>
                    <w:rPr>
                      <w:snapToGrid w:val="0"/>
                      <w:color w:val="auto"/>
                      <w:kern w:val="0"/>
                      <w:sz w:val="21"/>
                      <w:szCs w:val="21"/>
                      <w:highlight w:val="none"/>
                    </w:rPr>
                    <w:t>台备用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发电机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30kW</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七</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修理加工设备</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修钎机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421-90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2</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变筋机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GW40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3</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切筋机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GW40</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5</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4</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电焊机</w:t>
                  </w:r>
                </w:p>
              </w:tc>
              <w:tc>
                <w:tcPr>
                  <w:tcW w:w="1027"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交流电30A</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台</w:t>
                  </w:r>
                </w:p>
              </w:tc>
              <w:tc>
                <w:tcPr>
                  <w:tcW w:w="535"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10</w:t>
                  </w: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八</w:t>
                  </w:r>
                </w:p>
              </w:tc>
              <w:tc>
                <w:tcPr>
                  <w:tcW w:w="1191" w:type="pct"/>
                  <w:vAlign w:val="center"/>
                </w:tcPr>
                <w:p>
                  <w:pPr>
                    <w:spacing w:line="240" w:lineRule="auto"/>
                    <w:ind w:firstLine="0" w:firstLineChars="0"/>
                    <w:jc w:val="center"/>
                    <w:rPr>
                      <w:b/>
                      <w:bCs/>
                      <w:snapToGrid w:val="0"/>
                      <w:color w:val="auto"/>
                      <w:kern w:val="0"/>
                      <w:sz w:val="21"/>
                      <w:szCs w:val="21"/>
                      <w:highlight w:val="none"/>
                    </w:rPr>
                  </w:pPr>
                  <w:r>
                    <w:rPr>
                      <w:b/>
                      <w:bCs/>
                      <w:snapToGrid w:val="0"/>
                      <w:color w:val="auto"/>
                      <w:kern w:val="0"/>
                      <w:sz w:val="21"/>
                      <w:szCs w:val="21"/>
                      <w:highlight w:val="none"/>
                    </w:rPr>
                    <w:t>抽排水设备</w:t>
                  </w:r>
                </w:p>
              </w:tc>
              <w:tc>
                <w:tcPr>
                  <w:tcW w:w="1027"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535" w:type="pct"/>
                  <w:vAlign w:val="center"/>
                </w:tcPr>
                <w:p>
                  <w:pPr>
                    <w:spacing w:line="240" w:lineRule="auto"/>
                    <w:ind w:firstLine="0" w:firstLineChars="0"/>
                    <w:jc w:val="center"/>
                    <w:rPr>
                      <w:snapToGrid w:val="0"/>
                      <w:color w:val="auto"/>
                      <w:kern w:val="0"/>
                      <w:sz w:val="21"/>
                      <w:szCs w:val="21"/>
                      <w:highlight w:val="none"/>
                    </w:rPr>
                  </w:pPr>
                </w:p>
              </w:tc>
              <w:tc>
                <w:tcPr>
                  <w:tcW w:w="1174" w:type="pct"/>
                  <w:vAlign w:val="center"/>
                </w:tcPr>
                <w:p>
                  <w:pPr>
                    <w:spacing w:line="240" w:lineRule="auto"/>
                    <w:ind w:firstLine="0" w:firstLineChars="0"/>
                    <w:jc w:val="center"/>
                    <w:rPr>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1</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潜水泵</w:t>
                  </w:r>
                </w:p>
              </w:tc>
              <w:tc>
                <w:tcPr>
                  <w:tcW w:w="1027" w:type="pct"/>
                  <w:vAlign w:val="center"/>
                </w:tcPr>
                <w:p>
                  <w:pPr>
                    <w:widowControl/>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QDX25-6-0.75</w:t>
                  </w:r>
                </w:p>
              </w:tc>
              <w:tc>
                <w:tcPr>
                  <w:tcW w:w="535" w:type="pct"/>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台</w:t>
                  </w:r>
                  <w:r>
                    <w:rPr>
                      <w:rFonts w:hint="eastAsia"/>
                      <w:color w:val="auto"/>
                      <w:kern w:val="0"/>
                      <w:sz w:val="21"/>
                      <w:szCs w:val="21"/>
                      <w:highlight w:val="none"/>
                    </w:rPr>
                    <w:t>班</w:t>
                  </w:r>
                </w:p>
              </w:tc>
              <w:tc>
                <w:tcPr>
                  <w:tcW w:w="535" w:type="pct"/>
                  <w:vAlign w:val="center"/>
                </w:tcPr>
                <w:p>
                  <w:pPr>
                    <w:widowControl/>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120</w:t>
                  </w:r>
                </w:p>
              </w:tc>
              <w:tc>
                <w:tcPr>
                  <w:tcW w:w="1174"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功率0.75kW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spacing w:line="240" w:lineRule="auto"/>
                    <w:ind w:firstLine="0" w:firstLineChars="0"/>
                    <w:jc w:val="center"/>
                    <w:rPr>
                      <w:snapToGrid w:val="0"/>
                      <w:color w:val="auto"/>
                      <w:kern w:val="0"/>
                      <w:sz w:val="21"/>
                      <w:szCs w:val="21"/>
                      <w:highlight w:val="none"/>
                    </w:rPr>
                  </w:pPr>
                  <w:r>
                    <w:rPr>
                      <w:rFonts w:hint="eastAsia"/>
                      <w:snapToGrid w:val="0"/>
                      <w:color w:val="auto"/>
                      <w:kern w:val="0"/>
                      <w:sz w:val="21"/>
                      <w:szCs w:val="21"/>
                      <w:highlight w:val="none"/>
                    </w:rPr>
                    <w:t>2</w:t>
                  </w:r>
                </w:p>
              </w:tc>
              <w:tc>
                <w:tcPr>
                  <w:tcW w:w="1191"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潜水泵</w:t>
                  </w:r>
                </w:p>
              </w:tc>
              <w:tc>
                <w:tcPr>
                  <w:tcW w:w="1027" w:type="pct"/>
                  <w:vAlign w:val="center"/>
                </w:tcPr>
                <w:p>
                  <w:pPr>
                    <w:widowControl/>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QDX65-7-2.2</w:t>
                  </w:r>
                </w:p>
              </w:tc>
              <w:tc>
                <w:tcPr>
                  <w:tcW w:w="535" w:type="pct"/>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台</w:t>
                  </w:r>
                  <w:r>
                    <w:rPr>
                      <w:rFonts w:hint="eastAsia"/>
                      <w:color w:val="auto"/>
                      <w:kern w:val="0"/>
                      <w:sz w:val="21"/>
                      <w:szCs w:val="21"/>
                      <w:highlight w:val="none"/>
                    </w:rPr>
                    <w:t>班</w:t>
                  </w:r>
                </w:p>
              </w:tc>
              <w:tc>
                <w:tcPr>
                  <w:tcW w:w="535" w:type="pct"/>
                  <w:vAlign w:val="center"/>
                </w:tcPr>
                <w:p>
                  <w:pPr>
                    <w:widowControl/>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210</w:t>
                  </w:r>
                </w:p>
              </w:tc>
              <w:tc>
                <w:tcPr>
                  <w:tcW w:w="1174" w:type="pct"/>
                  <w:vAlign w:val="center"/>
                </w:tcPr>
                <w:p>
                  <w:pPr>
                    <w:spacing w:line="240" w:lineRule="auto"/>
                    <w:ind w:firstLine="0" w:firstLineChars="0"/>
                    <w:jc w:val="center"/>
                    <w:rPr>
                      <w:snapToGrid w:val="0"/>
                      <w:color w:val="auto"/>
                      <w:kern w:val="0"/>
                      <w:sz w:val="21"/>
                      <w:szCs w:val="21"/>
                      <w:highlight w:val="none"/>
                    </w:rPr>
                  </w:pPr>
                  <w:r>
                    <w:rPr>
                      <w:snapToGrid w:val="0"/>
                      <w:color w:val="auto"/>
                      <w:kern w:val="0"/>
                      <w:sz w:val="21"/>
                      <w:szCs w:val="21"/>
                      <w:highlight w:val="none"/>
                    </w:rPr>
                    <w:t>功率2.20kW</w:t>
                  </w:r>
                </w:p>
              </w:tc>
            </w:tr>
          </w:tbl>
          <w:p>
            <w:pPr>
              <w:spacing w:line="360" w:lineRule="auto"/>
              <w:rPr>
                <w:rFonts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七</w:t>
            </w:r>
            <w:r>
              <w:rPr>
                <w:rFonts w:ascii="Times New Roman" w:hAnsi="Times New Roman" w:cs="Times New Roman"/>
                <w:b/>
                <w:bCs/>
                <w:color w:val="auto"/>
                <w:sz w:val="24"/>
                <w:szCs w:val="24"/>
                <w:highlight w:val="none"/>
              </w:rPr>
              <w:t>、</w:t>
            </w:r>
            <w:r>
              <w:rPr>
                <w:rFonts w:hint="eastAsia" w:cs="Times New Roman"/>
                <w:b/>
                <w:bCs/>
                <w:color w:val="auto"/>
                <w:sz w:val="24"/>
                <w:szCs w:val="24"/>
                <w:highlight w:val="none"/>
                <w:lang w:eastAsia="zh-CN"/>
              </w:rPr>
              <w:t>工程施工布置</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施工条件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三合水库大坝枢纽工程位于旺苍县东河镇南峰村2组（右岸）与凤阳村5组（左岸）交界处，距离旺苍县城约7.5km。S202省道从旺苍县城经过，从S202省道连接144乡道，行驶约5km，转村道（144乡道～奉家河段）行驶约2.6km可到达坝址右岸坝肩</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rPr>
              <w:t>工程对外交通较为便利。</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2、料场选择与开采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⑴ </w:t>
            </w:r>
            <w:r>
              <w:rPr>
                <w:b/>
                <w:bCs/>
                <w:color w:val="auto"/>
                <w:sz w:val="24"/>
                <w:szCs w:val="24"/>
                <w:highlight w:val="none"/>
              </w:rPr>
              <w:t>枢纽工程料场选择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① </w:t>
            </w:r>
            <w:r>
              <w:rPr>
                <w:b/>
                <w:bCs/>
                <w:color w:val="auto"/>
                <w:sz w:val="24"/>
                <w:szCs w:val="24"/>
                <w:highlight w:val="none"/>
              </w:rPr>
              <w:t>石渣料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color w:val="auto"/>
                <w:sz w:val="24"/>
                <w:szCs w:val="24"/>
                <w:highlight w:val="none"/>
              </w:rPr>
              <w:t>根据地质资料，赵家山料场储量及质量满足设计要求。本工程大坝坝体石渣填筑料拟自赵家山料场自采供应</w:t>
            </w:r>
            <w:r>
              <w:rPr>
                <w:rFonts w:hint="eastAsia"/>
                <w:color w:val="auto"/>
                <w:sz w:val="24"/>
                <w:szCs w:val="24"/>
                <w:highlight w:val="none"/>
                <w:lang w:eastAsia="zh-CN"/>
              </w:rPr>
              <w:t>，</w:t>
            </w:r>
            <w:r>
              <w:rPr>
                <w:rFonts w:hint="eastAsia"/>
                <w:color w:val="auto"/>
                <w:sz w:val="24"/>
                <w:szCs w:val="24"/>
                <w:highlight w:val="none"/>
                <w:lang w:val="en-US" w:eastAsia="zh-CN"/>
              </w:rPr>
              <w:t>该料场占地2.29hm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，料场开采量40.8万m</w:t>
            </w:r>
            <w:r>
              <w:rPr>
                <w:rFonts w:hint="eastAsia"/>
                <w:color w:val="auto"/>
                <w:sz w:val="24"/>
                <w:szCs w:val="24"/>
                <w:highlight w:val="none"/>
                <w:vertAlign w:val="superscript"/>
                <w:lang w:val="en-US" w:eastAsia="zh-CN"/>
              </w:rPr>
              <w:t>3</w:t>
            </w:r>
            <w:r>
              <w:rPr>
                <w:color w:val="auto"/>
                <w:sz w:val="24"/>
                <w:szCs w:val="24"/>
                <w:highlight w:val="none"/>
              </w:rPr>
              <w:t>，综合运距2km。</w:t>
            </w:r>
            <w:r>
              <w:rPr>
                <w:b/>
                <w:bCs/>
                <w:color w:val="auto"/>
                <w:sz w:val="24"/>
                <w:szCs w:val="24"/>
                <w:highlight w:val="none"/>
                <w:u w:val="single"/>
              </w:rPr>
              <w:t>该料场</w:t>
            </w:r>
            <w:r>
              <w:rPr>
                <w:rFonts w:hint="eastAsia"/>
                <w:b/>
                <w:bCs/>
                <w:color w:val="auto"/>
                <w:sz w:val="24"/>
                <w:szCs w:val="24"/>
                <w:highlight w:val="none"/>
                <w:u w:val="single"/>
                <w:lang w:val="en-US" w:eastAsia="zh-CN"/>
              </w:rPr>
              <w:t>土地类型为未利用地和农田</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② </w:t>
            </w:r>
            <w:r>
              <w:rPr>
                <w:b/>
                <w:bCs/>
                <w:color w:val="auto"/>
                <w:sz w:val="24"/>
                <w:szCs w:val="24"/>
                <w:highlight w:val="none"/>
              </w:rPr>
              <w:t>排水带及排水棱体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由于排水带需要的块石料较少，约1.49万m</w:t>
            </w:r>
            <w:r>
              <w:rPr>
                <w:color w:val="auto"/>
                <w:sz w:val="24"/>
                <w:szCs w:val="24"/>
                <w:highlight w:val="none"/>
                <w:vertAlign w:val="superscript"/>
              </w:rPr>
              <w:t>3</w:t>
            </w:r>
            <w:r>
              <w:rPr>
                <w:color w:val="auto"/>
                <w:sz w:val="24"/>
                <w:szCs w:val="24"/>
                <w:highlight w:val="none"/>
              </w:rPr>
              <w:t>（堆方），但质量要求高，拟自旺苍县嘉川镇东源砂石厂可够买砂砾石料作为排水带，综合运距16km。排水带棱体所需块石拟自赵家山料场开采新鲜砂岩料使用，综合运距2km。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③ 砂砾石料及过渡料（碎石垫层料）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由于工区附近河段无可供开采的砂砾石料源，且东河旺苍段河道天然砂砾石料多已开采完或被商业承包，无法开采。根据地质报告，东源砂石厂的砂石料储量和质量满足工程需要，</w:t>
            </w:r>
            <w:r>
              <w:rPr>
                <w:b/>
                <w:bCs/>
                <w:color w:val="auto"/>
                <w:sz w:val="24"/>
                <w:szCs w:val="24"/>
                <w:highlight w:val="none"/>
                <w:u w:val="single"/>
              </w:rPr>
              <w:t>本工程所需过渡料、碎石垫层料和混凝土骨料共计8.48万m</w:t>
            </w:r>
            <w:r>
              <w:rPr>
                <w:b/>
                <w:bCs/>
                <w:color w:val="auto"/>
                <w:sz w:val="24"/>
                <w:szCs w:val="24"/>
                <w:highlight w:val="none"/>
                <w:u w:val="single"/>
                <w:vertAlign w:val="superscript"/>
              </w:rPr>
              <w:t>3</w:t>
            </w:r>
            <w:r>
              <w:rPr>
                <w:b/>
                <w:bCs/>
                <w:color w:val="auto"/>
                <w:sz w:val="24"/>
                <w:szCs w:val="24"/>
                <w:highlight w:val="none"/>
                <w:u w:val="single"/>
              </w:rPr>
              <w:t>（堆方），拟自东源砂石厂购买，综合运距16km</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④ 沥青混凝土骨料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本工程沥青混凝土骨料设计需用料为</w:t>
            </w:r>
            <w:r>
              <w:rPr>
                <w:rFonts w:hint="eastAsia"/>
                <w:color w:val="auto"/>
                <w:sz w:val="24"/>
                <w:szCs w:val="24"/>
                <w:highlight w:val="none"/>
              </w:rPr>
              <w:t>0</w:t>
            </w:r>
            <w:r>
              <w:rPr>
                <w:color w:val="auto"/>
                <w:sz w:val="24"/>
                <w:szCs w:val="24"/>
                <w:highlight w:val="none"/>
              </w:rPr>
              <w:t>.62万m</w:t>
            </w:r>
            <w:r>
              <w:rPr>
                <w:color w:val="auto"/>
                <w:sz w:val="24"/>
                <w:szCs w:val="24"/>
                <w:highlight w:val="none"/>
                <w:vertAlign w:val="superscript"/>
              </w:rPr>
              <w:t>3</w:t>
            </w:r>
            <w:r>
              <w:rPr>
                <w:color w:val="auto"/>
                <w:sz w:val="24"/>
                <w:szCs w:val="24"/>
                <w:highlight w:val="none"/>
              </w:rPr>
              <w:t>（堆方）</w:t>
            </w:r>
            <w:r>
              <w:rPr>
                <w:rFonts w:hint="eastAsia"/>
                <w:color w:val="auto"/>
                <w:sz w:val="24"/>
                <w:szCs w:val="24"/>
                <w:highlight w:val="none"/>
              </w:rPr>
              <w:t>，</w:t>
            </w:r>
            <w:r>
              <w:rPr>
                <w:color w:val="auto"/>
                <w:sz w:val="24"/>
                <w:szCs w:val="24"/>
                <w:highlight w:val="none"/>
              </w:rPr>
              <w:t>拟</w:t>
            </w:r>
            <w:r>
              <w:rPr>
                <w:rFonts w:hint="eastAsia"/>
                <w:color w:val="auto"/>
                <w:sz w:val="24"/>
                <w:szCs w:val="24"/>
                <w:highlight w:val="none"/>
                <w:lang w:val="en-US" w:eastAsia="zh-CN"/>
              </w:rPr>
              <w:t>计划在大坝右岸设置一处沥青拌合站，占地面积约1500m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，主要用于施工期LHB30沥青混凝土的提供</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⑵ 枢纽工程开挖料的利用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三合水库枢纽工程大坝石方开挖为1.16万m</w:t>
            </w:r>
            <w:r>
              <w:rPr>
                <w:color w:val="auto"/>
                <w:sz w:val="24"/>
                <w:szCs w:val="24"/>
                <w:highlight w:val="none"/>
                <w:vertAlign w:val="superscript"/>
              </w:rPr>
              <w:t>3</w:t>
            </w:r>
            <w:r>
              <w:rPr>
                <w:color w:val="auto"/>
                <w:sz w:val="24"/>
                <w:szCs w:val="24"/>
                <w:highlight w:val="none"/>
              </w:rPr>
              <w:t>（自然方），溢洪道石方开挖12.11万m</w:t>
            </w:r>
            <w:r>
              <w:rPr>
                <w:color w:val="auto"/>
                <w:sz w:val="24"/>
                <w:szCs w:val="24"/>
                <w:highlight w:val="none"/>
                <w:vertAlign w:val="superscript"/>
              </w:rPr>
              <w:t>3</w:t>
            </w:r>
            <w:r>
              <w:rPr>
                <w:color w:val="auto"/>
                <w:sz w:val="24"/>
                <w:szCs w:val="24"/>
                <w:highlight w:val="none"/>
              </w:rPr>
              <w:t>（自然方），取水（放空、导流）隧洞石方明挖和洞挖0.58万m</w:t>
            </w:r>
            <w:r>
              <w:rPr>
                <w:color w:val="auto"/>
                <w:sz w:val="24"/>
                <w:szCs w:val="24"/>
                <w:highlight w:val="none"/>
                <w:vertAlign w:val="superscript"/>
              </w:rPr>
              <w:t>3</w:t>
            </w:r>
            <w:r>
              <w:rPr>
                <w:color w:val="auto"/>
                <w:sz w:val="24"/>
                <w:szCs w:val="24"/>
                <w:highlight w:val="none"/>
              </w:rPr>
              <w:t>（自然方）。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color w:val="auto"/>
                <w:sz w:val="24"/>
                <w:szCs w:val="24"/>
                <w:highlight w:val="none"/>
              </w:rPr>
              <w:t>根据大坝填筑料的质量要求</w:t>
            </w:r>
            <w:r>
              <w:rPr>
                <w:rFonts w:hint="eastAsia"/>
                <w:color w:val="auto"/>
                <w:sz w:val="24"/>
                <w:szCs w:val="24"/>
                <w:highlight w:val="none"/>
              </w:rPr>
              <w:t>，</w:t>
            </w:r>
            <w:r>
              <w:rPr>
                <w:color w:val="auto"/>
                <w:sz w:val="24"/>
                <w:szCs w:val="24"/>
                <w:highlight w:val="none"/>
              </w:rPr>
              <w:t>初拟溢洪道40%石方开挖料，取水（放空、导流）隧洞80%石方开挖料用于大坝坝体石渣填筑</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溢洪道石渣回填料</w:t>
            </w:r>
            <w:r>
              <w:rPr>
                <w:rFonts w:hint="eastAsia"/>
                <w:color w:val="auto"/>
                <w:sz w:val="24"/>
                <w:szCs w:val="24"/>
                <w:highlight w:val="none"/>
              </w:rPr>
              <w:t>0</w:t>
            </w:r>
            <w:r>
              <w:rPr>
                <w:color w:val="auto"/>
                <w:sz w:val="24"/>
                <w:szCs w:val="24"/>
                <w:highlight w:val="none"/>
              </w:rPr>
              <w:t>.51万m</w:t>
            </w:r>
            <w:r>
              <w:rPr>
                <w:color w:val="auto"/>
                <w:sz w:val="24"/>
                <w:szCs w:val="24"/>
                <w:highlight w:val="none"/>
                <w:vertAlign w:val="superscript"/>
              </w:rPr>
              <w:t>3</w:t>
            </w:r>
            <w:r>
              <w:rPr>
                <w:color w:val="auto"/>
                <w:sz w:val="24"/>
                <w:szCs w:val="24"/>
                <w:highlight w:val="none"/>
              </w:rPr>
              <w:t>（自然方）全部采用溢洪道开挖石方料</w:t>
            </w:r>
            <w:r>
              <w:rPr>
                <w:rFonts w:hint="eastAsia"/>
                <w:color w:val="auto"/>
                <w:sz w:val="24"/>
                <w:szCs w:val="24"/>
                <w:highlight w:val="none"/>
              </w:rPr>
              <w:t>；大坝耕植土0</w:t>
            </w:r>
            <w:r>
              <w:rPr>
                <w:color w:val="auto"/>
                <w:sz w:val="24"/>
                <w:szCs w:val="24"/>
                <w:highlight w:val="none"/>
              </w:rPr>
              <w:t>.31万m</w:t>
            </w:r>
            <w:r>
              <w:rPr>
                <w:color w:val="auto"/>
                <w:sz w:val="24"/>
                <w:szCs w:val="24"/>
                <w:highlight w:val="none"/>
                <w:vertAlign w:val="superscript"/>
              </w:rPr>
              <w:t>3</w:t>
            </w:r>
            <w:r>
              <w:rPr>
                <w:color w:val="auto"/>
                <w:sz w:val="24"/>
                <w:szCs w:val="24"/>
                <w:highlight w:val="none"/>
              </w:rPr>
              <w:t>（自然方）和围堰土石填筑料</w:t>
            </w:r>
            <w:r>
              <w:rPr>
                <w:rFonts w:hint="eastAsia"/>
                <w:color w:val="auto"/>
                <w:sz w:val="24"/>
                <w:szCs w:val="24"/>
                <w:highlight w:val="none"/>
              </w:rPr>
              <w:t>0</w:t>
            </w:r>
            <w:r>
              <w:rPr>
                <w:color w:val="auto"/>
                <w:sz w:val="24"/>
                <w:szCs w:val="24"/>
                <w:highlight w:val="none"/>
              </w:rPr>
              <w:t>.32万m</w:t>
            </w:r>
            <w:r>
              <w:rPr>
                <w:color w:val="auto"/>
                <w:sz w:val="24"/>
                <w:szCs w:val="24"/>
                <w:highlight w:val="none"/>
                <w:vertAlign w:val="superscript"/>
              </w:rPr>
              <w:t>3</w:t>
            </w:r>
            <w:r>
              <w:rPr>
                <w:color w:val="auto"/>
                <w:sz w:val="24"/>
                <w:szCs w:val="24"/>
                <w:highlight w:val="none"/>
              </w:rPr>
              <w:t>（自然方）全部采用</w:t>
            </w:r>
            <w:r>
              <w:rPr>
                <w:rFonts w:hint="eastAsia"/>
                <w:color w:val="auto"/>
                <w:sz w:val="24"/>
                <w:szCs w:val="24"/>
                <w:highlight w:val="none"/>
              </w:rPr>
              <w:t>大坝</w:t>
            </w:r>
            <w:r>
              <w:rPr>
                <w:color w:val="auto"/>
                <w:sz w:val="24"/>
                <w:szCs w:val="24"/>
                <w:highlight w:val="none"/>
              </w:rPr>
              <w:t>开挖的石方和土方料。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3、灌区工程料场选择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⑴ 混凝土砂石骨料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trike/>
                <w:color w:val="auto"/>
                <w:sz w:val="24"/>
                <w:szCs w:val="24"/>
                <w:highlight w:val="none"/>
              </w:rPr>
            </w:pPr>
            <w:r>
              <w:rPr>
                <w:color w:val="auto"/>
                <w:sz w:val="24"/>
                <w:szCs w:val="24"/>
                <w:highlight w:val="none"/>
              </w:rPr>
              <w:t>三合水库工程灌区混凝土总量约0.11万m</w:t>
            </w:r>
            <w:r>
              <w:rPr>
                <w:color w:val="auto"/>
                <w:sz w:val="24"/>
                <w:szCs w:val="24"/>
                <w:highlight w:val="none"/>
                <w:vertAlign w:val="superscript"/>
              </w:rPr>
              <w:t>3</w:t>
            </w:r>
            <w:r>
              <w:rPr>
                <w:color w:val="auto"/>
                <w:sz w:val="24"/>
                <w:szCs w:val="24"/>
                <w:highlight w:val="none"/>
              </w:rPr>
              <w:t>，骨料用量仅0.25万t，用量少且分散，施工期较长，高峰期混凝土砂石料用料少，同时工区附近无可自采加工的砂砾石料源。经综合分析后，混凝土砂石骨料采取自东源砂砾石厂购买，综合运距14km。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⑵ </w:t>
            </w:r>
            <w:r>
              <w:rPr>
                <w:b/>
                <w:bCs/>
                <w:color w:val="auto"/>
                <w:sz w:val="24"/>
                <w:szCs w:val="24"/>
                <w:highlight w:val="none"/>
              </w:rPr>
              <w:t>粗砂垫层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本工程粗砂垫层用量为0.47万m</w:t>
            </w:r>
            <w:r>
              <w:rPr>
                <w:color w:val="auto"/>
                <w:sz w:val="24"/>
                <w:szCs w:val="24"/>
                <w:highlight w:val="none"/>
                <w:vertAlign w:val="superscript"/>
              </w:rPr>
              <w:t>3</w:t>
            </w:r>
            <w:r>
              <w:rPr>
                <w:color w:val="auto"/>
                <w:sz w:val="24"/>
                <w:szCs w:val="24"/>
                <w:highlight w:val="none"/>
              </w:rPr>
              <w:t>，用量较少且分散，不适宜自采，同时工区附近无可自采加工的砂砾石料源。经综合分析后，粗石垫层料拟采取就近自东源砂砾石厂购买获得，综合运距14km。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⑶ </w:t>
            </w:r>
            <w:r>
              <w:rPr>
                <w:b/>
                <w:bCs/>
                <w:color w:val="auto"/>
                <w:sz w:val="24"/>
                <w:szCs w:val="24"/>
                <w:highlight w:val="none"/>
              </w:rPr>
              <w:t>土石方填筑料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color w:val="auto"/>
                <w:sz w:val="24"/>
                <w:szCs w:val="24"/>
                <w:highlight w:val="none"/>
              </w:rPr>
              <w:t>本工程灌区土石回填量为2.09万m</w:t>
            </w:r>
            <w:r>
              <w:rPr>
                <w:color w:val="auto"/>
                <w:sz w:val="24"/>
                <w:szCs w:val="24"/>
                <w:highlight w:val="none"/>
                <w:vertAlign w:val="superscript"/>
              </w:rPr>
              <w:t>3</w:t>
            </w:r>
            <w:r>
              <w:rPr>
                <w:color w:val="auto"/>
                <w:sz w:val="24"/>
                <w:szCs w:val="24"/>
                <w:highlight w:val="none"/>
              </w:rPr>
              <w:t>，就近利用开挖的合格土石料，本工程土石方开挖总量为3.93万m</w:t>
            </w:r>
            <w:r>
              <w:rPr>
                <w:color w:val="auto"/>
                <w:sz w:val="24"/>
                <w:szCs w:val="24"/>
                <w:highlight w:val="none"/>
                <w:vertAlign w:val="superscript"/>
              </w:rPr>
              <w:t>3</w:t>
            </w:r>
            <w:r>
              <w:rPr>
                <w:color w:val="auto"/>
                <w:sz w:val="24"/>
                <w:szCs w:val="24"/>
                <w:highlight w:val="none"/>
              </w:rPr>
              <w:t>，可满足工程填筑需要。部分管道土石回填直接采用临近管道开挖料，部分由临时堆放于管沟旁的开挖料二次转运至工作面填筑。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4、施工导流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⑴ </w:t>
            </w:r>
            <w:r>
              <w:rPr>
                <w:rFonts w:ascii="Times New Roman" w:hAnsi="Times New Roman" w:cs="Times New Roman"/>
                <w:b/>
                <w:bCs/>
                <w:color w:val="auto"/>
                <w:sz w:val="24"/>
                <w:szCs w:val="24"/>
                <w:highlight w:val="none"/>
              </w:rPr>
              <w:t>枢纽工程施工导截流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① </w:t>
            </w:r>
            <w:r>
              <w:rPr>
                <w:rFonts w:ascii="Times New Roman" w:hAnsi="Times New Roman" w:cs="Times New Roman"/>
                <w:b/>
                <w:bCs/>
                <w:color w:val="auto"/>
                <w:sz w:val="24"/>
                <w:szCs w:val="24"/>
                <w:highlight w:val="none"/>
              </w:rPr>
              <w:t>导流建筑物级别及导流</w:t>
            </w:r>
            <w:r>
              <w:rPr>
                <w:rFonts w:hint="eastAsia" w:ascii="Times New Roman" w:hAnsi="Times New Roman" w:cs="Times New Roman"/>
                <w:b/>
                <w:bCs/>
                <w:color w:val="auto"/>
                <w:sz w:val="24"/>
                <w:szCs w:val="24"/>
                <w:highlight w:val="none"/>
              </w:rPr>
              <w:t>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工程水库枢纽为Ⅳ等工程，工程规模为小（1）型，其主要建筑级别为4级，其中大坝为3级，次要建筑物为5级。根据工程特性和《水利水电工程施工组织设计规范》（SL303-2017）第2.2.1条，以及《水利水电工程施工导流设计规范》（SL623-2013）第3.1.1条的规定，相应的导流建筑物级别为5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综合分析</w:t>
            </w:r>
            <w:r>
              <w:rPr>
                <w:rFonts w:ascii="Times New Roman" w:hAnsi="Times New Roman" w:cs="Times New Roman"/>
                <w:color w:val="auto"/>
                <w:sz w:val="24"/>
                <w:szCs w:val="24"/>
                <w:highlight w:val="none"/>
              </w:rPr>
              <w:t>后，</w:t>
            </w:r>
            <w:r>
              <w:rPr>
                <w:rFonts w:hint="eastAsia" w:ascii="Times New Roman" w:hAnsi="Times New Roman" w:cs="Times New Roman"/>
                <w:color w:val="auto"/>
                <w:sz w:val="24"/>
                <w:szCs w:val="24"/>
                <w:highlight w:val="none"/>
              </w:rPr>
              <w:t>本工程导流方案采用</w:t>
            </w:r>
            <w:r>
              <w:rPr>
                <w:rFonts w:ascii="Times New Roman" w:hAnsi="Times New Roman" w:cs="Times New Roman"/>
                <w:color w:val="auto"/>
                <w:sz w:val="24"/>
                <w:szCs w:val="24"/>
                <w:highlight w:val="none"/>
              </w:rPr>
              <w:t>一次性拦断河床，枯期围堰挡水，汛期坝体临时断面挡水，隧洞过流</w:t>
            </w:r>
            <w:r>
              <w:rPr>
                <w:rFonts w:hint="eastAsia" w:ascii="Times New Roman" w:hAnsi="Times New Roman" w:cs="Times New Roman"/>
                <w:color w:val="auto"/>
                <w:sz w:val="24"/>
                <w:szCs w:val="24"/>
                <w:highlight w:val="none"/>
              </w:rPr>
              <w:t>，枯期导流时段为</w:t>
            </w:r>
            <w:r>
              <w:rPr>
                <w:rFonts w:ascii="Times New Roman" w:hAnsi="Times New Roman" w:cs="Times New Roman"/>
                <w:color w:val="auto"/>
                <w:sz w:val="24"/>
                <w:szCs w:val="24"/>
                <w:highlight w:val="none"/>
              </w:rPr>
              <w:t>11月～次年4月</w:t>
            </w:r>
            <w:r>
              <w:rPr>
                <w:rFonts w:hint="eastAsia" w:ascii="Times New Roman" w:hAnsi="Times New Roman" w:cs="Times New Roman"/>
                <w:color w:val="auto"/>
                <w:sz w:val="24"/>
                <w:szCs w:val="24"/>
                <w:highlight w:val="none"/>
              </w:rPr>
              <w:t>，导流</w:t>
            </w:r>
            <w:r>
              <w:rPr>
                <w:rFonts w:ascii="Times New Roman" w:hAnsi="Times New Roman" w:cs="Times New Roman"/>
                <w:color w:val="auto"/>
                <w:sz w:val="24"/>
                <w:szCs w:val="24"/>
                <w:highlight w:val="none"/>
              </w:rPr>
              <w:t>标准采用10年一遇重现期洪水</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对应洪水流量为6.66m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/s；</w:t>
            </w:r>
            <w:r>
              <w:rPr>
                <w:rFonts w:hint="eastAsia" w:ascii="Times New Roman" w:hAnsi="Times New Roman" w:cs="Times New Roman"/>
                <w:color w:val="auto"/>
                <w:sz w:val="24"/>
                <w:szCs w:val="24"/>
                <w:highlight w:val="none"/>
              </w:rPr>
              <w:t>坝体临时</w:t>
            </w:r>
            <w:r>
              <w:rPr>
                <w:rFonts w:ascii="Times New Roman" w:hAnsi="Times New Roman" w:cs="Times New Roman"/>
                <w:color w:val="auto"/>
                <w:sz w:val="24"/>
                <w:szCs w:val="24"/>
                <w:highlight w:val="none"/>
              </w:rPr>
              <w:t>挡水断面采用20年一遇洪水，相应洪峰流量</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46m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溢洪道出口导流标准采用12月-次年2月时段5年一遇重现期洪水，相应流量为0.05m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/s。由于溢洪道尾水渠布置占用了整个河道，无位置布置导流过水建筑，拟采取潜水泵抽水导流的方案。配置100m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/h流量，扬程10m的潜水泵2台，初估抽水台班为100个台班。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u w:val="none"/>
              </w:rPr>
            </w:pPr>
            <w:r>
              <w:rPr>
                <w:rFonts w:hint="eastAsia" w:ascii="Times New Roman" w:hAnsi="Times New Roman" w:cs="Times New Roman"/>
                <w:color w:val="auto"/>
                <w:sz w:val="24"/>
                <w:szCs w:val="24"/>
                <w:highlight w:val="none"/>
                <w:u w:val="single"/>
              </w:rPr>
              <w:t>导流隧洞</w:t>
            </w:r>
            <w:r>
              <w:rPr>
                <w:rFonts w:ascii="Times New Roman" w:hAnsi="Times New Roman" w:cs="Times New Roman"/>
                <w:color w:val="auto"/>
                <w:sz w:val="24"/>
                <w:szCs w:val="24"/>
                <w:highlight w:val="none"/>
                <w:u w:val="single"/>
              </w:rPr>
              <w:t>施工</w:t>
            </w:r>
            <w:r>
              <w:rPr>
                <w:rFonts w:hint="eastAsia" w:ascii="Times New Roman" w:hAnsi="Times New Roman" w:cs="Times New Roman"/>
                <w:color w:val="auto"/>
                <w:sz w:val="24"/>
                <w:szCs w:val="24"/>
                <w:highlight w:val="none"/>
                <w:u w:val="single"/>
              </w:rPr>
              <w:t>导流标准</w:t>
            </w:r>
            <w:r>
              <w:rPr>
                <w:rFonts w:ascii="Times New Roman" w:hAnsi="Times New Roman" w:cs="Times New Roman"/>
                <w:color w:val="auto"/>
                <w:sz w:val="24"/>
                <w:szCs w:val="24"/>
                <w:highlight w:val="none"/>
                <w:u w:val="single"/>
              </w:rPr>
              <w:t>拟采取</w:t>
            </w:r>
            <w:r>
              <w:rPr>
                <w:rFonts w:hint="eastAsia" w:ascii="Times New Roman" w:hAnsi="Times New Roman" w:cs="Times New Roman"/>
                <w:color w:val="auto"/>
                <w:sz w:val="24"/>
                <w:szCs w:val="24"/>
                <w:highlight w:val="none"/>
                <w:u w:val="single"/>
              </w:rPr>
              <w:t>5年</w:t>
            </w:r>
            <w:r>
              <w:rPr>
                <w:rFonts w:ascii="Times New Roman" w:hAnsi="Times New Roman" w:cs="Times New Roman"/>
                <w:color w:val="auto"/>
                <w:sz w:val="24"/>
                <w:szCs w:val="24"/>
                <w:highlight w:val="none"/>
                <w:u w:val="single"/>
              </w:rPr>
              <w:t>一</w:t>
            </w:r>
            <w:r>
              <w:rPr>
                <w:rFonts w:hint="eastAsia" w:ascii="Times New Roman" w:hAnsi="Times New Roman" w:cs="Times New Roman"/>
                <w:color w:val="auto"/>
                <w:sz w:val="24"/>
                <w:szCs w:val="24"/>
                <w:highlight w:val="none"/>
                <w:u w:val="single"/>
              </w:rPr>
              <w:t>遇重现期</w:t>
            </w:r>
            <w:r>
              <w:rPr>
                <w:rFonts w:ascii="Times New Roman" w:hAnsi="Times New Roman" w:cs="Times New Roman"/>
                <w:color w:val="auto"/>
                <w:sz w:val="24"/>
                <w:szCs w:val="24"/>
                <w:highlight w:val="none"/>
                <w:u w:val="single"/>
              </w:rPr>
              <w:t>洪水</w:t>
            </w:r>
            <w:r>
              <w:rPr>
                <w:rFonts w:ascii="Times New Roman" w:hAnsi="Times New Roman" w:cs="Times New Roman"/>
                <w:color w:val="auto"/>
                <w:sz w:val="24"/>
                <w:szCs w:val="24"/>
                <w:highlight w:val="none"/>
              </w:rPr>
              <w:t>，根据施工总进度计划</w:t>
            </w:r>
            <w:r>
              <w:rPr>
                <w:rFonts w:hint="eastAsia" w:ascii="Times New Roman" w:hAnsi="Times New Roman" w:cs="Times New Roman"/>
                <w:color w:val="auto"/>
                <w:sz w:val="24"/>
                <w:szCs w:val="24"/>
                <w:highlight w:val="none"/>
              </w:rPr>
              <w:t>安排</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u w:val="none"/>
              </w:rPr>
              <w:t>导流隧洞安排在汛期，进口位于左支沟</w:t>
            </w:r>
            <w:r>
              <w:rPr>
                <w:rFonts w:hint="eastAsia" w:ascii="Times New Roman" w:hAnsi="Times New Roman" w:cs="Times New Roman"/>
                <w:color w:val="auto"/>
                <w:sz w:val="24"/>
                <w:szCs w:val="24"/>
                <w:highlight w:val="none"/>
                <w:u w:val="none"/>
              </w:rPr>
              <w:t>，</w:t>
            </w:r>
            <w:r>
              <w:rPr>
                <w:rFonts w:ascii="Times New Roman" w:hAnsi="Times New Roman" w:cs="Times New Roman"/>
                <w:color w:val="auto"/>
                <w:sz w:val="24"/>
                <w:szCs w:val="24"/>
                <w:highlight w:val="none"/>
                <w:u w:val="none"/>
              </w:rPr>
              <w:t>相应导流流量为34m</w:t>
            </w:r>
            <w:r>
              <w:rPr>
                <w:rFonts w:ascii="Times New Roman" w:hAnsi="Times New Roman" w:cs="Times New Roman"/>
                <w:color w:val="auto"/>
                <w:sz w:val="24"/>
                <w:szCs w:val="24"/>
                <w:highlight w:val="none"/>
                <w:u w:val="none"/>
                <w:vertAlign w:val="superscript"/>
              </w:rPr>
              <w:t>3</w:t>
            </w:r>
            <w:r>
              <w:rPr>
                <w:rFonts w:ascii="Times New Roman" w:hAnsi="Times New Roman" w:cs="Times New Roman"/>
                <w:color w:val="auto"/>
                <w:sz w:val="24"/>
                <w:szCs w:val="24"/>
                <w:highlight w:val="none"/>
                <w:u w:val="none"/>
              </w:rPr>
              <w:t>/s</w:t>
            </w:r>
            <w:r>
              <w:rPr>
                <w:rFonts w:hint="eastAsia" w:ascii="Times New Roman" w:hAnsi="Times New Roman" w:cs="Times New Roman"/>
                <w:color w:val="auto"/>
                <w:sz w:val="24"/>
                <w:szCs w:val="24"/>
                <w:highlight w:val="none"/>
                <w:u w:val="none"/>
              </w:rPr>
              <w:t>，</w:t>
            </w:r>
            <w:r>
              <w:rPr>
                <w:rFonts w:ascii="Times New Roman" w:hAnsi="Times New Roman" w:cs="Times New Roman"/>
                <w:color w:val="auto"/>
                <w:sz w:val="24"/>
                <w:szCs w:val="24"/>
                <w:highlight w:val="none"/>
                <w:u w:val="none"/>
              </w:rPr>
              <w:t>相应洪水位为</w:t>
            </w:r>
            <w:r>
              <w:rPr>
                <w:rFonts w:hint="eastAsia" w:ascii="Times New Roman" w:hAnsi="Times New Roman" w:cs="Times New Roman"/>
                <w:color w:val="auto"/>
                <w:sz w:val="24"/>
                <w:szCs w:val="24"/>
                <w:highlight w:val="none"/>
                <w:u w:val="none"/>
              </w:rPr>
              <w:t>5</w:t>
            </w:r>
            <w:r>
              <w:rPr>
                <w:rFonts w:ascii="Times New Roman" w:hAnsi="Times New Roman" w:cs="Times New Roman"/>
                <w:color w:val="auto"/>
                <w:sz w:val="24"/>
                <w:szCs w:val="24"/>
                <w:highlight w:val="none"/>
                <w:u w:val="none"/>
              </w:rPr>
              <w:t>51.75m</w:t>
            </w:r>
            <w:r>
              <w:rPr>
                <w:rFonts w:hint="eastAsia" w:ascii="Times New Roman" w:hAnsi="Times New Roman" w:cs="Times New Roman"/>
                <w:color w:val="auto"/>
                <w:sz w:val="24"/>
                <w:szCs w:val="24"/>
                <w:highlight w:val="none"/>
                <w:u w:val="none"/>
              </w:rPr>
              <w:t>；出口位于左右两支沟汇口下游，</w:t>
            </w:r>
            <w:r>
              <w:rPr>
                <w:rFonts w:ascii="Times New Roman" w:hAnsi="Times New Roman" w:cs="Times New Roman"/>
                <w:color w:val="auto"/>
                <w:sz w:val="24"/>
                <w:szCs w:val="24"/>
                <w:highlight w:val="none"/>
                <w:u w:val="none"/>
              </w:rPr>
              <w:t>相应导流流量为87.3m</w:t>
            </w:r>
            <w:r>
              <w:rPr>
                <w:rFonts w:ascii="Times New Roman" w:hAnsi="Times New Roman" w:cs="Times New Roman"/>
                <w:color w:val="auto"/>
                <w:sz w:val="24"/>
                <w:szCs w:val="24"/>
                <w:highlight w:val="none"/>
                <w:u w:val="none"/>
                <w:vertAlign w:val="superscript"/>
              </w:rPr>
              <w:t>3</w:t>
            </w:r>
            <w:r>
              <w:rPr>
                <w:rFonts w:ascii="Times New Roman" w:hAnsi="Times New Roman" w:cs="Times New Roman"/>
                <w:color w:val="auto"/>
                <w:sz w:val="24"/>
                <w:szCs w:val="24"/>
                <w:highlight w:val="none"/>
                <w:u w:val="none"/>
              </w:rPr>
              <w:t>/s</w:t>
            </w:r>
            <w:r>
              <w:rPr>
                <w:rFonts w:hint="eastAsia" w:ascii="Times New Roman" w:hAnsi="Times New Roman" w:cs="Times New Roman"/>
                <w:color w:val="auto"/>
                <w:sz w:val="24"/>
                <w:szCs w:val="24"/>
                <w:highlight w:val="none"/>
                <w:u w:val="none"/>
              </w:rPr>
              <w:t>，</w:t>
            </w:r>
            <w:r>
              <w:rPr>
                <w:rFonts w:ascii="Times New Roman" w:hAnsi="Times New Roman" w:cs="Times New Roman"/>
                <w:color w:val="auto"/>
                <w:sz w:val="24"/>
                <w:szCs w:val="24"/>
                <w:highlight w:val="none"/>
                <w:u w:val="none"/>
              </w:rPr>
              <w:t>相应洪水位为</w:t>
            </w:r>
            <w:r>
              <w:rPr>
                <w:rFonts w:hint="eastAsia" w:ascii="Times New Roman" w:hAnsi="Times New Roman" w:cs="Times New Roman"/>
                <w:color w:val="auto"/>
                <w:sz w:val="24"/>
                <w:szCs w:val="24"/>
                <w:highlight w:val="none"/>
                <w:u w:val="none"/>
              </w:rPr>
              <w:t>5</w:t>
            </w:r>
            <w:r>
              <w:rPr>
                <w:rFonts w:ascii="Times New Roman" w:hAnsi="Times New Roman" w:cs="Times New Roman"/>
                <w:color w:val="auto"/>
                <w:sz w:val="24"/>
                <w:szCs w:val="24"/>
                <w:highlight w:val="none"/>
                <w:u w:val="none"/>
              </w:rPr>
              <w:t>41.65m</w:t>
            </w:r>
            <w:r>
              <w:rPr>
                <w:rFonts w:hint="eastAsia" w:ascii="Times New Roman" w:hAnsi="Times New Roman" w:cs="Times New Roman"/>
                <w:color w:val="auto"/>
                <w:sz w:val="24"/>
                <w:szCs w:val="24"/>
                <w:highlight w:val="none"/>
                <w:u w:val="none"/>
              </w:rPr>
              <w:t>。导流隧洞进口底板开挖高程为5</w:t>
            </w:r>
            <w:r>
              <w:rPr>
                <w:rFonts w:ascii="Times New Roman" w:hAnsi="Times New Roman" w:cs="Times New Roman"/>
                <w:color w:val="auto"/>
                <w:sz w:val="24"/>
                <w:szCs w:val="24"/>
                <w:highlight w:val="none"/>
                <w:u w:val="none"/>
              </w:rPr>
              <w:t>51.60m</w:t>
            </w:r>
            <w:r>
              <w:rPr>
                <w:rFonts w:hint="eastAsia" w:ascii="Times New Roman" w:hAnsi="Times New Roman" w:cs="Times New Roman"/>
                <w:color w:val="auto"/>
                <w:sz w:val="24"/>
                <w:szCs w:val="24"/>
                <w:highlight w:val="none"/>
                <w:u w:val="none"/>
              </w:rPr>
              <w:t>，低于洪水位</w:t>
            </w:r>
            <w:r>
              <w:rPr>
                <w:rFonts w:ascii="Times New Roman" w:hAnsi="Times New Roman" w:cs="Times New Roman"/>
                <w:color w:val="auto"/>
                <w:sz w:val="24"/>
                <w:szCs w:val="24"/>
                <w:highlight w:val="none"/>
                <w:u w:val="none"/>
              </w:rPr>
              <w:t>15cm</w:t>
            </w: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rPr>
              <w:t>隧洞</w:t>
            </w:r>
            <w:r>
              <w:rPr>
                <w:rFonts w:ascii="Times New Roman" w:hAnsi="Times New Roman" w:cs="Times New Roman"/>
                <w:color w:val="auto"/>
                <w:sz w:val="24"/>
                <w:szCs w:val="24"/>
                <w:highlight w:val="none"/>
                <w:u w:val="none"/>
              </w:rPr>
              <w:t>出口底板开挖高程为</w:t>
            </w:r>
            <w:r>
              <w:rPr>
                <w:rFonts w:hint="eastAsia" w:ascii="Times New Roman" w:hAnsi="Times New Roman" w:cs="Times New Roman"/>
                <w:color w:val="auto"/>
                <w:sz w:val="24"/>
                <w:szCs w:val="24"/>
                <w:highlight w:val="none"/>
                <w:u w:val="none"/>
              </w:rPr>
              <w:t>5</w:t>
            </w:r>
            <w:r>
              <w:rPr>
                <w:rFonts w:ascii="Times New Roman" w:hAnsi="Times New Roman" w:cs="Times New Roman"/>
                <w:color w:val="auto"/>
                <w:sz w:val="24"/>
                <w:szCs w:val="24"/>
                <w:highlight w:val="none"/>
                <w:u w:val="none"/>
              </w:rPr>
              <w:t>42.33m</w:t>
            </w:r>
            <w:r>
              <w:rPr>
                <w:rFonts w:hint="eastAsia" w:ascii="Times New Roman" w:hAnsi="Times New Roman" w:cs="Times New Roman"/>
                <w:color w:val="auto"/>
                <w:sz w:val="24"/>
                <w:szCs w:val="24"/>
                <w:highlight w:val="none"/>
                <w:u w:val="none"/>
              </w:rPr>
              <w:t>，高于洪水位5</w:t>
            </w:r>
            <w:r>
              <w:rPr>
                <w:rFonts w:ascii="Times New Roman" w:hAnsi="Times New Roman" w:cs="Times New Roman"/>
                <w:color w:val="auto"/>
                <w:sz w:val="24"/>
                <w:szCs w:val="24"/>
                <w:highlight w:val="none"/>
                <w:u w:val="none"/>
              </w:rPr>
              <w:t>8cm</w:t>
            </w:r>
            <w:r>
              <w:rPr>
                <w:rFonts w:hint="eastAsia" w:ascii="Times New Roman" w:hAnsi="Times New Roman" w:cs="Times New Roman"/>
                <w:color w:val="auto"/>
                <w:sz w:val="24"/>
                <w:szCs w:val="24"/>
                <w:highlight w:val="none"/>
                <w:u w:val="none"/>
              </w:rPr>
              <w:t>，</w:t>
            </w:r>
            <w:r>
              <w:rPr>
                <w:rFonts w:ascii="Times New Roman" w:hAnsi="Times New Roman" w:cs="Times New Roman"/>
                <w:color w:val="auto"/>
                <w:sz w:val="24"/>
                <w:szCs w:val="24"/>
                <w:highlight w:val="none"/>
                <w:u w:val="none"/>
              </w:rPr>
              <w:t>拟采取在进口明渠段预留</w:t>
            </w:r>
            <w:r>
              <w:rPr>
                <w:rFonts w:hint="eastAsia" w:ascii="Times New Roman" w:hAnsi="Times New Roman" w:cs="Times New Roman"/>
                <w:color w:val="auto"/>
                <w:sz w:val="24"/>
                <w:szCs w:val="24"/>
                <w:highlight w:val="none"/>
                <w:u w:val="none"/>
              </w:rPr>
              <w:t>1m高的岩埂（顶高程5</w:t>
            </w:r>
            <w:r>
              <w:rPr>
                <w:rFonts w:ascii="Times New Roman" w:hAnsi="Times New Roman" w:cs="Times New Roman"/>
                <w:color w:val="auto"/>
                <w:sz w:val="24"/>
                <w:szCs w:val="24"/>
                <w:highlight w:val="none"/>
                <w:u w:val="none"/>
              </w:rPr>
              <w:t>52.60</w:t>
            </w:r>
            <w:r>
              <w:rPr>
                <w:rFonts w:hint="eastAsia" w:ascii="Times New Roman" w:hAnsi="Times New Roman" w:cs="Times New Roman"/>
                <w:color w:val="auto"/>
                <w:sz w:val="24"/>
                <w:szCs w:val="24"/>
                <w:highlight w:val="none"/>
                <w:u w:val="none"/>
              </w:rPr>
              <w:t>）挡水，进出口明渠段在非洪水的时间施工，不采取专门的挡水措施。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 xml:space="preserve">② </w:t>
            </w:r>
            <w:r>
              <w:rPr>
                <w:rFonts w:ascii="Times New Roman" w:hAnsi="Times New Roman" w:cs="Times New Roman"/>
                <w:b/>
                <w:bCs/>
                <w:color w:val="auto"/>
                <w:sz w:val="24"/>
                <w:szCs w:val="24"/>
                <w:highlight w:val="none"/>
              </w:rPr>
              <w:t>导流方式及导流方案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三合</w:t>
            </w:r>
            <w:r>
              <w:rPr>
                <w:rFonts w:ascii="Times New Roman" w:hAnsi="Times New Roman" w:cs="Times New Roman"/>
                <w:color w:val="auto"/>
                <w:sz w:val="24"/>
                <w:szCs w:val="24"/>
                <w:highlight w:val="none"/>
              </w:rPr>
              <w:t>水库枢纽工程采用一次性拦断河床、隧洞导流的施工导流方式。根据导流方案比较，本工程导流方案拟采用一次性拦断河床，枯期围堰挡水，汛期坝体临时断面挡水，隧洞过流</w:t>
            </w:r>
            <w:r>
              <w:rPr>
                <w:rFonts w:hint="eastAsia" w:ascii="Times New Roman" w:hAnsi="Times New Roman" w:cs="Times New Roman"/>
                <w:color w:val="auto"/>
                <w:sz w:val="24"/>
                <w:szCs w:val="24"/>
                <w:highlight w:val="none"/>
              </w:rPr>
              <w:t>的</w:t>
            </w:r>
            <w:r>
              <w:rPr>
                <w:rFonts w:ascii="Times New Roman" w:hAnsi="Times New Roman" w:cs="Times New Roman"/>
                <w:color w:val="auto"/>
                <w:sz w:val="24"/>
                <w:szCs w:val="24"/>
                <w:highlight w:val="none"/>
              </w:rPr>
              <w:t>导流方案。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③ </w:t>
            </w:r>
            <w:r>
              <w:rPr>
                <w:rFonts w:hint="eastAsia" w:ascii="Times New Roman" w:hAnsi="Times New Roman" w:cs="Times New Roman"/>
                <w:b/>
                <w:bCs/>
                <w:color w:val="auto"/>
                <w:sz w:val="24"/>
                <w:szCs w:val="24"/>
                <w:highlight w:val="none"/>
                <w:lang w:val="en-US" w:eastAsia="zh-CN"/>
              </w:rPr>
              <w:t>导流建筑物设计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导流建筑物主要为导流隧洞、上游围堰、下游围堰和过水明渠。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导流隧洞进口位于坝轴线以上约140.0m，隧洞轴线与主河道水流方向约成10°夹角，与支流水流方向约成80°夹角。导流隧洞全长293.00m，采用城门洞型，洞径为2.5×3.0m（宽×高），平均纵坡比为1/31.6（即i=3.16%）。为保证导流洞进口良好的进水条件以及出口水流平稳衔接，经分析，导流洞进出口底板高程分别为552.0m和542.73m。导流隧洞进口设置拦砂井段（临时封堵闸门），长度5.0m；出口设置明渠段，长度为23m；在桩号导0+019.76至导0+029.70处设置一转弯段，转弯半径为15.0m，转角为37.97°；在桩号导0+235.60至导0+257.21处设置一转弯段，转弯半径为30.0m，转角为41.28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B、</w:t>
            </w:r>
            <w:r>
              <w:rPr>
                <w:rFonts w:hint="eastAsia" w:ascii="Times New Roman" w:hAnsi="Times New Roman" w:cs="Times New Roman"/>
                <w:color w:val="auto"/>
                <w:sz w:val="24"/>
                <w:szCs w:val="24"/>
                <w:highlight w:val="none"/>
                <w:lang w:val="en-US" w:eastAsia="zh-CN"/>
              </w:rPr>
              <w:t>本工程上游围堰位于坝轴线上游140m，上游围堰的两侧边坡为1:75，堰顶高程554.35m，堰顶宽2m，最大堰高5.25m，轴线长72.73m，围堰填筑料采用开挖的土石料进行填筑，堰体及基础采取在迎水面设置复合土工膜进行防渗，复合土工膜深入河床以下0.5-2m至基岩，迎水面采用0.5m厚袋装土护坡防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C、</w:t>
            </w:r>
            <w:r>
              <w:rPr>
                <w:rFonts w:hint="eastAsia" w:ascii="Times New Roman" w:hAnsi="Times New Roman" w:cs="Times New Roman"/>
                <w:color w:val="auto"/>
                <w:sz w:val="24"/>
                <w:szCs w:val="24"/>
                <w:highlight w:val="none"/>
                <w:lang w:val="en-US" w:eastAsia="zh-CN"/>
              </w:rPr>
              <w:t>下游围堰，采用主体工程开挖的土石料填筑，堰顶高程546.50m，堰顶宽4m（含0.5m厚袋装土护坡），最大堰高5.5m，轴线长24m，迎水侧和背水侧坡比为1:1.5，堰体采用复合土工膜进行防渗，土工膜深入河床以下1m，迎水面采用0.5m厚袋装土护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过水明渠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过水明渠底宽3.0m，长度61.44m，明渠右岸支沟进口高程551.00m，左岸支沟出口高程550.69m，沟渠左右岸边坡1:1，不采取其他防渗防护措施。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E、</w:t>
            </w:r>
            <w:r>
              <w:rPr>
                <w:rFonts w:hint="eastAsia" w:ascii="Times New Roman" w:hAnsi="Times New Roman" w:cs="Times New Roman"/>
                <w:color w:val="auto"/>
                <w:sz w:val="24"/>
                <w:szCs w:val="24"/>
                <w:highlight w:val="none"/>
                <w:lang w:val="en-US" w:eastAsia="zh-CN"/>
              </w:rPr>
              <w:t>坝体临时挡水断面结构设计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工程坝体临时挡水断面最大高度20.40m，大坝上游临时挡水断面填筑至569.00m高程，顶宽12m，上游迎水面边坡为1:2.5，背水面边坡为1:2.25，沥青心墙填筑至552.00m高程，填筑料采用合格的满足大坝上游石渣料Ⅱ区要求的导流隧洞、溢洪道开挖料和赵家山料场开采的石渣料，堰体及基础采取在迎水面设置复合土工膜结合钢筋网喷C20混凝土防渗，防渗材料与基岩采用C20混凝土基座连接，基座深入基岩1m。迎水面采用钢筋网喷C20混凝土护坡防冲。</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④ </w:t>
            </w:r>
            <w:r>
              <w:rPr>
                <w:rFonts w:hint="eastAsia" w:ascii="Times New Roman" w:hAnsi="Times New Roman" w:cs="Times New Roman"/>
                <w:b/>
                <w:bCs/>
                <w:color w:val="auto"/>
                <w:sz w:val="24"/>
                <w:szCs w:val="24"/>
                <w:highlight w:val="none"/>
                <w:lang w:val="en-US" w:eastAsia="zh-CN"/>
              </w:rPr>
              <w:t>截流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根据施工组织设计规范要求的截流标准和本工程施工总体进度计划，截流设计标准采用10年一遇11月的月平均流量，相应截流流量为0.100m³/s。</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⑤ </w:t>
            </w:r>
            <w:r>
              <w:rPr>
                <w:rFonts w:hint="eastAsia" w:ascii="Times New Roman" w:hAnsi="Times New Roman" w:cs="Times New Roman"/>
                <w:b/>
                <w:bCs/>
                <w:color w:val="auto"/>
                <w:sz w:val="24"/>
                <w:szCs w:val="24"/>
                <w:highlight w:val="none"/>
                <w:lang w:val="en-US" w:eastAsia="zh-CN"/>
              </w:rPr>
              <w:t>基坑排水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基坑排水主要包括初期排水和经常性排水。</w:t>
            </w:r>
            <w:r>
              <w:rPr>
                <w:rFonts w:hint="eastAsia" w:ascii="Times New Roman" w:hAnsi="Times New Roman" w:cs="Times New Roman"/>
                <w:color w:val="auto"/>
                <w:sz w:val="24"/>
                <w:szCs w:val="24"/>
                <w:highlight w:val="none"/>
                <w:u w:val="single"/>
                <w:lang w:val="en-US" w:eastAsia="zh-CN"/>
              </w:rPr>
              <w:t>本工程不计初期排水量</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基坑经常性排水包括基础和围堰渗水、降雨汇水及土石坝施工弃水等。最大围堰堰前水头为3.85m，由于围堰及基础渗透率小，根据渗流分析，基坑内渗流量很小，约为30m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/h，施工弃水按最大15m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/h计。工程暴雨强度大，基坑汇水面积达6.5万m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，根据规范要求，其降水的排水强度按照最大日降雨量(260.3mm)在24小时抽完进行计算，因此，其排水强度为720m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其暴雨产生的排水强度远大于基坑渗流水。根据规范，施工弃水和降雨汇水量不应叠加。考虑到暴雨产生的汇水对工程进度无制约性影响，且本工程河段比降较大，大坝基础开挖深度仅2-4m，施工期短且为枯期，遭遇最大降雨的几率极小，暴雨期间基坑积水少，为减少工程设备投入，其排水设备按照渗流量+施工弃水设置，故经常性排水总量按45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⑥ 导流隧洞下闸、改造及蓄水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A、</w:t>
            </w:r>
            <w:r>
              <w:rPr>
                <w:rFonts w:hint="eastAsia" w:ascii="Times New Roman" w:hAnsi="Times New Roman" w:cs="Times New Roman"/>
                <w:b/>
                <w:bCs/>
                <w:color w:val="auto"/>
                <w:sz w:val="24"/>
                <w:szCs w:val="24"/>
                <w:highlight w:val="none"/>
                <w:lang w:val="en-US" w:eastAsia="zh-CN"/>
              </w:rPr>
              <w:t>下闸时间及下闸导流标准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施工进度安排，第三年2月底完成大坝填筑，溢洪道已具备永久运行条件，为保证导流隧洞封堵并改造成取水（放空）洞的施工能在干地条件下顺利进行，导流隧洞下闸安排在枯期时段的3月初进行，采用10年一遇月平均流量作为下闸设计流量，相应流量为0.0354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/s。下闸期间采用1台离心泵（4级100TSWA离心泵，扬程62m，流量69m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/h）抽水保证下游生态用水，</w:t>
            </w:r>
            <w:r>
              <w:rPr>
                <w:rFonts w:hint="eastAsia" w:ascii="Times New Roman" w:hAnsi="Times New Roman" w:cs="Times New Roman"/>
                <w:color w:val="auto"/>
                <w:sz w:val="24"/>
                <w:szCs w:val="24"/>
                <w:highlight w:val="none"/>
                <w:u w:val="single"/>
                <w:lang w:val="en-US" w:eastAsia="zh-CN"/>
              </w:rPr>
              <w:t>下闸期间三合水库下游河道生态用水按照多年平均流量的10%下泄，Q=0.0124m</w:t>
            </w:r>
            <w:r>
              <w:rPr>
                <w:rFonts w:hint="eastAsia" w:ascii="Times New Roman" w:hAnsi="Times New Roman" w:cs="Times New Roman"/>
                <w:color w:val="auto"/>
                <w:sz w:val="24"/>
                <w:szCs w:val="24"/>
                <w:highlight w:val="none"/>
                <w:u w:val="single"/>
                <w:vertAlign w:val="superscript"/>
                <w:lang w:val="en-US" w:eastAsia="zh-CN"/>
              </w:rPr>
              <w:t>3</w:t>
            </w:r>
            <w:r>
              <w:rPr>
                <w:rFonts w:hint="eastAsia" w:ascii="Times New Roman" w:hAnsi="Times New Roman" w:cs="Times New Roman"/>
                <w:color w:val="auto"/>
                <w:sz w:val="24"/>
                <w:szCs w:val="24"/>
                <w:highlight w:val="none"/>
                <w:u w:val="single"/>
                <w:lang w:val="en-US" w:eastAsia="zh-CN"/>
              </w:rPr>
              <w:t>/s</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B、</w:t>
            </w:r>
            <w:r>
              <w:rPr>
                <w:rFonts w:hint="eastAsia" w:ascii="Times New Roman" w:hAnsi="Times New Roman" w:cs="Times New Roman"/>
                <w:b/>
                <w:bCs/>
                <w:color w:val="auto"/>
                <w:sz w:val="24"/>
                <w:szCs w:val="24"/>
                <w:highlight w:val="none"/>
                <w:lang w:val="en-US" w:eastAsia="zh-CN"/>
              </w:rPr>
              <w:t>导流隧洞改造施工方案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下闸采用汽车吊安放混凝土跌梁门，挡水高度5m，下闸之后进行导流隧洞封堵改造施工。拟从导流隧洞出口进场，先封堵改造竖井闸室段（拆除、凿毛、浇筑混凝土、安装埋件及闸门），再进行取水钢管安装。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C、</w:t>
            </w:r>
            <w:r>
              <w:rPr>
                <w:rFonts w:hint="eastAsia" w:ascii="Times New Roman" w:hAnsi="Times New Roman" w:cs="Times New Roman"/>
                <w:b/>
                <w:bCs/>
                <w:color w:val="auto"/>
                <w:sz w:val="24"/>
                <w:szCs w:val="24"/>
                <w:highlight w:val="none"/>
                <w:lang w:val="en-US" w:eastAsia="zh-CN"/>
              </w:rPr>
              <w:t>蓄水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导流隧洞下闸安排在第三年3月初进行，水库蓄水按保证率P=75％各月径流量作为入库水量计算，并考虑蓄水过程中1％的水量损失及10%的生态流量。通过计算，水库蓄水至第三年9月，水库蓄水量为36万m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，水位可到达567.6m，高于取水口高程565.0m，工程即可发挥效益，蓄水时间约5个月。为保障灌溉，并提前发挥效益，三合水库可利用第三年汛期拦蓄洪水蓄水。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⑵ </w:t>
            </w:r>
            <w:r>
              <w:rPr>
                <w:rFonts w:hint="eastAsia" w:ascii="Times New Roman" w:hAnsi="Times New Roman" w:cs="Times New Roman"/>
                <w:b/>
                <w:bCs/>
                <w:color w:val="auto"/>
                <w:sz w:val="24"/>
                <w:szCs w:val="24"/>
                <w:highlight w:val="none"/>
                <w:lang w:val="en-US" w:eastAsia="zh-CN"/>
              </w:rPr>
              <w:t>灌区工程施工导截流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工程管线穿越溪沟较多，溪沟靠近源头，除赵家沟外，集水面积均较小，溪沟洪水由暴雨形成，洪水小，特别1月～2月最枯，枯季大多数溪沟断流，跨沟建筑物施工时将受一些支沟洪水影响，需采取导流措施，但导流措施较简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导流建筑物为5级，选择导流标准为5年一遇重现期洪水。工程区内支流支沟洪枯季节明显，灌区建筑物跨沟施工难度和施工强度均较小，均可在枯期的1月～2月内完工，因此，导流时段选择1月～2月。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灌区管道工程穿越</w:t>
            </w:r>
            <w:r>
              <w:rPr>
                <w:rFonts w:hint="eastAsia" w:ascii="Times New Roman" w:hAnsi="Times New Roman" w:cs="Times New Roman"/>
                <w:b/>
                <w:bCs/>
                <w:color w:val="auto"/>
                <w:sz w:val="24"/>
                <w:szCs w:val="24"/>
                <w:highlight w:val="none"/>
                <w:u w:val="single"/>
                <w:lang w:val="en-US" w:eastAsia="zh-CN"/>
              </w:rPr>
              <w:t>赵家沟</w:t>
            </w:r>
            <w:r>
              <w:rPr>
                <w:rFonts w:hint="eastAsia" w:ascii="Times New Roman" w:hAnsi="Times New Roman" w:cs="Times New Roman"/>
                <w:color w:val="auto"/>
                <w:sz w:val="24"/>
                <w:szCs w:val="24"/>
                <w:highlight w:val="none"/>
                <w:lang w:val="en-US" w:eastAsia="zh-CN"/>
              </w:rPr>
              <w:t>采用土石围堰一次性截断河床，潜水泵抽排的导流方式。其他支沟由于枯期1月-2月5年一遇重现期洪水流量极低，均过低于0.01m³/s，考虑到跨沟管道施工时间较短，施工简单，不采取单独的导流措施。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土石围堰堰体采用主体工程开挖料填筑，堰顶宽度2m，堰高1.5m，上下游坡比1:1.75，30cm厚袋装土护坡，复合土工膜防渗深入河床以下0.5m。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宋体" w:eastAsia="宋体" w:cs="Arial"/>
                <w:b/>
                <w:color w:val="auto"/>
                <w:sz w:val="24"/>
                <w:highlight w:val="none"/>
                <w:lang w:val="en-US" w:eastAsia="zh-CN" w:bidi="en-US"/>
              </w:rPr>
            </w:pPr>
            <w:r>
              <w:rPr>
                <w:rFonts w:hint="eastAsia" w:ascii="Arial" w:hAnsi="宋体" w:cs="Arial"/>
                <w:b/>
                <w:color w:val="auto"/>
                <w:sz w:val="24"/>
                <w:highlight w:val="none"/>
                <w:lang w:val="en-US" w:eastAsia="zh-CN" w:bidi="en-US"/>
              </w:rPr>
              <w:t>八</w:t>
            </w:r>
            <w:r>
              <w:rPr>
                <w:rFonts w:ascii="Arial" w:hAnsi="宋体" w:cs="Arial"/>
                <w:b/>
                <w:color w:val="auto"/>
                <w:sz w:val="24"/>
                <w:highlight w:val="none"/>
                <w:lang w:bidi="en-US"/>
              </w:rPr>
              <w:t>、</w:t>
            </w:r>
            <w:r>
              <w:rPr>
                <w:rFonts w:hint="eastAsia" w:ascii="Arial" w:hAnsi="宋体" w:cs="Arial"/>
                <w:b/>
                <w:color w:val="auto"/>
                <w:sz w:val="24"/>
                <w:highlight w:val="none"/>
                <w:lang w:val="en-US" w:eastAsia="zh-CN" w:bidi="en-US"/>
              </w:rPr>
              <w:t>工程征地及移民安置</w:t>
            </w:r>
          </w:p>
          <w:p>
            <w:pPr>
              <w:pStyle w:val="6"/>
              <w:spacing w:line="360" w:lineRule="auto"/>
              <w:ind w:firstLine="482" w:firstLineChars="200"/>
              <w:rPr>
                <w:rFonts w:hint="eastAsia" w:ascii="Arial" w:hAnsi="Arial" w:cs="Arial"/>
                <w:b/>
                <w:bCs/>
                <w:color w:val="auto"/>
                <w:sz w:val="24"/>
                <w:szCs w:val="24"/>
                <w:highlight w:val="none"/>
                <w:lang w:val="en-US" w:eastAsia="zh-CN"/>
              </w:rPr>
            </w:pPr>
            <w:r>
              <w:rPr>
                <w:rFonts w:hint="eastAsia" w:ascii="Arial" w:hAnsi="Arial" w:cs="Arial"/>
                <w:b/>
                <w:bCs/>
                <w:color w:val="auto"/>
                <w:sz w:val="24"/>
                <w:szCs w:val="24"/>
                <w:highlight w:val="none"/>
                <w:lang w:val="en-US" w:eastAsia="zh-CN"/>
              </w:rPr>
              <w:t>1、工程征地</w:t>
            </w:r>
          </w:p>
          <w:p>
            <w:pPr>
              <w:pStyle w:val="6"/>
              <w:spacing w:line="360" w:lineRule="auto"/>
              <w:ind w:firstLine="480" w:firstLineChars="200"/>
              <w:rPr>
                <w:rFonts w:ascii="Arial" w:hAnsi="Arial" w:cs="Arial"/>
                <w:b/>
                <w:bCs/>
                <w:color w:val="auto"/>
                <w:sz w:val="24"/>
                <w:szCs w:val="24"/>
                <w:highlight w:val="none"/>
              </w:rPr>
            </w:pPr>
            <w:r>
              <w:rPr>
                <w:rFonts w:ascii="Arial" w:hAnsi="Arial" w:cs="Arial"/>
                <w:color w:val="auto"/>
                <w:sz w:val="24"/>
                <w:szCs w:val="24"/>
                <w:highlight w:val="none"/>
              </w:rPr>
              <w:t>三合水库工程建设征地涉及东河镇的南峰村、凤阳村、南阳村、川山村，百关丈社区、红垭村、石坝村、灵溪村、五峰村，嘉川镇的青林村、五四村、蔬菜村和庆寨村，共计2个乡镇13个村（社区）。</w:t>
            </w:r>
            <w:r>
              <w:rPr>
                <w:rFonts w:ascii="Arial" w:hAnsi="Arial" w:cs="Arial"/>
                <w:b/>
                <w:bCs/>
                <w:color w:val="auto"/>
                <w:sz w:val="24"/>
                <w:szCs w:val="24"/>
                <w:highlight w:val="none"/>
              </w:rPr>
              <w:t>建设征地区不涉及文物古迹、压覆矿产等</w:t>
            </w:r>
            <w:r>
              <w:rPr>
                <w:rFonts w:hint="eastAsia" w:ascii="Arial" w:hAnsi="Arial" w:cs="Arial"/>
                <w:color w:val="auto"/>
                <w:sz w:val="24"/>
                <w:szCs w:val="24"/>
                <w:highlight w:val="none"/>
                <w:lang w:eastAsia="zh-CN"/>
              </w:rPr>
              <w:t>，</w:t>
            </w:r>
            <w:r>
              <w:rPr>
                <w:rFonts w:ascii="Arial" w:hAnsi="Arial" w:cs="Arial"/>
                <w:color w:val="auto"/>
                <w:sz w:val="24"/>
                <w:szCs w:val="24"/>
                <w:highlight w:val="none"/>
              </w:rPr>
              <w:t>主要实物为：</w:t>
            </w:r>
            <w:r>
              <w:rPr>
                <w:rFonts w:ascii="Arial" w:hAnsi="Arial" w:cs="Arial"/>
                <w:b/>
                <w:bCs/>
                <w:color w:val="auto"/>
                <w:sz w:val="24"/>
                <w:szCs w:val="24"/>
                <w:highlight w:val="none"/>
              </w:rPr>
              <w:t>征收征用土地总面积</w:t>
            </w:r>
            <w:r>
              <w:rPr>
                <w:rFonts w:hint="eastAsia" w:ascii="Arial" w:hAnsi="Arial" w:cs="Arial"/>
                <w:b/>
                <w:bCs/>
                <w:color w:val="auto"/>
                <w:sz w:val="24"/>
                <w:szCs w:val="24"/>
                <w:highlight w:val="none"/>
              </w:rPr>
              <w:t>611.36</w:t>
            </w:r>
            <w:r>
              <w:rPr>
                <w:rFonts w:ascii="Arial" w:hAnsi="Arial" w:cs="Arial"/>
                <w:b/>
                <w:bCs/>
                <w:color w:val="auto"/>
                <w:sz w:val="24"/>
                <w:szCs w:val="24"/>
                <w:highlight w:val="none"/>
              </w:rPr>
              <w:t>亩，其中</w:t>
            </w:r>
            <w:r>
              <w:rPr>
                <w:rFonts w:hint="eastAsia" w:ascii="Arial" w:hAnsi="Arial" w:cs="Arial"/>
                <w:b/>
                <w:bCs/>
                <w:color w:val="auto"/>
                <w:sz w:val="24"/>
                <w:szCs w:val="24"/>
                <w:highlight w:val="none"/>
                <w:lang w:eastAsia="zh-CN"/>
              </w:rPr>
              <w:t>：</w:t>
            </w:r>
            <w:r>
              <w:rPr>
                <w:rFonts w:ascii="Arial" w:hAnsi="Arial" w:cs="Arial"/>
                <w:b/>
                <w:bCs/>
                <w:color w:val="auto"/>
                <w:sz w:val="24"/>
                <w:szCs w:val="24"/>
                <w:highlight w:val="none"/>
              </w:rPr>
              <w:t>水库淹没区、枢纽工程及灌区工程永久占地区</w:t>
            </w:r>
            <w:r>
              <w:rPr>
                <w:rFonts w:hint="eastAsia" w:ascii="Arial" w:hAnsi="Arial" w:cs="Arial"/>
                <w:b/>
                <w:bCs/>
                <w:color w:val="auto"/>
                <w:sz w:val="24"/>
                <w:szCs w:val="24"/>
                <w:highlight w:val="none"/>
              </w:rPr>
              <w:t>341.84</w:t>
            </w:r>
            <w:r>
              <w:rPr>
                <w:rFonts w:ascii="Arial" w:hAnsi="Arial" w:cs="Arial"/>
                <w:b/>
                <w:bCs/>
                <w:color w:val="auto"/>
                <w:sz w:val="24"/>
                <w:szCs w:val="24"/>
                <w:highlight w:val="none"/>
              </w:rPr>
              <w:t>亩（耕地</w:t>
            </w:r>
            <w:r>
              <w:rPr>
                <w:rFonts w:hint="eastAsia" w:ascii="Arial" w:hAnsi="Arial" w:cs="Arial"/>
                <w:b/>
                <w:bCs/>
                <w:color w:val="auto"/>
                <w:sz w:val="24"/>
                <w:szCs w:val="24"/>
                <w:highlight w:val="none"/>
              </w:rPr>
              <w:t>104.98</w:t>
            </w:r>
            <w:r>
              <w:rPr>
                <w:rFonts w:ascii="Arial" w:hAnsi="Arial" w:cs="Arial"/>
                <w:b/>
                <w:bCs/>
                <w:color w:val="auto"/>
                <w:sz w:val="24"/>
                <w:szCs w:val="24"/>
                <w:highlight w:val="none"/>
              </w:rPr>
              <w:t>亩、园地</w:t>
            </w:r>
            <w:r>
              <w:rPr>
                <w:rFonts w:hint="eastAsia" w:ascii="Arial" w:hAnsi="Arial" w:cs="Arial"/>
                <w:b/>
                <w:bCs/>
                <w:color w:val="auto"/>
                <w:sz w:val="24"/>
                <w:szCs w:val="24"/>
                <w:highlight w:val="none"/>
              </w:rPr>
              <w:t>35.60</w:t>
            </w:r>
            <w:r>
              <w:rPr>
                <w:rFonts w:ascii="Arial" w:hAnsi="Arial" w:cs="Arial"/>
                <w:b/>
                <w:bCs/>
                <w:color w:val="auto"/>
                <w:sz w:val="24"/>
                <w:szCs w:val="24"/>
                <w:highlight w:val="none"/>
              </w:rPr>
              <w:t>亩、林地</w:t>
            </w:r>
            <w:r>
              <w:rPr>
                <w:rFonts w:hint="eastAsia" w:ascii="Arial" w:hAnsi="Arial" w:cs="Arial"/>
                <w:b/>
                <w:bCs/>
                <w:color w:val="auto"/>
                <w:sz w:val="24"/>
                <w:szCs w:val="24"/>
                <w:highlight w:val="none"/>
              </w:rPr>
              <w:t>166.61</w:t>
            </w:r>
            <w:r>
              <w:rPr>
                <w:rFonts w:ascii="Arial" w:hAnsi="Arial" w:cs="Arial"/>
                <w:b/>
                <w:bCs/>
                <w:color w:val="auto"/>
                <w:sz w:val="24"/>
                <w:szCs w:val="24"/>
                <w:highlight w:val="none"/>
              </w:rPr>
              <w:t>亩、水域及水利设施用地</w:t>
            </w:r>
            <w:r>
              <w:rPr>
                <w:rFonts w:hint="eastAsia" w:ascii="Arial" w:hAnsi="Arial" w:cs="Arial"/>
                <w:b/>
                <w:bCs/>
                <w:color w:val="auto"/>
                <w:sz w:val="24"/>
                <w:szCs w:val="24"/>
                <w:highlight w:val="none"/>
              </w:rPr>
              <w:t>34.65</w:t>
            </w:r>
            <w:r>
              <w:rPr>
                <w:rFonts w:ascii="Arial" w:hAnsi="Arial" w:cs="Arial"/>
                <w:b/>
                <w:bCs/>
                <w:color w:val="auto"/>
                <w:sz w:val="24"/>
                <w:szCs w:val="24"/>
                <w:highlight w:val="none"/>
              </w:rPr>
              <w:t>亩）</w:t>
            </w:r>
            <w:r>
              <w:rPr>
                <w:rFonts w:hint="eastAsia" w:ascii="Arial" w:hAnsi="Arial" w:cs="Arial"/>
                <w:b/>
                <w:bCs/>
                <w:color w:val="auto"/>
                <w:sz w:val="24"/>
                <w:szCs w:val="24"/>
                <w:highlight w:val="none"/>
                <w:lang w:eastAsia="zh-CN"/>
              </w:rPr>
              <w:t>；</w:t>
            </w:r>
            <w:r>
              <w:rPr>
                <w:rFonts w:ascii="Arial" w:hAnsi="Arial" w:cs="Arial"/>
                <w:b/>
                <w:bCs/>
                <w:color w:val="auto"/>
                <w:sz w:val="24"/>
                <w:szCs w:val="24"/>
                <w:highlight w:val="none"/>
              </w:rPr>
              <w:t>临时征用土地</w:t>
            </w:r>
            <w:r>
              <w:rPr>
                <w:rFonts w:hint="eastAsia" w:ascii="Arial" w:hAnsi="Arial" w:cs="Arial"/>
                <w:b/>
                <w:bCs/>
                <w:color w:val="auto"/>
                <w:sz w:val="24"/>
                <w:szCs w:val="24"/>
                <w:highlight w:val="none"/>
              </w:rPr>
              <w:t>269.52</w:t>
            </w:r>
            <w:r>
              <w:rPr>
                <w:rFonts w:ascii="Arial" w:hAnsi="Arial" w:cs="Arial"/>
                <w:b/>
                <w:bCs/>
                <w:color w:val="auto"/>
                <w:sz w:val="24"/>
                <w:szCs w:val="24"/>
                <w:highlight w:val="none"/>
              </w:rPr>
              <w:t>亩（耕地</w:t>
            </w:r>
            <w:r>
              <w:rPr>
                <w:rFonts w:hint="eastAsia" w:ascii="Arial" w:hAnsi="Arial" w:cs="Arial"/>
                <w:b/>
                <w:bCs/>
                <w:color w:val="auto"/>
                <w:sz w:val="24"/>
                <w:szCs w:val="24"/>
                <w:highlight w:val="none"/>
              </w:rPr>
              <w:t>43.58</w:t>
            </w:r>
            <w:r>
              <w:rPr>
                <w:rFonts w:ascii="Arial" w:hAnsi="Arial" w:cs="Arial"/>
                <w:b/>
                <w:bCs/>
                <w:color w:val="auto"/>
                <w:sz w:val="24"/>
                <w:szCs w:val="24"/>
                <w:highlight w:val="none"/>
              </w:rPr>
              <w:t>亩、园地</w:t>
            </w:r>
            <w:r>
              <w:rPr>
                <w:rFonts w:hint="eastAsia" w:ascii="Arial" w:hAnsi="Arial" w:cs="Arial"/>
                <w:b/>
                <w:bCs/>
                <w:color w:val="auto"/>
                <w:sz w:val="24"/>
                <w:szCs w:val="24"/>
                <w:highlight w:val="none"/>
              </w:rPr>
              <w:t>22.93</w:t>
            </w:r>
            <w:r>
              <w:rPr>
                <w:rFonts w:ascii="Arial" w:hAnsi="Arial" w:cs="Arial"/>
                <w:b/>
                <w:bCs/>
                <w:color w:val="auto"/>
                <w:sz w:val="24"/>
                <w:szCs w:val="24"/>
                <w:highlight w:val="none"/>
              </w:rPr>
              <w:t>亩、林地</w:t>
            </w:r>
            <w:r>
              <w:rPr>
                <w:rFonts w:hint="eastAsia" w:ascii="Arial" w:hAnsi="Arial" w:cs="Arial"/>
                <w:b/>
                <w:bCs/>
                <w:color w:val="auto"/>
                <w:sz w:val="24"/>
                <w:szCs w:val="24"/>
                <w:highlight w:val="none"/>
              </w:rPr>
              <w:t>187.36</w:t>
            </w:r>
            <w:r>
              <w:rPr>
                <w:rFonts w:ascii="Arial" w:hAnsi="Arial" w:cs="Arial"/>
                <w:b/>
                <w:bCs/>
                <w:color w:val="auto"/>
                <w:sz w:val="24"/>
                <w:szCs w:val="24"/>
                <w:highlight w:val="none"/>
              </w:rPr>
              <w:t>亩、交通运输用地</w:t>
            </w:r>
            <w:r>
              <w:rPr>
                <w:rFonts w:hint="eastAsia" w:ascii="Arial" w:hAnsi="Arial" w:cs="Arial"/>
                <w:b/>
                <w:bCs/>
                <w:color w:val="auto"/>
                <w:sz w:val="24"/>
                <w:szCs w:val="24"/>
                <w:highlight w:val="none"/>
              </w:rPr>
              <w:t>9.15</w:t>
            </w:r>
            <w:r>
              <w:rPr>
                <w:rFonts w:ascii="Arial" w:hAnsi="Arial" w:cs="Arial"/>
                <w:b/>
                <w:bCs/>
                <w:color w:val="auto"/>
                <w:sz w:val="24"/>
                <w:szCs w:val="24"/>
                <w:highlight w:val="none"/>
              </w:rPr>
              <w:t>亩、水域及水利设施用地</w:t>
            </w:r>
            <w:r>
              <w:rPr>
                <w:rFonts w:hint="eastAsia" w:ascii="Arial" w:hAnsi="Arial" w:cs="Arial"/>
                <w:b/>
                <w:bCs/>
                <w:color w:val="auto"/>
                <w:sz w:val="24"/>
                <w:szCs w:val="24"/>
                <w:highlight w:val="none"/>
              </w:rPr>
              <w:t>6.50</w:t>
            </w:r>
            <w:r>
              <w:rPr>
                <w:rFonts w:ascii="Arial" w:hAnsi="Arial" w:cs="Arial"/>
                <w:b/>
                <w:bCs/>
                <w:color w:val="auto"/>
                <w:sz w:val="24"/>
                <w:szCs w:val="24"/>
                <w:highlight w:val="none"/>
              </w:rPr>
              <w:t>亩）；零星林(果)木165株；坟墓15座；鱼塘3167m</w:t>
            </w:r>
            <w:r>
              <w:rPr>
                <w:rFonts w:ascii="Arial" w:hAnsi="Arial" w:cs="Arial"/>
                <w:b/>
                <w:bCs/>
                <w:color w:val="auto"/>
                <w:sz w:val="24"/>
                <w:szCs w:val="24"/>
                <w:highlight w:val="none"/>
                <w:vertAlign w:val="superscript"/>
              </w:rPr>
              <w:t>3</w:t>
            </w:r>
            <w:r>
              <w:rPr>
                <w:rFonts w:ascii="Arial" w:hAnsi="Arial" w:cs="Arial"/>
                <w:b/>
                <w:bCs/>
                <w:color w:val="auto"/>
                <w:sz w:val="24"/>
                <w:szCs w:val="24"/>
                <w:highlight w:val="none"/>
              </w:rPr>
              <w:t>；农村道路</w:t>
            </w:r>
            <w:r>
              <w:rPr>
                <w:rFonts w:hint="eastAsia" w:ascii="Arial" w:hAnsi="Arial" w:cs="Arial"/>
                <w:b/>
                <w:bCs/>
                <w:color w:val="auto"/>
                <w:sz w:val="24"/>
                <w:szCs w:val="24"/>
                <w:highlight w:val="none"/>
              </w:rPr>
              <w:t>1.01k</w:t>
            </w:r>
            <w:r>
              <w:rPr>
                <w:rFonts w:ascii="Arial" w:hAnsi="Arial" w:cs="Arial"/>
                <w:b/>
                <w:bCs/>
                <w:color w:val="auto"/>
                <w:sz w:val="24"/>
                <w:szCs w:val="24"/>
                <w:highlight w:val="none"/>
              </w:rPr>
              <w:t>m。</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ascii="Arial" w:hAnsi="Arial" w:cs="Arial"/>
                <w:b/>
                <w:bCs/>
                <w:color w:val="auto"/>
                <w:sz w:val="24"/>
                <w:szCs w:val="24"/>
                <w:highlight w:val="none"/>
                <w:lang w:val="en-US" w:eastAsia="zh-CN"/>
              </w:rPr>
            </w:pPr>
            <w:r>
              <w:rPr>
                <w:rFonts w:hint="eastAsia" w:ascii="Arial" w:hAnsi="Arial" w:cs="Arial"/>
                <w:b/>
                <w:bCs/>
                <w:color w:val="auto"/>
                <w:sz w:val="24"/>
                <w:szCs w:val="24"/>
                <w:highlight w:val="none"/>
                <w:lang w:val="en-US" w:eastAsia="zh-CN"/>
              </w:rPr>
              <w:t>项目永久占地和临时占地汇总情况如下表：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表2-13    三合水库永久征地和临时占地汇总一览表  单位：亩</w:t>
            </w:r>
          </w:p>
          <w:tbl>
            <w:tblPr>
              <w:tblStyle w:val="24"/>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303"/>
              <w:gridCol w:w="1303"/>
              <w:gridCol w:w="1303"/>
              <w:gridCol w:w="1303"/>
              <w:gridCol w:w="130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占地类型</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耕地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园地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林地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水域及水利设施用地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bCs/>
                      <w:color w:val="auto"/>
                      <w:sz w:val="21"/>
                      <w:szCs w:val="21"/>
                      <w:highlight w:val="none"/>
                      <w:vertAlign w:val="baseline"/>
                      <w:lang w:val="en-US" w:eastAsia="zh-CN"/>
                    </w:rPr>
                  </w:pPr>
                  <w:r>
                    <w:rPr>
                      <w:rFonts w:ascii="Arial" w:hAnsi="Arial" w:cs="Arial"/>
                      <w:b/>
                      <w:bCs/>
                      <w:color w:val="auto"/>
                      <w:sz w:val="24"/>
                      <w:szCs w:val="24"/>
                      <w:highlight w:val="none"/>
                    </w:rPr>
                    <w:t>交通运输用地</w:t>
                  </w:r>
                </w:p>
              </w:tc>
              <w:tc>
                <w:tcPr>
                  <w:tcW w:w="615"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bCs/>
                      <w:color w:val="auto"/>
                      <w:sz w:val="21"/>
                      <w:szCs w:val="21"/>
                      <w:highlight w:val="none"/>
                      <w:vertAlign w:val="baseline"/>
                      <w:lang w:val="en-US" w:eastAsia="zh-CN"/>
                    </w:rPr>
                  </w:pPr>
                  <w:r>
                    <w:rPr>
                      <w:rFonts w:hint="eastAsia" w:ascii="Arial" w:hAnsi="Arial" w:cs="Arial"/>
                      <w:b/>
                      <w:bCs/>
                      <w:color w:val="auto"/>
                      <w:sz w:val="21"/>
                      <w:szCs w:val="21"/>
                      <w:highlight w:val="none"/>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永久征地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4"/>
                      <w:szCs w:val="24"/>
                      <w:highlight w:val="none"/>
                    </w:rPr>
                    <w:t>104.98</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4"/>
                      <w:szCs w:val="24"/>
                      <w:highlight w:val="none"/>
                    </w:rPr>
                    <w:t>35.60</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4"/>
                      <w:szCs w:val="24"/>
                      <w:highlight w:val="none"/>
                    </w:rPr>
                    <w:t>166.61</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4"/>
                      <w:szCs w:val="24"/>
                      <w:highlight w:val="none"/>
                    </w:rPr>
                    <w:t>34.65</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0</w:t>
                  </w:r>
                </w:p>
              </w:tc>
              <w:tc>
                <w:tcPr>
                  <w:tcW w:w="615"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341.84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临时占地</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43.58</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22.93</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187.36</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6.6</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4"/>
                      <w:szCs w:val="24"/>
                      <w:highlight w:val="none"/>
                    </w:rPr>
                    <w:t>9.15</w:t>
                  </w:r>
                </w:p>
              </w:tc>
              <w:tc>
                <w:tcPr>
                  <w:tcW w:w="615"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269.52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合计</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148.56</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58.53</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353.97</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41.25</w:t>
                  </w:r>
                </w:p>
              </w:tc>
              <w:tc>
                <w:tcPr>
                  <w:tcW w:w="730"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eastAsia="宋体" w:cs="Arial"/>
                      <w:b w:val="0"/>
                      <w:bCs w:val="0"/>
                      <w:color w:val="auto"/>
                      <w:sz w:val="24"/>
                      <w:szCs w:val="24"/>
                      <w:highlight w:val="none"/>
                      <w:lang w:val="en-US" w:eastAsia="zh-CN"/>
                    </w:rPr>
                  </w:pPr>
                  <w:r>
                    <w:rPr>
                      <w:rFonts w:hint="eastAsia" w:ascii="Arial" w:hAnsi="Arial" w:cs="Arial"/>
                      <w:b w:val="0"/>
                      <w:bCs w:val="0"/>
                      <w:color w:val="auto"/>
                      <w:sz w:val="24"/>
                      <w:szCs w:val="24"/>
                      <w:highlight w:val="none"/>
                      <w:lang w:val="en-US" w:eastAsia="zh-CN"/>
                    </w:rPr>
                    <w:t>9.15</w:t>
                  </w:r>
                </w:p>
              </w:tc>
              <w:tc>
                <w:tcPr>
                  <w:tcW w:w="615" w:type="pct"/>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Arial" w:hAnsi="Arial" w:cs="Arial"/>
                      <w:b w:val="0"/>
                      <w:bCs w:val="0"/>
                      <w:color w:val="auto"/>
                      <w:sz w:val="21"/>
                      <w:szCs w:val="21"/>
                      <w:highlight w:val="none"/>
                      <w:vertAlign w:val="baseline"/>
                      <w:lang w:val="en-US" w:eastAsia="zh-CN"/>
                    </w:rPr>
                  </w:pPr>
                  <w:r>
                    <w:rPr>
                      <w:rFonts w:hint="eastAsia" w:ascii="Arial" w:hAnsi="Arial" w:cs="Arial"/>
                      <w:b w:val="0"/>
                      <w:bCs w:val="0"/>
                      <w:color w:val="auto"/>
                      <w:sz w:val="21"/>
                      <w:szCs w:val="21"/>
                      <w:highlight w:val="none"/>
                      <w:vertAlign w:val="baseline"/>
                      <w:lang w:val="en-US" w:eastAsia="zh-CN"/>
                    </w:rPr>
                    <w:t>611.36</w:t>
                  </w:r>
                </w:p>
              </w:tc>
            </w:tr>
          </w:tbl>
          <w:p>
            <w:pPr>
              <w:pStyle w:val="6"/>
              <w:spacing w:line="360" w:lineRule="auto"/>
              <w:ind w:firstLine="482" w:firstLineChars="200"/>
              <w:rPr>
                <w:rFonts w:ascii="Arial" w:hAnsi="Arial" w:cs="Arial"/>
                <w:b/>
                <w:bCs/>
                <w:color w:val="auto"/>
                <w:sz w:val="24"/>
                <w:szCs w:val="24"/>
                <w:highlight w:val="none"/>
              </w:rPr>
            </w:pPr>
            <w:r>
              <w:rPr>
                <w:rFonts w:hint="eastAsia" w:ascii="Arial" w:hAnsi="Arial" w:cs="Arial"/>
                <w:b/>
                <w:bCs/>
                <w:color w:val="auto"/>
                <w:sz w:val="24"/>
                <w:szCs w:val="24"/>
                <w:highlight w:val="none"/>
                <w:lang w:val="en-US" w:eastAsia="zh-CN"/>
              </w:rPr>
              <w:t>2、</w:t>
            </w:r>
            <w:r>
              <w:rPr>
                <w:rFonts w:ascii="Arial" w:hAnsi="Arial" w:cs="Arial"/>
                <w:b/>
                <w:bCs/>
                <w:color w:val="auto"/>
                <w:sz w:val="24"/>
                <w:szCs w:val="24"/>
                <w:highlight w:val="none"/>
              </w:rPr>
              <w:t>农村移民安置规划</w:t>
            </w:r>
          </w:p>
          <w:p>
            <w:pPr>
              <w:pStyle w:val="6"/>
              <w:spacing w:line="360" w:lineRule="auto"/>
              <w:ind w:firstLine="482" w:firstLineChars="200"/>
              <w:rPr>
                <w:rFonts w:ascii="Arial" w:hAnsi="Arial" w:cs="Arial"/>
                <w:b/>
                <w:bCs/>
                <w:color w:val="auto"/>
                <w:sz w:val="24"/>
                <w:szCs w:val="24"/>
                <w:highlight w:val="none"/>
              </w:rPr>
            </w:pPr>
            <w:r>
              <w:rPr>
                <w:rFonts w:hint="eastAsia" w:ascii="Arial" w:hAnsi="Arial" w:cs="Arial"/>
                <w:b/>
                <w:bCs/>
                <w:color w:val="auto"/>
                <w:sz w:val="24"/>
                <w:szCs w:val="24"/>
                <w:highlight w:val="none"/>
                <w:lang w:val="en-US" w:eastAsia="zh-CN"/>
              </w:rPr>
              <w:t xml:space="preserve">⑴ </w:t>
            </w:r>
            <w:r>
              <w:rPr>
                <w:rFonts w:ascii="Arial" w:hAnsi="Arial" w:cs="Arial"/>
                <w:b/>
                <w:bCs/>
                <w:color w:val="auto"/>
                <w:sz w:val="24"/>
                <w:szCs w:val="24"/>
                <w:highlight w:val="none"/>
              </w:rPr>
              <w:t>安置任务</w:t>
            </w:r>
          </w:p>
          <w:p>
            <w:pPr>
              <w:pStyle w:val="6"/>
              <w:spacing w:line="360" w:lineRule="auto"/>
              <w:ind w:firstLine="480" w:firstLineChars="200"/>
              <w:rPr>
                <w:rFonts w:ascii="Arial" w:hAnsi="Arial" w:cs="Arial"/>
                <w:color w:val="auto"/>
                <w:sz w:val="24"/>
                <w:szCs w:val="24"/>
                <w:highlight w:val="none"/>
              </w:rPr>
            </w:pPr>
            <w:r>
              <w:rPr>
                <w:rFonts w:ascii="Arial" w:hAnsi="Arial" w:cs="Arial"/>
                <w:color w:val="auto"/>
                <w:sz w:val="24"/>
                <w:szCs w:val="24"/>
                <w:highlight w:val="none"/>
              </w:rPr>
              <w:t>经对居民收入结构分析，本工程建设区居民的主要收入来源为种植业，故以征收的耕（园）地面积为基础计算生产安置人口。工程建设永久征地涉及嘉川镇、</w:t>
            </w:r>
            <w:r>
              <w:rPr>
                <w:rFonts w:hint="eastAsia" w:ascii="Arial" w:hAnsi="Arial" w:cs="Arial"/>
                <w:color w:val="auto"/>
                <w:sz w:val="24"/>
                <w:szCs w:val="24"/>
                <w:highlight w:val="none"/>
              </w:rPr>
              <w:t>东河镇2</w:t>
            </w:r>
            <w:r>
              <w:rPr>
                <w:rFonts w:ascii="Arial" w:hAnsi="Arial" w:cs="Arial"/>
                <w:color w:val="auto"/>
                <w:sz w:val="24"/>
                <w:szCs w:val="24"/>
                <w:highlight w:val="none"/>
              </w:rPr>
              <w:t>个乡镇</w:t>
            </w:r>
            <w:r>
              <w:rPr>
                <w:rFonts w:hint="eastAsia" w:ascii="Arial" w:hAnsi="Arial" w:cs="Arial"/>
                <w:color w:val="auto"/>
                <w:sz w:val="24"/>
                <w:szCs w:val="24"/>
                <w:highlight w:val="none"/>
              </w:rPr>
              <w:t>13</w:t>
            </w:r>
            <w:r>
              <w:rPr>
                <w:rFonts w:ascii="Arial" w:hAnsi="Arial" w:cs="Arial"/>
                <w:color w:val="auto"/>
                <w:sz w:val="24"/>
                <w:szCs w:val="24"/>
                <w:highlight w:val="none"/>
              </w:rPr>
              <w:t>个村</w:t>
            </w:r>
            <w:r>
              <w:rPr>
                <w:rFonts w:hint="eastAsia" w:ascii="Arial" w:hAnsi="Arial" w:cs="Arial"/>
                <w:color w:val="auto"/>
                <w:sz w:val="24"/>
                <w:szCs w:val="24"/>
                <w:highlight w:val="none"/>
              </w:rPr>
              <w:t>（社区）</w:t>
            </w:r>
            <w:r>
              <w:rPr>
                <w:rFonts w:ascii="Arial" w:hAnsi="Arial" w:cs="Arial"/>
                <w:color w:val="auto"/>
                <w:sz w:val="24"/>
                <w:szCs w:val="24"/>
                <w:highlight w:val="none"/>
              </w:rPr>
              <w:t>。</w:t>
            </w:r>
            <w:r>
              <w:rPr>
                <w:rFonts w:hint="eastAsia" w:ascii="Arial" w:hAnsi="Arial" w:cs="Arial"/>
                <w:color w:val="auto"/>
                <w:sz w:val="24"/>
                <w:szCs w:val="24"/>
                <w:highlight w:val="none"/>
              </w:rPr>
              <w:t>其中，枢纽工程永久征地涉及东河镇4个村；</w:t>
            </w:r>
            <w:r>
              <w:rPr>
                <w:rFonts w:ascii="Arial" w:hAnsi="Arial" w:cs="Arial"/>
                <w:color w:val="auto"/>
                <w:sz w:val="24"/>
                <w:szCs w:val="24"/>
                <w:highlight w:val="none"/>
              </w:rPr>
              <w:t>灌区工程建设区涉及</w:t>
            </w:r>
            <w:r>
              <w:rPr>
                <w:rFonts w:hint="eastAsia" w:ascii="Arial" w:hAnsi="Arial" w:cs="Arial"/>
                <w:color w:val="auto"/>
                <w:sz w:val="24"/>
                <w:szCs w:val="24"/>
                <w:highlight w:val="none"/>
              </w:rPr>
              <w:t>2</w:t>
            </w:r>
            <w:r>
              <w:rPr>
                <w:rFonts w:ascii="Arial" w:hAnsi="Arial" w:cs="Arial"/>
                <w:color w:val="auto"/>
                <w:sz w:val="24"/>
                <w:szCs w:val="24"/>
                <w:highlight w:val="none"/>
              </w:rPr>
              <w:t>乡镇</w:t>
            </w:r>
            <w:r>
              <w:rPr>
                <w:rFonts w:hint="eastAsia" w:ascii="Arial" w:hAnsi="Arial" w:cs="Arial"/>
                <w:color w:val="auto"/>
                <w:sz w:val="24"/>
                <w:szCs w:val="24"/>
                <w:highlight w:val="none"/>
              </w:rPr>
              <w:t>11</w:t>
            </w:r>
            <w:r>
              <w:rPr>
                <w:rFonts w:ascii="Arial" w:hAnsi="Arial" w:cs="Arial"/>
                <w:color w:val="auto"/>
                <w:sz w:val="24"/>
                <w:szCs w:val="24"/>
                <w:highlight w:val="none"/>
              </w:rPr>
              <w:t>个村</w:t>
            </w:r>
            <w:r>
              <w:rPr>
                <w:rFonts w:hint="eastAsia" w:ascii="Arial" w:hAnsi="Arial" w:cs="Arial"/>
                <w:color w:val="auto"/>
                <w:sz w:val="24"/>
                <w:szCs w:val="24"/>
                <w:highlight w:val="none"/>
              </w:rPr>
              <w:t>。</w:t>
            </w:r>
          </w:p>
          <w:p>
            <w:pPr>
              <w:pStyle w:val="6"/>
              <w:spacing w:line="360" w:lineRule="auto"/>
              <w:ind w:firstLine="480" w:firstLineChars="200"/>
              <w:rPr>
                <w:rFonts w:ascii="Arial" w:hAnsi="Arial" w:cs="Arial"/>
                <w:color w:val="auto"/>
                <w:sz w:val="24"/>
                <w:szCs w:val="24"/>
                <w:highlight w:val="none"/>
              </w:rPr>
            </w:pPr>
            <w:r>
              <w:rPr>
                <w:rFonts w:ascii="Arial" w:hAnsi="Arial" w:cs="Arial"/>
                <w:color w:val="auto"/>
                <w:sz w:val="24"/>
                <w:szCs w:val="24"/>
                <w:highlight w:val="none"/>
              </w:rPr>
              <w:t>经计算，三合水库工程基准年生产安置人口为</w:t>
            </w:r>
            <w:r>
              <w:rPr>
                <w:rFonts w:hint="eastAsia" w:ascii="Arial" w:hAnsi="Arial" w:cs="Arial"/>
                <w:color w:val="auto"/>
                <w:sz w:val="24"/>
                <w:szCs w:val="24"/>
                <w:highlight w:val="none"/>
              </w:rPr>
              <w:t>83</w:t>
            </w:r>
            <w:r>
              <w:rPr>
                <w:rFonts w:ascii="Arial" w:hAnsi="Arial" w:cs="Arial"/>
                <w:color w:val="auto"/>
                <w:sz w:val="24"/>
                <w:szCs w:val="24"/>
                <w:highlight w:val="none"/>
              </w:rPr>
              <w:t>人；设计水平年生产安置人口为</w:t>
            </w:r>
            <w:r>
              <w:rPr>
                <w:rFonts w:hint="eastAsia" w:ascii="Arial" w:hAnsi="Arial" w:cs="Arial"/>
                <w:color w:val="auto"/>
                <w:sz w:val="24"/>
                <w:szCs w:val="24"/>
                <w:highlight w:val="none"/>
              </w:rPr>
              <w:t>84</w:t>
            </w:r>
            <w:r>
              <w:rPr>
                <w:rFonts w:ascii="Arial" w:hAnsi="Arial" w:cs="Arial"/>
                <w:color w:val="auto"/>
                <w:sz w:val="24"/>
                <w:szCs w:val="24"/>
                <w:highlight w:val="none"/>
              </w:rPr>
              <w:t>人。</w:t>
            </w:r>
            <w:r>
              <w:rPr>
                <w:rFonts w:hint="eastAsia" w:ascii="Arial" w:hAnsi="Arial" w:cs="Arial"/>
                <w:color w:val="auto"/>
                <w:sz w:val="24"/>
                <w:szCs w:val="24"/>
                <w:highlight w:val="none"/>
              </w:rPr>
              <w:t>本工程不涉及搬迁安置人口。</w:t>
            </w:r>
          </w:p>
          <w:p>
            <w:pPr>
              <w:pStyle w:val="6"/>
              <w:spacing w:line="360" w:lineRule="auto"/>
              <w:ind w:firstLine="482" w:firstLineChars="200"/>
              <w:rPr>
                <w:rFonts w:ascii="Arial" w:hAnsi="Arial" w:cs="Arial"/>
                <w:b/>
                <w:bCs/>
                <w:color w:val="auto"/>
                <w:sz w:val="24"/>
                <w:szCs w:val="24"/>
                <w:highlight w:val="none"/>
              </w:rPr>
            </w:pPr>
            <w:r>
              <w:rPr>
                <w:rFonts w:hint="eastAsia" w:ascii="Arial" w:hAnsi="Arial" w:cs="Arial"/>
                <w:b/>
                <w:bCs/>
                <w:color w:val="auto"/>
                <w:sz w:val="24"/>
                <w:szCs w:val="24"/>
                <w:highlight w:val="none"/>
                <w:lang w:val="en-US" w:eastAsia="zh-CN"/>
              </w:rPr>
              <w:t xml:space="preserve">⑵ </w:t>
            </w:r>
            <w:r>
              <w:rPr>
                <w:rFonts w:ascii="Arial" w:hAnsi="Arial" w:cs="Arial"/>
                <w:b/>
                <w:bCs/>
                <w:color w:val="auto"/>
                <w:sz w:val="24"/>
                <w:szCs w:val="24"/>
                <w:highlight w:val="none"/>
              </w:rPr>
              <w:t>安置方案</w:t>
            </w:r>
          </w:p>
          <w:p>
            <w:pPr>
              <w:pStyle w:val="6"/>
              <w:spacing w:line="360" w:lineRule="auto"/>
              <w:ind w:firstLine="480" w:firstLineChars="200"/>
              <w:rPr>
                <w:rFonts w:ascii="Arial" w:hAnsi="Arial" w:cs="Arial"/>
                <w:bCs/>
                <w:color w:val="auto"/>
                <w:sz w:val="24"/>
                <w:highlight w:val="none"/>
              </w:rPr>
            </w:pPr>
            <w:r>
              <w:rPr>
                <w:rFonts w:ascii="Arial" w:hAnsi="Arial" w:cs="Arial"/>
                <w:color w:val="auto"/>
                <w:sz w:val="24"/>
                <w:szCs w:val="24"/>
                <w:highlight w:val="none"/>
              </w:rPr>
              <w:t>根据生产安置任务和环境容量分析成果，在充分征求移民安置意愿的基础上，确定三合水库工程农村移民生产安置方案为</w:t>
            </w:r>
            <w:r>
              <w:rPr>
                <w:rFonts w:hint="eastAsia" w:ascii="Arial" w:hAnsi="Arial" w:cs="Arial"/>
                <w:color w:val="auto"/>
                <w:sz w:val="24"/>
                <w:szCs w:val="24"/>
                <w:highlight w:val="none"/>
                <w:lang w:val="en-US" w:eastAsia="zh-CN"/>
              </w:rPr>
              <w:t>货币补偿，</w:t>
            </w:r>
            <w:r>
              <w:rPr>
                <w:rFonts w:hint="eastAsia" w:ascii="Arial" w:hAnsi="Arial" w:cs="Arial"/>
                <w:color w:val="auto"/>
                <w:sz w:val="24"/>
                <w:szCs w:val="24"/>
                <w:highlight w:val="none"/>
              </w:rPr>
              <w:t>自谋职业安置</w:t>
            </w:r>
            <w:r>
              <w:rPr>
                <w:rFonts w:ascii="Arial" w:hAnsi="Arial" w:cs="Arial"/>
                <w:color w:val="auto"/>
                <w:sz w:val="24"/>
                <w:szCs w:val="24"/>
                <w:highlight w:val="none"/>
              </w:rPr>
              <w:t>，</w:t>
            </w:r>
            <w:r>
              <w:rPr>
                <w:rFonts w:hint="eastAsia" w:ascii="Arial" w:hAnsi="Arial" w:cs="Arial"/>
                <w:color w:val="auto"/>
                <w:sz w:val="24"/>
                <w:szCs w:val="24"/>
                <w:highlight w:val="none"/>
              </w:rPr>
              <w:t>人数为84</w:t>
            </w:r>
            <w:r>
              <w:rPr>
                <w:rFonts w:ascii="Arial" w:hAnsi="Arial" w:cs="Arial"/>
                <w:color w:val="auto"/>
                <w:sz w:val="24"/>
                <w:szCs w:val="24"/>
                <w:highlight w:val="none"/>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456"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总平面及现场布置</w:t>
            </w:r>
          </w:p>
        </w:tc>
        <w:tc>
          <w:tcPr>
            <w:tcW w:w="90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一、主体工程布局</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color w:val="auto"/>
                <w:sz w:val="24"/>
                <w:szCs w:val="24"/>
                <w:highlight w:val="none"/>
              </w:rPr>
            </w:pPr>
            <w:r>
              <w:rPr>
                <w:color w:val="auto"/>
                <w:sz w:val="24"/>
                <w:szCs w:val="24"/>
                <w:highlight w:val="none"/>
              </w:rPr>
              <w:t>水库由枢纽工程和灌区工程组成，其中</w:t>
            </w:r>
            <w:r>
              <w:rPr>
                <w:rFonts w:hint="eastAsia"/>
                <w:color w:val="auto"/>
                <w:sz w:val="24"/>
                <w:szCs w:val="24"/>
                <w:highlight w:val="none"/>
                <w:lang w:eastAsia="zh-CN"/>
              </w:rPr>
              <w:t>：</w:t>
            </w:r>
            <w:r>
              <w:rPr>
                <w:color w:val="auto"/>
                <w:sz w:val="24"/>
                <w:szCs w:val="24"/>
                <w:highlight w:val="none"/>
              </w:rPr>
              <w:t>枢纽工程由拦河大坝、溢洪</w:t>
            </w:r>
            <w:r>
              <w:rPr>
                <w:rFonts w:hint="eastAsia"/>
                <w:color w:val="auto"/>
                <w:sz w:val="24"/>
                <w:szCs w:val="24"/>
                <w:highlight w:val="none"/>
              </w:rPr>
              <w:t>道</w:t>
            </w:r>
            <w:r>
              <w:rPr>
                <w:color w:val="auto"/>
                <w:sz w:val="24"/>
                <w:szCs w:val="24"/>
                <w:highlight w:val="none"/>
              </w:rPr>
              <w:t>、取水</w:t>
            </w:r>
            <w:r>
              <w:rPr>
                <w:rFonts w:hint="eastAsia"/>
                <w:color w:val="auto"/>
                <w:sz w:val="24"/>
                <w:szCs w:val="24"/>
                <w:highlight w:val="none"/>
              </w:rPr>
              <w:t>（放空、导流）隧洞</w:t>
            </w:r>
            <w:r>
              <w:rPr>
                <w:color w:val="auto"/>
                <w:sz w:val="24"/>
                <w:szCs w:val="24"/>
                <w:highlight w:val="none"/>
              </w:rPr>
              <w:t>等建筑物组成，</w:t>
            </w:r>
            <w:r>
              <w:rPr>
                <w:rFonts w:hint="eastAsia"/>
                <w:color w:val="auto"/>
                <w:sz w:val="24"/>
                <w:szCs w:val="24"/>
                <w:highlight w:val="none"/>
              </w:rPr>
              <w:t>灌区</w:t>
            </w:r>
            <w:r>
              <w:rPr>
                <w:color w:val="auto"/>
                <w:sz w:val="24"/>
                <w:szCs w:val="24"/>
                <w:highlight w:val="none"/>
              </w:rPr>
              <w:t>工程由</w:t>
            </w:r>
            <w:r>
              <w:rPr>
                <w:rFonts w:hint="eastAsia"/>
                <w:color w:val="auto"/>
                <w:sz w:val="24"/>
                <w:szCs w:val="24"/>
                <w:highlight w:val="none"/>
              </w:rPr>
              <w:t>干管</w:t>
            </w:r>
            <w:r>
              <w:rPr>
                <w:color w:val="auto"/>
                <w:sz w:val="24"/>
                <w:szCs w:val="24"/>
                <w:highlight w:val="none"/>
              </w:rPr>
              <w:t>等组成。</w:t>
            </w:r>
            <w:r>
              <w:rPr>
                <w:snapToGrid w:val="0"/>
                <w:color w:val="auto"/>
                <w:sz w:val="24"/>
                <w:szCs w:val="24"/>
                <w:highlight w:val="none"/>
              </w:rPr>
              <w:t>水库正常蓄水位为594.50m，对应库容</w:t>
            </w:r>
            <w:r>
              <w:rPr>
                <w:rFonts w:hint="eastAsia"/>
                <w:snapToGrid w:val="0"/>
                <w:color w:val="auto"/>
                <w:sz w:val="24"/>
                <w:szCs w:val="24"/>
                <w:highlight w:val="none"/>
              </w:rPr>
              <w:t>307</w:t>
            </w:r>
            <w:r>
              <w:rPr>
                <w:snapToGrid w:val="0"/>
                <w:color w:val="auto"/>
                <w:sz w:val="24"/>
                <w:szCs w:val="24"/>
                <w:highlight w:val="none"/>
              </w:rPr>
              <w:t>万m</w:t>
            </w:r>
            <w:r>
              <w:rPr>
                <w:snapToGrid w:val="0"/>
                <w:color w:val="auto"/>
                <w:sz w:val="24"/>
                <w:szCs w:val="24"/>
                <w:highlight w:val="none"/>
                <w:vertAlign w:val="superscript"/>
              </w:rPr>
              <w:t>3</w:t>
            </w:r>
            <w:r>
              <w:rPr>
                <w:snapToGrid w:val="0"/>
                <w:color w:val="auto"/>
                <w:sz w:val="24"/>
                <w:szCs w:val="24"/>
                <w:highlight w:val="none"/>
              </w:rPr>
              <w:t>，校核洪水位597.25m，总库容371万m</w:t>
            </w:r>
            <w:r>
              <w:rPr>
                <w:snapToGrid w:val="0"/>
                <w:color w:val="auto"/>
                <w:sz w:val="24"/>
                <w:szCs w:val="24"/>
                <w:highlight w:val="none"/>
                <w:vertAlign w:val="superscript"/>
              </w:rPr>
              <w:t>3</w:t>
            </w:r>
            <w:r>
              <w:rPr>
                <w:snapToGrid w:val="0"/>
                <w:color w:val="auto"/>
                <w:sz w:val="24"/>
                <w:szCs w:val="24"/>
                <w:highlight w:val="none"/>
              </w:rPr>
              <w:t>，水库死水位567.00m，死库容34万m</w:t>
            </w:r>
            <w:r>
              <w:rPr>
                <w:snapToGrid w:val="0"/>
                <w:color w:val="auto"/>
                <w:sz w:val="24"/>
                <w:szCs w:val="24"/>
                <w:highlight w:val="none"/>
                <w:vertAlign w:val="superscript"/>
              </w:rPr>
              <w:t>3</w:t>
            </w:r>
            <w:r>
              <w:rPr>
                <w:snapToGrid w:val="0"/>
                <w:color w:val="auto"/>
                <w:sz w:val="24"/>
                <w:szCs w:val="24"/>
                <w:highlight w:val="none"/>
              </w:rPr>
              <w:t>，兴利库容273万m</w:t>
            </w:r>
            <w:r>
              <w:rPr>
                <w:snapToGrid w:val="0"/>
                <w:color w:val="auto"/>
                <w:sz w:val="24"/>
                <w:szCs w:val="24"/>
                <w:highlight w:val="none"/>
                <w:vertAlign w:val="superscript"/>
              </w:rPr>
              <w:t>3</w:t>
            </w:r>
            <w:r>
              <w:rPr>
                <w:snapToGrid w:val="0"/>
                <w:color w:val="auto"/>
                <w:sz w:val="24"/>
                <w:szCs w:val="24"/>
                <w:highlight w:val="none"/>
              </w:rPr>
              <w:t>。</w:t>
            </w:r>
            <w:r>
              <w:rPr>
                <w:color w:val="auto"/>
                <w:sz w:val="24"/>
                <w:szCs w:val="24"/>
                <w:highlight w:val="none"/>
              </w:rPr>
              <w:t>拦河大坝为</w:t>
            </w:r>
            <w:r>
              <w:rPr>
                <w:rFonts w:hint="eastAsia"/>
                <w:color w:val="auto"/>
                <w:sz w:val="24"/>
                <w:szCs w:val="24"/>
                <w:highlight w:val="none"/>
              </w:rPr>
              <w:t>碾压式</w:t>
            </w:r>
            <w:r>
              <w:rPr>
                <w:color w:val="auto"/>
                <w:sz w:val="24"/>
                <w:szCs w:val="24"/>
                <w:highlight w:val="none"/>
              </w:rPr>
              <w:t>沥青混凝土心墙石渣坝，</w:t>
            </w:r>
            <w:r>
              <w:rPr>
                <w:snapToGrid w:val="0"/>
                <w:color w:val="auto"/>
                <w:sz w:val="24"/>
                <w:szCs w:val="24"/>
                <w:highlight w:val="none"/>
              </w:rPr>
              <w:t>坝顶高程为597.50m，坝顶宽6m，坝</w:t>
            </w:r>
            <w:r>
              <w:rPr>
                <w:rFonts w:hint="eastAsia"/>
                <w:snapToGrid w:val="0"/>
                <w:color w:val="auto"/>
                <w:sz w:val="24"/>
                <w:szCs w:val="24"/>
                <w:highlight w:val="none"/>
              </w:rPr>
              <w:t>轴线</w:t>
            </w:r>
            <w:r>
              <w:rPr>
                <w:snapToGrid w:val="0"/>
                <w:color w:val="auto"/>
                <w:sz w:val="24"/>
                <w:szCs w:val="24"/>
                <w:highlight w:val="none"/>
              </w:rPr>
              <w:t>长185m，最大坝高54.5m。</w:t>
            </w:r>
            <w:r>
              <w:rPr>
                <w:color w:val="auto"/>
                <w:sz w:val="24"/>
                <w:szCs w:val="24"/>
                <w:highlight w:val="none"/>
              </w:rPr>
              <w:t>溢洪</w:t>
            </w:r>
            <w:r>
              <w:rPr>
                <w:rFonts w:hint="eastAsia"/>
                <w:color w:val="auto"/>
                <w:sz w:val="24"/>
                <w:szCs w:val="24"/>
                <w:highlight w:val="none"/>
              </w:rPr>
              <w:t>道</w:t>
            </w:r>
            <w:r>
              <w:rPr>
                <w:color w:val="auto"/>
                <w:sz w:val="24"/>
                <w:szCs w:val="24"/>
                <w:highlight w:val="none"/>
              </w:rPr>
              <w:t>布置于大坝</w:t>
            </w:r>
            <w:r>
              <w:rPr>
                <w:rFonts w:hint="eastAsia"/>
                <w:color w:val="auto"/>
                <w:sz w:val="24"/>
                <w:szCs w:val="24"/>
                <w:highlight w:val="none"/>
              </w:rPr>
              <w:t>左</w:t>
            </w:r>
            <w:r>
              <w:rPr>
                <w:color w:val="auto"/>
                <w:sz w:val="24"/>
                <w:szCs w:val="24"/>
                <w:highlight w:val="none"/>
              </w:rPr>
              <w:t>岸，为开敞式</w:t>
            </w:r>
            <w:r>
              <w:rPr>
                <w:rFonts w:hint="eastAsia"/>
                <w:color w:val="auto"/>
                <w:sz w:val="24"/>
                <w:szCs w:val="24"/>
                <w:highlight w:val="none"/>
              </w:rPr>
              <w:t>侧堰</w:t>
            </w:r>
            <w:r>
              <w:rPr>
                <w:color w:val="auto"/>
                <w:sz w:val="24"/>
                <w:szCs w:val="24"/>
                <w:highlight w:val="none"/>
              </w:rPr>
              <w:t>无闸</w:t>
            </w:r>
            <w:r>
              <w:rPr>
                <w:rFonts w:hint="eastAsia"/>
                <w:color w:val="auto"/>
                <w:sz w:val="24"/>
                <w:szCs w:val="24"/>
                <w:highlight w:val="none"/>
              </w:rPr>
              <w:t>控制</w:t>
            </w:r>
            <w:r>
              <w:rPr>
                <w:color w:val="auto"/>
                <w:sz w:val="24"/>
                <w:szCs w:val="24"/>
                <w:highlight w:val="none"/>
              </w:rPr>
              <w:t>溢洪</w:t>
            </w:r>
            <w:r>
              <w:rPr>
                <w:rFonts w:hint="eastAsia"/>
                <w:color w:val="auto"/>
                <w:sz w:val="24"/>
                <w:szCs w:val="24"/>
                <w:highlight w:val="none"/>
              </w:rPr>
              <w:t>明槽</w:t>
            </w:r>
            <w:r>
              <w:rPr>
                <w:color w:val="auto"/>
                <w:sz w:val="24"/>
                <w:szCs w:val="24"/>
                <w:highlight w:val="none"/>
              </w:rPr>
              <w:t>，由</w:t>
            </w:r>
            <w:r>
              <w:rPr>
                <w:rFonts w:hint="eastAsia"/>
                <w:color w:val="auto"/>
                <w:sz w:val="24"/>
                <w:szCs w:val="24"/>
                <w:highlight w:val="none"/>
              </w:rPr>
              <w:t>侧槽段</w:t>
            </w:r>
            <w:r>
              <w:rPr>
                <w:color w:val="auto"/>
                <w:sz w:val="24"/>
                <w:szCs w:val="24"/>
                <w:highlight w:val="none"/>
              </w:rPr>
              <w:t>、</w:t>
            </w:r>
            <w:r>
              <w:rPr>
                <w:rFonts w:hint="eastAsia"/>
                <w:color w:val="auto"/>
                <w:sz w:val="24"/>
                <w:szCs w:val="24"/>
                <w:highlight w:val="none"/>
              </w:rPr>
              <w:t>调整</w:t>
            </w:r>
            <w:r>
              <w:rPr>
                <w:color w:val="auto"/>
                <w:sz w:val="24"/>
                <w:szCs w:val="24"/>
                <w:highlight w:val="none"/>
              </w:rPr>
              <w:t>段、泄槽段</w:t>
            </w:r>
            <w:r>
              <w:rPr>
                <w:rFonts w:hint="eastAsia"/>
                <w:color w:val="auto"/>
                <w:sz w:val="24"/>
                <w:szCs w:val="24"/>
                <w:highlight w:val="none"/>
              </w:rPr>
              <w:t>、消力池段</w:t>
            </w:r>
            <w:r>
              <w:rPr>
                <w:color w:val="auto"/>
                <w:sz w:val="24"/>
                <w:szCs w:val="24"/>
                <w:highlight w:val="none"/>
              </w:rPr>
              <w:t>、</w:t>
            </w:r>
            <w:r>
              <w:rPr>
                <w:rFonts w:hint="eastAsia"/>
                <w:color w:val="auto"/>
                <w:sz w:val="24"/>
                <w:szCs w:val="24"/>
                <w:highlight w:val="none"/>
              </w:rPr>
              <w:t>尾水渠</w:t>
            </w:r>
            <w:r>
              <w:rPr>
                <w:color w:val="auto"/>
                <w:sz w:val="24"/>
                <w:szCs w:val="24"/>
                <w:highlight w:val="none"/>
              </w:rPr>
              <w:t>段组成，水平投影总长为</w:t>
            </w:r>
            <w:r>
              <w:rPr>
                <w:rFonts w:hint="eastAsia"/>
                <w:snapToGrid w:val="0"/>
                <w:color w:val="auto"/>
                <w:sz w:val="24"/>
                <w:szCs w:val="24"/>
                <w:highlight w:val="none"/>
              </w:rPr>
              <w:t>322.30</w:t>
            </w:r>
            <w:r>
              <w:rPr>
                <w:snapToGrid w:val="0"/>
                <w:color w:val="auto"/>
                <w:sz w:val="24"/>
                <w:szCs w:val="24"/>
                <w:highlight w:val="none"/>
              </w:rPr>
              <w:t>m。</w:t>
            </w:r>
            <w:r>
              <w:rPr>
                <w:rFonts w:hint="eastAsia"/>
                <w:color w:val="auto"/>
                <w:sz w:val="24"/>
                <w:szCs w:val="24"/>
                <w:highlight w:val="none"/>
              </w:rPr>
              <w:t>取水</w:t>
            </w:r>
            <w:r>
              <w:rPr>
                <w:color w:val="auto"/>
                <w:sz w:val="24"/>
                <w:szCs w:val="24"/>
                <w:highlight w:val="none"/>
              </w:rPr>
              <w:t>（</w:t>
            </w:r>
            <w:r>
              <w:rPr>
                <w:rFonts w:hint="eastAsia"/>
                <w:color w:val="auto"/>
                <w:sz w:val="24"/>
                <w:szCs w:val="24"/>
                <w:highlight w:val="none"/>
              </w:rPr>
              <w:t>放空、</w:t>
            </w:r>
            <w:r>
              <w:rPr>
                <w:color w:val="auto"/>
                <w:sz w:val="24"/>
                <w:szCs w:val="24"/>
                <w:highlight w:val="none"/>
              </w:rPr>
              <w:t>导流）隧洞布置于大坝左岸山体内，</w:t>
            </w:r>
            <w:r>
              <w:rPr>
                <w:snapToGrid w:val="0"/>
                <w:color w:val="auto"/>
                <w:sz w:val="24"/>
                <w:szCs w:val="24"/>
                <w:highlight w:val="none"/>
              </w:rPr>
              <w:t>由导流</w:t>
            </w:r>
            <w:r>
              <w:rPr>
                <w:rFonts w:hint="eastAsia"/>
                <w:snapToGrid w:val="0"/>
                <w:color w:val="auto"/>
                <w:sz w:val="24"/>
                <w:szCs w:val="24"/>
                <w:highlight w:val="none"/>
              </w:rPr>
              <w:t>隧</w:t>
            </w:r>
            <w:r>
              <w:rPr>
                <w:snapToGrid w:val="0"/>
                <w:color w:val="auto"/>
                <w:sz w:val="24"/>
                <w:szCs w:val="24"/>
                <w:highlight w:val="none"/>
              </w:rPr>
              <w:t>洞改建而成，采用</w:t>
            </w:r>
            <w:r>
              <w:rPr>
                <w:rFonts w:hint="eastAsia"/>
                <w:snapToGrid w:val="0"/>
                <w:color w:val="auto"/>
                <w:sz w:val="24"/>
                <w:szCs w:val="24"/>
                <w:highlight w:val="none"/>
              </w:rPr>
              <w:t>竖井式</w:t>
            </w:r>
            <w:r>
              <w:rPr>
                <w:snapToGrid w:val="0"/>
                <w:color w:val="auto"/>
                <w:sz w:val="24"/>
                <w:szCs w:val="24"/>
                <w:highlight w:val="none"/>
              </w:rPr>
              <w:t>进水口，</w:t>
            </w:r>
            <w:r>
              <w:rPr>
                <w:rFonts w:hint="eastAsia"/>
                <w:snapToGrid w:val="0"/>
                <w:color w:val="auto"/>
                <w:sz w:val="24"/>
                <w:szCs w:val="24"/>
                <w:highlight w:val="none"/>
              </w:rPr>
              <w:t>隧洞洞身采用城门洞型，水平投影总长</w:t>
            </w:r>
            <w:r>
              <w:rPr>
                <w:snapToGrid w:val="0"/>
                <w:color w:val="auto"/>
                <w:sz w:val="24"/>
                <w:szCs w:val="24"/>
                <w:highlight w:val="none"/>
              </w:rPr>
              <w:t>331.05m</w:t>
            </w:r>
            <w:r>
              <w:rPr>
                <w:rFonts w:hint="eastAsia"/>
                <w:snapToGrid w:val="0"/>
                <w:color w:val="auto"/>
                <w:sz w:val="24"/>
                <w:szCs w:val="24"/>
                <w:highlight w:val="none"/>
              </w:rPr>
              <w:t>，其中洞身段水平投影长293</w:t>
            </w:r>
            <w:r>
              <w:rPr>
                <w:snapToGrid w:val="0"/>
                <w:color w:val="auto"/>
                <w:sz w:val="24"/>
                <w:szCs w:val="24"/>
                <w:highlight w:val="none"/>
              </w:rPr>
              <w:t>m</w:t>
            </w:r>
            <w:r>
              <w:rPr>
                <w:rFonts w:hint="eastAsia"/>
                <w:snapToGrid w:val="0"/>
                <w:color w:val="auto"/>
                <w:sz w:val="24"/>
                <w:szCs w:val="24"/>
                <w:highlight w:val="none"/>
              </w:rPr>
              <w:t>。</w:t>
            </w:r>
          </w:p>
          <w:p>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灌区工程共布置1条干管和</w:t>
            </w:r>
            <w:r>
              <w:rPr>
                <w:color w:val="auto"/>
                <w:sz w:val="24"/>
                <w:szCs w:val="24"/>
                <w:highlight w:val="none"/>
              </w:rPr>
              <w:t>11</w:t>
            </w:r>
            <w:r>
              <w:rPr>
                <w:rFonts w:hint="eastAsia"/>
                <w:color w:val="auto"/>
                <w:sz w:val="24"/>
                <w:szCs w:val="24"/>
                <w:highlight w:val="none"/>
              </w:rPr>
              <w:t>条支管，干管总长11.187km，支管总长13.</w:t>
            </w:r>
            <w:r>
              <w:rPr>
                <w:color w:val="auto"/>
                <w:sz w:val="24"/>
                <w:szCs w:val="24"/>
                <w:highlight w:val="none"/>
              </w:rPr>
              <w:t>052</w:t>
            </w:r>
            <w:r>
              <w:rPr>
                <w:rFonts w:hint="eastAsia"/>
                <w:color w:val="auto"/>
                <w:sz w:val="24"/>
                <w:szCs w:val="24"/>
                <w:highlight w:val="none"/>
              </w:rPr>
              <w:t>km，管道首端设计流量为0.711m</w:t>
            </w:r>
            <w:r>
              <w:rPr>
                <w:color w:val="auto"/>
                <w:sz w:val="24"/>
                <w:szCs w:val="24"/>
                <w:highlight w:val="none"/>
              </w:rPr>
              <w:t>³</w:t>
            </w:r>
            <w:r>
              <w:rPr>
                <w:rFonts w:hint="eastAsia"/>
                <w:color w:val="auto"/>
                <w:sz w:val="24"/>
                <w:szCs w:val="24"/>
                <w:highlight w:val="none"/>
              </w:rPr>
              <w:t>/s</w:t>
            </w:r>
            <w:r>
              <w:rPr>
                <w:color w:val="auto"/>
                <w:sz w:val="24"/>
                <w:szCs w:val="24"/>
                <w:highlight w:val="none"/>
              </w:rPr>
              <w:t>。</w:t>
            </w:r>
            <w:r>
              <w:rPr>
                <w:rFonts w:hint="eastAsia"/>
                <w:color w:val="auto"/>
                <w:sz w:val="24"/>
                <w:szCs w:val="24"/>
                <w:highlight w:val="none"/>
              </w:rPr>
              <w:t>灌区设计</w:t>
            </w:r>
            <w:r>
              <w:rPr>
                <w:color w:val="auto"/>
                <w:sz w:val="24"/>
                <w:szCs w:val="24"/>
                <w:highlight w:val="none"/>
              </w:rPr>
              <w:t>灌溉面积为2.14万亩。</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二、工程施工总体布置情况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枢纽工程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rPr>
            </w:pPr>
            <w:r>
              <w:rPr>
                <w:rFonts w:hint="eastAsia"/>
                <w:b/>
                <w:bCs/>
                <w:color w:val="auto"/>
                <w:sz w:val="24"/>
                <w:szCs w:val="24"/>
                <w:highlight w:val="none"/>
                <w:lang w:val="en-US" w:eastAsia="zh-CN"/>
              </w:rPr>
              <w:t xml:space="preserve">⑴ </w:t>
            </w:r>
            <w:r>
              <w:rPr>
                <w:rFonts w:hint="eastAsia"/>
                <w:b/>
                <w:bCs/>
                <w:color w:val="auto"/>
                <w:sz w:val="24"/>
                <w:szCs w:val="24"/>
                <w:highlight w:val="none"/>
              </w:rPr>
              <w:t>施工</w:t>
            </w:r>
            <w:r>
              <w:rPr>
                <w:b/>
                <w:bCs/>
                <w:color w:val="auto"/>
                <w:sz w:val="24"/>
                <w:szCs w:val="24"/>
                <w:highlight w:val="none"/>
              </w:rPr>
              <w:t>布置条件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本工程</w:t>
            </w:r>
            <w:r>
              <w:rPr>
                <w:color w:val="auto"/>
                <w:sz w:val="24"/>
                <w:szCs w:val="24"/>
                <w:highlight w:val="none"/>
              </w:rPr>
              <w:t>枢纽区两岸多为陡峭的</w:t>
            </w:r>
            <w:r>
              <w:rPr>
                <w:rFonts w:hint="eastAsia"/>
                <w:color w:val="auto"/>
                <w:sz w:val="24"/>
                <w:szCs w:val="24"/>
                <w:highlight w:val="none"/>
              </w:rPr>
              <w:t>高山</w:t>
            </w:r>
            <w:r>
              <w:rPr>
                <w:color w:val="auto"/>
                <w:sz w:val="24"/>
                <w:szCs w:val="24"/>
                <w:highlight w:val="none"/>
              </w:rPr>
              <w:t>，</w:t>
            </w:r>
            <w:r>
              <w:rPr>
                <w:rFonts w:hint="eastAsia"/>
                <w:color w:val="auto"/>
                <w:sz w:val="24"/>
                <w:szCs w:val="24"/>
                <w:highlight w:val="none"/>
              </w:rPr>
              <w:t>库区淹没</w:t>
            </w:r>
            <w:r>
              <w:rPr>
                <w:color w:val="auto"/>
                <w:sz w:val="24"/>
                <w:szCs w:val="24"/>
                <w:highlight w:val="none"/>
              </w:rPr>
              <w:t>内</w:t>
            </w:r>
            <w:r>
              <w:rPr>
                <w:rFonts w:hint="eastAsia"/>
                <w:color w:val="auto"/>
                <w:sz w:val="24"/>
                <w:szCs w:val="24"/>
                <w:highlight w:val="none"/>
              </w:rPr>
              <w:t>范围</w:t>
            </w:r>
            <w:r>
              <w:rPr>
                <w:color w:val="auto"/>
                <w:sz w:val="24"/>
                <w:szCs w:val="24"/>
                <w:highlight w:val="none"/>
              </w:rPr>
              <w:t>内基本无</w:t>
            </w:r>
            <w:r>
              <w:rPr>
                <w:rFonts w:hint="eastAsia"/>
                <w:color w:val="auto"/>
                <w:sz w:val="24"/>
                <w:szCs w:val="24"/>
                <w:highlight w:val="none"/>
              </w:rPr>
              <w:t>缓坡、阶</w:t>
            </w:r>
            <w:r>
              <w:rPr>
                <w:color w:val="auto"/>
                <w:sz w:val="24"/>
                <w:szCs w:val="24"/>
                <w:highlight w:val="none"/>
              </w:rPr>
              <w:t>地，</w:t>
            </w:r>
            <w:r>
              <w:rPr>
                <w:rFonts w:hint="eastAsia"/>
                <w:color w:val="auto"/>
                <w:sz w:val="24"/>
                <w:szCs w:val="24"/>
                <w:highlight w:val="none"/>
              </w:rPr>
              <w:t>大坝</w:t>
            </w:r>
            <w:r>
              <w:rPr>
                <w:color w:val="auto"/>
                <w:sz w:val="24"/>
                <w:szCs w:val="24"/>
                <w:highlight w:val="none"/>
              </w:rPr>
              <w:t>右岸</w:t>
            </w:r>
            <w:r>
              <w:rPr>
                <w:rFonts w:hint="eastAsia"/>
                <w:color w:val="auto"/>
                <w:sz w:val="24"/>
                <w:szCs w:val="24"/>
                <w:highlight w:val="none"/>
              </w:rPr>
              <w:t>坝肩</w:t>
            </w:r>
            <w:r>
              <w:rPr>
                <w:color w:val="auto"/>
                <w:sz w:val="24"/>
                <w:szCs w:val="24"/>
                <w:highlight w:val="none"/>
              </w:rPr>
              <w:t>以外分布有缓坡</w:t>
            </w:r>
            <w:r>
              <w:rPr>
                <w:rFonts w:hint="eastAsia"/>
                <w:color w:val="auto"/>
                <w:sz w:val="24"/>
                <w:szCs w:val="24"/>
                <w:highlight w:val="none"/>
              </w:rPr>
              <w:t>、</w:t>
            </w:r>
            <w:r>
              <w:rPr>
                <w:color w:val="auto"/>
                <w:sz w:val="24"/>
                <w:szCs w:val="24"/>
                <w:highlight w:val="none"/>
              </w:rPr>
              <w:t>阶地</w:t>
            </w:r>
            <w:r>
              <w:rPr>
                <w:rFonts w:hint="eastAsia"/>
                <w:color w:val="auto"/>
                <w:sz w:val="24"/>
                <w:szCs w:val="24"/>
                <w:highlight w:val="none"/>
              </w:rPr>
              <w:t>，</w:t>
            </w:r>
            <w:r>
              <w:rPr>
                <w:color w:val="auto"/>
                <w:sz w:val="24"/>
                <w:szCs w:val="24"/>
                <w:highlight w:val="none"/>
              </w:rPr>
              <w:t>大坝右岸</w:t>
            </w:r>
            <w:r>
              <w:rPr>
                <w:rFonts w:hint="eastAsia"/>
                <w:color w:val="auto"/>
                <w:sz w:val="24"/>
                <w:szCs w:val="24"/>
                <w:highlight w:val="none"/>
              </w:rPr>
              <w:t>下游</w:t>
            </w:r>
            <w:r>
              <w:rPr>
                <w:color w:val="auto"/>
                <w:sz w:val="24"/>
                <w:szCs w:val="24"/>
                <w:highlight w:val="none"/>
              </w:rPr>
              <w:t>也多分布有缓坡、阶地</w:t>
            </w:r>
            <w:r>
              <w:rPr>
                <w:rFonts w:hint="eastAsia"/>
                <w:color w:val="auto"/>
                <w:sz w:val="24"/>
                <w:szCs w:val="24"/>
                <w:highlight w:val="none"/>
              </w:rPr>
              <w:t>，大坝</w:t>
            </w:r>
            <w:r>
              <w:rPr>
                <w:color w:val="auto"/>
                <w:sz w:val="24"/>
                <w:szCs w:val="24"/>
                <w:highlight w:val="none"/>
              </w:rPr>
              <w:t>右岸及下游的施工布置条件较好。</w:t>
            </w:r>
            <w:r>
              <w:rPr>
                <w:rFonts w:hint="eastAsia"/>
                <w:color w:val="auto"/>
                <w:sz w:val="24"/>
                <w:szCs w:val="24"/>
                <w:highlight w:val="none"/>
              </w:rPr>
              <w:t>施工生产生活区可布置于大坝</w:t>
            </w:r>
            <w:r>
              <w:rPr>
                <w:color w:val="auto"/>
                <w:sz w:val="24"/>
                <w:szCs w:val="24"/>
                <w:highlight w:val="none"/>
              </w:rPr>
              <w:t>下游的缓坡阶地中</w:t>
            </w:r>
            <w:r>
              <w:rPr>
                <w:rFonts w:hint="eastAsia"/>
                <w:color w:val="auto"/>
                <w:sz w:val="24"/>
                <w:szCs w:val="24"/>
                <w:highlight w:val="none"/>
              </w:rPr>
              <w:t>。近</w:t>
            </w:r>
            <w:r>
              <w:rPr>
                <w:color w:val="auto"/>
                <w:sz w:val="24"/>
                <w:szCs w:val="24"/>
                <w:highlight w:val="none"/>
              </w:rPr>
              <w:t>坝区的</w:t>
            </w:r>
            <w:r>
              <w:rPr>
                <w:rFonts w:hint="eastAsia"/>
                <w:color w:val="auto"/>
                <w:sz w:val="24"/>
                <w:szCs w:val="24"/>
                <w:highlight w:val="none"/>
                <w:lang w:val="en-US" w:eastAsia="zh-CN"/>
              </w:rPr>
              <w:t>缓坡地带</w:t>
            </w:r>
            <w:r>
              <w:rPr>
                <w:color w:val="auto"/>
                <w:sz w:val="24"/>
                <w:szCs w:val="24"/>
                <w:highlight w:val="none"/>
              </w:rPr>
              <w:t>可作为临时堆料场，</w:t>
            </w:r>
            <w:r>
              <w:rPr>
                <w:rFonts w:hint="eastAsia"/>
                <w:color w:val="auto"/>
                <w:sz w:val="24"/>
                <w:szCs w:val="24"/>
                <w:highlight w:val="none"/>
              </w:rPr>
              <w:t>赵家山</w:t>
            </w:r>
            <w:r>
              <w:rPr>
                <w:color w:val="auto"/>
                <w:sz w:val="24"/>
                <w:szCs w:val="24"/>
                <w:highlight w:val="none"/>
              </w:rPr>
              <w:t>料场旁边有</w:t>
            </w:r>
            <w:r>
              <w:rPr>
                <w:rFonts w:hint="eastAsia"/>
                <w:color w:val="auto"/>
                <w:sz w:val="24"/>
                <w:szCs w:val="24"/>
                <w:highlight w:val="none"/>
              </w:rPr>
              <w:t>小型冲沟可</w:t>
            </w:r>
            <w:r>
              <w:rPr>
                <w:color w:val="auto"/>
                <w:sz w:val="24"/>
                <w:szCs w:val="24"/>
                <w:highlight w:val="none"/>
              </w:rPr>
              <w:t>作为弃渣场</w:t>
            </w:r>
            <w:r>
              <w:rPr>
                <w:rFonts w:hint="eastAsia"/>
                <w:color w:val="auto"/>
                <w:sz w:val="24"/>
                <w:szCs w:val="24"/>
                <w:highlight w:val="none"/>
              </w:rPr>
              <w:t>，工程完工后弃渣场和</w:t>
            </w:r>
            <w:r>
              <w:rPr>
                <w:color w:val="auto"/>
                <w:sz w:val="24"/>
                <w:szCs w:val="24"/>
                <w:highlight w:val="none"/>
              </w:rPr>
              <w:t>料场</w:t>
            </w:r>
            <w:r>
              <w:rPr>
                <w:rFonts w:hint="eastAsia"/>
                <w:color w:val="auto"/>
                <w:sz w:val="24"/>
                <w:szCs w:val="24"/>
                <w:highlight w:val="none"/>
                <w:lang w:val="en-US" w:eastAsia="zh-CN"/>
              </w:rPr>
              <w:t>均按要求进行</w:t>
            </w:r>
            <w:r>
              <w:rPr>
                <w:color w:val="auto"/>
                <w:sz w:val="24"/>
                <w:szCs w:val="24"/>
                <w:highlight w:val="none"/>
              </w:rPr>
              <w:t>复垦</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 xml:space="preserve">⑵ </w:t>
            </w:r>
            <w:r>
              <w:rPr>
                <w:b/>
                <w:bCs/>
                <w:color w:val="auto"/>
                <w:sz w:val="24"/>
                <w:szCs w:val="24"/>
                <w:highlight w:val="none"/>
              </w:rPr>
              <w:t>施工分区规划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根据建筑物的分布特点和施工进度安排，采用集中与分散相结合的原则布置。本工程拟规划分为2大工区，各工区情况如下：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szCs w:val="24"/>
                <w:highlight w:val="none"/>
              </w:rPr>
            </w:pPr>
            <w:r>
              <w:rPr>
                <w:b/>
                <w:bCs/>
                <w:color w:val="auto"/>
                <w:sz w:val="24"/>
                <w:szCs w:val="24"/>
                <w:highlight w:val="none"/>
                <w:u w:val="single"/>
              </w:rPr>
              <w:t>1#工区</w:t>
            </w:r>
            <w:r>
              <w:rPr>
                <w:rFonts w:hint="eastAsia"/>
                <w:b/>
                <w:bCs/>
                <w:color w:val="auto"/>
                <w:sz w:val="24"/>
                <w:szCs w:val="24"/>
                <w:highlight w:val="none"/>
                <w:lang w:eastAsia="zh-CN"/>
              </w:rPr>
              <w:t>：</w:t>
            </w:r>
            <w:r>
              <w:rPr>
                <w:rFonts w:hint="eastAsia"/>
                <w:b/>
                <w:bCs/>
                <w:color w:val="auto"/>
                <w:sz w:val="24"/>
                <w:szCs w:val="24"/>
                <w:highlight w:val="none"/>
                <w:lang w:val="en-US" w:eastAsia="zh-CN"/>
              </w:rPr>
              <w:t>即</w:t>
            </w:r>
            <w:r>
              <w:rPr>
                <w:rFonts w:hint="eastAsia"/>
                <w:b/>
                <w:bCs/>
                <w:color w:val="auto"/>
                <w:sz w:val="24"/>
                <w:szCs w:val="24"/>
                <w:highlight w:val="none"/>
              </w:rPr>
              <w:t>枢纽工程</w:t>
            </w:r>
            <w:r>
              <w:rPr>
                <w:b/>
                <w:bCs/>
                <w:color w:val="auto"/>
                <w:sz w:val="24"/>
                <w:szCs w:val="24"/>
                <w:highlight w:val="none"/>
              </w:rPr>
              <w:t>施工区</w:t>
            </w:r>
            <w:r>
              <w:rPr>
                <w:color w:val="auto"/>
                <w:sz w:val="24"/>
                <w:szCs w:val="24"/>
                <w:highlight w:val="none"/>
              </w:rPr>
              <w:t>，</w:t>
            </w:r>
            <w:r>
              <w:rPr>
                <w:rFonts w:hint="eastAsia"/>
                <w:color w:val="auto"/>
                <w:sz w:val="24"/>
                <w:szCs w:val="24"/>
                <w:highlight w:val="none"/>
              </w:rPr>
              <w:t>主要</w:t>
            </w:r>
            <w:r>
              <w:rPr>
                <w:color w:val="auto"/>
                <w:sz w:val="24"/>
                <w:szCs w:val="24"/>
                <w:highlight w:val="none"/>
              </w:rPr>
              <w:t>负责</w:t>
            </w:r>
            <w:r>
              <w:rPr>
                <w:rFonts w:hint="eastAsia"/>
                <w:color w:val="auto"/>
                <w:sz w:val="24"/>
                <w:szCs w:val="24"/>
                <w:highlight w:val="none"/>
              </w:rPr>
              <w:t>拦河</w:t>
            </w:r>
            <w:r>
              <w:rPr>
                <w:color w:val="auto"/>
                <w:sz w:val="24"/>
                <w:szCs w:val="24"/>
                <w:highlight w:val="none"/>
              </w:rPr>
              <w:t>大坝、</w:t>
            </w:r>
            <w:r>
              <w:rPr>
                <w:rFonts w:hint="eastAsia"/>
                <w:color w:val="auto"/>
                <w:sz w:val="24"/>
                <w:szCs w:val="24"/>
                <w:highlight w:val="none"/>
              </w:rPr>
              <w:t>取水（放空</w:t>
            </w:r>
            <w:r>
              <w:rPr>
                <w:color w:val="auto"/>
                <w:sz w:val="24"/>
                <w:szCs w:val="24"/>
                <w:highlight w:val="none"/>
              </w:rPr>
              <w:t>、导流</w:t>
            </w:r>
            <w:r>
              <w:rPr>
                <w:rFonts w:hint="eastAsia"/>
                <w:color w:val="auto"/>
                <w:sz w:val="24"/>
                <w:szCs w:val="24"/>
                <w:highlight w:val="none"/>
              </w:rPr>
              <w:t>）</w:t>
            </w:r>
            <w:r>
              <w:rPr>
                <w:color w:val="auto"/>
                <w:sz w:val="24"/>
                <w:szCs w:val="24"/>
                <w:highlight w:val="none"/>
              </w:rPr>
              <w:t>隧洞、溢洪</w:t>
            </w:r>
            <w:r>
              <w:rPr>
                <w:rFonts w:hint="eastAsia"/>
                <w:color w:val="auto"/>
                <w:sz w:val="24"/>
                <w:szCs w:val="24"/>
                <w:highlight w:val="none"/>
              </w:rPr>
              <w:t>道</w:t>
            </w:r>
            <w:r>
              <w:rPr>
                <w:color w:val="auto"/>
                <w:sz w:val="24"/>
                <w:szCs w:val="24"/>
                <w:highlight w:val="none"/>
              </w:rPr>
              <w:t>等主体建筑物的施工</w:t>
            </w:r>
            <w:r>
              <w:rPr>
                <w:rFonts w:hint="eastAsia"/>
                <w:color w:val="auto"/>
                <w:sz w:val="24"/>
                <w:szCs w:val="24"/>
                <w:highlight w:val="none"/>
                <w:lang w:val="en-US" w:eastAsia="zh-CN"/>
              </w:rPr>
              <w:t>，</w:t>
            </w:r>
            <w:r>
              <w:rPr>
                <w:color w:val="auto"/>
                <w:sz w:val="24"/>
                <w:szCs w:val="24"/>
                <w:highlight w:val="none"/>
              </w:rPr>
              <w:t>布置</w:t>
            </w:r>
            <w:r>
              <w:rPr>
                <w:rFonts w:hint="eastAsia"/>
                <w:color w:val="auto"/>
                <w:sz w:val="24"/>
                <w:szCs w:val="24"/>
                <w:highlight w:val="none"/>
              </w:rPr>
              <w:t>的施工</w:t>
            </w:r>
            <w:r>
              <w:rPr>
                <w:color w:val="auto"/>
                <w:sz w:val="24"/>
                <w:szCs w:val="24"/>
                <w:highlight w:val="none"/>
              </w:rPr>
              <w:t>临建设施</w:t>
            </w:r>
            <w:r>
              <w:rPr>
                <w:rFonts w:hint="eastAsia"/>
                <w:color w:val="auto"/>
                <w:sz w:val="24"/>
                <w:szCs w:val="24"/>
                <w:highlight w:val="none"/>
              </w:rPr>
              <w:t>有</w:t>
            </w:r>
            <w:r>
              <w:rPr>
                <w:color w:val="auto"/>
                <w:sz w:val="24"/>
                <w:szCs w:val="24"/>
                <w:highlight w:val="none"/>
              </w:rPr>
              <w:t>施工</w:t>
            </w:r>
            <w:r>
              <w:rPr>
                <w:rFonts w:hint="eastAsia"/>
                <w:color w:val="auto"/>
                <w:sz w:val="24"/>
                <w:szCs w:val="24"/>
                <w:highlight w:val="none"/>
              </w:rPr>
              <w:t>生产</w:t>
            </w:r>
            <w:r>
              <w:rPr>
                <w:color w:val="auto"/>
                <w:sz w:val="24"/>
                <w:szCs w:val="24"/>
                <w:highlight w:val="none"/>
              </w:rPr>
              <w:t>生活区、1#～</w:t>
            </w:r>
            <w:r>
              <w:rPr>
                <w:rFonts w:hint="eastAsia"/>
                <w:color w:val="auto"/>
                <w:sz w:val="24"/>
                <w:szCs w:val="24"/>
                <w:highlight w:val="none"/>
                <w:lang w:val="en-US" w:eastAsia="zh-CN"/>
              </w:rPr>
              <w:t>5</w:t>
            </w:r>
            <w:r>
              <w:rPr>
                <w:color w:val="auto"/>
                <w:sz w:val="24"/>
                <w:szCs w:val="24"/>
                <w:highlight w:val="none"/>
              </w:rPr>
              <w:t>#</w:t>
            </w:r>
            <w:r>
              <w:rPr>
                <w:rFonts w:hint="eastAsia"/>
                <w:color w:val="auto"/>
                <w:sz w:val="24"/>
                <w:szCs w:val="24"/>
                <w:highlight w:val="none"/>
              </w:rPr>
              <w:t>临时</w:t>
            </w:r>
            <w:r>
              <w:rPr>
                <w:color w:val="auto"/>
                <w:sz w:val="24"/>
                <w:szCs w:val="24"/>
                <w:highlight w:val="none"/>
              </w:rPr>
              <w:t>堆料场以及配套的风、水、电和施工道路等。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sz w:val="24"/>
                <w:szCs w:val="24"/>
                <w:highlight w:val="none"/>
              </w:rPr>
            </w:pPr>
            <w:r>
              <w:rPr>
                <w:b/>
                <w:bCs/>
                <w:color w:val="auto"/>
                <w:sz w:val="24"/>
                <w:szCs w:val="24"/>
                <w:highlight w:val="none"/>
                <w:u w:val="single"/>
              </w:rPr>
              <w:t>2#工区</w:t>
            </w:r>
            <w:r>
              <w:rPr>
                <w:rFonts w:hint="eastAsia"/>
                <w:color w:val="auto"/>
                <w:sz w:val="24"/>
                <w:szCs w:val="24"/>
                <w:highlight w:val="none"/>
                <w:lang w:eastAsia="zh-CN"/>
              </w:rPr>
              <w:t>：</w:t>
            </w:r>
            <w:r>
              <w:rPr>
                <w:rFonts w:hint="eastAsia"/>
                <w:b/>
                <w:bCs/>
                <w:color w:val="auto"/>
                <w:sz w:val="24"/>
                <w:szCs w:val="24"/>
                <w:highlight w:val="none"/>
                <w:lang w:val="en-US" w:eastAsia="zh-CN"/>
              </w:rPr>
              <w:t>即</w:t>
            </w:r>
            <w:r>
              <w:rPr>
                <w:rFonts w:hint="eastAsia"/>
                <w:b/>
                <w:bCs/>
                <w:color w:val="auto"/>
                <w:sz w:val="24"/>
                <w:szCs w:val="24"/>
                <w:highlight w:val="none"/>
              </w:rPr>
              <w:t>石渣</w:t>
            </w:r>
            <w:r>
              <w:rPr>
                <w:b/>
                <w:bCs/>
                <w:color w:val="auto"/>
                <w:sz w:val="24"/>
                <w:szCs w:val="24"/>
                <w:highlight w:val="none"/>
              </w:rPr>
              <w:t>料场施工区</w:t>
            </w:r>
            <w:r>
              <w:rPr>
                <w:color w:val="auto"/>
                <w:sz w:val="24"/>
                <w:szCs w:val="24"/>
                <w:highlight w:val="none"/>
              </w:rPr>
              <w:t>，</w:t>
            </w:r>
            <w:r>
              <w:rPr>
                <w:rFonts w:hint="eastAsia"/>
                <w:color w:val="auto"/>
                <w:sz w:val="24"/>
                <w:szCs w:val="24"/>
                <w:highlight w:val="none"/>
              </w:rPr>
              <w:t>主要</w:t>
            </w:r>
            <w:r>
              <w:rPr>
                <w:color w:val="auto"/>
                <w:sz w:val="24"/>
                <w:szCs w:val="24"/>
                <w:highlight w:val="none"/>
              </w:rPr>
              <w:t>任务为</w:t>
            </w:r>
            <w:r>
              <w:rPr>
                <w:rFonts w:hint="eastAsia"/>
                <w:color w:val="auto"/>
                <w:sz w:val="24"/>
                <w:szCs w:val="24"/>
                <w:highlight w:val="none"/>
              </w:rPr>
              <w:t>大坝</w:t>
            </w:r>
            <w:r>
              <w:rPr>
                <w:color w:val="auto"/>
                <w:sz w:val="24"/>
                <w:szCs w:val="24"/>
                <w:highlight w:val="none"/>
              </w:rPr>
              <w:t>填筑料所需的石渣料的开采和运输</w:t>
            </w:r>
            <w:r>
              <w:rPr>
                <w:rFonts w:hint="eastAsia"/>
                <w:color w:val="auto"/>
                <w:sz w:val="24"/>
                <w:szCs w:val="24"/>
                <w:highlight w:val="none"/>
              </w:rPr>
              <w:t>，</w:t>
            </w:r>
            <w:r>
              <w:rPr>
                <w:color w:val="auto"/>
                <w:sz w:val="24"/>
                <w:szCs w:val="24"/>
                <w:highlight w:val="none"/>
              </w:rPr>
              <w:t>以及弃渣场</w:t>
            </w:r>
            <w:r>
              <w:rPr>
                <w:rFonts w:hint="eastAsia"/>
                <w:color w:val="auto"/>
                <w:sz w:val="24"/>
                <w:szCs w:val="24"/>
                <w:highlight w:val="none"/>
              </w:rPr>
              <w:t>。</w:t>
            </w:r>
            <w:r>
              <w:rPr>
                <w:color w:val="auto"/>
                <w:sz w:val="24"/>
                <w:szCs w:val="24"/>
                <w:highlight w:val="none"/>
              </w:rPr>
              <w:t>布置</w:t>
            </w:r>
            <w:r>
              <w:rPr>
                <w:rFonts w:hint="eastAsia"/>
                <w:color w:val="auto"/>
                <w:sz w:val="24"/>
                <w:szCs w:val="24"/>
                <w:highlight w:val="none"/>
              </w:rPr>
              <w:t>的施工</w:t>
            </w:r>
            <w:r>
              <w:rPr>
                <w:color w:val="auto"/>
                <w:sz w:val="24"/>
                <w:szCs w:val="24"/>
                <w:highlight w:val="none"/>
              </w:rPr>
              <w:t>临建设施</w:t>
            </w:r>
            <w:r>
              <w:rPr>
                <w:rFonts w:hint="eastAsia"/>
                <w:color w:val="auto"/>
                <w:sz w:val="24"/>
                <w:szCs w:val="24"/>
                <w:highlight w:val="none"/>
              </w:rPr>
              <w:t>有石渣料场</w:t>
            </w:r>
            <w:r>
              <w:rPr>
                <w:color w:val="auto"/>
                <w:sz w:val="24"/>
                <w:szCs w:val="24"/>
                <w:highlight w:val="none"/>
              </w:rPr>
              <w:t>弃渣场以及配套的风、水、电和施工道路等。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 xml:space="preserve">⑶ </w:t>
            </w:r>
            <w:r>
              <w:rPr>
                <w:b/>
                <w:bCs/>
                <w:color w:val="auto"/>
                <w:sz w:val="24"/>
                <w:szCs w:val="24"/>
                <w:highlight w:val="none"/>
              </w:rPr>
              <w:t>施工场地</w:t>
            </w:r>
            <w:r>
              <w:rPr>
                <w:rFonts w:hint="eastAsia"/>
                <w:b/>
                <w:bCs/>
                <w:color w:val="auto"/>
                <w:sz w:val="24"/>
                <w:szCs w:val="24"/>
                <w:highlight w:val="none"/>
              </w:rPr>
              <w:t>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根据工程总体布置和施工总进度计划，结合施工总布置规划，对工程施工场地进行如下</w:t>
            </w:r>
            <w:r>
              <w:rPr>
                <w:rFonts w:hint="eastAsia"/>
                <w:color w:val="auto"/>
                <w:sz w:val="24"/>
                <w:szCs w:val="24"/>
                <w:highlight w:val="none"/>
              </w:rPr>
              <w:t>布置</w:t>
            </w:r>
            <w:r>
              <w:rPr>
                <w:color w:val="auto"/>
                <w:sz w:val="24"/>
                <w:szCs w:val="24"/>
                <w:highlight w:val="none"/>
              </w:rPr>
              <w:t>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①</w:t>
            </w:r>
            <w:r>
              <w:rPr>
                <w:rFonts w:hint="eastAsia"/>
                <w:color w:val="auto"/>
                <w:sz w:val="24"/>
                <w:szCs w:val="24"/>
                <w:highlight w:val="none"/>
                <w:lang w:val="en-US" w:eastAsia="zh-CN"/>
              </w:rPr>
              <w:t xml:space="preserve"> </w:t>
            </w:r>
            <w:r>
              <w:rPr>
                <w:rFonts w:hint="eastAsia"/>
                <w:color w:val="auto"/>
                <w:sz w:val="24"/>
                <w:szCs w:val="24"/>
                <w:highlight w:val="none"/>
              </w:rPr>
              <w:t>在大坝</w:t>
            </w:r>
            <w:r>
              <w:rPr>
                <w:color w:val="auto"/>
                <w:sz w:val="24"/>
                <w:szCs w:val="24"/>
                <w:highlight w:val="none"/>
              </w:rPr>
              <w:t>右岸下游20</w:t>
            </w:r>
            <w:r>
              <w:rPr>
                <w:rFonts w:hint="eastAsia"/>
                <w:color w:val="auto"/>
                <w:sz w:val="24"/>
                <w:szCs w:val="24"/>
                <w:highlight w:val="none"/>
              </w:rPr>
              <w:t>0-400</w:t>
            </w:r>
            <w:r>
              <w:rPr>
                <w:color w:val="auto"/>
                <w:sz w:val="24"/>
                <w:szCs w:val="24"/>
                <w:highlight w:val="none"/>
              </w:rPr>
              <w:t>m</w:t>
            </w:r>
            <w:r>
              <w:rPr>
                <w:rFonts w:hint="eastAsia"/>
                <w:color w:val="auto"/>
                <w:sz w:val="24"/>
                <w:szCs w:val="24"/>
                <w:highlight w:val="none"/>
              </w:rPr>
              <w:t>的</w:t>
            </w:r>
            <w:r>
              <w:rPr>
                <w:color w:val="auto"/>
                <w:sz w:val="24"/>
                <w:szCs w:val="24"/>
                <w:highlight w:val="none"/>
              </w:rPr>
              <w:t>缓坡阶地处布置办公</w:t>
            </w:r>
            <w:r>
              <w:rPr>
                <w:rFonts w:hint="eastAsia"/>
                <w:color w:val="auto"/>
                <w:sz w:val="24"/>
                <w:szCs w:val="24"/>
                <w:highlight w:val="none"/>
              </w:rPr>
              <w:t>生活</w:t>
            </w:r>
            <w:r>
              <w:rPr>
                <w:color w:val="auto"/>
                <w:sz w:val="24"/>
                <w:szCs w:val="24"/>
                <w:highlight w:val="none"/>
              </w:rPr>
              <w:t>设施、</w:t>
            </w:r>
            <w:r>
              <w:rPr>
                <w:rFonts w:hint="eastAsia"/>
                <w:color w:val="auto"/>
                <w:sz w:val="24"/>
                <w:szCs w:val="24"/>
                <w:highlight w:val="none"/>
              </w:rPr>
              <w:t>施工工厂</w:t>
            </w:r>
            <w:r>
              <w:rPr>
                <w:color w:val="auto"/>
                <w:sz w:val="24"/>
                <w:szCs w:val="24"/>
                <w:highlight w:val="none"/>
              </w:rPr>
              <w:t>设施（</w:t>
            </w:r>
            <w:r>
              <w:rPr>
                <w:rFonts w:hint="eastAsia"/>
                <w:color w:val="auto"/>
                <w:sz w:val="24"/>
                <w:szCs w:val="24"/>
                <w:highlight w:val="none"/>
              </w:rPr>
              <w:t>混凝土</w:t>
            </w:r>
            <w:r>
              <w:rPr>
                <w:color w:val="auto"/>
                <w:sz w:val="24"/>
                <w:szCs w:val="24"/>
                <w:highlight w:val="none"/>
              </w:rPr>
              <w:t>拌合站、综合加工厂、汽车保养</w:t>
            </w:r>
            <w:r>
              <w:rPr>
                <w:rFonts w:hint="eastAsia"/>
                <w:color w:val="auto"/>
                <w:sz w:val="24"/>
                <w:szCs w:val="24"/>
                <w:highlight w:val="none"/>
              </w:rPr>
              <w:t>站、</w:t>
            </w:r>
            <w:r>
              <w:rPr>
                <w:color w:val="auto"/>
                <w:sz w:val="24"/>
                <w:szCs w:val="24"/>
                <w:highlight w:val="none"/>
              </w:rPr>
              <w:t>综合</w:t>
            </w:r>
            <w:r>
              <w:rPr>
                <w:rFonts w:hint="eastAsia"/>
                <w:color w:val="auto"/>
                <w:sz w:val="24"/>
                <w:szCs w:val="24"/>
                <w:highlight w:val="none"/>
              </w:rPr>
              <w:t>仓库</w:t>
            </w:r>
            <w:r>
              <w:rPr>
                <w:color w:val="auto"/>
                <w:sz w:val="24"/>
                <w:szCs w:val="24"/>
                <w:highlight w:val="none"/>
              </w:rPr>
              <w:t>等）。</w:t>
            </w:r>
            <w:r>
              <w:rPr>
                <w:rFonts w:hint="eastAsia"/>
                <w:color w:val="auto"/>
                <w:sz w:val="24"/>
                <w:szCs w:val="24"/>
                <w:highlight w:val="none"/>
              </w:rPr>
              <w:t>场地</w:t>
            </w:r>
            <w:r>
              <w:rPr>
                <w:color w:val="auto"/>
                <w:sz w:val="24"/>
                <w:szCs w:val="24"/>
                <w:highlight w:val="none"/>
              </w:rPr>
              <w:t>高程满足20年一遇防洪要求</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rPr>
              <w:t>②</w:t>
            </w:r>
            <w:r>
              <w:rPr>
                <w:rFonts w:hint="eastAsia"/>
                <w:color w:val="auto"/>
                <w:sz w:val="24"/>
                <w:szCs w:val="24"/>
                <w:highlight w:val="none"/>
                <w:lang w:val="en-US" w:eastAsia="zh-CN"/>
              </w:rPr>
              <w:t xml:space="preserve"> </w:t>
            </w:r>
            <w:r>
              <w:rPr>
                <w:rFonts w:hint="eastAsia"/>
                <w:color w:val="auto"/>
                <w:sz w:val="24"/>
                <w:szCs w:val="24"/>
                <w:highlight w:val="none"/>
              </w:rPr>
              <w:t>在</w:t>
            </w:r>
            <w:r>
              <w:rPr>
                <w:color w:val="auto"/>
                <w:sz w:val="24"/>
                <w:szCs w:val="24"/>
                <w:highlight w:val="none"/>
              </w:rPr>
              <w:t>大坝</w:t>
            </w:r>
            <w:r>
              <w:rPr>
                <w:rFonts w:hint="eastAsia"/>
                <w:color w:val="auto"/>
                <w:sz w:val="24"/>
                <w:szCs w:val="24"/>
                <w:highlight w:val="none"/>
                <w:lang w:val="en-US" w:eastAsia="zh-CN"/>
              </w:rPr>
              <w:t>左</w:t>
            </w:r>
            <w:r>
              <w:rPr>
                <w:rFonts w:hint="eastAsia"/>
                <w:color w:val="auto"/>
                <w:sz w:val="24"/>
                <w:szCs w:val="24"/>
                <w:highlight w:val="none"/>
              </w:rPr>
              <w:t>岸</w:t>
            </w:r>
            <w:r>
              <w:rPr>
                <w:color w:val="auto"/>
                <w:sz w:val="24"/>
                <w:szCs w:val="24"/>
                <w:highlight w:val="none"/>
              </w:rPr>
              <w:t>坝</w:t>
            </w:r>
            <w:r>
              <w:rPr>
                <w:rFonts w:hint="eastAsia"/>
                <w:color w:val="auto"/>
                <w:sz w:val="24"/>
                <w:szCs w:val="24"/>
                <w:highlight w:val="none"/>
              </w:rPr>
              <w:t>肩</w:t>
            </w:r>
            <w:r>
              <w:rPr>
                <w:color w:val="auto"/>
                <w:sz w:val="24"/>
                <w:szCs w:val="24"/>
                <w:highlight w:val="none"/>
              </w:rPr>
              <w:t>附近的布置</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lang w:val="en-US" w:eastAsia="zh-CN"/>
              </w:rPr>
              <w:t>3#</w:t>
            </w:r>
            <w:r>
              <w:rPr>
                <w:color w:val="auto"/>
                <w:sz w:val="24"/>
                <w:szCs w:val="24"/>
                <w:highlight w:val="none"/>
              </w:rPr>
              <w:t>和</w:t>
            </w:r>
            <w:r>
              <w:rPr>
                <w:rFonts w:hint="eastAsia"/>
                <w:color w:val="auto"/>
                <w:sz w:val="24"/>
                <w:szCs w:val="24"/>
                <w:highlight w:val="none"/>
                <w:lang w:val="en-US" w:eastAsia="zh-CN"/>
              </w:rPr>
              <w:t>4</w:t>
            </w:r>
            <w:r>
              <w:rPr>
                <w:color w:val="auto"/>
                <w:sz w:val="24"/>
                <w:szCs w:val="24"/>
                <w:highlight w:val="none"/>
              </w:rPr>
              <w:t>#临时堆料场，</w:t>
            </w:r>
            <w:r>
              <w:rPr>
                <w:rFonts w:hint="eastAsia"/>
                <w:color w:val="auto"/>
                <w:sz w:val="24"/>
                <w:szCs w:val="24"/>
                <w:highlight w:val="none"/>
              </w:rPr>
              <w:t>用于堆放可</w:t>
            </w:r>
            <w:r>
              <w:rPr>
                <w:color w:val="auto"/>
                <w:sz w:val="24"/>
                <w:szCs w:val="24"/>
                <w:highlight w:val="none"/>
              </w:rPr>
              <w:t>利用的开挖料。</w:t>
            </w:r>
            <w:r>
              <w:rPr>
                <w:rFonts w:hint="eastAsia"/>
                <w:color w:val="auto"/>
                <w:sz w:val="24"/>
                <w:szCs w:val="24"/>
                <w:highlight w:val="none"/>
                <w:lang w:val="en-US" w:eastAsia="zh-CN"/>
              </w:rPr>
              <w:t>另外，在大坝右岸布设一处施工营地和沥青拌合站。其中：施工营地内包括办公设施区、混凝土拌合站、综合加工厂等。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rPr>
              <w:t>③</w:t>
            </w:r>
            <w:r>
              <w:rPr>
                <w:rFonts w:hint="eastAsia"/>
                <w:color w:val="auto"/>
                <w:sz w:val="24"/>
                <w:szCs w:val="24"/>
                <w:highlight w:val="none"/>
                <w:lang w:val="en-US" w:eastAsia="zh-CN"/>
              </w:rPr>
              <w:t xml:space="preserve"> 在大坝左岸溢洪道附近设置1#临时堆料场，主要用于溢洪道工程施工时原辅材料临时堆放。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lang w:val="en-US" w:eastAsia="zh-CN"/>
              </w:rPr>
              <w:t xml:space="preserve">④ </w:t>
            </w:r>
            <w:r>
              <w:rPr>
                <w:rFonts w:hint="eastAsia"/>
                <w:color w:val="auto"/>
                <w:sz w:val="24"/>
                <w:szCs w:val="24"/>
                <w:highlight w:val="none"/>
              </w:rPr>
              <w:t>在赵家山料场上游侧</w:t>
            </w:r>
            <w:r>
              <w:rPr>
                <w:color w:val="auto"/>
                <w:sz w:val="24"/>
                <w:szCs w:val="24"/>
                <w:highlight w:val="none"/>
              </w:rPr>
              <w:t>支沟布置</w:t>
            </w:r>
            <w:r>
              <w:rPr>
                <w:rFonts w:hint="eastAsia"/>
                <w:color w:val="auto"/>
                <w:sz w:val="24"/>
                <w:szCs w:val="24"/>
                <w:highlight w:val="none"/>
              </w:rPr>
              <w:t>弃渣场</w:t>
            </w:r>
            <w:r>
              <w:rPr>
                <w:color w:val="auto"/>
                <w:sz w:val="24"/>
                <w:szCs w:val="24"/>
                <w:highlight w:val="none"/>
              </w:rPr>
              <w:t>，用于堆放</w:t>
            </w:r>
            <w:r>
              <w:rPr>
                <w:rFonts w:hint="eastAsia"/>
                <w:color w:val="auto"/>
                <w:sz w:val="24"/>
                <w:szCs w:val="24"/>
                <w:highlight w:val="none"/>
              </w:rPr>
              <w:t>主体</w:t>
            </w:r>
            <w:r>
              <w:rPr>
                <w:color w:val="auto"/>
                <w:sz w:val="24"/>
                <w:szCs w:val="24"/>
                <w:highlight w:val="none"/>
              </w:rPr>
              <w:t>工程</w:t>
            </w:r>
            <w:r>
              <w:rPr>
                <w:rFonts w:hint="eastAsia"/>
                <w:color w:val="auto"/>
                <w:sz w:val="24"/>
                <w:szCs w:val="24"/>
                <w:highlight w:val="none"/>
              </w:rPr>
              <w:t>和赵家山料场开挖</w:t>
            </w:r>
            <w:r>
              <w:rPr>
                <w:color w:val="auto"/>
                <w:sz w:val="24"/>
                <w:szCs w:val="24"/>
                <w:highlight w:val="none"/>
              </w:rPr>
              <w:t>的无用料</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表2-14    三合水库枢纽工程临建工程特性表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845"/>
              <w:gridCol w:w="1326"/>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项目</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数量</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一</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交通工程</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新建公路（路面宽6m）</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0.6km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等外公路，后期改造为5m宽永久砼路面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新建公路（路面宽6m）</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3.44km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场内三级泥结碎石路面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新建公路（路面宽3.5m）</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1.29km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场内三级泥结碎石路面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二</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风水电通讯工程</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抽水泵站</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3座</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100m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蓄水池1座，50m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蓄水池2座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10kV供电线路</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降压站</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3座</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315kV、500kV、800kV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空压站</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3座</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5</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通讯线路</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三</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房建工程</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生活福利设施</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1600m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租赁建筑面积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仓库系统</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350m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四</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主要施工工厂</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混凝土拌合系统</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3800m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LHB沥青混凝土拌合站</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1500m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综合加工厂</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2000m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汽车机械保养站</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800m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五</w:t>
                  </w:r>
                </w:p>
              </w:tc>
              <w:tc>
                <w:tcPr>
                  <w:tcW w:w="284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施工临时占地</w:t>
                  </w:r>
                </w:p>
              </w:tc>
              <w:tc>
                <w:tcPr>
                  <w:tcW w:w="7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14.575hm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灌区</w:t>
            </w:r>
            <w:r>
              <w:rPr>
                <w:rFonts w:hint="eastAsia" w:ascii="Times New Roman" w:hAnsi="Times New Roman" w:cs="Times New Roman"/>
                <w:b/>
                <w:bCs/>
                <w:color w:val="auto"/>
                <w:sz w:val="24"/>
                <w:szCs w:val="24"/>
                <w:highlight w:val="none"/>
                <w:lang w:eastAsia="zh-CN"/>
              </w:rPr>
              <w:t>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 w:val="24"/>
                <w:szCs w:val="24"/>
                <w:highlight w:val="none"/>
              </w:rPr>
            </w:pPr>
            <w:r>
              <w:rPr>
                <w:rFonts w:hint="eastAsia"/>
                <w:bCs/>
                <w:color w:val="auto"/>
                <w:sz w:val="24"/>
                <w:szCs w:val="24"/>
                <w:highlight w:val="none"/>
              </w:rPr>
              <w:t>根据</w:t>
            </w:r>
            <w:r>
              <w:rPr>
                <w:bCs/>
                <w:color w:val="auto"/>
                <w:sz w:val="24"/>
                <w:szCs w:val="24"/>
                <w:highlight w:val="none"/>
              </w:rPr>
              <w:t>灌区工程管道</w:t>
            </w:r>
            <w:r>
              <w:rPr>
                <w:rFonts w:hint="eastAsia"/>
                <w:bCs/>
                <w:color w:val="auto"/>
                <w:sz w:val="24"/>
                <w:szCs w:val="24"/>
                <w:highlight w:val="none"/>
              </w:rPr>
              <w:t>线路</w:t>
            </w:r>
            <w:r>
              <w:rPr>
                <w:bCs/>
                <w:color w:val="auto"/>
                <w:sz w:val="24"/>
                <w:szCs w:val="24"/>
                <w:highlight w:val="none"/>
              </w:rPr>
              <w:t>布置特点，并结合</w:t>
            </w:r>
            <w:r>
              <w:rPr>
                <w:rFonts w:hint="eastAsia"/>
                <w:bCs/>
                <w:color w:val="auto"/>
                <w:sz w:val="24"/>
                <w:szCs w:val="24"/>
                <w:highlight w:val="none"/>
              </w:rPr>
              <w:t>施工</w:t>
            </w:r>
            <w:r>
              <w:rPr>
                <w:bCs/>
                <w:color w:val="auto"/>
                <w:sz w:val="24"/>
                <w:szCs w:val="24"/>
                <w:highlight w:val="none"/>
              </w:rPr>
              <w:t>临建设施的布置，规划为</w:t>
            </w:r>
            <w:r>
              <w:rPr>
                <w:rFonts w:hint="eastAsia"/>
                <w:bCs/>
                <w:color w:val="auto"/>
                <w:sz w:val="24"/>
                <w:szCs w:val="24"/>
                <w:highlight w:val="none"/>
              </w:rPr>
              <w:t>1</w:t>
            </w:r>
            <w:r>
              <w:rPr>
                <w:bCs/>
                <w:color w:val="auto"/>
                <w:sz w:val="24"/>
                <w:szCs w:val="24"/>
                <w:highlight w:val="none"/>
              </w:rPr>
              <w:t>个施工工区</w:t>
            </w:r>
            <w:r>
              <w:rPr>
                <w:rFonts w:hint="eastAsia"/>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auto"/>
                <w:sz w:val="24"/>
                <w:szCs w:val="24"/>
                <w:highlight w:val="none"/>
              </w:rPr>
            </w:pPr>
            <w:r>
              <w:rPr>
                <w:bCs/>
                <w:color w:val="auto"/>
                <w:sz w:val="24"/>
                <w:szCs w:val="24"/>
                <w:highlight w:val="none"/>
              </w:rPr>
              <w:t>该施工工区内布置</w:t>
            </w:r>
            <w:r>
              <w:rPr>
                <w:rFonts w:hint="eastAsia"/>
                <w:bCs/>
                <w:color w:val="auto"/>
                <w:sz w:val="24"/>
                <w:szCs w:val="24"/>
                <w:highlight w:val="none"/>
              </w:rPr>
              <w:t>3条</w:t>
            </w:r>
            <w:r>
              <w:rPr>
                <w:bCs/>
                <w:color w:val="auto"/>
                <w:sz w:val="24"/>
                <w:szCs w:val="24"/>
                <w:highlight w:val="none"/>
              </w:rPr>
              <w:t>施工道路</w:t>
            </w:r>
            <w:r>
              <w:rPr>
                <w:rFonts w:hint="eastAsia"/>
                <w:bCs/>
                <w:color w:val="auto"/>
                <w:sz w:val="24"/>
                <w:szCs w:val="24"/>
                <w:highlight w:val="none"/>
              </w:rPr>
              <w:t>，</w:t>
            </w:r>
            <w:r>
              <w:rPr>
                <w:bCs/>
                <w:color w:val="auto"/>
                <w:sz w:val="24"/>
                <w:szCs w:val="24"/>
                <w:highlight w:val="none"/>
              </w:rPr>
              <w:t>1个生产设施区</w:t>
            </w:r>
            <w:r>
              <w:rPr>
                <w:rFonts w:hint="eastAsia"/>
                <w:bCs/>
                <w:color w:val="auto"/>
                <w:sz w:val="24"/>
                <w:szCs w:val="24"/>
                <w:highlight w:val="none"/>
              </w:rPr>
              <w:t>及</w:t>
            </w:r>
            <w:r>
              <w:rPr>
                <w:bCs/>
                <w:color w:val="auto"/>
                <w:sz w:val="24"/>
                <w:szCs w:val="24"/>
                <w:highlight w:val="none"/>
              </w:rPr>
              <w:t>配套的施工交通</w:t>
            </w:r>
            <w:r>
              <w:rPr>
                <w:rFonts w:hint="eastAsia"/>
                <w:bCs/>
                <w:color w:val="auto"/>
                <w:sz w:val="24"/>
                <w:szCs w:val="24"/>
                <w:highlight w:val="none"/>
              </w:rPr>
              <w:t>、</w:t>
            </w:r>
            <w:r>
              <w:rPr>
                <w:bCs/>
                <w:color w:val="auto"/>
                <w:sz w:val="24"/>
                <w:szCs w:val="24"/>
                <w:highlight w:val="none"/>
              </w:rPr>
              <w:t>风水电等设施，</w:t>
            </w:r>
            <w:r>
              <w:rPr>
                <w:rFonts w:hint="eastAsia"/>
                <w:bCs/>
                <w:color w:val="auto"/>
                <w:sz w:val="24"/>
                <w:szCs w:val="24"/>
                <w:highlight w:val="none"/>
              </w:rPr>
              <w:t>生产设施</w:t>
            </w:r>
            <w:r>
              <w:rPr>
                <w:bCs/>
                <w:color w:val="auto"/>
                <w:sz w:val="24"/>
                <w:szCs w:val="24"/>
                <w:highlight w:val="none"/>
              </w:rPr>
              <w:t>区位于桩号</w:t>
            </w:r>
            <w:r>
              <w:rPr>
                <w:rFonts w:hint="eastAsia"/>
                <w:bCs/>
                <w:color w:val="auto"/>
                <w:sz w:val="24"/>
                <w:szCs w:val="24"/>
                <w:highlight w:val="none"/>
              </w:rPr>
              <w:t>K6+600</w:t>
            </w:r>
            <w:r>
              <w:rPr>
                <w:bCs/>
                <w:color w:val="auto"/>
                <w:sz w:val="24"/>
                <w:szCs w:val="24"/>
                <w:highlight w:val="none"/>
              </w:rPr>
              <w:t>附近。生产</w:t>
            </w:r>
            <w:r>
              <w:rPr>
                <w:rFonts w:hint="eastAsia"/>
                <w:bCs/>
                <w:color w:val="auto"/>
                <w:sz w:val="24"/>
                <w:szCs w:val="24"/>
                <w:highlight w:val="none"/>
              </w:rPr>
              <w:t>设施</w:t>
            </w:r>
            <w:r>
              <w:rPr>
                <w:bCs/>
                <w:color w:val="auto"/>
                <w:sz w:val="24"/>
                <w:szCs w:val="24"/>
                <w:highlight w:val="none"/>
              </w:rPr>
              <w:t>区内布置有相应的综合加工</w:t>
            </w:r>
            <w:r>
              <w:rPr>
                <w:rFonts w:hint="eastAsia"/>
                <w:bCs/>
                <w:color w:val="auto"/>
                <w:sz w:val="24"/>
                <w:szCs w:val="24"/>
                <w:highlight w:val="none"/>
              </w:rPr>
              <w:t>系统</w:t>
            </w:r>
            <w:r>
              <w:rPr>
                <w:bCs/>
                <w:color w:val="auto"/>
                <w:sz w:val="24"/>
                <w:szCs w:val="24"/>
                <w:highlight w:val="none"/>
              </w:rPr>
              <w:t>、</w:t>
            </w:r>
            <w:r>
              <w:rPr>
                <w:rFonts w:hint="eastAsia"/>
                <w:bCs/>
                <w:color w:val="auto"/>
                <w:sz w:val="24"/>
                <w:szCs w:val="24"/>
                <w:highlight w:val="none"/>
              </w:rPr>
              <w:t>综合</w:t>
            </w:r>
            <w:r>
              <w:rPr>
                <w:bCs/>
                <w:color w:val="auto"/>
                <w:sz w:val="24"/>
                <w:szCs w:val="24"/>
                <w:highlight w:val="none"/>
              </w:rPr>
              <w:t>仓库、</w:t>
            </w:r>
            <w:r>
              <w:rPr>
                <w:rFonts w:hint="eastAsia"/>
                <w:bCs/>
                <w:color w:val="auto"/>
                <w:sz w:val="24"/>
                <w:szCs w:val="24"/>
                <w:highlight w:val="none"/>
              </w:rPr>
              <w:t>汽车</w:t>
            </w:r>
            <w:r>
              <w:rPr>
                <w:bCs/>
                <w:color w:val="auto"/>
                <w:sz w:val="24"/>
                <w:szCs w:val="24"/>
                <w:highlight w:val="none"/>
              </w:rPr>
              <w:t>机械</w:t>
            </w:r>
            <w:r>
              <w:rPr>
                <w:rFonts w:hint="eastAsia"/>
                <w:bCs/>
                <w:color w:val="auto"/>
                <w:sz w:val="24"/>
                <w:szCs w:val="24"/>
                <w:highlight w:val="none"/>
              </w:rPr>
              <w:t>保养</w:t>
            </w:r>
            <w:r>
              <w:rPr>
                <w:bCs/>
                <w:color w:val="auto"/>
                <w:sz w:val="24"/>
                <w:szCs w:val="24"/>
                <w:highlight w:val="none"/>
              </w:rPr>
              <w:t>停放</w:t>
            </w:r>
            <w:r>
              <w:rPr>
                <w:rFonts w:hint="eastAsia"/>
                <w:bCs/>
                <w:color w:val="auto"/>
                <w:sz w:val="24"/>
                <w:szCs w:val="24"/>
                <w:highlight w:val="none"/>
              </w:rPr>
              <w:t>站</w:t>
            </w:r>
            <w:r>
              <w:rPr>
                <w:bCs/>
                <w:color w:val="auto"/>
                <w:sz w:val="24"/>
                <w:szCs w:val="24"/>
                <w:highlight w:val="none"/>
              </w:rPr>
              <w:t>等。办公生活设施采取租赁</w:t>
            </w:r>
            <w:r>
              <w:rPr>
                <w:rFonts w:hint="eastAsia"/>
                <w:bCs/>
                <w:color w:val="auto"/>
                <w:sz w:val="24"/>
                <w:szCs w:val="24"/>
                <w:highlight w:val="none"/>
              </w:rPr>
              <w:t>当地民房</w:t>
            </w:r>
            <w:r>
              <w:rPr>
                <w:bCs/>
                <w:color w:val="auto"/>
                <w:sz w:val="24"/>
                <w:szCs w:val="24"/>
                <w:highlight w:val="none"/>
              </w:rPr>
              <w:t>。办公生活</w:t>
            </w:r>
            <w:r>
              <w:rPr>
                <w:rFonts w:hint="eastAsia"/>
                <w:bCs/>
                <w:color w:val="auto"/>
                <w:sz w:val="24"/>
                <w:szCs w:val="24"/>
                <w:highlight w:val="none"/>
              </w:rPr>
              <w:t>设施采取</w:t>
            </w:r>
            <w:r>
              <w:rPr>
                <w:bCs/>
                <w:color w:val="auto"/>
                <w:sz w:val="24"/>
                <w:szCs w:val="24"/>
                <w:highlight w:val="none"/>
              </w:rPr>
              <w:t>租赁当地</w:t>
            </w:r>
            <w:r>
              <w:rPr>
                <w:rFonts w:hint="eastAsia"/>
                <w:bCs/>
                <w:color w:val="auto"/>
                <w:sz w:val="24"/>
                <w:szCs w:val="24"/>
                <w:highlight w:val="none"/>
              </w:rPr>
              <w:t>民房</w:t>
            </w:r>
            <w:r>
              <w:rPr>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表2-15    三合水库罐区工程临建工程特性表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846"/>
              <w:gridCol w:w="1324"/>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项目</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数量</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一</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交通工程</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新建公路（路面宽3.5m）</w:t>
                  </w:r>
                </w:p>
              </w:tc>
              <w:tc>
                <w:tcPr>
                  <w:tcW w:w="72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1.68km</w:t>
                  </w:r>
                </w:p>
              </w:tc>
              <w:tc>
                <w:tcPr>
                  <w:tcW w:w="23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场内三级泥结碎石路面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二</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施工供电</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10kV供电线路</w:t>
                  </w:r>
                </w:p>
              </w:tc>
              <w:tc>
                <w:tcPr>
                  <w:tcW w:w="72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1km</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降压站</w:t>
                  </w:r>
                </w:p>
              </w:tc>
              <w:tc>
                <w:tcPr>
                  <w:tcW w:w="72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1座</w:t>
                  </w:r>
                </w:p>
              </w:tc>
              <w:tc>
                <w:tcPr>
                  <w:tcW w:w="23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250kV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三</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施工供水</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蓄水池</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1座</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50m</w:t>
                  </w:r>
                  <w:r>
                    <w:rPr>
                      <w:rFonts w:hint="eastAsia"/>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潜水泵</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3台</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10~15m</w:t>
                  </w:r>
                  <w:r>
                    <w:rPr>
                      <w:rFonts w:hint="eastAsia"/>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水箱</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4台</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容积3m</w:t>
                  </w:r>
                  <w:r>
                    <w:rPr>
                      <w:rFonts w:hint="eastAsia"/>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四</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施工供风</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空压站</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6座</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五</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临时房屋</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办公及生活房屋</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1000m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租赁建筑面积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生产房屋</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600m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w:t>
                  </w:r>
                </w:p>
              </w:tc>
              <w:tc>
                <w:tcPr>
                  <w:tcW w:w="284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仓库</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200m</w:t>
                  </w:r>
                  <w:r>
                    <w:rPr>
                      <w:rFonts w:hint="eastAsia"/>
                      <w:color w:val="auto"/>
                      <w:sz w:val="21"/>
                      <w:szCs w:val="21"/>
                      <w:highlight w:val="none"/>
                      <w:vertAlign w:val="superscript"/>
                      <w:lang w:val="en-US" w:eastAsia="zh-CN"/>
                    </w:rPr>
                    <w:t>2</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六</w:t>
                  </w:r>
                </w:p>
              </w:tc>
              <w:tc>
                <w:tcPr>
                  <w:tcW w:w="28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施工临时占地</w:t>
                  </w:r>
                </w:p>
              </w:tc>
              <w:tc>
                <w:tcPr>
                  <w:tcW w:w="72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8.99亩</w:t>
                  </w:r>
                </w:p>
              </w:tc>
              <w:tc>
                <w:tcPr>
                  <w:tcW w:w="2332"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0.60hm</w:t>
                  </w:r>
                  <w:r>
                    <w:rPr>
                      <w:rFonts w:hint="eastAsia"/>
                      <w:color w:val="auto"/>
                      <w:sz w:val="21"/>
                      <w:szCs w:val="21"/>
                      <w:highlight w:val="none"/>
                      <w:vertAlign w:val="superscript"/>
                      <w:lang w:val="en-US" w:eastAsia="zh-CN"/>
                    </w:rPr>
                    <w:t>2</w:t>
                  </w:r>
                </w:p>
              </w:tc>
            </w:tr>
          </w:tbl>
          <w:p>
            <w:pPr>
              <w:pStyle w:val="6"/>
              <w:spacing w:line="360" w:lineRule="auto"/>
              <w:ind w:firstLine="482" w:firstLineChars="200"/>
              <w:rPr>
                <w:rFonts w:hint="default" w:ascii="Arial" w:hAnsi="Arial" w:cs="Arial"/>
                <w:b/>
                <w:bCs/>
                <w:color w:val="auto"/>
                <w:sz w:val="24"/>
                <w:szCs w:val="24"/>
                <w:highlight w:val="none"/>
                <w:lang w:val="en-US" w:eastAsia="zh-CN"/>
              </w:rPr>
            </w:pPr>
            <w:r>
              <w:rPr>
                <w:rFonts w:hint="eastAsia" w:ascii="Arial" w:hAnsi="Arial" w:cs="Arial"/>
                <w:b/>
                <w:bCs/>
                <w:color w:val="auto"/>
                <w:sz w:val="24"/>
                <w:szCs w:val="24"/>
                <w:highlight w:val="none"/>
                <w:lang w:val="en-US" w:eastAsia="zh-CN"/>
              </w:rPr>
              <w:t>3、施工交通及施工总布置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⑴ </w:t>
            </w:r>
            <w:r>
              <w:rPr>
                <w:b/>
                <w:bCs/>
                <w:color w:val="auto"/>
                <w:sz w:val="24"/>
                <w:szCs w:val="24"/>
                <w:highlight w:val="none"/>
              </w:rPr>
              <w:t>对外交通运输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三合水库大坝枢纽工程位于旺苍县东河镇南峰村2组（右岸）与凤阳村5组（左岸）交界处，距离旺苍县城约7.5km。S202省道从旺苍县城经过，从S202省道连接144乡道，行驶约5km，转村道（144乡道～奉家河段）行驶约2.6km可到达坝址右岸</w:t>
            </w:r>
            <w:r>
              <w:rPr>
                <w:rFonts w:hint="eastAsia"/>
                <w:color w:val="auto"/>
                <w:sz w:val="24"/>
                <w:szCs w:val="24"/>
                <w:highlight w:val="none"/>
              </w:rPr>
              <w:t>坝肩</w:t>
            </w:r>
            <w:r>
              <w:rPr>
                <w:color w:val="auto"/>
                <w:sz w:val="24"/>
                <w:szCs w:val="24"/>
                <w:highlight w:val="none"/>
              </w:rPr>
              <w:t>。工程对外交通较为便利。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⑵ </w:t>
            </w:r>
            <w:r>
              <w:rPr>
                <w:b/>
                <w:bCs/>
                <w:color w:val="auto"/>
                <w:sz w:val="24"/>
                <w:szCs w:val="24"/>
                <w:highlight w:val="none"/>
              </w:rPr>
              <w:t>场内交通标准及长度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color w:val="auto"/>
                <w:sz w:val="24"/>
                <w:szCs w:val="24"/>
                <w:highlight w:val="none"/>
              </w:rPr>
              <w:t>因坝址区地形较陡，施工临时道路除主要运输线路采用6m宽路面外，其余采用3.5m宽路面，并间距100-200m布置错车道；场内施工道路采用场内三级道路标准，泥结碎石路面，道路设计最大纵坡为10%（部分11</w:t>
            </w:r>
            <w:r>
              <w:rPr>
                <w:rFonts w:hint="eastAsia"/>
                <w:color w:val="auto"/>
                <w:sz w:val="24"/>
                <w:szCs w:val="24"/>
                <w:highlight w:val="none"/>
              </w:rPr>
              <w:t>-</w:t>
            </w:r>
            <w:r>
              <w:rPr>
                <w:color w:val="auto"/>
                <w:sz w:val="24"/>
                <w:szCs w:val="24"/>
                <w:highlight w:val="none"/>
              </w:rPr>
              <w:t>13%）。场内施工道路总长5.33</w:t>
            </w:r>
            <w:r>
              <w:rPr>
                <w:rFonts w:hint="eastAsia"/>
                <w:color w:val="auto"/>
                <w:sz w:val="24"/>
                <w:szCs w:val="24"/>
                <w:highlight w:val="none"/>
                <w:lang w:val="en-US" w:eastAsia="zh-CN"/>
              </w:rPr>
              <w:t>k</w:t>
            </w:r>
            <w:r>
              <w:rPr>
                <w:color w:val="auto"/>
                <w:sz w:val="24"/>
                <w:szCs w:val="24"/>
                <w:highlight w:val="none"/>
              </w:rPr>
              <w:t>m，其中新建3.5m宽道路1.29km，新建6m宽道路4.04km。</w:t>
            </w:r>
            <w:r>
              <w:rPr>
                <w:rFonts w:hint="eastAsia"/>
                <w:color w:val="auto"/>
                <w:sz w:val="24"/>
                <w:szCs w:val="24"/>
                <w:highlight w:val="none"/>
                <w:lang w:val="en-US" w:eastAsia="zh-CN"/>
              </w:rPr>
              <w:t>项目施工交通特征表如下：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color w:val="auto"/>
                <w:sz w:val="21"/>
                <w:szCs w:val="21"/>
                <w:highlight w:val="none"/>
                <w:lang w:val="en-US" w:eastAsia="zh-CN"/>
              </w:rPr>
            </w:pPr>
            <w:r>
              <w:rPr>
                <w:rFonts w:hint="eastAsia"/>
                <w:b/>
                <w:color w:val="auto"/>
                <w:sz w:val="21"/>
                <w:szCs w:val="21"/>
                <w:highlight w:val="none"/>
                <w:lang w:val="en-US" w:eastAsia="zh-CN"/>
              </w:rPr>
              <w:t>表2-16    三合水库施工交通特性表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593"/>
              <w:gridCol w:w="1043"/>
              <w:gridCol w:w="1118"/>
              <w:gridCol w:w="2860"/>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项目</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新建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w:t>
                  </w:r>
                  <w:r>
                    <w:rPr>
                      <w:rFonts w:hint="eastAsia"/>
                      <w:color w:val="auto"/>
                      <w:sz w:val="21"/>
                      <w:szCs w:val="21"/>
                      <w:highlight w:val="none"/>
                      <w:vertAlign w:val="baseline"/>
                      <w:lang w:val="en-US" w:eastAsia="zh-CN"/>
                    </w:rPr>
                    <w:t>km</w:t>
                  </w:r>
                  <w:r>
                    <w:rPr>
                      <w:rFonts w:hint="eastAsia"/>
                      <w:b/>
                      <w:bCs/>
                      <w:color w:val="auto"/>
                      <w:sz w:val="21"/>
                      <w:szCs w:val="21"/>
                      <w:highlight w:val="none"/>
                      <w:vertAlign w:val="baseline"/>
                      <w:lang w:val="en-US" w:eastAsia="zh-CN"/>
                    </w:rPr>
                    <w:t>）</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路面宽度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（m）</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路径</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一</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枢纽工程</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0.6</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现有乡村道路（2#施工道路）-大坝右肩-大大坝上游右岸现有乡村道路</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后期改造为5m款的永久上坝道路，砼路面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0.6</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现有乡村道路-施工营地-大坝下游河床</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0.13</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1#施工道路-库区上游4#临时堆料场</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0.38</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1#施工道路-现有道路-霸体临时挡水断面-8#施工道路</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5</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5#施工道路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0.36</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现有乡村道路-导流取水隧洞出口</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0.41</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5#施工道路-左岸坝基554m高程-导流隧涧进口-7#施工道路</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7</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7#施工道路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0.72</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大坝上游河床-8#施工道路-溢洪道进口</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1.48</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大坝左岸570m高程-7#施工道路-弃渣场顶</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9#施工道路</w:t>
                  </w:r>
                </w:p>
              </w:tc>
              <w:tc>
                <w:tcPr>
                  <w:tcW w:w="5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0.28</w:t>
                  </w:r>
                </w:p>
              </w:tc>
              <w:tc>
                <w:tcPr>
                  <w:tcW w:w="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6</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8#施工道路-弃渣场665m高程-赵家山石渣料场552m平台</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0.2</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现有村道-弃渣场定-赵家山料场692m高程</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11</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11#施工道路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0.17</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7#施工道路-溢洪道599m平台</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合计</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5.33</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二</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灌区</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1.18</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9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0.15</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9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w:t>
                  </w:r>
                </w:p>
              </w:tc>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3#施工道路</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0.35</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99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合计</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1.68</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总计</w:t>
                  </w:r>
                </w:p>
              </w:tc>
              <w:tc>
                <w:tcPr>
                  <w:tcW w:w="5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7.01</w:t>
                  </w:r>
                </w:p>
              </w:tc>
              <w:tc>
                <w:tcPr>
                  <w:tcW w:w="6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15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⑶ </w:t>
            </w:r>
            <w:r>
              <w:rPr>
                <w:b/>
                <w:bCs/>
                <w:color w:val="auto"/>
                <w:sz w:val="24"/>
                <w:szCs w:val="24"/>
                <w:highlight w:val="none"/>
              </w:rPr>
              <w:t>施工工厂设施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①</w:t>
            </w:r>
            <w:r>
              <w:rPr>
                <w:rFonts w:hint="eastAsia"/>
                <w:color w:val="auto"/>
                <w:sz w:val="24"/>
                <w:szCs w:val="24"/>
                <w:highlight w:val="none"/>
                <w:lang w:val="en-US" w:eastAsia="zh-CN"/>
              </w:rPr>
              <w:t xml:space="preserve"> </w:t>
            </w:r>
            <w:r>
              <w:rPr>
                <w:color w:val="auto"/>
                <w:sz w:val="24"/>
                <w:szCs w:val="24"/>
                <w:highlight w:val="none"/>
              </w:rPr>
              <w:t>由于工程所需混凝土砂石骨料、沥青混凝土灰岩粗细骨料</w:t>
            </w:r>
            <w:r>
              <w:rPr>
                <w:rFonts w:hint="eastAsia"/>
                <w:color w:val="auto"/>
                <w:sz w:val="24"/>
                <w:szCs w:val="24"/>
                <w:highlight w:val="none"/>
              </w:rPr>
              <w:t>、</w:t>
            </w:r>
            <w:r>
              <w:rPr>
                <w:color w:val="auto"/>
                <w:sz w:val="24"/>
                <w:szCs w:val="24"/>
                <w:highlight w:val="none"/>
              </w:rPr>
              <w:t>排水带料以及过渡料</w:t>
            </w:r>
            <w:r>
              <w:rPr>
                <w:rFonts w:hint="eastAsia"/>
                <w:color w:val="auto"/>
                <w:sz w:val="24"/>
                <w:szCs w:val="24"/>
                <w:highlight w:val="none"/>
              </w:rPr>
              <w:t>（含碎石垫层料）</w:t>
            </w:r>
            <w:r>
              <w:rPr>
                <w:color w:val="auto"/>
                <w:sz w:val="24"/>
                <w:szCs w:val="24"/>
                <w:highlight w:val="none"/>
              </w:rPr>
              <w:t>均采用外购，故</w:t>
            </w:r>
            <w:r>
              <w:rPr>
                <w:b/>
                <w:bCs/>
                <w:color w:val="auto"/>
                <w:sz w:val="24"/>
                <w:szCs w:val="24"/>
                <w:highlight w:val="none"/>
                <w:u w:val="single"/>
              </w:rPr>
              <w:t>本工程不设置砂石加工系统</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②</w:t>
            </w:r>
            <w:r>
              <w:rPr>
                <w:rFonts w:hint="eastAsia"/>
                <w:color w:val="auto"/>
                <w:sz w:val="24"/>
                <w:szCs w:val="24"/>
                <w:highlight w:val="none"/>
                <w:lang w:val="en-US" w:eastAsia="zh-CN"/>
              </w:rPr>
              <w:t xml:space="preserve"> </w:t>
            </w:r>
            <w:r>
              <w:rPr>
                <w:color w:val="auto"/>
                <w:sz w:val="24"/>
                <w:szCs w:val="24"/>
                <w:highlight w:val="none"/>
              </w:rPr>
              <w:t>根据本工程建筑物布置的特点和现场场地限制条件，综合考虑各不均衡系数和不同标号的混凝土拌制需要，设置</w:t>
            </w:r>
            <w:r>
              <w:rPr>
                <w:b/>
                <w:bCs/>
                <w:color w:val="auto"/>
                <w:sz w:val="24"/>
                <w:szCs w:val="24"/>
                <w:highlight w:val="none"/>
              </w:rPr>
              <w:t>HZS60混凝土拌合站一座</w:t>
            </w:r>
            <w:r>
              <w:rPr>
                <w:color w:val="auto"/>
                <w:sz w:val="24"/>
                <w:szCs w:val="24"/>
                <w:highlight w:val="none"/>
              </w:rPr>
              <w:t>，布置于大坝</w:t>
            </w:r>
            <w:r>
              <w:rPr>
                <w:rFonts w:hint="eastAsia"/>
                <w:color w:val="auto"/>
                <w:sz w:val="24"/>
                <w:szCs w:val="24"/>
                <w:highlight w:val="none"/>
                <w:lang w:val="en-US" w:eastAsia="zh-CN"/>
              </w:rPr>
              <w:t>左</w:t>
            </w:r>
            <w:r>
              <w:rPr>
                <w:color w:val="auto"/>
                <w:sz w:val="24"/>
                <w:szCs w:val="24"/>
                <w:highlight w:val="none"/>
              </w:rPr>
              <w:t>岸</w:t>
            </w:r>
            <w:r>
              <w:rPr>
                <w:rFonts w:hint="eastAsia"/>
                <w:color w:val="auto"/>
                <w:sz w:val="24"/>
                <w:szCs w:val="24"/>
                <w:highlight w:val="none"/>
                <w:lang w:val="en-US" w:eastAsia="zh-CN"/>
              </w:rPr>
              <w:t>下</w:t>
            </w:r>
            <w:r>
              <w:rPr>
                <w:color w:val="auto"/>
                <w:sz w:val="24"/>
                <w:szCs w:val="24"/>
                <w:highlight w:val="none"/>
              </w:rPr>
              <w:t>游350m处，额定生产能力为60m</w:t>
            </w:r>
            <w:r>
              <w:rPr>
                <w:color w:val="auto"/>
                <w:sz w:val="24"/>
                <w:szCs w:val="24"/>
                <w:highlight w:val="none"/>
                <w:vertAlign w:val="superscript"/>
              </w:rPr>
              <w:t>3</w:t>
            </w:r>
            <w:r>
              <w:rPr>
                <w:color w:val="auto"/>
                <w:sz w:val="24"/>
                <w:szCs w:val="24"/>
                <w:highlight w:val="none"/>
              </w:rPr>
              <w:t>/h。提供拦河大坝、溢洪道、取水（放空、导流）洞所需混凝土，混凝土拌合站总占地3800m</w:t>
            </w:r>
            <w:r>
              <w:rPr>
                <w:color w:val="auto"/>
                <w:sz w:val="24"/>
                <w:szCs w:val="24"/>
                <w:highlight w:val="none"/>
                <w:vertAlign w:val="superscript"/>
              </w:rPr>
              <w:t>2</w:t>
            </w:r>
            <w:r>
              <w:rPr>
                <w:color w:val="auto"/>
                <w:sz w:val="24"/>
                <w:szCs w:val="24"/>
                <w:highlight w:val="none"/>
              </w:rPr>
              <w:t>。同时布置2台0.35m</w:t>
            </w:r>
            <w:r>
              <w:rPr>
                <w:color w:val="auto"/>
                <w:sz w:val="24"/>
                <w:szCs w:val="24"/>
                <w:highlight w:val="none"/>
                <w:vertAlign w:val="superscript"/>
              </w:rPr>
              <w:t>3</w:t>
            </w:r>
            <w:r>
              <w:rPr>
                <w:color w:val="auto"/>
                <w:sz w:val="24"/>
                <w:szCs w:val="24"/>
                <w:highlight w:val="none"/>
              </w:rPr>
              <w:t>移动式混凝土拌和机，按照施工需要，灵活移动，用于临时工程、运输强度不大等部位。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color w:val="auto"/>
                <w:sz w:val="24"/>
                <w:szCs w:val="24"/>
                <w:highlight w:val="none"/>
              </w:rPr>
              <w:t>心墙沥青混凝土浇筑总量为</w:t>
            </w:r>
            <w:r>
              <w:rPr>
                <w:rFonts w:hint="eastAsia"/>
                <w:color w:val="auto"/>
                <w:sz w:val="24"/>
                <w:szCs w:val="24"/>
                <w:highlight w:val="none"/>
              </w:rPr>
              <w:t>0</w:t>
            </w:r>
            <w:r>
              <w:rPr>
                <w:color w:val="auto"/>
                <w:sz w:val="24"/>
                <w:szCs w:val="24"/>
                <w:highlight w:val="none"/>
              </w:rPr>
              <w:t>.</w:t>
            </w:r>
            <w:r>
              <w:rPr>
                <w:rFonts w:hint="eastAsia"/>
                <w:color w:val="auto"/>
                <w:sz w:val="24"/>
                <w:szCs w:val="24"/>
                <w:highlight w:val="none"/>
                <w:lang w:val="en-US" w:eastAsia="zh-CN"/>
              </w:rPr>
              <w:t>62</w:t>
            </w:r>
            <w:r>
              <w:rPr>
                <w:color w:val="auto"/>
                <w:sz w:val="24"/>
                <w:szCs w:val="24"/>
                <w:highlight w:val="none"/>
              </w:rPr>
              <w:t>万m</w:t>
            </w:r>
            <w:r>
              <w:rPr>
                <w:rFonts w:hint="eastAsia"/>
                <w:color w:val="auto"/>
                <w:sz w:val="24"/>
                <w:szCs w:val="24"/>
                <w:highlight w:val="none"/>
                <w:vertAlign w:val="superscript"/>
              </w:rPr>
              <w:t>3</w:t>
            </w:r>
            <w:r>
              <w:rPr>
                <w:rFonts w:hint="eastAsia"/>
                <w:color w:val="auto"/>
                <w:sz w:val="24"/>
                <w:szCs w:val="24"/>
                <w:highlight w:val="none"/>
              </w:rPr>
              <w:t>，</w:t>
            </w:r>
            <w:r>
              <w:rPr>
                <w:color w:val="auto"/>
                <w:sz w:val="24"/>
                <w:szCs w:val="24"/>
                <w:highlight w:val="none"/>
              </w:rPr>
              <w:t>月高峰强度为0.06万m</w:t>
            </w:r>
            <w:r>
              <w:rPr>
                <w:rFonts w:hint="eastAsia"/>
                <w:color w:val="auto"/>
                <w:sz w:val="24"/>
                <w:szCs w:val="24"/>
                <w:highlight w:val="none"/>
                <w:vertAlign w:val="superscript"/>
              </w:rPr>
              <w:t>3</w:t>
            </w:r>
            <w:r>
              <w:rPr>
                <w:color w:val="auto"/>
                <w:sz w:val="24"/>
                <w:szCs w:val="24"/>
                <w:highlight w:val="none"/>
              </w:rPr>
              <w:t>。根据施工方法，要求沥青混凝土拌和系统的生产能力12m</w:t>
            </w:r>
            <w:r>
              <w:rPr>
                <w:rFonts w:hint="eastAsia"/>
                <w:color w:val="auto"/>
                <w:sz w:val="24"/>
                <w:szCs w:val="24"/>
                <w:highlight w:val="none"/>
                <w:vertAlign w:val="superscript"/>
              </w:rPr>
              <w:t>3</w:t>
            </w:r>
            <w:r>
              <w:rPr>
                <w:color w:val="auto"/>
                <w:sz w:val="24"/>
                <w:szCs w:val="24"/>
                <w:highlight w:val="none"/>
              </w:rPr>
              <w:t>/h以上，</w:t>
            </w:r>
            <w:r>
              <w:rPr>
                <w:rFonts w:hint="eastAsia"/>
                <w:color w:val="auto"/>
                <w:sz w:val="24"/>
                <w:szCs w:val="24"/>
                <w:highlight w:val="none"/>
              </w:rPr>
              <w:t>现场</w:t>
            </w:r>
            <w:r>
              <w:rPr>
                <w:color w:val="auto"/>
                <w:sz w:val="24"/>
                <w:szCs w:val="24"/>
                <w:highlight w:val="none"/>
              </w:rPr>
              <w:t>配备LHB30型沥青混凝土拌和设备一套</w:t>
            </w:r>
            <w:r>
              <w:rPr>
                <w:rFonts w:hint="eastAsia"/>
                <w:color w:val="auto"/>
                <w:sz w:val="24"/>
                <w:szCs w:val="24"/>
                <w:highlight w:val="none"/>
              </w:rPr>
              <w:t>，位于</w:t>
            </w:r>
            <w:r>
              <w:rPr>
                <w:color w:val="auto"/>
                <w:sz w:val="24"/>
                <w:szCs w:val="24"/>
                <w:highlight w:val="none"/>
              </w:rPr>
              <w:t>大坝</w:t>
            </w:r>
            <w:r>
              <w:rPr>
                <w:rFonts w:hint="eastAsia"/>
                <w:color w:val="auto"/>
                <w:sz w:val="24"/>
                <w:szCs w:val="24"/>
                <w:highlight w:val="none"/>
                <w:lang w:val="en-US" w:eastAsia="zh-CN"/>
              </w:rPr>
              <w:t>左</w:t>
            </w:r>
            <w:r>
              <w:rPr>
                <w:color w:val="auto"/>
                <w:sz w:val="24"/>
                <w:szCs w:val="24"/>
                <w:highlight w:val="none"/>
              </w:rPr>
              <w:t>岸</w:t>
            </w:r>
            <w:r>
              <w:rPr>
                <w:rFonts w:hint="eastAsia"/>
                <w:color w:val="auto"/>
                <w:sz w:val="24"/>
                <w:szCs w:val="24"/>
                <w:highlight w:val="none"/>
                <w:lang w:val="en-US" w:eastAsia="zh-CN"/>
              </w:rPr>
              <w:t>下</w:t>
            </w:r>
            <w:r>
              <w:rPr>
                <w:color w:val="auto"/>
                <w:sz w:val="24"/>
                <w:szCs w:val="24"/>
                <w:highlight w:val="none"/>
              </w:rPr>
              <w:t>游</w:t>
            </w:r>
            <w:r>
              <w:rPr>
                <w:rFonts w:hint="eastAsia"/>
                <w:color w:val="auto"/>
                <w:sz w:val="24"/>
                <w:szCs w:val="24"/>
                <w:highlight w:val="none"/>
              </w:rPr>
              <w:t>，</w:t>
            </w:r>
            <w:r>
              <w:rPr>
                <w:color w:val="auto"/>
                <w:sz w:val="24"/>
                <w:szCs w:val="24"/>
                <w:highlight w:val="none"/>
              </w:rPr>
              <w:t>占地面积</w:t>
            </w:r>
            <w:r>
              <w:rPr>
                <w:rFonts w:hint="eastAsia"/>
                <w:color w:val="auto"/>
                <w:sz w:val="24"/>
                <w:szCs w:val="24"/>
                <w:highlight w:val="none"/>
              </w:rPr>
              <w:t>1</w:t>
            </w:r>
            <w:r>
              <w:rPr>
                <w:color w:val="auto"/>
                <w:sz w:val="24"/>
                <w:szCs w:val="24"/>
                <w:highlight w:val="none"/>
              </w:rPr>
              <w:t>500m</w:t>
            </w:r>
            <w:r>
              <w:rPr>
                <w:color w:val="auto"/>
                <w:sz w:val="24"/>
                <w:szCs w:val="24"/>
                <w:highlight w:val="none"/>
                <w:vertAlign w:val="superscript"/>
              </w:rPr>
              <w:t>3</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③</w:t>
            </w:r>
            <w:r>
              <w:rPr>
                <w:rFonts w:hint="eastAsia"/>
                <w:color w:val="auto"/>
                <w:sz w:val="24"/>
                <w:szCs w:val="24"/>
                <w:highlight w:val="none"/>
                <w:lang w:val="en-US" w:eastAsia="zh-CN"/>
              </w:rPr>
              <w:t xml:space="preserve"> </w:t>
            </w:r>
            <w:r>
              <w:rPr>
                <w:color w:val="auto"/>
                <w:sz w:val="24"/>
                <w:szCs w:val="24"/>
                <w:highlight w:val="none"/>
              </w:rPr>
              <w:t>本工程距旺苍县7.5km，旺苍县具备一定的机械修配及零配件加工能力，能满足工程机修需要，故本工程现场不设大型机械修配厂，尽量减少本工程辅助企业设施，仅设置汽车机械停放场，兼作汽车的维修、保养任务，布置于大坝</w:t>
            </w:r>
            <w:r>
              <w:rPr>
                <w:rFonts w:hint="eastAsia"/>
                <w:color w:val="auto"/>
                <w:sz w:val="24"/>
                <w:szCs w:val="24"/>
                <w:highlight w:val="none"/>
                <w:lang w:val="en-US" w:eastAsia="zh-CN"/>
              </w:rPr>
              <w:t>下</w:t>
            </w:r>
            <w:r>
              <w:rPr>
                <w:color w:val="auto"/>
                <w:sz w:val="24"/>
                <w:szCs w:val="24"/>
                <w:highlight w:val="none"/>
              </w:rPr>
              <w:t>游</w:t>
            </w:r>
            <w:r>
              <w:rPr>
                <w:rFonts w:hint="eastAsia"/>
                <w:color w:val="auto"/>
                <w:sz w:val="24"/>
                <w:szCs w:val="24"/>
                <w:highlight w:val="none"/>
                <w:lang w:val="en-US" w:eastAsia="zh-CN"/>
              </w:rPr>
              <w:t>左</w:t>
            </w:r>
            <w:r>
              <w:rPr>
                <w:color w:val="auto"/>
                <w:sz w:val="24"/>
                <w:szCs w:val="24"/>
                <w:highlight w:val="none"/>
              </w:rPr>
              <w:t>岸300m缓坡处，占地面积800m</w:t>
            </w:r>
            <w:r>
              <w:rPr>
                <w:color w:val="auto"/>
                <w:sz w:val="24"/>
                <w:szCs w:val="24"/>
                <w:highlight w:val="none"/>
                <w:vertAlign w:val="superscript"/>
              </w:rPr>
              <w:t>2</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④</w:t>
            </w:r>
            <w:r>
              <w:rPr>
                <w:rFonts w:hint="eastAsia"/>
                <w:color w:val="auto"/>
                <w:sz w:val="24"/>
                <w:szCs w:val="24"/>
                <w:highlight w:val="none"/>
                <w:lang w:val="en-US" w:eastAsia="zh-CN"/>
              </w:rPr>
              <w:t xml:space="preserve"> </w:t>
            </w:r>
            <w:r>
              <w:rPr>
                <w:color w:val="auto"/>
                <w:sz w:val="24"/>
                <w:szCs w:val="24"/>
                <w:highlight w:val="none"/>
              </w:rPr>
              <w:t>综合加工厂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三合</w:t>
            </w:r>
            <w:r>
              <w:rPr>
                <w:color w:val="auto"/>
                <w:sz w:val="24"/>
                <w:szCs w:val="24"/>
                <w:highlight w:val="none"/>
              </w:rPr>
              <w:t>水库枢纽工程在施工生产设施区内设置综合加工</w:t>
            </w:r>
            <w:r>
              <w:rPr>
                <w:rFonts w:hint="eastAsia"/>
                <w:color w:val="auto"/>
                <w:sz w:val="24"/>
                <w:szCs w:val="24"/>
                <w:highlight w:val="none"/>
              </w:rPr>
              <w:t>系统，</w:t>
            </w:r>
            <w:r>
              <w:rPr>
                <w:color w:val="auto"/>
                <w:sz w:val="24"/>
                <w:szCs w:val="24"/>
                <w:highlight w:val="none"/>
              </w:rPr>
              <w:t>包括钢筋加工厂</w:t>
            </w:r>
            <w:r>
              <w:rPr>
                <w:rFonts w:hint="eastAsia"/>
                <w:color w:val="auto"/>
                <w:sz w:val="24"/>
                <w:szCs w:val="24"/>
                <w:highlight w:val="none"/>
              </w:rPr>
              <w:t>、</w:t>
            </w:r>
            <w:r>
              <w:rPr>
                <w:color w:val="auto"/>
                <w:sz w:val="24"/>
                <w:szCs w:val="24"/>
                <w:highlight w:val="none"/>
              </w:rPr>
              <w:t>木材及模板加工堆放厂</w:t>
            </w:r>
            <w:r>
              <w:rPr>
                <w:rFonts w:hint="eastAsia"/>
                <w:color w:val="auto"/>
                <w:sz w:val="24"/>
                <w:szCs w:val="24"/>
                <w:highlight w:val="none"/>
              </w:rPr>
              <w:t>等，</w:t>
            </w:r>
            <w:r>
              <w:rPr>
                <w:color w:val="auto"/>
                <w:sz w:val="24"/>
                <w:szCs w:val="24"/>
                <w:highlight w:val="none"/>
              </w:rPr>
              <w:t>总占地面积</w:t>
            </w:r>
            <w:r>
              <w:rPr>
                <w:rFonts w:hint="eastAsia"/>
                <w:color w:val="auto"/>
                <w:sz w:val="24"/>
                <w:szCs w:val="24"/>
                <w:highlight w:val="none"/>
              </w:rPr>
              <w:t>2</w:t>
            </w:r>
            <w:r>
              <w:rPr>
                <w:color w:val="auto"/>
                <w:sz w:val="24"/>
                <w:szCs w:val="24"/>
                <w:highlight w:val="none"/>
              </w:rPr>
              <w:t>000m</w:t>
            </w:r>
            <w:r>
              <w:rPr>
                <w:color w:val="auto"/>
                <w:sz w:val="24"/>
                <w:szCs w:val="24"/>
                <w:highlight w:val="none"/>
                <w:vertAlign w:val="superscript"/>
              </w:rPr>
              <w:t>2</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⑤</w:t>
            </w:r>
            <w:r>
              <w:rPr>
                <w:rFonts w:hint="eastAsia"/>
                <w:color w:val="auto"/>
                <w:sz w:val="24"/>
                <w:szCs w:val="24"/>
                <w:highlight w:val="none"/>
                <w:lang w:val="en-US" w:eastAsia="zh-CN"/>
              </w:rPr>
              <w:t xml:space="preserve"> </w:t>
            </w:r>
            <w:r>
              <w:rPr>
                <w:color w:val="auto"/>
                <w:sz w:val="24"/>
                <w:szCs w:val="24"/>
                <w:highlight w:val="none"/>
              </w:rPr>
              <w:t>仓储系统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综合仓库主要用于存放施工期间所需的各种零配件、五金电气、油料、小型机械设备、安全防护装备等物资。设置综合仓库1座，布置于大坝右岸</w:t>
            </w:r>
            <w:r>
              <w:rPr>
                <w:rFonts w:hint="eastAsia"/>
                <w:color w:val="auto"/>
                <w:sz w:val="24"/>
                <w:szCs w:val="24"/>
                <w:highlight w:val="none"/>
                <w:lang w:val="en-US" w:eastAsia="zh-CN"/>
              </w:rPr>
              <w:t>上</w:t>
            </w:r>
            <w:r>
              <w:rPr>
                <w:color w:val="auto"/>
                <w:sz w:val="24"/>
                <w:szCs w:val="24"/>
                <w:highlight w:val="none"/>
              </w:rPr>
              <w:t>游350m的缓坡上，占地面积500m</w:t>
            </w:r>
            <w:r>
              <w:rPr>
                <w:color w:val="auto"/>
                <w:sz w:val="24"/>
                <w:szCs w:val="24"/>
                <w:highlight w:val="none"/>
                <w:vertAlign w:val="superscript"/>
              </w:rPr>
              <w:t>2</w:t>
            </w:r>
            <w:r>
              <w:rPr>
                <w:color w:val="auto"/>
                <w:sz w:val="24"/>
                <w:szCs w:val="24"/>
                <w:highlight w:val="none"/>
              </w:rPr>
              <w:t>。炸药库布置于大坝左岸下游300m的5#施工道路旁，占地面积100m</w:t>
            </w:r>
            <w:r>
              <w:rPr>
                <w:color w:val="auto"/>
                <w:sz w:val="24"/>
                <w:szCs w:val="24"/>
                <w:highlight w:val="none"/>
                <w:vertAlign w:val="superscript"/>
              </w:rPr>
              <w:t>2</w:t>
            </w:r>
            <w:r>
              <w:rPr>
                <w:color w:val="auto"/>
                <w:sz w:val="24"/>
                <w:szCs w:val="24"/>
                <w:highlight w:val="none"/>
              </w:rPr>
              <w:t>，具体布置要求以当地炸药储存使用相关管理办法要求为准。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⑥</w:t>
            </w:r>
            <w:r>
              <w:rPr>
                <w:rFonts w:hint="eastAsia"/>
                <w:color w:val="auto"/>
                <w:sz w:val="24"/>
                <w:szCs w:val="24"/>
                <w:highlight w:val="none"/>
                <w:lang w:val="en-US" w:eastAsia="zh-CN"/>
              </w:rPr>
              <w:t xml:space="preserve"> </w:t>
            </w:r>
            <w:r>
              <w:rPr>
                <w:color w:val="auto"/>
                <w:sz w:val="24"/>
                <w:szCs w:val="24"/>
                <w:highlight w:val="none"/>
              </w:rPr>
              <w:t>施工供风、供水、供电及通讯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三合</w:t>
            </w:r>
            <w:r>
              <w:rPr>
                <w:color w:val="auto"/>
                <w:sz w:val="24"/>
                <w:szCs w:val="24"/>
                <w:highlight w:val="none"/>
              </w:rPr>
              <w:t>水库枢纽工程</w:t>
            </w:r>
            <w:r>
              <w:rPr>
                <w:color w:val="auto"/>
                <w:kern w:val="0"/>
                <w:sz w:val="24"/>
                <w:szCs w:val="24"/>
                <w:highlight w:val="none"/>
              </w:rPr>
              <w:t>拟布置3座固定式供风系统，分别布置于大坝左岸上游和赵家山料场旁。同时配置2台移动式空压机，作为工作面零星用风和备用。设计供风总容量为158m</w:t>
            </w:r>
            <w:r>
              <w:rPr>
                <w:color w:val="auto"/>
                <w:kern w:val="0"/>
                <w:sz w:val="24"/>
                <w:szCs w:val="24"/>
                <w:highlight w:val="none"/>
                <w:vertAlign w:val="superscript"/>
              </w:rPr>
              <w:t>3</w:t>
            </w:r>
            <w:r>
              <w:rPr>
                <w:color w:val="auto"/>
                <w:kern w:val="0"/>
                <w:sz w:val="24"/>
                <w:szCs w:val="24"/>
                <w:highlight w:val="none"/>
              </w:rPr>
              <w:t>/min</w:t>
            </w:r>
            <w:r>
              <w:rPr>
                <w:color w:val="auto"/>
                <w:sz w:val="24"/>
                <w:szCs w:val="24"/>
                <w:highlight w:val="none"/>
              </w:rPr>
              <w:t>。</w:t>
            </w:r>
            <w:r>
              <w:rPr>
                <w:color w:val="auto"/>
                <w:kern w:val="0"/>
                <w:sz w:val="24"/>
                <w:szCs w:val="24"/>
                <w:highlight w:val="none"/>
              </w:rPr>
              <w:t>共设置3座独立的供水系统，系统高峰用水量为150m</w:t>
            </w:r>
            <w:r>
              <w:rPr>
                <w:color w:val="auto"/>
                <w:kern w:val="0"/>
                <w:sz w:val="24"/>
                <w:szCs w:val="24"/>
                <w:highlight w:val="none"/>
                <w:vertAlign w:val="superscript"/>
              </w:rPr>
              <w:t>3</w:t>
            </w:r>
            <w:r>
              <w:rPr>
                <w:color w:val="auto"/>
                <w:kern w:val="0"/>
                <w:sz w:val="24"/>
                <w:szCs w:val="24"/>
                <w:highlight w:val="none"/>
              </w:rPr>
              <w:t>/h，设计供水能力为159m</w:t>
            </w:r>
            <w:r>
              <w:rPr>
                <w:color w:val="auto"/>
                <w:kern w:val="0"/>
                <w:sz w:val="24"/>
                <w:szCs w:val="24"/>
                <w:highlight w:val="none"/>
                <w:vertAlign w:val="superscript"/>
              </w:rPr>
              <w:t>3</w:t>
            </w:r>
            <w:r>
              <w:rPr>
                <w:color w:val="auto"/>
                <w:kern w:val="0"/>
                <w:sz w:val="24"/>
                <w:szCs w:val="24"/>
                <w:highlight w:val="none"/>
              </w:rPr>
              <w:t>/h（未含生活用水）</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color w:val="auto"/>
                <w:sz w:val="24"/>
                <w:szCs w:val="24"/>
                <w:highlight w:val="none"/>
              </w:rPr>
              <w:t>本工程施工用电由东河镇凤阳村牵引10kV输电线至现场，共需铺设5km（其中3km计入永久供电线路，施工期前由项目业主建设完成），并设置3座降压站，分别位于大坝右岸下游进场道路旁、大坝左岸上游和赵家山料场旁，经降压站降压后引入各用电点使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⑷ </w:t>
            </w:r>
            <w:r>
              <w:rPr>
                <w:b/>
                <w:bCs/>
                <w:color w:val="auto"/>
                <w:sz w:val="24"/>
                <w:szCs w:val="24"/>
                <w:highlight w:val="none"/>
              </w:rPr>
              <w:t>土石方平衡及弃渣场规划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①</w:t>
            </w:r>
            <w:r>
              <w:rPr>
                <w:rFonts w:hint="eastAsia"/>
                <w:b/>
                <w:bCs/>
                <w:color w:val="auto"/>
                <w:sz w:val="24"/>
                <w:szCs w:val="24"/>
                <w:highlight w:val="none"/>
                <w:lang w:val="en-US" w:eastAsia="zh-CN"/>
              </w:rPr>
              <w:t xml:space="preserve"> </w:t>
            </w:r>
            <w:r>
              <w:rPr>
                <w:b/>
                <w:bCs/>
                <w:color w:val="auto"/>
                <w:sz w:val="24"/>
                <w:szCs w:val="24"/>
                <w:highlight w:val="none"/>
              </w:rPr>
              <w:t>开挖填筑工程量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三合水库枢纽工程（主体+导流+石料场）土石方开挖总量为54.75万m</w:t>
            </w:r>
            <w:r>
              <w:rPr>
                <w:color w:val="auto"/>
                <w:sz w:val="24"/>
                <w:szCs w:val="24"/>
                <w:highlight w:val="none"/>
                <w:vertAlign w:val="superscript"/>
              </w:rPr>
              <w:t>3</w:t>
            </w:r>
            <w:r>
              <w:rPr>
                <w:color w:val="auto"/>
                <w:sz w:val="24"/>
                <w:szCs w:val="24"/>
                <w:highlight w:val="none"/>
              </w:rPr>
              <w:t>（自然方），其中</w:t>
            </w:r>
            <w:r>
              <w:rPr>
                <w:rFonts w:hint="eastAsia"/>
                <w:color w:val="auto"/>
                <w:sz w:val="24"/>
                <w:szCs w:val="24"/>
                <w:highlight w:val="none"/>
                <w:lang w:eastAsia="zh-CN"/>
              </w:rPr>
              <w:t>：</w:t>
            </w:r>
            <w:r>
              <w:rPr>
                <w:color w:val="auto"/>
                <w:sz w:val="24"/>
                <w:szCs w:val="24"/>
                <w:highlight w:val="none"/>
              </w:rPr>
              <w:t>主体工程16.92万m</w:t>
            </w:r>
            <w:r>
              <w:rPr>
                <w:color w:val="auto"/>
                <w:sz w:val="24"/>
                <w:szCs w:val="24"/>
                <w:highlight w:val="none"/>
                <w:vertAlign w:val="superscript"/>
              </w:rPr>
              <w:t>3</w:t>
            </w:r>
            <w:r>
              <w:rPr>
                <w:color w:val="auto"/>
                <w:sz w:val="24"/>
                <w:szCs w:val="24"/>
                <w:highlight w:val="none"/>
              </w:rPr>
              <w:t>（自然方</w:t>
            </w:r>
            <w:r>
              <w:rPr>
                <w:rFonts w:hint="eastAsia"/>
                <w:color w:val="auto"/>
                <w:sz w:val="24"/>
                <w:szCs w:val="24"/>
                <w:highlight w:val="none"/>
                <w:lang w:eastAsia="zh-CN"/>
              </w:rPr>
              <w:t>，</w:t>
            </w:r>
            <w:r>
              <w:rPr>
                <w:rFonts w:hint="eastAsia"/>
                <w:color w:val="auto"/>
                <w:sz w:val="24"/>
                <w:szCs w:val="24"/>
                <w:highlight w:val="none"/>
                <w:lang w:val="en-US" w:eastAsia="zh-CN"/>
              </w:rPr>
              <w:t>包括</w:t>
            </w:r>
            <w:r>
              <w:rPr>
                <w:color w:val="auto"/>
                <w:sz w:val="24"/>
                <w:szCs w:val="24"/>
                <w:highlight w:val="none"/>
              </w:rPr>
              <w:t>土方开挖3.07万m</w:t>
            </w:r>
            <w:r>
              <w:rPr>
                <w:color w:val="auto"/>
                <w:sz w:val="24"/>
                <w:szCs w:val="24"/>
                <w:highlight w:val="none"/>
                <w:vertAlign w:val="superscript"/>
              </w:rPr>
              <w:t>3</w:t>
            </w:r>
            <w:r>
              <w:rPr>
                <w:color w:val="auto"/>
                <w:sz w:val="24"/>
                <w:szCs w:val="24"/>
                <w:highlight w:val="none"/>
              </w:rPr>
              <w:t>（自然方），石方开挖13.85万m</w:t>
            </w:r>
            <w:r>
              <w:rPr>
                <w:color w:val="auto"/>
                <w:sz w:val="24"/>
                <w:szCs w:val="24"/>
                <w:highlight w:val="none"/>
                <w:vertAlign w:val="superscript"/>
              </w:rPr>
              <w:t>3</w:t>
            </w:r>
            <w:r>
              <w:rPr>
                <w:color w:val="auto"/>
                <w:sz w:val="24"/>
                <w:szCs w:val="24"/>
                <w:highlight w:val="none"/>
              </w:rPr>
              <w:t>（自然方）），导流工程开挖0.17万m</w:t>
            </w:r>
            <w:r>
              <w:rPr>
                <w:color w:val="auto"/>
                <w:sz w:val="24"/>
                <w:szCs w:val="24"/>
                <w:highlight w:val="none"/>
                <w:vertAlign w:val="superscript"/>
              </w:rPr>
              <w:t>3</w:t>
            </w:r>
            <w:r>
              <w:rPr>
                <w:color w:val="auto"/>
                <w:sz w:val="24"/>
                <w:szCs w:val="24"/>
                <w:highlight w:val="none"/>
              </w:rPr>
              <w:t>（自然方），石料场开采37.58万m</w:t>
            </w:r>
            <w:r>
              <w:rPr>
                <w:color w:val="auto"/>
                <w:sz w:val="24"/>
                <w:szCs w:val="24"/>
                <w:highlight w:val="none"/>
                <w:vertAlign w:val="superscript"/>
              </w:rPr>
              <w:t>3</w:t>
            </w:r>
            <w:r>
              <w:rPr>
                <w:color w:val="auto"/>
                <w:sz w:val="24"/>
                <w:szCs w:val="24"/>
                <w:highlight w:val="none"/>
              </w:rPr>
              <w:t>（自然方）。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三合水库枢纽工程（主体+导流）土石方填筑总量为50.80万m</w:t>
            </w:r>
            <w:r>
              <w:rPr>
                <w:color w:val="auto"/>
                <w:sz w:val="24"/>
                <w:szCs w:val="24"/>
                <w:highlight w:val="none"/>
                <w:vertAlign w:val="superscript"/>
              </w:rPr>
              <w:t>3</w:t>
            </w:r>
            <w:r>
              <w:rPr>
                <w:color w:val="auto"/>
                <w:sz w:val="24"/>
                <w:szCs w:val="24"/>
                <w:highlight w:val="none"/>
              </w:rPr>
              <w:t>（压实方），其中主体工程土石填筑50.40万m</w:t>
            </w:r>
            <w:r>
              <w:rPr>
                <w:color w:val="auto"/>
                <w:sz w:val="24"/>
                <w:szCs w:val="24"/>
                <w:highlight w:val="none"/>
                <w:vertAlign w:val="superscript"/>
              </w:rPr>
              <w:t>3</w:t>
            </w:r>
            <w:r>
              <w:rPr>
                <w:color w:val="auto"/>
                <w:sz w:val="24"/>
                <w:szCs w:val="24"/>
                <w:highlight w:val="none"/>
              </w:rPr>
              <w:t>（压实方），导流工程土石填筑0.40万m</w:t>
            </w:r>
            <w:r>
              <w:rPr>
                <w:color w:val="auto"/>
                <w:sz w:val="24"/>
                <w:szCs w:val="24"/>
                <w:highlight w:val="none"/>
                <w:vertAlign w:val="superscript"/>
              </w:rPr>
              <w:t>3</w:t>
            </w:r>
            <w:r>
              <w:rPr>
                <w:color w:val="auto"/>
                <w:sz w:val="24"/>
                <w:szCs w:val="24"/>
                <w:highlight w:val="none"/>
              </w:rPr>
              <w:t>（压实方）。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②</w:t>
            </w:r>
            <w:r>
              <w:rPr>
                <w:rFonts w:hint="eastAsia"/>
                <w:b/>
                <w:bCs/>
                <w:color w:val="auto"/>
                <w:sz w:val="24"/>
                <w:szCs w:val="24"/>
                <w:highlight w:val="none"/>
                <w:lang w:val="en-US" w:eastAsia="zh-CN"/>
              </w:rPr>
              <w:t xml:space="preserve"> </w:t>
            </w:r>
            <w:r>
              <w:rPr>
                <w:b/>
                <w:bCs/>
                <w:color w:val="auto"/>
                <w:sz w:val="24"/>
                <w:szCs w:val="24"/>
                <w:highlight w:val="none"/>
              </w:rPr>
              <w:t>土石方平衡及弃渣量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color w:val="auto"/>
                <w:sz w:val="24"/>
                <w:szCs w:val="24"/>
                <w:highlight w:val="none"/>
                <w:u w:val="single"/>
              </w:rPr>
            </w:pPr>
            <w:r>
              <w:rPr>
                <w:color w:val="auto"/>
                <w:sz w:val="24"/>
                <w:szCs w:val="24"/>
                <w:highlight w:val="none"/>
              </w:rPr>
              <w:t>经土石方平衡分析计算，本工程无用料</w:t>
            </w:r>
            <w:r>
              <w:rPr>
                <w:rFonts w:hint="eastAsia"/>
                <w:color w:val="auto"/>
                <w:sz w:val="24"/>
                <w:szCs w:val="24"/>
                <w:highlight w:val="none"/>
              </w:rPr>
              <w:t>（含料场剥离料）</w:t>
            </w:r>
            <w:r>
              <w:rPr>
                <w:color w:val="auto"/>
                <w:sz w:val="24"/>
                <w:szCs w:val="24"/>
                <w:highlight w:val="none"/>
              </w:rPr>
              <w:t>18.08万m</w:t>
            </w:r>
            <w:r>
              <w:rPr>
                <w:color w:val="auto"/>
                <w:sz w:val="24"/>
                <w:szCs w:val="24"/>
                <w:highlight w:val="none"/>
                <w:vertAlign w:val="superscript"/>
              </w:rPr>
              <w:t>3</w:t>
            </w:r>
            <w:r>
              <w:rPr>
                <w:color w:val="auto"/>
                <w:sz w:val="24"/>
                <w:szCs w:val="24"/>
                <w:highlight w:val="none"/>
              </w:rPr>
              <w:t>（自然方），考虑5%的开挖运输损耗后，换算</w:t>
            </w:r>
            <w:r>
              <w:rPr>
                <w:b w:val="0"/>
                <w:bCs w:val="0"/>
                <w:color w:val="auto"/>
                <w:sz w:val="24"/>
                <w:szCs w:val="24"/>
                <w:highlight w:val="none"/>
                <w:u w:val="none"/>
              </w:rPr>
              <w:t>成</w:t>
            </w:r>
            <w:r>
              <w:rPr>
                <w:b/>
                <w:bCs/>
                <w:color w:val="auto"/>
                <w:sz w:val="24"/>
                <w:szCs w:val="24"/>
                <w:highlight w:val="none"/>
                <w:u w:val="single"/>
              </w:rPr>
              <w:t>松方为22.90万m</w:t>
            </w:r>
            <w:r>
              <w:rPr>
                <w:b/>
                <w:bCs/>
                <w:color w:val="auto"/>
                <w:sz w:val="24"/>
                <w:szCs w:val="24"/>
                <w:highlight w:val="none"/>
                <w:u w:val="single"/>
                <w:vertAlign w:val="superscript"/>
              </w:rPr>
              <w:t>3</w:t>
            </w:r>
            <w:r>
              <w:rPr>
                <w:b/>
                <w:bCs/>
                <w:color w:val="auto"/>
                <w:sz w:val="24"/>
                <w:szCs w:val="24"/>
                <w:highlight w:val="none"/>
                <w:u w:val="single"/>
              </w:rPr>
              <w:t>，运至赵家山石渣料场旁的弃渣场。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③</w:t>
            </w:r>
            <w:r>
              <w:rPr>
                <w:rFonts w:hint="eastAsia"/>
                <w:b/>
                <w:bCs/>
                <w:color w:val="auto"/>
                <w:sz w:val="24"/>
                <w:szCs w:val="24"/>
                <w:highlight w:val="none"/>
                <w:lang w:val="en-US" w:eastAsia="zh-CN"/>
              </w:rPr>
              <w:t xml:space="preserve"> </w:t>
            </w:r>
            <w:r>
              <w:rPr>
                <w:b/>
                <w:bCs/>
                <w:color w:val="auto"/>
                <w:sz w:val="24"/>
                <w:szCs w:val="24"/>
                <w:highlight w:val="none"/>
              </w:rPr>
              <w:t>弃渣场规划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根据现场的实际情况，并结合水土保持和环保要求，本工程共设置1个弃渣场，位于赵家山料场旁支沟处，弃渣场占地面积2.57hm</w:t>
            </w:r>
            <w:r>
              <w:rPr>
                <w:color w:val="auto"/>
                <w:sz w:val="24"/>
                <w:szCs w:val="24"/>
                <w:highlight w:val="none"/>
                <w:vertAlign w:val="superscript"/>
              </w:rPr>
              <w:t>2</w:t>
            </w:r>
            <w:r>
              <w:rPr>
                <w:color w:val="auto"/>
                <w:sz w:val="24"/>
                <w:szCs w:val="24"/>
                <w:highlight w:val="none"/>
              </w:rPr>
              <w:t>，渣场顶高程697.00m，每</w:t>
            </w:r>
            <w:r>
              <w:rPr>
                <w:rFonts w:hint="eastAsia"/>
                <w:color w:val="auto"/>
                <w:sz w:val="24"/>
                <w:szCs w:val="24"/>
                <w:highlight w:val="none"/>
              </w:rPr>
              <w:t>1</w:t>
            </w:r>
            <w:r>
              <w:rPr>
                <w:color w:val="auto"/>
                <w:sz w:val="24"/>
                <w:szCs w:val="24"/>
                <w:highlight w:val="none"/>
              </w:rPr>
              <w:t>5</w:t>
            </w:r>
            <w:r>
              <w:rPr>
                <w:rFonts w:hint="eastAsia"/>
                <w:color w:val="auto"/>
                <w:sz w:val="24"/>
                <w:szCs w:val="24"/>
                <w:highlight w:val="none"/>
              </w:rPr>
              <w:t>-</w:t>
            </w:r>
            <w:r>
              <w:rPr>
                <w:color w:val="auto"/>
                <w:sz w:val="24"/>
                <w:szCs w:val="24"/>
                <w:highlight w:val="none"/>
              </w:rPr>
              <w:t>17m设置一级马道</w:t>
            </w:r>
            <w:r>
              <w:rPr>
                <w:rFonts w:hint="eastAsia"/>
                <w:color w:val="auto"/>
                <w:sz w:val="24"/>
                <w:szCs w:val="24"/>
                <w:highlight w:val="none"/>
              </w:rPr>
              <w:t>，</w:t>
            </w:r>
            <w:r>
              <w:rPr>
                <w:color w:val="auto"/>
                <w:sz w:val="24"/>
                <w:szCs w:val="24"/>
                <w:highlight w:val="none"/>
              </w:rPr>
              <w:t>渣场坡比为</w:t>
            </w:r>
            <w:r>
              <w:rPr>
                <w:rFonts w:hint="eastAsia"/>
                <w:color w:val="auto"/>
                <w:sz w:val="24"/>
                <w:szCs w:val="24"/>
                <w:highlight w:val="none"/>
              </w:rPr>
              <w:t>1:2</w:t>
            </w:r>
            <w:r>
              <w:rPr>
                <w:color w:val="auto"/>
                <w:sz w:val="24"/>
                <w:szCs w:val="24"/>
                <w:highlight w:val="none"/>
              </w:rPr>
              <w:t>.25</w:t>
            </w:r>
            <w:r>
              <w:rPr>
                <w:rFonts w:hint="eastAsia"/>
                <w:color w:val="auto"/>
                <w:sz w:val="24"/>
                <w:szCs w:val="24"/>
                <w:highlight w:val="none"/>
              </w:rPr>
              <w:t>，</w:t>
            </w:r>
            <w:r>
              <w:rPr>
                <w:b/>
                <w:bCs/>
                <w:color w:val="auto"/>
                <w:sz w:val="24"/>
                <w:szCs w:val="24"/>
                <w:highlight w:val="none"/>
                <w:u w:val="single"/>
              </w:rPr>
              <w:t>渣场容量23.84万m</w:t>
            </w:r>
            <w:r>
              <w:rPr>
                <w:b/>
                <w:bCs/>
                <w:color w:val="auto"/>
                <w:sz w:val="24"/>
                <w:szCs w:val="24"/>
                <w:highlight w:val="none"/>
                <w:u w:val="single"/>
                <w:vertAlign w:val="superscript"/>
              </w:rPr>
              <w:t>3</w:t>
            </w:r>
            <w:r>
              <w:rPr>
                <w:b/>
                <w:bCs/>
                <w:color w:val="auto"/>
                <w:sz w:val="24"/>
                <w:szCs w:val="24"/>
                <w:highlight w:val="none"/>
                <w:u w:val="single"/>
              </w:rPr>
              <w:t>，设计堆渣为22.90万m</w:t>
            </w:r>
            <w:r>
              <w:rPr>
                <w:b/>
                <w:bCs/>
                <w:color w:val="auto"/>
                <w:sz w:val="24"/>
                <w:szCs w:val="24"/>
                <w:highlight w:val="none"/>
                <w:u w:val="single"/>
                <w:vertAlign w:val="superscript"/>
              </w:rPr>
              <w:t>3</w:t>
            </w:r>
            <w:r>
              <w:rPr>
                <w:b/>
                <w:bCs/>
                <w:color w:val="auto"/>
                <w:sz w:val="24"/>
                <w:szCs w:val="24"/>
                <w:highlight w:val="none"/>
                <w:u w:val="single"/>
              </w:rPr>
              <w:t>（松方）。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④</w:t>
            </w:r>
            <w:r>
              <w:rPr>
                <w:rFonts w:hint="eastAsia"/>
                <w:b/>
                <w:bCs/>
                <w:color w:val="auto"/>
                <w:sz w:val="24"/>
                <w:szCs w:val="24"/>
                <w:highlight w:val="none"/>
                <w:lang w:val="en-US" w:eastAsia="zh-CN"/>
              </w:rPr>
              <w:t xml:space="preserve"> </w:t>
            </w:r>
            <w:r>
              <w:rPr>
                <w:b/>
                <w:bCs/>
                <w:color w:val="auto"/>
                <w:sz w:val="24"/>
                <w:szCs w:val="24"/>
                <w:highlight w:val="none"/>
              </w:rPr>
              <w:t>临时堆料场（中转堆料场）规划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本工程充分利用开挖料填筑大坝，根据施工进度计划，前期部分工程（导流隧洞、溢洪道侧槽段、调整段、泄槽段）在围堰和大坝填筑前开挖，开挖量为17.90万m</w:t>
            </w:r>
            <w:r>
              <w:rPr>
                <w:color w:val="auto"/>
                <w:sz w:val="24"/>
                <w:szCs w:val="24"/>
                <w:highlight w:val="none"/>
                <w:vertAlign w:val="superscript"/>
              </w:rPr>
              <w:t>3</w:t>
            </w:r>
            <w:r>
              <w:rPr>
                <w:color w:val="auto"/>
                <w:sz w:val="24"/>
                <w:szCs w:val="24"/>
                <w:highlight w:val="none"/>
              </w:rPr>
              <w:t>（自然方），其中可利用作为大坝填筑料的开挖料为</w:t>
            </w:r>
            <w:r>
              <w:rPr>
                <w:rFonts w:hint="eastAsia"/>
                <w:color w:val="auto"/>
                <w:sz w:val="24"/>
                <w:szCs w:val="24"/>
                <w:highlight w:val="none"/>
              </w:rPr>
              <w:t>1</w:t>
            </w:r>
            <w:r>
              <w:rPr>
                <w:color w:val="auto"/>
                <w:sz w:val="24"/>
                <w:szCs w:val="24"/>
                <w:highlight w:val="none"/>
              </w:rPr>
              <w:t>00</w:t>
            </w:r>
            <w:r>
              <w:rPr>
                <w:rFonts w:hint="eastAsia"/>
                <w:color w:val="auto"/>
                <w:sz w:val="24"/>
                <w:szCs w:val="24"/>
                <w:highlight w:val="none"/>
              </w:rPr>
              <w:t>%</w:t>
            </w:r>
            <w:r>
              <w:rPr>
                <w:color w:val="auto"/>
                <w:sz w:val="24"/>
                <w:szCs w:val="24"/>
                <w:highlight w:val="none"/>
              </w:rPr>
              <w:t>的导流隧洞</w:t>
            </w:r>
            <w:r>
              <w:rPr>
                <w:rFonts w:hint="eastAsia"/>
                <w:color w:val="auto"/>
                <w:sz w:val="24"/>
                <w:szCs w:val="24"/>
                <w:highlight w:val="none"/>
              </w:rPr>
              <w:t>（含竖井）</w:t>
            </w:r>
            <w:r>
              <w:rPr>
                <w:color w:val="auto"/>
                <w:sz w:val="24"/>
                <w:szCs w:val="24"/>
                <w:highlight w:val="none"/>
              </w:rPr>
              <w:t>洞挖料和40</w:t>
            </w:r>
            <w:r>
              <w:rPr>
                <w:rFonts w:hint="eastAsia"/>
                <w:color w:val="auto"/>
                <w:sz w:val="24"/>
                <w:szCs w:val="24"/>
                <w:highlight w:val="none"/>
              </w:rPr>
              <w:t>%</w:t>
            </w:r>
            <w:r>
              <w:rPr>
                <w:color w:val="auto"/>
                <w:sz w:val="24"/>
                <w:szCs w:val="24"/>
                <w:highlight w:val="none"/>
              </w:rPr>
              <w:t>的溢洪道石方开挖料</w:t>
            </w:r>
            <w:r>
              <w:rPr>
                <w:rFonts w:hint="eastAsia"/>
                <w:color w:val="auto"/>
                <w:sz w:val="24"/>
                <w:szCs w:val="24"/>
                <w:highlight w:val="none"/>
              </w:rPr>
              <w:t>，</w:t>
            </w:r>
            <w:r>
              <w:rPr>
                <w:color w:val="auto"/>
                <w:sz w:val="24"/>
                <w:szCs w:val="24"/>
                <w:highlight w:val="none"/>
              </w:rPr>
              <w:t>约5.33万m</w:t>
            </w:r>
            <w:r>
              <w:rPr>
                <w:color w:val="auto"/>
                <w:sz w:val="24"/>
                <w:szCs w:val="24"/>
                <w:highlight w:val="none"/>
                <w:vertAlign w:val="superscript"/>
              </w:rPr>
              <w:t>3</w:t>
            </w:r>
            <w:r>
              <w:rPr>
                <w:color w:val="auto"/>
                <w:sz w:val="24"/>
                <w:szCs w:val="24"/>
                <w:highlight w:val="none"/>
              </w:rPr>
              <w:t>（自然方）</w:t>
            </w:r>
            <w:r>
              <w:rPr>
                <w:rFonts w:hint="eastAsia"/>
                <w:color w:val="auto"/>
                <w:sz w:val="24"/>
                <w:szCs w:val="24"/>
                <w:highlight w:val="none"/>
                <w:lang w:eastAsia="zh-CN"/>
              </w:rPr>
              <w:t>。</w:t>
            </w:r>
            <w:r>
              <w:rPr>
                <w:color w:val="auto"/>
                <w:sz w:val="24"/>
                <w:szCs w:val="24"/>
                <w:highlight w:val="none"/>
              </w:rPr>
              <w:t>另有作为溢洪道回填石渣料的0.1万m</w:t>
            </w:r>
            <w:r>
              <w:rPr>
                <w:color w:val="auto"/>
                <w:sz w:val="24"/>
                <w:szCs w:val="24"/>
                <w:highlight w:val="none"/>
                <w:vertAlign w:val="superscript"/>
              </w:rPr>
              <w:t>3</w:t>
            </w:r>
            <w:r>
              <w:rPr>
                <w:color w:val="auto"/>
                <w:sz w:val="24"/>
                <w:szCs w:val="24"/>
                <w:highlight w:val="none"/>
              </w:rPr>
              <w:t>（自然方），经测算</w:t>
            </w:r>
            <w:r>
              <w:rPr>
                <w:rFonts w:hint="eastAsia"/>
                <w:color w:val="auto"/>
                <w:sz w:val="24"/>
                <w:szCs w:val="24"/>
                <w:highlight w:val="none"/>
              </w:rPr>
              <w:t>，</w:t>
            </w:r>
            <w:r>
              <w:rPr>
                <w:color w:val="auto"/>
                <w:sz w:val="24"/>
                <w:szCs w:val="24"/>
                <w:highlight w:val="none"/>
              </w:rPr>
              <w:t>可利用开挖料中需临时中转堆放4.22万m</w:t>
            </w:r>
            <w:r>
              <w:rPr>
                <w:color w:val="auto"/>
                <w:sz w:val="24"/>
                <w:szCs w:val="24"/>
                <w:highlight w:val="none"/>
                <w:vertAlign w:val="superscript"/>
              </w:rPr>
              <w:t>3</w:t>
            </w:r>
            <w:r>
              <w:rPr>
                <w:color w:val="auto"/>
                <w:sz w:val="24"/>
                <w:szCs w:val="24"/>
                <w:highlight w:val="none"/>
              </w:rPr>
              <w:t>（自然方），换算为堆方为5.90万m</w:t>
            </w:r>
            <w:r>
              <w:rPr>
                <w:color w:val="auto"/>
                <w:sz w:val="24"/>
                <w:szCs w:val="24"/>
                <w:highlight w:val="none"/>
                <w:vertAlign w:val="superscript"/>
              </w:rPr>
              <w:t>3</w:t>
            </w:r>
            <w:r>
              <w:rPr>
                <w:color w:val="auto"/>
                <w:sz w:val="24"/>
                <w:szCs w:val="24"/>
                <w:highlight w:val="none"/>
              </w:rPr>
              <w:t>（堆方），需临时堆放后再二次转运填筑，堆放时间为</w:t>
            </w:r>
            <w:r>
              <w:rPr>
                <w:color w:val="auto"/>
                <w:kern w:val="0"/>
                <w:sz w:val="24"/>
                <w:szCs w:val="24"/>
                <w:highlight w:val="none"/>
              </w:rPr>
              <w:t>第一年11月～第二年4月</w:t>
            </w:r>
            <w:r>
              <w:rPr>
                <w:rFonts w:hint="eastAsia"/>
                <w:color w:val="auto"/>
                <w:kern w:val="0"/>
                <w:sz w:val="24"/>
                <w:szCs w:val="24"/>
                <w:highlight w:val="none"/>
              </w:rPr>
              <w:t>。</w:t>
            </w:r>
            <w:r>
              <w:rPr>
                <w:color w:val="auto"/>
                <w:kern w:val="0"/>
                <w:sz w:val="24"/>
                <w:szCs w:val="24"/>
                <w:highlight w:val="none"/>
              </w:rPr>
              <w:t>同时大坝上游填筑</w:t>
            </w:r>
            <w:r>
              <w:rPr>
                <w:rFonts w:hint="eastAsia"/>
                <w:color w:val="auto"/>
                <w:kern w:val="0"/>
                <w:sz w:val="24"/>
                <w:szCs w:val="24"/>
                <w:highlight w:val="none"/>
              </w:rPr>
              <w:t>Ⅰ</w:t>
            </w:r>
            <w:r>
              <w:rPr>
                <w:color w:val="auto"/>
                <w:kern w:val="0"/>
                <w:sz w:val="24"/>
                <w:szCs w:val="24"/>
                <w:highlight w:val="none"/>
              </w:rPr>
              <w:t>区</w:t>
            </w:r>
            <w:r>
              <w:rPr>
                <w:rFonts w:hint="eastAsia"/>
                <w:color w:val="auto"/>
                <w:kern w:val="0"/>
                <w:sz w:val="24"/>
                <w:szCs w:val="24"/>
                <w:highlight w:val="none"/>
              </w:rPr>
              <w:t>，</w:t>
            </w:r>
            <w:r>
              <w:rPr>
                <w:color w:val="auto"/>
                <w:kern w:val="0"/>
                <w:sz w:val="24"/>
                <w:szCs w:val="24"/>
                <w:highlight w:val="none"/>
              </w:rPr>
              <w:t>需堆放块石5.83万</w:t>
            </w:r>
            <w:r>
              <w:rPr>
                <w:color w:val="auto"/>
                <w:sz w:val="24"/>
                <w:szCs w:val="24"/>
                <w:highlight w:val="none"/>
              </w:rPr>
              <w:t>m</w:t>
            </w:r>
            <w:r>
              <w:rPr>
                <w:color w:val="auto"/>
                <w:sz w:val="24"/>
                <w:szCs w:val="24"/>
                <w:highlight w:val="none"/>
                <w:vertAlign w:val="superscript"/>
              </w:rPr>
              <w:t>3</w:t>
            </w:r>
            <w:r>
              <w:rPr>
                <w:color w:val="auto"/>
                <w:sz w:val="24"/>
                <w:szCs w:val="24"/>
                <w:highlight w:val="none"/>
              </w:rPr>
              <w:t>（堆方）</w:t>
            </w:r>
            <w:r>
              <w:rPr>
                <w:rFonts w:hint="eastAsia"/>
                <w:color w:val="auto"/>
                <w:sz w:val="24"/>
                <w:szCs w:val="24"/>
                <w:highlight w:val="none"/>
              </w:rPr>
              <w:t>，</w:t>
            </w:r>
            <w:r>
              <w:rPr>
                <w:color w:val="auto"/>
                <w:sz w:val="24"/>
                <w:szCs w:val="24"/>
                <w:highlight w:val="none"/>
              </w:rPr>
              <w:t>堆放时间为第二年</w:t>
            </w:r>
            <w:r>
              <w:rPr>
                <w:rFonts w:hint="eastAsia"/>
                <w:color w:val="auto"/>
                <w:sz w:val="24"/>
                <w:szCs w:val="24"/>
                <w:highlight w:val="none"/>
              </w:rPr>
              <w:t>1月</w:t>
            </w:r>
            <w:r>
              <w:rPr>
                <w:color w:val="auto"/>
                <w:kern w:val="0"/>
                <w:sz w:val="24"/>
                <w:szCs w:val="24"/>
                <w:highlight w:val="none"/>
              </w:rPr>
              <w:t>～第</w:t>
            </w:r>
            <w:r>
              <w:rPr>
                <w:rFonts w:hint="eastAsia"/>
                <w:color w:val="auto"/>
                <w:kern w:val="0"/>
                <w:sz w:val="24"/>
                <w:szCs w:val="24"/>
                <w:highlight w:val="none"/>
              </w:rPr>
              <w:t>三</w:t>
            </w:r>
            <w:r>
              <w:rPr>
                <w:color w:val="auto"/>
                <w:kern w:val="0"/>
                <w:sz w:val="24"/>
                <w:szCs w:val="24"/>
                <w:highlight w:val="none"/>
              </w:rPr>
              <w:t>年</w:t>
            </w:r>
            <w:r>
              <w:rPr>
                <w:rFonts w:hint="eastAsia"/>
                <w:color w:val="auto"/>
                <w:kern w:val="0"/>
                <w:sz w:val="24"/>
                <w:szCs w:val="24"/>
                <w:highlight w:val="none"/>
              </w:rPr>
              <w:t>2</w:t>
            </w:r>
            <w:r>
              <w:rPr>
                <w:color w:val="auto"/>
                <w:kern w:val="0"/>
                <w:sz w:val="24"/>
                <w:szCs w:val="24"/>
                <w:highlight w:val="none"/>
              </w:rPr>
              <w:t>月</w:t>
            </w:r>
            <w:r>
              <w:rPr>
                <w:rFonts w:hint="eastAsia"/>
                <w:color w:val="auto"/>
                <w:kern w:val="0"/>
                <w:sz w:val="24"/>
                <w:szCs w:val="24"/>
                <w:highlight w:val="none"/>
              </w:rPr>
              <w:t>，</w:t>
            </w:r>
            <w:r>
              <w:rPr>
                <w:b/>
                <w:bCs/>
                <w:color w:val="auto"/>
                <w:sz w:val="24"/>
                <w:szCs w:val="24"/>
                <w:highlight w:val="none"/>
                <w:u w:val="single"/>
              </w:rPr>
              <w:t>现场设置5座临时堆料场，临时堆料场合计占地1.38hm</w:t>
            </w:r>
            <w:r>
              <w:rPr>
                <w:b/>
                <w:bCs/>
                <w:color w:val="auto"/>
                <w:sz w:val="24"/>
                <w:szCs w:val="24"/>
                <w:highlight w:val="none"/>
                <w:u w:val="single"/>
                <w:vertAlign w:val="superscript"/>
              </w:rPr>
              <w:t>2</w:t>
            </w:r>
            <w:r>
              <w:rPr>
                <w:rFonts w:hint="eastAsia"/>
                <w:b/>
                <w:bCs/>
                <w:color w:val="auto"/>
                <w:sz w:val="24"/>
                <w:szCs w:val="24"/>
                <w:highlight w:val="none"/>
                <w:u w:val="single"/>
              </w:rPr>
              <w:t>，</w:t>
            </w:r>
            <w:r>
              <w:rPr>
                <w:b/>
                <w:bCs/>
                <w:color w:val="auto"/>
                <w:sz w:val="24"/>
                <w:szCs w:val="24"/>
                <w:highlight w:val="none"/>
                <w:u w:val="single"/>
              </w:rPr>
              <w:t>临时堆料场容量</w:t>
            </w:r>
            <w:r>
              <w:rPr>
                <w:rFonts w:hint="eastAsia"/>
                <w:b/>
                <w:bCs/>
                <w:color w:val="auto"/>
                <w:sz w:val="24"/>
                <w:szCs w:val="24"/>
                <w:highlight w:val="none"/>
                <w:u w:val="single"/>
              </w:rPr>
              <w:t>6</w:t>
            </w:r>
            <w:r>
              <w:rPr>
                <w:b/>
                <w:bCs/>
                <w:color w:val="auto"/>
                <w:sz w:val="24"/>
                <w:szCs w:val="24"/>
                <w:highlight w:val="none"/>
                <w:u w:val="single"/>
              </w:rPr>
              <w:t>.07万m</w:t>
            </w:r>
            <w:r>
              <w:rPr>
                <w:b/>
                <w:bCs/>
                <w:color w:val="auto"/>
                <w:sz w:val="24"/>
                <w:szCs w:val="24"/>
                <w:highlight w:val="none"/>
                <w:u w:val="single"/>
                <w:vertAlign w:val="superscript"/>
              </w:rPr>
              <w:t>3</w:t>
            </w:r>
            <w:r>
              <w:rPr>
                <w:rFonts w:hint="eastAsia"/>
                <w:b/>
                <w:bCs/>
                <w:color w:val="auto"/>
                <w:sz w:val="24"/>
                <w:szCs w:val="24"/>
                <w:highlight w:val="none"/>
                <w:u w:val="single"/>
              </w:rPr>
              <w:t>，</w:t>
            </w:r>
            <w:r>
              <w:rPr>
                <w:b/>
                <w:bCs/>
                <w:color w:val="auto"/>
                <w:sz w:val="24"/>
                <w:szCs w:val="24"/>
                <w:highlight w:val="none"/>
                <w:u w:val="single"/>
              </w:rPr>
              <w:t>设计最大堆放量为</w:t>
            </w:r>
            <w:r>
              <w:rPr>
                <w:rFonts w:hint="eastAsia"/>
                <w:b/>
                <w:bCs/>
                <w:color w:val="auto"/>
                <w:sz w:val="24"/>
                <w:szCs w:val="24"/>
                <w:highlight w:val="none"/>
                <w:u w:val="single"/>
              </w:rPr>
              <w:t>5</w:t>
            </w:r>
            <w:r>
              <w:rPr>
                <w:b/>
                <w:bCs/>
                <w:color w:val="auto"/>
                <w:sz w:val="24"/>
                <w:szCs w:val="24"/>
                <w:highlight w:val="none"/>
                <w:u w:val="single"/>
              </w:rPr>
              <w:t>.90万m</w:t>
            </w:r>
            <w:r>
              <w:rPr>
                <w:b/>
                <w:bCs/>
                <w:color w:val="auto"/>
                <w:sz w:val="24"/>
                <w:szCs w:val="24"/>
                <w:highlight w:val="none"/>
                <w:u w:val="single"/>
                <w:vertAlign w:val="superscript"/>
              </w:rPr>
              <w:t>3</w:t>
            </w:r>
            <w:r>
              <w:rPr>
                <w:b/>
                <w:bCs/>
                <w:color w:val="auto"/>
                <w:sz w:val="24"/>
                <w:szCs w:val="24"/>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⑸ </w:t>
            </w:r>
            <w:r>
              <w:rPr>
                <w:b/>
                <w:bCs/>
                <w:color w:val="auto"/>
                <w:sz w:val="24"/>
                <w:szCs w:val="24"/>
                <w:highlight w:val="none"/>
              </w:rPr>
              <w:t>施工总布置及分区规划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根据建筑物的分布特点和施工进度安排，采用集中与分散相结合的原则布置。</w:t>
            </w:r>
            <w:r>
              <w:rPr>
                <w:b/>
                <w:bCs/>
                <w:color w:val="auto"/>
                <w:sz w:val="24"/>
                <w:szCs w:val="24"/>
                <w:highlight w:val="none"/>
                <w:u w:val="single"/>
              </w:rPr>
              <w:t>本工程拟规划分为2大工区</w:t>
            </w:r>
            <w:r>
              <w:rPr>
                <w:color w:val="auto"/>
                <w:sz w:val="24"/>
                <w:szCs w:val="24"/>
                <w:highlight w:val="none"/>
              </w:rPr>
              <w:t>，各工区情况如下：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1#工区为枢纽工程施工区</w:t>
            </w:r>
            <w:r>
              <w:rPr>
                <w:rFonts w:hint="eastAsia"/>
                <w:color w:val="auto"/>
                <w:sz w:val="24"/>
                <w:szCs w:val="24"/>
                <w:highlight w:val="none"/>
                <w:lang w:eastAsia="zh-CN"/>
              </w:rPr>
              <w:t>：</w:t>
            </w:r>
            <w:r>
              <w:rPr>
                <w:color w:val="auto"/>
                <w:sz w:val="24"/>
                <w:szCs w:val="24"/>
                <w:highlight w:val="none"/>
              </w:rPr>
              <w:t>主要负责拦河大坝、取水（放空、导流）隧洞、溢洪道等主体建筑物的施工。布置的施工临建设施有施工营地、1#～5#临时堆料场以及配套的风、水、电和施工道路等。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2#工区为石渣料场施工区</w:t>
            </w:r>
            <w:r>
              <w:rPr>
                <w:rFonts w:hint="eastAsia"/>
                <w:color w:val="auto"/>
                <w:sz w:val="24"/>
                <w:szCs w:val="24"/>
                <w:highlight w:val="none"/>
                <w:lang w:eastAsia="zh-CN"/>
              </w:rPr>
              <w:t>：</w:t>
            </w:r>
            <w:r>
              <w:rPr>
                <w:color w:val="auto"/>
                <w:sz w:val="24"/>
                <w:szCs w:val="24"/>
                <w:highlight w:val="none"/>
              </w:rPr>
              <w:t>主要任务为大坝填筑料所需的石渣料的开采和运输，以及弃渣场。布置的施工临建设施有弃渣场以及配套的风、水、电和施工道路等。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本工程枢纽施工临时用地主要包括施工道路、弃渣场（含永久和临时）、临时堆料场、施工生产生活设施区、石渣料场等，施工临时占地总面积14.575hm</w:t>
            </w:r>
            <w:r>
              <w:rPr>
                <w:color w:val="auto"/>
                <w:sz w:val="24"/>
                <w:szCs w:val="24"/>
                <w:highlight w:val="none"/>
                <w:vertAlign w:val="superscript"/>
              </w:rPr>
              <w:t>2</w:t>
            </w:r>
            <w:r>
              <w:rPr>
                <w:color w:val="auto"/>
                <w:sz w:val="24"/>
                <w:szCs w:val="24"/>
                <w:highlight w:val="none"/>
              </w:rPr>
              <w:t>，即218.63亩，部分与建设征地范围和水库淹没范围区重合。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b/>
                <w:bCs/>
                <w:color w:val="auto"/>
                <w:sz w:val="24"/>
                <w:szCs w:val="24"/>
                <w:highlight w:val="none"/>
              </w:rPr>
              <w:t>2、灌区工程施工交通及施工总布置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⑴ </w:t>
            </w:r>
            <w:r>
              <w:rPr>
                <w:b/>
                <w:bCs/>
                <w:color w:val="auto"/>
                <w:sz w:val="24"/>
                <w:szCs w:val="24"/>
                <w:highlight w:val="none"/>
              </w:rPr>
              <w:t>施工交通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三合水库灌区工程干管从大坝下游沿辜家河右岸布置，多处与乡村公路、市政道路相交或伴路敷设，且与广巴高速公路近似平行，距离在100m左右，整个灌区工程对外交通较为便利。工程所需外来材料（水泥、钢材、木材、汽柴油等）可在旺苍县城购买，综合运距8k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灌区工程场内施工道路等级为场内三级单车道，泥结碎石路面，路面宽度为3.5m，最大纵坡为10%，并间隔100-200m设置错车道。灌区工程新建</w:t>
            </w:r>
            <w:r>
              <w:rPr>
                <w:rFonts w:hint="eastAsia"/>
                <w:color w:val="auto"/>
                <w:sz w:val="24"/>
                <w:szCs w:val="24"/>
                <w:highlight w:val="none"/>
              </w:rPr>
              <w:t>3</w:t>
            </w:r>
            <w:r>
              <w:rPr>
                <w:color w:val="auto"/>
                <w:sz w:val="24"/>
                <w:szCs w:val="24"/>
                <w:highlight w:val="none"/>
              </w:rPr>
              <w:t>条施工道路</w:t>
            </w:r>
            <w:r>
              <w:rPr>
                <w:rFonts w:hint="eastAsia"/>
                <w:color w:val="auto"/>
                <w:sz w:val="24"/>
                <w:szCs w:val="24"/>
                <w:highlight w:val="none"/>
              </w:rPr>
              <w:t>，总长度</w:t>
            </w:r>
            <w:r>
              <w:rPr>
                <w:color w:val="auto"/>
                <w:sz w:val="24"/>
                <w:szCs w:val="24"/>
                <w:highlight w:val="none"/>
              </w:rPr>
              <w:t>1.68km。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⑵ </w:t>
            </w:r>
            <w:r>
              <w:rPr>
                <w:b/>
                <w:bCs/>
                <w:color w:val="auto"/>
                <w:sz w:val="24"/>
                <w:szCs w:val="24"/>
                <w:highlight w:val="none"/>
              </w:rPr>
              <w:t>施工总布置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color w:val="auto"/>
                <w:sz w:val="24"/>
                <w:szCs w:val="24"/>
                <w:highlight w:val="none"/>
              </w:rPr>
            </w:pPr>
            <w:r>
              <w:rPr>
                <w:bCs/>
                <w:color w:val="auto"/>
                <w:sz w:val="24"/>
                <w:szCs w:val="24"/>
                <w:highlight w:val="none"/>
              </w:rPr>
              <w:t>根据灌区工程管道线路布置特点，并结合施工临建设施的布置，规划为1个施工工区。该施工工区内布置3条施工道路，1个生产设施区及配套的施工交通、风水电等设施，生产设施区位于桩号G4+550附近。生产设施区内布置有相应的综合加工系统、综合仓库、汽车机械保养停放站等。办公生活设施采取租赁当地民房</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 xml:space="preserve">⑶ </w:t>
            </w:r>
            <w:r>
              <w:rPr>
                <w:b/>
                <w:bCs/>
                <w:color w:val="auto"/>
                <w:sz w:val="24"/>
                <w:szCs w:val="24"/>
                <w:highlight w:val="none"/>
              </w:rPr>
              <w:t>土石方平衡就弃渣规划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color w:val="auto"/>
                <w:sz w:val="24"/>
                <w:szCs w:val="24"/>
                <w:highlight w:val="none"/>
              </w:rPr>
            </w:pPr>
            <w:r>
              <w:rPr>
                <w:color w:val="auto"/>
                <w:sz w:val="24"/>
                <w:szCs w:val="24"/>
                <w:highlight w:val="none"/>
              </w:rPr>
              <w:t>灌区工程（含导流工程）土石方开挖总量为3.96万m</w:t>
            </w:r>
            <w:r>
              <w:rPr>
                <w:color w:val="auto"/>
                <w:sz w:val="24"/>
                <w:szCs w:val="24"/>
                <w:highlight w:val="none"/>
                <w:vertAlign w:val="superscript"/>
              </w:rPr>
              <w:t>3</w:t>
            </w:r>
            <w:r>
              <w:rPr>
                <w:color w:val="auto"/>
                <w:sz w:val="24"/>
                <w:szCs w:val="24"/>
                <w:highlight w:val="none"/>
              </w:rPr>
              <w:t>（自然方），土石填筑总量为3.22万m</w:t>
            </w:r>
            <w:r>
              <w:rPr>
                <w:color w:val="auto"/>
                <w:sz w:val="24"/>
                <w:szCs w:val="24"/>
                <w:highlight w:val="none"/>
                <w:vertAlign w:val="superscript"/>
              </w:rPr>
              <w:t>3</w:t>
            </w:r>
            <w:r>
              <w:rPr>
                <w:color w:val="auto"/>
                <w:sz w:val="24"/>
                <w:szCs w:val="24"/>
                <w:highlight w:val="none"/>
              </w:rPr>
              <w:t>（自然方）。主体建筑物土方开挖2.75万m</w:t>
            </w:r>
            <w:r>
              <w:rPr>
                <w:color w:val="auto"/>
                <w:sz w:val="24"/>
                <w:szCs w:val="24"/>
                <w:highlight w:val="none"/>
                <w:vertAlign w:val="superscript"/>
              </w:rPr>
              <w:t>3</w:t>
            </w:r>
            <w:r>
              <w:rPr>
                <w:color w:val="auto"/>
                <w:sz w:val="24"/>
                <w:szCs w:val="24"/>
                <w:highlight w:val="none"/>
              </w:rPr>
              <w:t>（自然方），石方开挖1.19万m</w:t>
            </w:r>
            <w:r>
              <w:rPr>
                <w:color w:val="auto"/>
                <w:sz w:val="24"/>
                <w:szCs w:val="24"/>
                <w:highlight w:val="none"/>
                <w:vertAlign w:val="superscript"/>
              </w:rPr>
              <w:t>3</w:t>
            </w:r>
            <w:r>
              <w:rPr>
                <w:color w:val="auto"/>
                <w:sz w:val="24"/>
                <w:szCs w:val="24"/>
                <w:highlight w:val="none"/>
              </w:rPr>
              <w:t>（自然方），导流工程0.01万m</w:t>
            </w:r>
            <w:r>
              <w:rPr>
                <w:color w:val="auto"/>
                <w:sz w:val="24"/>
                <w:szCs w:val="24"/>
                <w:highlight w:val="none"/>
                <w:vertAlign w:val="superscript"/>
              </w:rPr>
              <w:t>3</w:t>
            </w:r>
            <w:r>
              <w:rPr>
                <w:color w:val="auto"/>
                <w:sz w:val="24"/>
                <w:szCs w:val="24"/>
                <w:highlight w:val="none"/>
              </w:rPr>
              <w:t>。主体建筑物土石回填3.21万m</w:t>
            </w:r>
            <w:r>
              <w:rPr>
                <w:color w:val="auto"/>
                <w:sz w:val="24"/>
                <w:szCs w:val="24"/>
                <w:highlight w:val="none"/>
                <w:vertAlign w:val="superscript"/>
              </w:rPr>
              <w:t>3</w:t>
            </w:r>
            <w:r>
              <w:rPr>
                <w:color w:val="auto"/>
                <w:sz w:val="24"/>
                <w:szCs w:val="24"/>
                <w:highlight w:val="none"/>
              </w:rPr>
              <w:t>（压实方），导流工程0.01万m</w:t>
            </w:r>
            <w:r>
              <w:rPr>
                <w:color w:val="auto"/>
                <w:sz w:val="24"/>
                <w:szCs w:val="24"/>
                <w:highlight w:val="none"/>
                <w:vertAlign w:val="superscript"/>
              </w:rPr>
              <w:t>3</w:t>
            </w:r>
            <w:r>
              <w:rPr>
                <w:color w:val="auto"/>
                <w:sz w:val="24"/>
                <w:szCs w:val="24"/>
                <w:highlight w:val="none"/>
              </w:rPr>
              <w:t>。考虑开挖运输等5%损耗后实际弃渣量1.44万m</w:t>
            </w:r>
            <w:r>
              <w:rPr>
                <w:color w:val="auto"/>
                <w:sz w:val="24"/>
                <w:szCs w:val="24"/>
                <w:highlight w:val="none"/>
                <w:vertAlign w:val="superscript"/>
              </w:rPr>
              <w:t>3</w:t>
            </w:r>
            <w:r>
              <w:rPr>
                <w:color w:val="auto"/>
                <w:sz w:val="24"/>
                <w:szCs w:val="24"/>
                <w:highlight w:val="none"/>
              </w:rPr>
              <w:t>（松方）。灌区工程中各建筑物土石方填筑全部利用沿线开挖料，多余弃渣运至</w:t>
            </w:r>
            <w:r>
              <w:rPr>
                <w:rFonts w:hint="eastAsia"/>
                <w:color w:val="auto"/>
                <w:sz w:val="24"/>
                <w:szCs w:val="24"/>
                <w:highlight w:val="none"/>
              </w:rPr>
              <w:t>1#和2#弃渣场堆放，后期复垦</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color w:val="auto"/>
                <w:sz w:val="24"/>
                <w:szCs w:val="24"/>
                <w:highlight w:val="none"/>
              </w:rPr>
              <w:t>三合水库灌区工程输水管道施工需设管道施工临时用地，临时占地平均宽度8m，（管道开挖范围临时占用3m，管道一侧临时占用5m）</w:t>
            </w:r>
            <w:r>
              <w:rPr>
                <w:rFonts w:hint="eastAsia"/>
                <w:color w:val="auto"/>
                <w:sz w:val="24"/>
                <w:szCs w:val="24"/>
                <w:highlight w:val="none"/>
              </w:rPr>
              <w:t>，</w:t>
            </w:r>
            <w:r>
              <w:rPr>
                <w:color w:val="auto"/>
                <w:sz w:val="24"/>
                <w:szCs w:val="24"/>
                <w:highlight w:val="none"/>
              </w:rPr>
              <w:t>管道施工临时用地6.27hm</w:t>
            </w:r>
            <w:r>
              <w:rPr>
                <w:color w:val="auto"/>
                <w:sz w:val="24"/>
                <w:szCs w:val="24"/>
                <w:highlight w:val="none"/>
                <w:vertAlign w:val="superscript"/>
              </w:rPr>
              <w:t>2</w:t>
            </w:r>
            <w:r>
              <w:rPr>
                <w:color w:val="auto"/>
                <w:sz w:val="24"/>
                <w:szCs w:val="24"/>
                <w:highlight w:val="none"/>
              </w:rPr>
              <w:t>。三合水库灌区工程施工临时占地总计8.99hm</w:t>
            </w:r>
            <w:r>
              <w:rPr>
                <w:color w:val="auto"/>
                <w:sz w:val="24"/>
                <w:szCs w:val="24"/>
                <w:highlight w:val="none"/>
                <w:vertAlign w:val="superscript"/>
              </w:rPr>
              <w:t>2</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56"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施工</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方案</w:t>
            </w:r>
          </w:p>
        </w:tc>
        <w:tc>
          <w:tcPr>
            <w:tcW w:w="907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textAlignment w:val="auto"/>
              <w:rPr>
                <w:rFonts w:hint="eastAsia" w:ascii="Arial" w:hAnsi="宋体" w:cs="Arial"/>
                <w:b/>
                <w:color w:val="auto"/>
                <w:sz w:val="24"/>
                <w:highlight w:val="none"/>
                <w:lang w:bidi="en-US"/>
              </w:rPr>
            </w:pPr>
            <w:r>
              <w:rPr>
                <w:rFonts w:hint="eastAsia" w:ascii="Arial" w:hAnsi="宋体" w:cs="Arial"/>
                <w:b/>
                <w:color w:val="auto"/>
                <w:sz w:val="24"/>
                <w:highlight w:val="none"/>
                <w:lang w:bidi="en-US"/>
              </w:rPr>
              <w:t>枢纽工程施工方案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rPr>
              <w:t>枢纽工程由拦河大坝、溢洪道、取水（放空、导流）隧洞等建筑物组成</w:t>
            </w:r>
            <w:r>
              <w:rPr>
                <w:rFonts w:hint="eastAsia"/>
                <w:color w:val="auto"/>
                <w:sz w:val="24"/>
                <w:szCs w:val="24"/>
                <w:highlight w:val="none"/>
                <w:lang w:eastAsia="zh-CN"/>
              </w:rPr>
              <w:t>，</w:t>
            </w:r>
            <w:r>
              <w:rPr>
                <w:rFonts w:hint="eastAsia"/>
                <w:color w:val="auto"/>
                <w:sz w:val="24"/>
                <w:szCs w:val="24"/>
                <w:highlight w:val="none"/>
                <w:lang w:val="en-US" w:eastAsia="zh-CN"/>
              </w:rPr>
              <w:t>其各分工程施工期工艺流程分别如下：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52" w:firstLineChars="200"/>
              <w:textAlignment w:val="auto"/>
              <w:rPr>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b/>
                <w:bCs/>
                <w:color w:val="auto"/>
                <w:spacing w:val="-7"/>
                <w:sz w:val="24"/>
                <w:szCs w:val="24"/>
                <w:highlight w:val="none"/>
              </w:rPr>
              <w:t>、拦水大坝工程</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color w:val="auto"/>
                <w:sz w:val="24"/>
                <w:szCs w:val="24"/>
                <w:highlight w:val="none"/>
              </w:rPr>
            </w:pPr>
            <w:r>
              <w:rPr>
                <w:color w:val="auto"/>
                <w:spacing w:val="-1"/>
                <w:sz w:val="24"/>
                <w:szCs w:val="24"/>
                <w:highlight w:val="none"/>
              </w:rPr>
              <w:t>枢纽工程按先下游次堆石区，再上游主堆石区、排水带区、过渡料区、垫层料区平起填筑的原则填筑，依次进行运输、卸料、铺料、洒水、压实、检查各工</w:t>
            </w:r>
            <w:r>
              <w:rPr>
                <w:color w:val="auto"/>
                <w:spacing w:val="-3"/>
                <w:sz w:val="24"/>
                <w:szCs w:val="24"/>
                <w:highlight w:val="none"/>
              </w:rPr>
              <w:t>序施工。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highlight w:val="none"/>
              </w:rPr>
            </w:pPr>
            <w:r>
              <w:rPr>
                <w:color w:val="auto"/>
                <w:spacing w:val="-1"/>
                <w:sz w:val="24"/>
                <w:szCs w:val="24"/>
                <w:highlight w:val="none"/>
              </w:rPr>
              <w:t>主要施工程序为：场地清理</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土石方开挖</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坝体填筑</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挤压边墙</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混凝土面</w:t>
            </w:r>
            <w:r>
              <w:rPr>
                <w:color w:val="auto"/>
                <w:spacing w:val="-2"/>
                <w:sz w:val="24"/>
                <w:szCs w:val="24"/>
                <w:highlight w:val="none"/>
              </w:rPr>
              <w:t>板浇筑</w:t>
            </w:r>
            <w:r>
              <w:rPr>
                <w:rFonts w:ascii="Times New Roman" w:hAnsi="Times New Roman" w:eastAsia="Times New Roman" w:cs="Times New Roman"/>
                <w:color w:val="auto"/>
                <w:spacing w:val="-2"/>
                <w:sz w:val="24"/>
                <w:szCs w:val="24"/>
                <w:highlight w:val="none"/>
              </w:rPr>
              <w:t>→</w:t>
            </w:r>
            <w:r>
              <w:rPr>
                <w:rFonts w:ascii="Times New Roman" w:hAnsi="Times New Roman" w:eastAsia="Times New Roman" w:cs="Times New Roman"/>
                <w:color w:val="auto"/>
                <w:spacing w:val="-20"/>
                <w:sz w:val="24"/>
                <w:szCs w:val="24"/>
                <w:highlight w:val="none"/>
              </w:rPr>
              <w:t xml:space="preserve"> </w:t>
            </w:r>
            <w:r>
              <w:rPr>
                <w:color w:val="auto"/>
                <w:spacing w:val="-2"/>
                <w:sz w:val="24"/>
                <w:szCs w:val="24"/>
                <w:highlight w:val="none"/>
              </w:rPr>
              <w:t>固结灌浆</w:t>
            </w:r>
            <w:r>
              <w:rPr>
                <w:rFonts w:ascii="Times New Roman" w:hAnsi="Times New Roman" w:eastAsia="Times New Roman" w:cs="Times New Roman"/>
                <w:color w:val="auto"/>
                <w:spacing w:val="-2"/>
                <w:sz w:val="24"/>
                <w:szCs w:val="24"/>
                <w:highlight w:val="none"/>
              </w:rPr>
              <w:t>→</w:t>
            </w:r>
            <w:r>
              <w:rPr>
                <w:color w:val="auto"/>
                <w:spacing w:val="-2"/>
                <w:sz w:val="24"/>
                <w:szCs w:val="24"/>
                <w:highlight w:val="none"/>
              </w:rPr>
              <w:t>其他混凝土施工</w:t>
            </w:r>
            <w:r>
              <w:rPr>
                <w:rFonts w:ascii="Times New Roman" w:hAnsi="Times New Roman" w:eastAsia="Times New Roman" w:cs="Times New Roman"/>
                <w:color w:val="auto"/>
                <w:spacing w:val="-2"/>
                <w:sz w:val="24"/>
                <w:szCs w:val="24"/>
                <w:highlight w:val="none"/>
              </w:rPr>
              <w:t>→</w:t>
            </w:r>
            <w:r>
              <w:rPr>
                <w:color w:val="auto"/>
                <w:spacing w:val="-2"/>
                <w:sz w:val="24"/>
                <w:szCs w:val="24"/>
                <w:highlight w:val="none"/>
              </w:rPr>
              <w:t>土石方回填</w:t>
            </w:r>
            <w:r>
              <w:rPr>
                <w:rFonts w:ascii="Times New Roman" w:hAnsi="Times New Roman" w:eastAsia="Times New Roman" w:cs="Times New Roman"/>
                <w:color w:val="auto"/>
                <w:spacing w:val="-2"/>
                <w:sz w:val="24"/>
                <w:szCs w:val="24"/>
                <w:highlight w:val="none"/>
              </w:rPr>
              <w:t>→</w:t>
            </w:r>
            <w:r>
              <w:rPr>
                <w:color w:val="auto"/>
                <w:spacing w:val="-2"/>
                <w:sz w:val="24"/>
                <w:szCs w:val="24"/>
                <w:highlight w:val="none"/>
              </w:rPr>
              <w:t>完工。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rPr>
            </w:pPr>
            <w:r>
              <w:rPr>
                <w:color w:val="auto"/>
                <w:position w:val="-32"/>
                <w:highlight w:val="none"/>
              </w:rPr>
              <w:drawing>
                <wp:inline distT="0" distB="0" distL="0" distR="0">
                  <wp:extent cx="5600700" cy="1172845"/>
                  <wp:effectExtent l="0" t="0" r="0" b="8255"/>
                  <wp:docPr id="8" name="IM 50"/>
                  <wp:cNvGraphicFramePr/>
                  <a:graphic xmlns:a="http://schemas.openxmlformats.org/drawingml/2006/main">
                    <a:graphicData uri="http://schemas.openxmlformats.org/drawingml/2006/picture">
                      <pic:pic xmlns:pic="http://schemas.openxmlformats.org/drawingml/2006/picture">
                        <pic:nvPicPr>
                          <pic:cNvPr id="8" name="IM 50"/>
                          <pic:cNvPicPr/>
                        </pic:nvPicPr>
                        <pic:blipFill>
                          <a:blip r:embed="rId11"/>
                          <a:stretch>
                            <a:fillRect/>
                          </a:stretch>
                        </pic:blipFill>
                        <pic:spPr>
                          <a:xfrm>
                            <a:off x="0" y="0"/>
                            <a:ext cx="5600700" cy="1172845"/>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pacing w:val="0"/>
                <w:sz w:val="21"/>
                <w:szCs w:val="21"/>
                <w:highlight w:val="none"/>
              </w:rPr>
            </w:pPr>
            <w:r>
              <w:rPr>
                <w:b/>
                <w:bCs/>
                <w:color w:val="auto"/>
                <w:spacing w:val="0"/>
                <w:sz w:val="21"/>
                <w:szCs w:val="21"/>
                <w:highlight w:val="none"/>
              </w:rPr>
              <w:t>图</w:t>
            </w:r>
            <w:r>
              <w:rPr>
                <w:rFonts w:ascii="Times New Roman" w:hAnsi="Times New Roman" w:eastAsia="Times New Roman" w:cs="Times New Roman"/>
                <w:b/>
                <w:bCs/>
                <w:color w:val="auto"/>
                <w:spacing w:val="0"/>
                <w:sz w:val="21"/>
                <w:szCs w:val="21"/>
                <w:highlight w:val="none"/>
              </w:rPr>
              <w:t>2-</w:t>
            </w:r>
            <w:r>
              <w:rPr>
                <w:rFonts w:hint="eastAsia" w:ascii="Times New Roman" w:hAnsi="Times New Roman" w:cs="Times New Roman"/>
                <w:b/>
                <w:bCs/>
                <w:color w:val="auto"/>
                <w:spacing w:val="0"/>
                <w:sz w:val="21"/>
                <w:szCs w:val="21"/>
                <w:highlight w:val="none"/>
                <w:lang w:val="en-US" w:eastAsia="zh-CN"/>
              </w:rPr>
              <w:t>1</w:t>
            </w:r>
            <w:r>
              <w:rPr>
                <w:rFonts w:ascii="Times New Roman" w:hAnsi="Times New Roman" w:eastAsia="Times New Roman" w:cs="Times New Roman"/>
                <w:b/>
                <w:bCs/>
                <w:color w:val="auto"/>
                <w:spacing w:val="0"/>
                <w:sz w:val="21"/>
                <w:szCs w:val="21"/>
                <w:highlight w:val="none"/>
              </w:rPr>
              <w:t xml:space="preserve">  </w:t>
            </w:r>
            <w:r>
              <w:rPr>
                <w:b/>
                <w:bCs/>
                <w:color w:val="auto"/>
                <w:spacing w:val="0"/>
                <w:sz w:val="21"/>
                <w:szCs w:val="21"/>
                <w:highlight w:val="none"/>
              </w:rPr>
              <w:t>施工期拦水大坝施工工艺流程及产污环节图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cs="Arial"/>
                <w:color w:val="auto"/>
                <w:spacing w:val="0"/>
                <w:sz w:val="24"/>
                <w:szCs w:val="24"/>
                <w:highlight w:val="none"/>
              </w:rPr>
            </w:pPr>
            <w:r>
              <w:rPr>
                <w:rFonts w:hint="eastAsia" w:ascii="Arial" w:hAnsi="Arial" w:cs="Arial"/>
                <w:b/>
                <w:bCs/>
                <w:color w:val="auto"/>
                <w:spacing w:val="0"/>
                <w:sz w:val="24"/>
                <w:szCs w:val="24"/>
                <w:highlight w:val="none"/>
                <w:lang w:val="en-US" w:eastAsia="zh-CN"/>
              </w:rPr>
              <w:t xml:space="preserve">⑴ </w:t>
            </w:r>
            <w:r>
              <w:rPr>
                <w:rFonts w:hint="default" w:ascii="Arial" w:hAnsi="Arial" w:cs="Arial"/>
                <w:b/>
                <w:bCs/>
                <w:color w:val="auto"/>
                <w:spacing w:val="0"/>
                <w:sz w:val="24"/>
                <w:szCs w:val="24"/>
                <w:highlight w:val="none"/>
              </w:rPr>
              <w:t>场地清理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使用推土机、铲土机等设备，对项目施工区内的植物、石块等进行清理。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pacing w:val="0"/>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的污染物主要为</w:t>
            </w:r>
            <w:r>
              <w:rPr>
                <w:rFonts w:hint="default" w:ascii="Arial" w:hAnsi="Arial" w:cs="Arial"/>
                <w:i/>
                <w:iCs/>
                <w:color w:val="auto"/>
                <w:spacing w:val="0"/>
                <w:sz w:val="24"/>
                <w:szCs w:val="24"/>
                <w:highlight w:val="none"/>
              </w:rPr>
              <w:t>扬尘、机械废气、噪声、植被破坏、水土流失等。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cs="Arial"/>
                <w:color w:val="auto"/>
                <w:spacing w:val="0"/>
                <w:sz w:val="24"/>
                <w:szCs w:val="24"/>
                <w:highlight w:val="none"/>
              </w:rPr>
            </w:pPr>
            <w:r>
              <w:rPr>
                <w:rFonts w:hint="eastAsia" w:ascii="Arial" w:hAnsi="Arial" w:cs="Arial"/>
                <w:b/>
                <w:bCs/>
                <w:color w:val="auto"/>
                <w:spacing w:val="0"/>
                <w:sz w:val="24"/>
                <w:szCs w:val="24"/>
                <w:highlight w:val="none"/>
                <w:lang w:val="en-US" w:eastAsia="zh-CN"/>
              </w:rPr>
              <w:t xml:space="preserve">⑵ </w:t>
            </w:r>
            <w:r>
              <w:rPr>
                <w:rFonts w:hint="default" w:ascii="Arial" w:hAnsi="Arial" w:cs="Arial"/>
                <w:b/>
                <w:bCs/>
                <w:color w:val="auto"/>
                <w:spacing w:val="0"/>
                <w:sz w:val="24"/>
                <w:szCs w:val="24"/>
                <w:highlight w:val="none"/>
              </w:rPr>
              <w:t>土石方开挖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土石方开挖于第一年完成</w:t>
            </w:r>
            <w:r>
              <w:rPr>
                <w:rFonts w:hint="eastAsia" w:ascii="Arial" w:hAnsi="Arial" w:cs="Arial"/>
                <w:color w:val="auto"/>
                <w:spacing w:val="0"/>
                <w:sz w:val="24"/>
                <w:szCs w:val="24"/>
                <w:highlight w:val="none"/>
                <w:lang w:eastAsia="zh-CN"/>
              </w:rPr>
              <w:t>，</w:t>
            </w:r>
            <w:r>
              <w:rPr>
                <w:rFonts w:hint="eastAsia" w:ascii="Arial" w:hAnsi="Arial" w:cs="Arial"/>
                <w:color w:val="auto"/>
                <w:spacing w:val="0"/>
                <w:sz w:val="24"/>
                <w:szCs w:val="24"/>
                <w:highlight w:val="none"/>
                <w:lang w:val="en-US" w:eastAsia="zh-CN"/>
              </w:rPr>
              <w:t>工期约4个月</w:t>
            </w:r>
            <w:r>
              <w:rPr>
                <w:rFonts w:hint="default" w:ascii="Arial" w:hAnsi="Arial" w:cs="Arial"/>
                <w:color w:val="auto"/>
                <w:spacing w:val="0"/>
                <w:sz w:val="24"/>
                <w:szCs w:val="24"/>
                <w:highlight w:val="none"/>
              </w:rPr>
              <w:t>。人工清除岸坡及坝肩树根杂草表面覆盖层后，</w:t>
            </w:r>
            <w:r>
              <w:rPr>
                <w:rFonts w:hint="eastAsia" w:ascii="Arial" w:hAnsi="Arial" w:cs="Arial"/>
                <w:color w:val="auto"/>
                <w:spacing w:val="0"/>
                <w:sz w:val="24"/>
                <w:szCs w:val="24"/>
                <w:highlight w:val="none"/>
                <w:lang w:val="en-US" w:eastAsia="zh-CN"/>
              </w:rPr>
              <w:t>使用</w:t>
            </w:r>
            <w:r>
              <w:rPr>
                <w:rFonts w:hint="default" w:ascii="Arial" w:hAnsi="Arial" w:cs="Arial"/>
                <w:color w:val="auto"/>
                <w:spacing w:val="0"/>
                <w:sz w:val="24"/>
                <w:szCs w:val="24"/>
                <w:highlight w:val="none"/>
              </w:rPr>
              <w:t>土方</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反铲自上而下梯段开挖，装</w:t>
            </w:r>
            <w:r>
              <w:rPr>
                <w:rFonts w:hint="default" w:ascii="Arial" w:hAnsi="Arial" w:eastAsia="Times New Roman" w:cs="Arial"/>
                <w:color w:val="auto"/>
                <w:spacing w:val="0"/>
                <w:sz w:val="24"/>
                <w:szCs w:val="24"/>
                <w:highlight w:val="none"/>
              </w:rPr>
              <w:t>10~15t</w:t>
            </w:r>
            <w:r>
              <w:rPr>
                <w:rFonts w:hint="default" w:ascii="Arial" w:hAnsi="Arial" w:cs="Arial"/>
                <w:color w:val="auto"/>
                <w:spacing w:val="0"/>
                <w:sz w:val="24"/>
                <w:szCs w:val="24"/>
                <w:highlight w:val="none"/>
              </w:rPr>
              <w:t>自卸汽车运输；石方开挖自行式潜孔钻钻孔，毫秒微差爆破；左、右岸坡开挖预留</w:t>
            </w:r>
            <w:r>
              <w:rPr>
                <w:rFonts w:hint="default" w:ascii="Arial" w:hAnsi="Arial" w:eastAsia="Times New Roman" w:cs="Arial"/>
                <w:color w:val="auto"/>
                <w:spacing w:val="0"/>
                <w:sz w:val="24"/>
                <w:szCs w:val="24"/>
                <w:highlight w:val="none"/>
              </w:rPr>
              <w:t>50~80cm</w:t>
            </w:r>
            <w:r>
              <w:rPr>
                <w:rFonts w:hint="default" w:ascii="Arial" w:hAnsi="Arial" w:cs="Arial"/>
                <w:color w:val="auto"/>
                <w:spacing w:val="0"/>
                <w:sz w:val="24"/>
                <w:szCs w:val="24"/>
                <w:highlight w:val="none"/>
              </w:rPr>
              <w:t>保护层，保护层手风钻钻孔，</w:t>
            </w:r>
            <w:r>
              <w:rPr>
                <w:rFonts w:hint="default" w:ascii="Arial" w:hAnsi="Arial" w:eastAsia="Times New Roman" w:cs="Arial"/>
                <w:color w:val="auto"/>
                <w:spacing w:val="0"/>
                <w:sz w:val="24"/>
                <w:szCs w:val="24"/>
                <w:highlight w:val="none"/>
              </w:rPr>
              <w:t>10m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移动式空压机供风，浅孔松动爆破，</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自卸汽车运输</w:t>
            </w:r>
            <w:r>
              <w:rPr>
                <w:rFonts w:hint="default" w:ascii="Arial" w:hAnsi="Arial" w:eastAsia="Times New Roman" w:cs="Arial"/>
                <w:color w:val="auto"/>
                <w:spacing w:val="0"/>
                <w:sz w:val="24"/>
                <w:szCs w:val="24"/>
                <w:highlight w:val="none"/>
              </w:rPr>
              <w:t>400m</w:t>
            </w:r>
            <w:r>
              <w:rPr>
                <w:rFonts w:hint="default" w:ascii="Arial" w:hAnsi="Arial" w:cs="Arial"/>
                <w:color w:val="auto"/>
                <w:spacing w:val="0"/>
                <w:sz w:val="24"/>
                <w:szCs w:val="24"/>
                <w:highlight w:val="none"/>
              </w:rPr>
              <w:t>至枢纽临时堆渣场，后期采用</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自卸汽车转运</w:t>
            </w:r>
            <w:r>
              <w:rPr>
                <w:rFonts w:hint="eastAsia" w:ascii="Arial" w:hAnsi="Arial" w:cs="Arial"/>
                <w:color w:val="auto"/>
                <w:spacing w:val="0"/>
                <w:sz w:val="24"/>
                <w:szCs w:val="24"/>
                <w:highlight w:val="none"/>
                <w:lang w:val="en-US" w:eastAsia="zh-CN"/>
              </w:rPr>
              <w:t>3</w:t>
            </w:r>
            <w:r>
              <w:rPr>
                <w:rFonts w:hint="default" w:ascii="Arial" w:hAnsi="Arial" w:eastAsia="Times New Roman" w:cs="Arial"/>
                <w:color w:val="auto"/>
                <w:spacing w:val="0"/>
                <w:sz w:val="24"/>
                <w:szCs w:val="24"/>
                <w:highlight w:val="none"/>
              </w:rPr>
              <w:t>.0km</w:t>
            </w:r>
            <w:r>
              <w:rPr>
                <w:rFonts w:hint="default" w:ascii="Arial" w:hAnsi="Arial" w:cs="Arial"/>
                <w:color w:val="auto"/>
                <w:spacing w:val="0"/>
                <w:sz w:val="24"/>
                <w:szCs w:val="24"/>
                <w:highlight w:val="none"/>
              </w:rPr>
              <w:t>至坝后堆放。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的污染物主要为</w:t>
            </w:r>
            <w:r>
              <w:rPr>
                <w:rFonts w:hint="default" w:ascii="Arial" w:hAnsi="Arial" w:cs="Arial"/>
                <w:i/>
                <w:iCs/>
                <w:color w:val="auto"/>
                <w:spacing w:val="0"/>
                <w:sz w:val="24"/>
                <w:szCs w:val="24"/>
                <w:highlight w:val="none"/>
              </w:rPr>
              <w:t>扬尘、机械废气、</w:t>
            </w:r>
            <w:r>
              <w:rPr>
                <w:rFonts w:hint="eastAsia" w:ascii="Arial" w:hAnsi="Arial" w:cs="Arial"/>
                <w:i/>
                <w:iCs/>
                <w:color w:val="auto"/>
                <w:spacing w:val="0"/>
                <w:sz w:val="24"/>
                <w:szCs w:val="24"/>
                <w:highlight w:val="none"/>
                <w:lang w:val="en-US" w:eastAsia="zh-CN"/>
              </w:rPr>
              <w:t>爆破粉尘、</w:t>
            </w:r>
            <w:r>
              <w:rPr>
                <w:rFonts w:hint="default" w:ascii="Arial" w:hAnsi="Arial" w:cs="Arial"/>
                <w:i/>
                <w:iCs/>
                <w:color w:val="auto"/>
                <w:spacing w:val="0"/>
                <w:sz w:val="24"/>
                <w:szCs w:val="24"/>
                <w:highlight w:val="none"/>
              </w:rPr>
              <w:t>噪声、植被破坏、水土流失等。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⑶ </w:t>
            </w:r>
            <w:r>
              <w:rPr>
                <w:rFonts w:hint="default" w:ascii="Arial" w:hAnsi="Arial" w:cs="Arial"/>
                <w:b/>
                <w:bCs/>
                <w:color w:val="auto"/>
                <w:spacing w:val="-5"/>
                <w:sz w:val="24"/>
                <w:szCs w:val="24"/>
                <w:highlight w:val="none"/>
              </w:rPr>
              <w:t>坝体填筑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cs="Arial"/>
                <w:color w:val="auto"/>
                <w:spacing w:val="0"/>
                <w:sz w:val="24"/>
                <w:szCs w:val="24"/>
                <w:highlight w:val="none"/>
              </w:rPr>
            </w:pPr>
            <w:r>
              <w:rPr>
                <w:rFonts w:hint="eastAsia" w:ascii="Arial" w:hAnsi="Arial" w:cs="Arial"/>
                <w:b/>
                <w:bCs/>
                <w:color w:val="auto"/>
                <w:spacing w:val="0"/>
                <w:sz w:val="24"/>
                <w:szCs w:val="24"/>
                <w:highlight w:val="none"/>
                <w:lang w:val="en-US" w:eastAsia="zh-CN"/>
              </w:rPr>
              <w:t xml:space="preserve">① </w:t>
            </w:r>
            <w:r>
              <w:rPr>
                <w:rFonts w:hint="default" w:ascii="Arial" w:hAnsi="Arial" w:cs="Arial"/>
                <w:b/>
                <w:bCs/>
                <w:color w:val="auto"/>
                <w:spacing w:val="0"/>
                <w:sz w:val="24"/>
                <w:szCs w:val="24"/>
                <w:highlight w:val="none"/>
              </w:rPr>
              <w:t>主堆石区填筑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主堆石料在</w:t>
            </w:r>
            <w:r>
              <w:rPr>
                <w:rFonts w:hint="eastAsia" w:ascii="Arial" w:hAnsi="Arial" w:cs="Arial"/>
                <w:color w:val="auto"/>
                <w:spacing w:val="0"/>
                <w:sz w:val="24"/>
                <w:szCs w:val="24"/>
                <w:highlight w:val="none"/>
                <w:lang w:val="en-US" w:eastAsia="zh-CN"/>
              </w:rPr>
              <w:t>赵家山石料</w:t>
            </w:r>
            <w:r>
              <w:rPr>
                <w:rFonts w:hint="default" w:ascii="Arial" w:hAnsi="Arial" w:cs="Arial"/>
                <w:color w:val="auto"/>
                <w:spacing w:val="0"/>
                <w:sz w:val="24"/>
                <w:szCs w:val="24"/>
                <w:highlight w:val="none"/>
              </w:rPr>
              <w:t>场开采，</w:t>
            </w:r>
            <w:r>
              <w:rPr>
                <w:rFonts w:hint="default" w:ascii="Arial" w:hAnsi="Arial" w:eastAsia="Times New Roman" w:cs="Arial"/>
                <w:color w:val="auto"/>
                <w:spacing w:val="0"/>
                <w:sz w:val="24"/>
                <w:szCs w:val="24"/>
                <w:highlight w:val="none"/>
              </w:rPr>
              <w:t>2.0m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挖掘机装</w:t>
            </w:r>
            <w:r>
              <w:rPr>
                <w:rFonts w:hint="default" w:ascii="Arial" w:hAnsi="Arial" w:eastAsia="Times New Roman" w:cs="Arial"/>
                <w:color w:val="auto"/>
                <w:spacing w:val="0"/>
                <w:sz w:val="24"/>
                <w:szCs w:val="24"/>
                <w:highlight w:val="none"/>
              </w:rPr>
              <w:t>15~20t</w:t>
            </w:r>
            <w:r>
              <w:rPr>
                <w:rFonts w:hint="default" w:ascii="Arial" w:hAnsi="Arial" w:cs="Arial"/>
                <w:color w:val="auto"/>
                <w:spacing w:val="0"/>
                <w:sz w:val="24"/>
                <w:szCs w:val="24"/>
                <w:highlight w:val="none"/>
              </w:rPr>
              <w:t>自卸汽车运输</w:t>
            </w:r>
            <w:r>
              <w:rPr>
                <w:rFonts w:hint="default" w:ascii="Arial" w:hAnsi="Arial" w:eastAsia="Times New Roman" w:cs="Arial"/>
                <w:color w:val="auto"/>
                <w:spacing w:val="0"/>
                <w:sz w:val="24"/>
                <w:szCs w:val="24"/>
                <w:highlight w:val="none"/>
              </w:rPr>
              <w:t>22.0km</w:t>
            </w:r>
            <w:r>
              <w:rPr>
                <w:rFonts w:hint="default" w:ascii="Arial" w:hAnsi="Arial" w:cs="Arial"/>
                <w:color w:val="auto"/>
                <w:spacing w:val="0"/>
                <w:sz w:val="24"/>
                <w:szCs w:val="24"/>
                <w:highlight w:val="none"/>
              </w:rPr>
              <w:t>至坝面，顺坝轴线方向进占法铺料，与过渡层料相邻的堆石料后退法铺料。</w:t>
            </w:r>
            <w:r>
              <w:rPr>
                <w:rFonts w:hint="default" w:ascii="Arial" w:hAnsi="Arial" w:eastAsia="Times New Roman" w:cs="Arial"/>
                <w:color w:val="auto"/>
                <w:spacing w:val="0"/>
                <w:sz w:val="24"/>
                <w:szCs w:val="24"/>
                <w:highlight w:val="none"/>
              </w:rPr>
              <w:t>88kW</w:t>
            </w:r>
            <w:r>
              <w:rPr>
                <w:rFonts w:hint="default" w:ascii="Arial" w:hAnsi="Arial" w:cs="Arial"/>
                <w:color w:val="auto"/>
                <w:spacing w:val="0"/>
                <w:sz w:val="24"/>
                <w:szCs w:val="24"/>
                <w:highlight w:val="none"/>
              </w:rPr>
              <w:t>推土机平料，坝料经人工洒水湿润后，</w:t>
            </w:r>
            <w:r>
              <w:rPr>
                <w:rFonts w:hint="default" w:ascii="Arial" w:hAnsi="Arial" w:eastAsia="Times New Roman" w:cs="Arial"/>
                <w:color w:val="auto"/>
                <w:spacing w:val="0"/>
                <w:sz w:val="24"/>
                <w:szCs w:val="24"/>
                <w:highlight w:val="none"/>
              </w:rPr>
              <w:t>25t</w:t>
            </w:r>
            <w:r>
              <w:rPr>
                <w:rFonts w:hint="default" w:ascii="Arial" w:hAnsi="Arial" w:cs="Arial"/>
                <w:color w:val="auto"/>
                <w:spacing w:val="0"/>
                <w:sz w:val="24"/>
                <w:szCs w:val="24"/>
                <w:highlight w:val="none"/>
              </w:rPr>
              <w:t>自行式光面振动碾顺坝轴线方向进退错距骑缝碾压。坝面布置</w:t>
            </w:r>
            <w:r>
              <w:rPr>
                <w:rFonts w:hint="default" w:ascii="Arial" w:hAnsi="Arial" w:eastAsia="Times New Roman" w:cs="Arial"/>
                <w:color w:val="auto"/>
                <w:spacing w:val="0"/>
                <w:sz w:val="24"/>
                <w:szCs w:val="24"/>
                <w:highlight w:val="none"/>
              </w:rPr>
              <w:t>1</w:t>
            </w:r>
            <w:r>
              <w:rPr>
                <w:rFonts w:hint="default" w:ascii="Arial" w:hAnsi="Arial" w:cs="Arial"/>
                <w:color w:val="auto"/>
                <w:spacing w:val="0"/>
                <w:sz w:val="24"/>
                <w:szCs w:val="24"/>
                <w:highlight w:val="none"/>
              </w:rPr>
              <w:t>台反铲，剔除与过渡层相接部位坡面上大于</w:t>
            </w:r>
            <w:r>
              <w:rPr>
                <w:rFonts w:hint="default" w:ascii="Arial" w:hAnsi="Arial" w:eastAsia="Times New Roman" w:cs="Arial"/>
                <w:color w:val="auto"/>
                <w:spacing w:val="0"/>
                <w:sz w:val="24"/>
                <w:szCs w:val="24"/>
                <w:highlight w:val="none"/>
              </w:rPr>
              <w:t>30cm</w:t>
            </w:r>
            <w:r>
              <w:rPr>
                <w:rFonts w:hint="default" w:ascii="Arial" w:hAnsi="Arial" w:cs="Arial"/>
                <w:color w:val="auto"/>
                <w:spacing w:val="0"/>
                <w:sz w:val="24"/>
                <w:szCs w:val="24"/>
                <w:highlight w:val="none"/>
              </w:rPr>
              <w:t>的离散石块，靠近岸坡</w:t>
            </w:r>
            <w:r>
              <w:rPr>
                <w:rFonts w:hint="default" w:ascii="Arial" w:hAnsi="Arial" w:eastAsia="Times New Roman" w:cs="Arial"/>
                <w:color w:val="auto"/>
                <w:spacing w:val="0"/>
                <w:sz w:val="24"/>
                <w:szCs w:val="24"/>
                <w:highlight w:val="none"/>
              </w:rPr>
              <w:t>3m</w:t>
            </w:r>
            <w:r>
              <w:rPr>
                <w:rFonts w:hint="default" w:ascii="Arial" w:hAnsi="Arial" w:cs="Arial"/>
                <w:color w:val="auto"/>
                <w:spacing w:val="0"/>
                <w:sz w:val="24"/>
                <w:szCs w:val="24"/>
                <w:highlight w:val="none"/>
              </w:rPr>
              <w:t>部位按最大粒径不大于</w:t>
            </w:r>
            <w:r>
              <w:rPr>
                <w:rFonts w:hint="default" w:ascii="Arial" w:hAnsi="Arial" w:eastAsia="Times New Roman" w:cs="Arial"/>
                <w:color w:val="auto"/>
                <w:spacing w:val="0"/>
                <w:sz w:val="24"/>
                <w:szCs w:val="24"/>
                <w:highlight w:val="none"/>
              </w:rPr>
              <w:t>30cm</w:t>
            </w:r>
            <w:r>
              <w:rPr>
                <w:rFonts w:hint="default" w:ascii="Arial" w:hAnsi="Arial" w:cs="Arial"/>
                <w:color w:val="auto"/>
                <w:spacing w:val="0"/>
                <w:sz w:val="24"/>
                <w:szCs w:val="24"/>
                <w:highlight w:val="none"/>
              </w:rPr>
              <w:t>的过渡料铺筑，以防止出现架空、分离现象。</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Arial" w:hAnsi="Arial" w:cs="Arial"/>
                <w:color w:val="auto"/>
                <w:spacing w:val="-1"/>
                <w:sz w:val="24"/>
                <w:szCs w:val="24"/>
                <w:highlight w:val="none"/>
              </w:rPr>
            </w:pPr>
            <w:r>
              <w:rPr>
                <w:rFonts w:hint="default" w:ascii="Arial" w:hAnsi="Arial" w:cs="Arial"/>
                <w:color w:val="auto"/>
                <w:spacing w:val="-1"/>
                <w:sz w:val="24"/>
                <w:szCs w:val="24"/>
                <w:highlight w:val="none"/>
              </w:rPr>
              <w:t>顺水流方向预留施工缝时高差控制在层厚范围以内；新填筑堆石料时，利用</w:t>
            </w:r>
            <w:r>
              <w:rPr>
                <w:rFonts w:hint="default" w:ascii="Arial" w:hAnsi="Arial" w:cs="Arial"/>
                <w:color w:val="auto"/>
                <w:sz w:val="24"/>
                <w:szCs w:val="24"/>
                <w:highlight w:val="none"/>
              </w:rPr>
              <w:t>反铲对先前填筑形成的堆石施工缝水平向里挖除</w:t>
            </w:r>
            <w:r>
              <w:rPr>
                <w:rFonts w:hint="default" w:ascii="Arial" w:hAnsi="Arial" w:eastAsia="Times New Roman" w:cs="Arial"/>
                <w:color w:val="auto"/>
                <w:sz w:val="24"/>
                <w:szCs w:val="24"/>
                <w:highlight w:val="none"/>
              </w:rPr>
              <w:t>1m</w:t>
            </w:r>
            <w:r>
              <w:rPr>
                <w:rFonts w:hint="default" w:ascii="Arial" w:hAnsi="Arial" w:cs="Arial"/>
                <w:color w:val="auto"/>
                <w:sz w:val="24"/>
                <w:szCs w:val="24"/>
                <w:highlight w:val="none"/>
              </w:rPr>
              <w:t>距离使露出新的坡面，清除</w:t>
            </w:r>
            <w:r>
              <w:rPr>
                <w:rFonts w:hint="default" w:ascii="Arial" w:hAnsi="Arial" w:cs="Arial"/>
                <w:color w:val="auto"/>
                <w:spacing w:val="-1"/>
                <w:sz w:val="24"/>
                <w:szCs w:val="24"/>
                <w:highlight w:val="none"/>
              </w:rPr>
              <w:t>接缝边较大石块，逐层填筑并跨缝碾压。</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0" w:firstLineChars="200"/>
              <w:textAlignment w:val="auto"/>
              <w:rPr>
                <w:rFonts w:hint="default" w:ascii="Arial" w:hAnsi="Arial"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② </w:t>
            </w:r>
            <w:r>
              <w:rPr>
                <w:rFonts w:hint="default" w:ascii="Arial" w:hAnsi="Arial" w:cs="Arial"/>
                <w:b/>
                <w:bCs/>
                <w:color w:val="auto"/>
                <w:spacing w:val="-3"/>
                <w:sz w:val="24"/>
                <w:szCs w:val="24"/>
                <w:highlight w:val="none"/>
              </w:rPr>
              <w:t>次堆石区填筑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次堆石料除利用大坝、溢洪道和导流（取水）隧洞合格石料外，不足部分在</w:t>
            </w:r>
            <w:r>
              <w:rPr>
                <w:rFonts w:hint="eastAsia" w:ascii="Arial" w:hAnsi="Arial" w:cs="Arial"/>
                <w:color w:val="auto"/>
                <w:spacing w:val="-2"/>
                <w:sz w:val="24"/>
                <w:szCs w:val="24"/>
                <w:highlight w:val="none"/>
                <w:lang w:val="en-US" w:eastAsia="zh-CN"/>
              </w:rPr>
              <w:t>赵家山</w:t>
            </w:r>
            <w:r>
              <w:rPr>
                <w:rFonts w:hint="default" w:ascii="Arial" w:hAnsi="Arial" w:cs="Arial"/>
                <w:color w:val="auto"/>
                <w:spacing w:val="-2"/>
                <w:sz w:val="24"/>
                <w:szCs w:val="24"/>
                <w:highlight w:val="none"/>
              </w:rPr>
              <w:t>石料场开采，</w:t>
            </w:r>
            <w:r>
              <w:rPr>
                <w:rFonts w:hint="default" w:ascii="Arial" w:hAnsi="Arial" w:eastAsia="Times New Roman" w:cs="Arial"/>
                <w:color w:val="auto"/>
                <w:spacing w:val="-2"/>
                <w:sz w:val="24"/>
                <w:szCs w:val="24"/>
                <w:highlight w:val="none"/>
              </w:rPr>
              <w:t>2.0m</w:t>
            </w:r>
            <w:r>
              <w:rPr>
                <w:rFonts w:hint="eastAsia" w:ascii="Arial" w:hAnsi="Arial" w:cs="Arial"/>
                <w:color w:val="auto"/>
                <w:spacing w:val="-2"/>
                <w:sz w:val="24"/>
                <w:szCs w:val="24"/>
                <w:highlight w:val="none"/>
                <w:vertAlign w:val="superscript"/>
                <w:lang w:val="en-US" w:eastAsia="zh-CN"/>
              </w:rPr>
              <w:t>3</w:t>
            </w:r>
            <w:r>
              <w:rPr>
                <w:rFonts w:hint="default" w:ascii="Arial" w:hAnsi="Arial" w:cs="Arial"/>
                <w:color w:val="auto"/>
                <w:spacing w:val="-2"/>
                <w:sz w:val="24"/>
                <w:szCs w:val="24"/>
                <w:highlight w:val="none"/>
              </w:rPr>
              <w:t>挖掘机装</w:t>
            </w:r>
            <w:r>
              <w:rPr>
                <w:rFonts w:hint="default" w:ascii="Arial" w:hAnsi="Arial" w:eastAsia="Times New Roman" w:cs="Arial"/>
                <w:color w:val="auto"/>
                <w:spacing w:val="-2"/>
                <w:sz w:val="24"/>
                <w:szCs w:val="24"/>
                <w:highlight w:val="none"/>
              </w:rPr>
              <w:t>15~20t</w:t>
            </w:r>
            <w:r>
              <w:rPr>
                <w:rFonts w:hint="default" w:ascii="Arial" w:hAnsi="Arial" w:cs="Arial"/>
                <w:color w:val="auto"/>
                <w:spacing w:val="-2"/>
                <w:sz w:val="24"/>
                <w:szCs w:val="24"/>
                <w:highlight w:val="none"/>
              </w:rPr>
              <w:t>自卸汽车运输</w:t>
            </w:r>
            <w:r>
              <w:rPr>
                <w:rFonts w:hint="default" w:ascii="Arial" w:hAnsi="Arial" w:eastAsia="Times New Roman" w:cs="Arial"/>
                <w:color w:val="auto"/>
                <w:spacing w:val="-3"/>
                <w:sz w:val="24"/>
                <w:szCs w:val="24"/>
                <w:highlight w:val="none"/>
              </w:rPr>
              <w:t>1.5km</w:t>
            </w:r>
            <w:r>
              <w:rPr>
                <w:rFonts w:hint="default" w:ascii="Arial" w:hAnsi="Arial" w:cs="Arial"/>
                <w:color w:val="auto"/>
                <w:spacing w:val="-3"/>
                <w:sz w:val="24"/>
                <w:szCs w:val="24"/>
                <w:highlight w:val="none"/>
              </w:rPr>
              <w:t>至坝面，顺坝轴</w:t>
            </w:r>
            <w:r>
              <w:rPr>
                <w:rFonts w:hint="default" w:ascii="Arial" w:hAnsi="Arial" w:cs="Arial"/>
                <w:color w:val="auto"/>
                <w:spacing w:val="2"/>
                <w:sz w:val="24"/>
                <w:szCs w:val="24"/>
                <w:highlight w:val="none"/>
              </w:rPr>
              <w:t>线方向进占法铺料，与过渡层料相邻的堆石料</w:t>
            </w:r>
            <w:r>
              <w:rPr>
                <w:rFonts w:hint="default" w:ascii="Arial" w:hAnsi="Arial" w:cs="Arial"/>
                <w:color w:val="auto"/>
                <w:spacing w:val="1"/>
                <w:sz w:val="24"/>
                <w:szCs w:val="24"/>
                <w:highlight w:val="none"/>
              </w:rPr>
              <w:t>后退法铺料。</w:t>
            </w:r>
            <w:r>
              <w:rPr>
                <w:rFonts w:hint="default" w:ascii="Arial" w:hAnsi="Arial" w:eastAsia="Times New Roman" w:cs="Arial"/>
                <w:color w:val="auto"/>
                <w:spacing w:val="1"/>
                <w:sz w:val="24"/>
                <w:szCs w:val="24"/>
                <w:highlight w:val="none"/>
              </w:rPr>
              <w:t>88</w:t>
            </w:r>
            <w:r>
              <w:rPr>
                <w:rFonts w:hint="default" w:ascii="Arial" w:hAnsi="Arial" w:eastAsia="Times New Roman" w:cs="Arial"/>
                <w:color w:val="auto"/>
                <w:sz w:val="24"/>
                <w:szCs w:val="24"/>
                <w:highlight w:val="none"/>
              </w:rPr>
              <w:t>kW</w:t>
            </w:r>
            <w:r>
              <w:rPr>
                <w:rFonts w:hint="default" w:ascii="Arial" w:hAnsi="Arial" w:cs="Arial"/>
                <w:color w:val="auto"/>
                <w:spacing w:val="1"/>
                <w:sz w:val="24"/>
                <w:szCs w:val="24"/>
                <w:highlight w:val="none"/>
              </w:rPr>
              <w:t>推土机平料，</w:t>
            </w:r>
            <w:r>
              <w:rPr>
                <w:rFonts w:hint="default" w:ascii="Arial" w:hAnsi="Arial" w:eastAsia="Times New Roman" w:cs="Arial"/>
                <w:color w:val="auto"/>
                <w:spacing w:val="-1"/>
                <w:sz w:val="24"/>
                <w:szCs w:val="24"/>
                <w:highlight w:val="none"/>
              </w:rPr>
              <w:t>18t</w:t>
            </w:r>
            <w:r>
              <w:rPr>
                <w:rFonts w:hint="default" w:ascii="Arial" w:hAnsi="Arial" w:cs="Arial"/>
                <w:color w:val="auto"/>
                <w:spacing w:val="-1"/>
                <w:sz w:val="24"/>
                <w:szCs w:val="24"/>
                <w:highlight w:val="none"/>
              </w:rPr>
              <w:t>自行式光面振动碾顺坝轴线方向进退错距骑缝碾压。坝面布置</w:t>
            </w:r>
            <w:r>
              <w:rPr>
                <w:rFonts w:hint="default" w:ascii="Arial" w:hAnsi="Arial" w:eastAsia="Times New Roman" w:cs="Arial"/>
                <w:color w:val="auto"/>
                <w:spacing w:val="-1"/>
                <w:sz w:val="24"/>
                <w:szCs w:val="24"/>
                <w:highlight w:val="none"/>
              </w:rPr>
              <w:t>1</w:t>
            </w:r>
            <w:r>
              <w:rPr>
                <w:rFonts w:hint="default" w:ascii="Arial" w:hAnsi="Arial" w:cs="Arial"/>
                <w:color w:val="auto"/>
                <w:spacing w:val="-1"/>
                <w:sz w:val="24"/>
                <w:szCs w:val="24"/>
                <w:highlight w:val="none"/>
              </w:rPr>
              <w:t>台反铲，剔</w:t>
            </w:r>
            <w:r>
              <w:rPr>
                <w:rFonts w:hint="default" w:ascii="Arial" w:hAnsi="Arial" w:cs="Arial"/>
                <w:color w:val="auto"/>
                <w:spacing w:val="1"/>
                <w:sz w:val="24"/>
                <w:szCs w:val="24"/>
                <w:highlight w:val="none"/>
              </w:rPr>
              <w:t>除与过渡层相接部位坡面上大于</w:t>
            </w:r>
            <w:r>
              <w:rPr>
                <w:rFonts w:hint="default" w:ascii="Arial" w:hAnsi="Arial" w:eastAsia="Times New Roman" w:cs="Arial"/>
                <w:color w:val="auto"/>
                <w:spacing w:val="1"/>
                <w:sz w:val="24"/>
                <w:szCs w:val="24"/>
                <w:highlight w:val="none"/>
              </w:rPr>
              <w:t>30</w:t>
            </w:r>
            <w:r>
              <w:rPr>
                <w:rFonts w:hint="default" w:ascii="Arial" w:hAnsi="Arial" w:eastAsia="Times New Roman" w:cs="Arial"/>
                <w:color w:val="auto"/>
                <w:sz w:val="24"/>
                <w:szCs w:val="24"/>
                <w:highlight w:val="none"/>
              </w:rPr>
              <w:t>cm</w:t>
            </w:r>
            <w:r>
              <w:rPr>
                <w:rFonts w:hint="default" w:ascii="Arial" w:hAnsi="Arial" w:cs="Arial"/>
                <w:color w:val="auto"/>
                <w:spacing w:val="1"/>
                <w:sz w:val="24"/>
                <w:szCs w:val="24"/>
                <w:highlight w:val="none"/>
              </w:rPr>
              <w:t>的离散石块，靠近岸坡</w:t>
            </w:r>
            <w:r>
              <w:rPr>
                <w:rFonts w:hint="default" w:ascii="Arial" w:hAnsi="Arial" w:cs="Arial"/>
                <w:color w:val="auto"/>
                <w:spacing w:val="-48"/>
                <w:sz w:val="24"/>
                <w:szCs w:val="24"/>
                <w:highlight w:val="none"/>
              </w:rPr>
              <w:t xml:space="preserve"> </w:t>
            </w:r>
            <w:r>
              <w:rPr>
                <w:rFonts w:hint="default" w:ascii="Arial" w:hAnsi="Arial" w:eastAsia="Times New Roman" w:cs="Arial"/>
                <w:color w:val="auto"/>
                <w:spacing w:val="1"/>
                <w:sz w:val="24"/>
                <w:szCs w:val="24"/>
                <w:highlight w:val="none"/>
              </w:rPr>
              <w:t>3m</w:t>
            </w:r>
            <w:r>
              <w:rPr>
                <w:rFonts w:hint="default" w:ascii="Arial" w:hAnsi="Arial" w:cs="Arial"/>
                <w:color w:val="auto"/>
                <w:spacing w:val="1"/>
                <w:sz w:val="24"/>
                <w:szCs w:val="24"/>
                <w:highlight w:val="none"/>
              </w:rPr>
              <w:t>部位按最大粒</w:t>
            </w:r>
            <w:r>
              <w:rPr>
                <w:rFonts w:hint="default" w:ascii="Arial" w:hAnsi="Arial" w:cs="Arial"/>
                <w:color w:val="auto"/>
                <w:spacing w:val="-2"/>
                <w:sz w:val="24"/>
                <w:szCs w:val="24"/>
                <w:highlight w:val="none"/>
              </w:rPr>
              <w:t>径不大于</w:t>
            </w:r>
            <w:r>
              <w:rPr>
                <w:rFonts w:hint="default" w:ascii="Arial" w:hAnsi="Arial" w:cs="Arial"/>
                <w:color w:val="auto"/>
                <w:spacing w:val="-45"/>
                <w:sz w:val="24"/>
                <w:szCs w:val="24"/>
                <w:highlight w:val="none"/>
              </w:rPr>
              <w:t xml:space="preserve"> </w:t>
            </w:r>
            <w:r>
              <w:rPr>
                <w:rFonts w:hint="default" w:ascii="Arial" w:hAnsi="Arial" w:eastAsia="Times New Roman" w:cs="Arial"/>
                <w:color w:val="auto"/>
                <w:spacing w:val="-2"/>
                <w:sz w:val="24"/>
                <w:szCs w:val="24"/>
                <w:highlight w:val="none"/>
              </w:rPr>
              <w:t>30cm</w:t>
            </w:r>
            <w:r>
              <w:rPr>
                <w:rFonts w:hint="default" w:ascii="Arial" w:hAnsi="Arial" w:cs="Arial"/>
                <w:color w:val="auto"/>
                <w:spacing w:val="-2"/>
                <w:sz w:val="24"/>
                <w:szCs w:val="24"/>
                <w:highlight w:val="none"/>
              </w:rPr>
              <w:t>的过渡料铺筑，以防止出现架空、分离现象。</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pacing w:val="-1"/>
                <w:sz w:val="24"/>
                <w:szCs w:val="24"/>
                <w:highlight w:val="none"/>
              </w:rPr>
            </w:pPr>
            <w:r>
              <w:rPr>
                <w:rFonts w:hint="default" w:ascii="Arial" w:hAnsi="Arial" w:cs="Arial"/>
                <w:color w:val="auto"/>
                <w:spacing w:val="-1"/>
                <w:sz w:val="24"/>
                <w:szCs w:val="24"/>
                <w:highlight w:val="none"/>
              </w:rPr>
              <w:t>顺水流方向预留施工缝时高差控制在层厚范围以内；新填筑堆石料时，利用</w:t>
            </w:r>
            <w:r>
              <w:rPr>
                <w:rFonts w:hint="default" w:ascii="Arial" w:hAnsi="Arial" w:cs="Arial"/>
                <w:color w:val="auto"/>
                <w:sz w:val="24"/>
                <w:szCs w:val="24"/>
                <w:highlight w:val="none"/>
              </w:rPr>
              <w:t>反铲对先前填筑形成的堆石施工缝水平向里挖除</w:t>
            </w:r>
            <w:r>
              <w:rPr>
                <w:rFonts w:hint="default" w:ascii="Arial" w:hAnsi="Arial" w:eastAsia="Times New Roman" w:cs="Arial"/>
                <w:color w:val="auto"/>
                <w:sz w:val="24"/>
                <w:szCs w:val="24"/>
                <w:highlight w:val="none"/>
              </w:rPr>
              <w:t>1m</w:t>
            </w:r>
            <w:r>
              <w:rPr>
                <w:rFonts w:hint="default" w:ascii="Arial" w:hAnsi="Arial" w:cs="Arial"/>
                <w:color w:val="auto"/>
                <w:sz w:val="24"/>
                <w:szCs w:val="24"/>
                <w:highlight w:val="none"/>
              </w:rPr>
              <w:t>距离使露出新的坡面，清除</w:t>
            </w:r>
            <w:r>
              <w:rPr>
                <w:rFonts w:hint="default" w:ascii="Arial" w:hAnsi="Arial" w:cs="Arial"/>
                <w:color w:val="auto"/>
                <w:spacing w:val="-1"/>
                <w:sz w:val="24"/>
                <w:szCs w:val="24"/>
                <w:highlight w:val="none"/>
              </w:rPr>
              <w:t>接缝边较大石块，逐层填筑并跨缝碾压。</w:t>
            </w:r>
          </w:p>
          <w:p>
            <w:pPr>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Arial" w:hAnsi="Arial" w:cs="Arial"/>
                <w:color w:val="auto"/>
                <w:spacing w:val="-3"/>
                <w:sz w:val="24"/>
                <w:szCs w:val="24"/>
                <w:highlight w:val="none"/>
              </w:rPr>
            </w:pPr>
            <w:r>
              <w:rPr>
                <w:rFonts w:hint="eastAsia" w:ascii="Arial" w:hAnsi="Arial" w:cs="Arial"/>
                <w:b/>
                <w:bCs/>
                <w:color w:val="auto"/>
                <w:spacing w:val="-2"/>
                <w:sz w:val="24"/>
                <w:szCs w:val="24"/>
                <w:highlight w:val="none"/>
                <w:lang w:val="en-US" w:eastAsia="zh-CN"/>
              </w:rPr>
              <w:t xml:space="preserve">③ </w:t>
            </w:r>
            <w:r>
              <w:rPr>
                <w:rFonts w:hint="default" w:ascii="Arial" w:hAnsi="Arial" w:cs="Arial"/>
                <w:b/>
                <w:bCs/>
                <w:color w:val="auto"/>
                <w:spacing w:val="-2"/>
                <w:sz w:val="24"/>
                <w:szCs w:val="24"/>
                <w:highlight w:val="none"/>
              </w:rPr>
              <w:t>垫层料、特殊垫层料、过渡料填筑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特殊垫层、垫层、过渡层与相邻堆石料区平起填筑，按一层主堆石、二层过</w:t>
            </w:r>
            <w:r>
              <w:rPr>
                <w:rFonts w:hint="default" w:ascii="Arial" w:hAnsi="Arial" w:cs="Arial"/>
                <w:color w:val="auto"/>
                <w:sz w:val="24"/>
                <w:szCs w:val="24"/>
                <w:highlight w:val="none"/>
              </w:rPr>
              <w:t>渡层和垫层，同一平面上按主堆石</w:t>
            </w:r>
            <w:r>
              <w:rPr>
                <w:rFonts w:hint="default" w:ascii="Arial" w:hAnsi="Arial" w:eastAsia="Times New Roman" w:cs="Arial"/>
                <w:color w:val="auto"/>
                <w:sz w:val="24"/>
                <w:szCs w:val="24"/>
                <w:highlight w:val="none"/>
              </w:rPr>
              <w:t>→</w:t>
            </w:r>
            <w:r>
              <w:rPr>
                <w:rFonts w:hint="default" w:ascii="Arial" w:hAnsi="Arial" w:cs="Arial"/>
                <w:color w:val="auto"/>
                <w:sz w:val="24"/>
                <w:szCs w:val="24"/>
                <w:highlight w:val="none"/>
              </w:rPr>
              <w:t>过渡层</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垫层的先后顺序填筑。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Arial" w:hAnsi="Arial" w:cs="Arial"/>
                <w:color w:val="auto"/>
                <w:sz w:val="24"/>
                <w:szCs w:val="24"/>
                <w:highlight w:val="none"/>
              </w:rPr>
            </w:pPr>
            <w:r>
              <w:rPr>
                <w:rFonts w:hint="default" w:ascii="Arial" w:hAnsi="Arial" w:cs="Arial"/>
                <w:color w:val="auto"/>
                <w:spacing w:val="-6"/>
                <w:sz w:val="24"/>
                <w:szCs w:val="24"/>
                <w:highlight w:val="none"/>
              </w:rPr>
              <w:t>在填筑前时，同一层垫层料面略高于下游面，防止雨水冲刷上游垫层料坡面，</w:t>
            </w:r>
            <w:r>
              <w:rPr>
                <w:rFonts w:hint="default" w:ascii="Arial" w:hAnsi="Arial" w:cs="Arial"/>
                <w:color w:val="auto"/>
                <w:spacing w:val="-1"/>
                <w:sz w:val="24"/>
                <w:szCs w:val="24"/>
                <w:highlight w:val="none"/>
              </w:rPr>
              <w:t>岸坡部位雨季采取引排措施，防止两岸坡集水冲刷破坏垫层料。垫层料铺筑前剔</w:t>
            </w:r>
            <w:r>
              <w:rPr>
                <w:rFonts w:hint="default" w:ascii="Arial" w:hAnsi="Arial" w:cs="Arial"/>
                <w:color w:val="auto"/>
                <w:sz w:val="24"/>
                <w:szCs w:val="24"/>
                <w:highlight w:val="none"/>
              </w:rPr>
              <w:t>除过渡层与垫层料接触面上大于</w:t>
            </w:r>
            <w:r>
              <w:rPr>
                <w:rFonts w:hint="default" w:ascii="Arial" w:hAnsi="Arial" w:cs="Arial"/>
                <w:color w:val="auto"/>
                <w:spacing w:val="-44"/>
                <w:sz w:val="24"/>
                <w:szCs w:val="24"/>
                <w:highlight w:val="none"/>
              </w:rPr>
              <w:t xml:space="preserve"> </w:t>
            </w:r>
            <w:r>
              <w:rPr>
                <w:rFonts w:hint="default" w:ascii="Arial" w:hAnsi="Arial" w:eastAsia="Times New Roman" w:cs="Arial"/>
                <w:color w:val="auto"/>
                <w:sz w:val="24"/>
                <w:szCs w:val="24"/>
                <w:highlight w:val="none"/>
              </w:rPr>
              <w:t>20cm</w:t>
            </w:r>
            <w:r>
              <w:rPr>
                <w:rFonts w:hint="default" w:ascii="Arial" w:hAnsi="Arial" w:cs="Arial"/>
                <w:color w:val="auto"/>
                <w:sz w:val="24"/>
                <w:szCs w:val="24"/>
                <w:highlight w:val="none"/>
              </w:rPr>
              <w:t>的离散石块，填筑料运输至坝面，经堆石</w:t>
            </w:r>
            <w:r>
              <w:rPr>
                <w:rFonts w:hint="default" w:ascii="Arial" w:hAnsi="Arial" w:cs="Arial"/>
                <w:color w:val="auto"/>
                <w:spacing w:val="-3"/>
                <w:sz w:val="24"/>
                <w:szCs w:val="24"/>
                <w:highlight w:val="none"/>
              </w:rPr>
              <w:t>料区垂直于坝轴线方向每车卸料</w:t>
            </w:r>
            <w:r>
              <w:rPr>
                <w:rFonts w:hint="default" w:ascii="Arial" w:hAnsi="Arial" w:cs="Arial"/>
                <w:color w:val="auto"/>
                <w:spacing w:val="-54"/>
                <w:sz w:val="24"/>
                <w:szCs w:val="24"/>
                <w:highlight w:val="none"/>
              </w:rPr>
              <w:t xml:space="preserve"> </w:t>
            </w:r>
            <w:r>
              <w:rPr>
                <w:rFonts w:hint="default" w:ascii="Arial" w:hAnsi="Arial" w:eastAsia="Times New Roman" w:cs="Arial"/>
                <w:color w:val="auto"/>
                <w:spacing w:val="-3"/>
                <w:sz w:val="24"/>
                <w:szCs w:val="24"/>
                <w:highlight w:val="none"/>
              </w:rPr>
              <w:t>2~3</w:t>
            </w:r>
            <w:r>
              <w:rPr>
                <w:rFonts w:hint="default" w:ascii="Arial" w:hAnsi="Arial" w:cs="Arial"/>
                <w:color w:val="auto"/>
                <w:spacing w:val="-3"/>
                <w:sz w:val="24"/>
                <w:szCs w:val="24"/>
                <w:highlight w:val="none"/>
              </w:rPr>
              <w:t>堆（先两边、后中间</w:t>
            </w:r>
            <w:r>
              <w:rPr>
                <w:rFonts w:hint="default" w:ascii="Arial" w:hAnsi="Arial" w:cs="Arial"/>
                <w:color w:val="auto"/>
                <w:spacing w:val="9"/>
                <w:sz w:val="24"/>
                <w:szCs w:val="24"/>
                <w:highlight w:val="none"/>
              </w:rPr>
              <w:t>），</w:t>
            </w:r>
            <w:r>
              <w:rPr>
                <w:rFonts w:hint="default" w:ascii="Arial" w:hAnsi="Arial" w:eastAsia="Times New Roman" w:cs="Arial"/>
                <w:color w:val="auto"/>
                <w:spacing w:val="-3"/>
                <w:sz w:val="24"/>
                <w:szCs w:val="24"/>
                <w:highlight w:val="none"/>
              </w:rPr>
              <w:t>1.0m</w:t>
            </w:r>
            <w:r>
              <w:rPr>
                <w:rFonts w:hint="eastAsia" w:ascii="Arial" w:hAnsi="Arial" w:cs="Arial"/>
                <w:color w:val="auto"/>
                <w:spacing w:val="-3"/>
                <w:sz w:val="24"/>
                <w:szCs w:val="24"/>
                <w:highlight w:val="none"/>
                <w:vertAlign w:val="superscript"/>
                <w:lang w:val="en-US" w:eastAsia="zh-CN"/>
              </w:rPr>
              <w:t>3</w:t>
            </w:r>
            <w:r>
              <w:rPr>
                <w:rFonts w:hint="default" w:ascii="Arial" w:hAnsi="Arial" w:cs="Arial"/>
                <w:color w:val="auto"/>
                <w:spacing w:val="-4"/>
                <w:sz w:val="24"/>
                <w:szCs w:val="24"/>
                <w:highlight w:val="none"/>
              </w:rPr>
              <w:t>挖掘机摊平，洒水车少量均匀洒水，</w:t>
            </w:r>
            <w:r>
              <w:rPr>
                <w:rFonts w:hint="default" w:ascii="Arial" w:hAnsi="Arial" w:eastAsia="Times New Roman" w:cs="Arial"/>
                <w:color w:val="auto"/>
                <w:spacing w:val="-4"/>
                <w:sz w:val="24"/>
                <w:szCs w:val="24"/>
                <w:highlight w:val="none"/>
              </w:rPr>
              <w:t>13.5t</w:t>
            </w:r>
            <w:r>
              <w:rPr>
                <w:rFonts w:hint="default" w:ascii="Arial" w:hAnsi="Arial" w:cs="Arial"/>
                <w:color w:val="auto"/>
                <w:spacing w:val="-4"/>
                <w:sz w:val="24"/>
                <w:szCs w:val="24"/>
                <w:highlight w:val="none"/>
              </w:rPr>
              <w:t>自行式振动平碾顺坝轴线方向碾压，碾压行走速度为</w:t>
            </w:r>
            <w:r>
              <w:rPr>
                <w:rFonts w:hint="default" w:ascii="Arial" w:hAnsi="Arial" w:eastAsia="Times New Roman" w:cs="Arial"/>
                <w:color w:val="auto"/>
                <w:spacing w:val="-1"/>
                <w:sz w:val="24"/>
                <w:szCs w:val="24"/>
                <w:highlight w:val="none"/>
              </w:rPr>
              <w:t>1.5~2.5km/h</w:t>
            </w:r>
            <w:r>
              <w:rPr>
                <w:rFonts w:hint="default" w:ascii="Arial" w:hAnsi="Arial" w:cs="Arial"/>
                <w:color w:val="auto"/>
                <w:spacing w:val="-1"/>
                <w:sz w:val="24"/>
                <w:szCs w:val="24"/>
                <w:highlight w:val="none"/>
              </w:rPr>
              <w:t>，过渡层与垫层交界处骑缝碾压。垫层料上游边缘</w:t>
            </w:r>
            <w:r>
              <w:rPr>
                <w:rFonts w:hint="default" w:ascii="Arial" w:hAnsi="Arial" w:cs="Arial"/>
                <w:color w:val="auto"/>
                <w:spacing w:val="-52"/>
                <w:sz w:val="24"/>
                <w:szCs w:val="24"/>
                <w:highlight w:val="none"/>
              </w:rPr>
              <w:t xml:space="preserve"> </w:t>
            </w:r>
            <w:r>
              <w:rPr>
                <w:rFonts w:hint="default" w:ascii="Arial" w:hAnsi="Arial" w:eastAsia="Times New Roman" w:cs="Arial"/>
                <w:color w:val="auto"/>
                <w:spacing w:val="-1"/>
                <w:sz w:val="24"/>
                <w:szCs w:val="24"/>
                <w:highlight w:val="none"/>
              </w:rPr>
              <w:t>20cm</w:t>
            </w:r>
            <w:r>
              <w:rPr>
                <w:rFonts w:hint="default" w:ascii="Arial" w:hAnsi="Arial" w:cs="Arial"/>
                <w:color w:val="auto"/>
                <w:spacing w:val="-1"/>
                <w:sz w:val="24"/>
                <w:szCs w:val="24"/>
                <w:highlight w:val="none"/>
              </w:rPr>
              <w:t>宽度范围平板台式振动器碾压，边坡部位小型专用振动碾碾压，特殊要求部位蛙式打夯机夯</w:t>
            </w:r>
            <w:r>
              <w:rPr>
                <w:rFonts w:hint="default" w:ascii="Arial" w:hAnsi="Arial" w:cs="Arial"/>
                <w:color w:val="auto"/>
                <w:spacing w:val="-5"/>
                <w:sz w:val="24"/>
                <w:szCs w:val="24"/>
                <w:highlight w:val="none"/>
              </w:rPr>
              <w:t>实。</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both"/>
              <w:textAlignment w:val="auto"/>
              <w:rPr>
                <w:rFonts w:hint="default" w:ascii="Arial" w:hAnsi="Arial" w:cs="Arial"/>
                <w:color w:val="auto"/>
                <w:spacing w:val="-2"/>
                <w:sz w:val="24"/>
                <w:szCs w:val="24"/>
                <w:highlight w:val="none"/>
              </w:rPr>
            </w:pPr>
            <w:r>
              <w:rPr>
                <w:rFonts w:hint="default" w:ascii="Arial" w:hAnsi="Arial" w:cs="Arial"/>
                <w:color w:val="auto"/>
                <w:spacing w:val="7"/>
                <w:sz w:val="24"/>
                <w:szCs w:val="24"/>
                <w:highlight w:val="none"/>
              </w:rPr>
              <w:t>混凝土趾板、坝内埋设有仪器、仪器线或其他结构的特殊</w:t>
            </w:r>
            <w:r>
              <w:rPr>
                <w:rFonts w:hint="default" w:ascii="Arial" w:hAnsi="Arial" w:cs="Arial"/>
                <w:color w:val="auto"/>
                <w:spacing w:val="6"/>
                <w:sz w:val="24"/>
                <w:szCs w:val="24"/>
                <w:highlight w:val="none"/>
              </w:rPr>
              <w:t>部位，采用直径</w:t>
            </w:r>
            <w:r>
              <w:rPr>
                <w:rFonts w:hint="default" w:ascii="Arial" w:hAnsi="Arial" w:eastAsia="Times New Roman" w:cs="Arial"/>
                <w:color w:val="auto"/>
                <w:spacing w:val="-1"/>
                <w:sz w:val="24"/>
                <w:szCs w:val="24"/>
                <w:highlight w:val="none"/>
              </w:rPr>
              <w:t>150~250cm</w:t>
            </w:r>
            <w:r>
              <w:rPr>
                <w:rFonts w:hint="default" w:ascii="Arial" w:hAnsi="Arial" w:cs="Arial"/>
                <w:color w:val="auto"/>
                <w:spacing w:val="-1"/>
                <w:sz w:val="24"/>
                <w:szCs w:val="24"/>
                <w:highlight w:val="none"/>
              </w:rPr>
              <w:t>、高</w:t>
            </w:r>
            <w:r>
              <w:rPr>
                <w:rFonts w:hint="default" w:ascii="Arial" w:hAnsi="Arial" w:eastAsia="Times New Roman" w:cs="Arial"/>
                <w:color w:val="auto"/>
                <w:spacing w:val="-1"/>
                <w:sz w:val="24"/>
                <w:szCs w:val="24"/>
                <w:highlight w:val="none"/>
              </w:rPr>
              <w:t>150cm</w:t>
            </w:r>
            <w:r>
              <w:rPr>
                <w:rFonts w:hint="default" w:ascii="Arial" w:hAnsi="Arial" w:cs="Arial"/>
                <w:color w:val="auto"/>
                <w:spacing w:val="-1"/>
                <w:sz w:val="24"/>
                <w:szCs w:val="24"/>
                <w:highlight w:val="none"/>
              </w:rPr>
              <w:t>、一侧带缺</w:t>
            </w:r>
            <w:r>
              <w:rPr>
                <w:rFonts w:hint="default" w:ascii="Arial" w:hAnsi="Arial" w:cs="Arial"/>
                <w:color w:val="auto"/>
                <w:spacing w:val="-2"/>
                <w:sz w:val="24"/>
                <w:szCs w:val="24"/>
                <w:highlight w:val="none"/>
              </w:rPr>
              <w:t>口的防护铁筒将该部位和大面积的机械化施工区隔离，人工、小型专用机具薄层填筑、逐层碾压。</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主要扬尘、机械废气、噪声、植被破坏、水土流失等。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cs="Arial"/>
                <w:color w:val="auto"/>
                <w:spacing w:val="0"/>
                <w:sz w:val="24"/>
                <w:szCs w:val="24"/>
                <w:highlight w:val="none"/>
              </w:rPr>
            </w:pPr>
            <w:r>
              <w:rPr>
                <w:rFonts w:hint="eastAsia" w:ascii="Arial" w:hAnsi="Arial" w:cs="Arial"/>
                <w:b/>
                <w:bCs/>
                <w:color w:val="auto"/>
                <w:spacing w:val="0"/>
                <w:sz w:val="24"/>
                <w:szCs w:val="24"/>
                <w:highlight w:val="none"/>
                <w:lang w:val="en-US" w:eastAsia="zh-CN"/>
              </w:rPr>
              <w:t xml:space="preserve">⑷ </w:t>
            </w:r>
            <w:r>
              <w:rPr>
                <w:rFonts w:hint="default" w:ascii="Arial" w:hAnsi="Arial" w:cs="Arial"/>
                <w:b/>
                <w:bCs/>
                <w:color w:val="auto"/>
                <w:spacing w:val="0"/>
                <w:sz w:val="24"/>
                <w:szCs w:val="24"/>
                <w:highlight w:val="none"/>
              </w:rPr>
              <w:t>挤压边墙</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挤压边墙和大坝填筑同步施工，与垫层料平起升高。挤压墙混凝土挤压机施工，行走速度</w:t>
            </w:r>
            <w:r>
              <w:rPr>
                <w:rFonts w:hint="default" w:ascii="Arial" w:hAnsi="Arial" w:eastAsia="Times New Roman" w:cs="Arial"/>
                <w:color w:val="auto"/>
                <w:spacing w:val="0"/>
                <w:sz w:val="24"/>
                <w:szCs w:val="24"/>
                <w:highlight w:val="none"/>
              </w:rPr>
              <w:t>40~60m/h</w:t>
            </w:r>
            <w:r>
              <w:rPr>
                <w:rFonts w:hint="default" w:ascii="Arial" w:hAnsi="Arial" w:cs="Arial"/>
                <w:color w:val="auto"/>
                <w:spacing w:val="0"/>
                <w:sz w:val="24"/>
                <w:szCs w:val="24"/>
                <w:highlight w:val="none"/>
              </w:rPr>
              <w:t>。坝体上游坡面的平整度允许偏差－</w:t>
            </w:r>
            <w:r>
              <w:rPr>
                <w:rFonts w:hint="default" w:ascii="Arial" w:hAnsi="Arial" w:eastAsia="Times New Roman" w:cs="Arial"/>
                <w:color w:val="auto"/>
                <w:spacing w:val="0"/>
                <w:sz w:val="24"/>
                <w:szCs w:val="24"/>
                <w:highlight w:val="none"/>
              </w:rPr>
              <w:t>8~</w:t>
            </w:r>
            <w:r>
              <w:rPr>
                <w:rFonts w:hint="default" w:ascii="Arial" w:hAnsi="Arial" w:cs="Arial"/>
                <w:color w:val="auto"/>
                <w:spacing w:val="0"/>
                <w:sz w:val="24"/>
                <w:szCs w:val="24"/>
                <w:highlight w:val="none"/>
              </w:rPr>
              <w:t>＋</w:t>
            </w:r>
            <w:r>
              <w:rPr>
                <w:rFonts w:hint="default" w:ascii="Arial" w:hAnsi="Arial" w:eastAsia="Times New Roman" w:cs="Arial"/>
                <w:color w:val="auto"/>
                <w:spacing w:val="0"/>
                <w:sz w:val="24"/>
                <w:szCs w:val="24"/>
                <w:highlight w:val="none"/>
              </w:rPr>
              <w:t>5cm</w:t>
            </w:r>
            <w:r>
              <w:rPr>
                <w:rFonts w:hint="default" w:ascii="Arial" w:hAnsi="Arial" w:cs="Arial"/>
                <w:color w:val="auto"/>
                <w:spacing w:val="0"/>
                <w:sz w:val="24"/>
                <w:szCs w:val="24"/>
                <w:highlight w:val="none"/>
              </w:rPr>
              <w:t>。混凝土挤压成型后，相应垫层区料填筑、碾压时，上游面挤压墙可能沿垂直坝轴线方向上移，为保证混凝土挤压墙的平整度满足要求，每层挤压墙施工时向内预留一定的距离以抵消碾压引起的挤压墙的变形位移。预留距离通过试验确定。</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eastAsia" w:ascii="Arial" w:hAnsi="Arial" w:eastAsia="宋体" w:cs="Arial"/>
                <w:color w:val="auto"/>
                <w:spacing w:val="0"/>
                <w:sz w:val="24"/>
                <w:szCs w:val="24"/>
                <w:highlight w:val="none"/>
                <w:lang w:eastAsia="zh-CN"/>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的污染物为主要为</w:t>
            </w:r>
            <w:r>
              <w:rPr>
                <w:rFonts w:hint="default" w:ascii="Arial" w:hAnsi="Arial" w:cs="Arial"/>
                <w:i/>
                <w:iCs/>
                <w:color w:val="auto"/>
                <w:spacing w:val="-1"/>
                <w:sz w:val="24"/>
                <w:szCs w:val="24"/>
                <w:highlight w:val="none"/>
              </w:rPr>
              <w:t>扬尘、机械废气</w:t>
            </w:r>
            <w:r>
              <w:rPr>
                <w:rFonts w:hint="eastAsia" w:ascii="Arial" w:hAnsi="Arial" w:cs="Arial"/>
                <w:i/>
                <w:iCs/>
                <w:color w:val="auto"/>
                <w:spacing w:val="-1"/>
                <w:sz w:val="24"/>
                <w:szCs w:val="24"/>
                <w:highlight w:val="none"/>
                <w:lang w:val="en-US" w:eastAsia="zh-CN"/>
              </w:rPr>
              <w:t>和</w:t>
            </w:r>
            <w:r>
              <w:rPr>
                <w:rFonts w:hint="default" w:ascii="Arial" w:hAnsi="Arial" w:cs="Arial"/>
                <w:i/>
                <w:iCs/>
                <w:color w:val="auto"/>
                <w:spacing w:val="-1"/>
                <w:sz w:val="24"/>
                <w:szCs w:val="24"/>
                <w:highlight w:val="none"/>
              </w:rPr>
              <w:t>噪声</w:t>
            </w:r>
            <w:r>
              <w:rPr>
                <w:rFonts w:hint="eastAsia" w:ascii="Arial" w:hAnsi="Arial" w:cs="Arial"/>
                <w:i/>
                <w:iCs/>
                <w:color w:val="auto"/>
                <w:spacing w:val="-1"/>
                <w:sz w:val="24"/>
                <w:szCs w:val="24"/>
                <w:highlight w:val="none"/>
                <w:lang w:eastAsia="zh-CN"/>
              </w:rPr>
              <w:t>。</w:t>
            </w:r>
          </w:p>
          <w:p>
            <w:pPr>
              <w:pStyle w:val="75"/>
              <w:spacing w:before="33" w:line="219" w:lineRule="auto"/>
              <w:ind w:left="604"/>
              <w:rPr>
                <w:rFonts w:hint="default" w:ascii="Arial" w:hAnsi="Arial"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⑸ </w:t>
            </w:r>
            <w:r>
              <w:rPr>
                <w:rFonts w:hint="default" w:ascii="Arial" w:hAnsi="Arial" w:cs="Arial"/>
                <w:b/>
                <w:bCs/>
                <w:color w:val="auto"/>
                <w:spacing w:val="-4"/>
                <w:sz w:val="24"/>
                <w:szCs w:val="24"/>
                <w:highlight w:val="none"/>
              </w:rPr>
              <w:t>混凝土面板浇筑</w:t>
            </w:r>
          </w:p>
          <w:p>
            <w:pPr>
              <w:pStyle w:val="75"/>
              <w:spacing w:before="183" w:line="219" w:lineRule="auto"/>
              <w:ind w:left="591"/>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坝体填筑完成预留</w:t>
            </w:r>
            <w:r>
              <w:rPr>
                <w:rFonts w:hint="default" w:ascii="Arial" w:hAnsi="Arial" w:eastAsia="Times New Roman" w:cs="Arial"/>
                <w:color w:val="auto"/>
                <w:spacing w:val="0"/>
                <w:sz w:val="24"/>
                <w:szCs w:val="24"/>
                <w:highlight w:val="none"/>
              </w:rPr>
              <w:t>5</w:t>
            </w:r>
            <w:r>
              <w:rPr>
                <w:rFonts w:hint="default" w:ascii="Arial" w:hAnsi="Arial" w:cs="Arial"/>
                <w:color w:val="auto"/>
                <w:spacing w:val="0"/>
                <w:sz w:val="24"/>
                <w:szCs w:val="24"/>
                <w:highlight w:val="none"/>
              </w:rPr>
              <w:t>个月沉降期后开始面板浇筑。</w:t>
            </w:r>
          </w:p>
          <w:p>
            <w:pPr>
              <w:pStyle w:val="75"/>
              <w:spacing w:before="185" w:line="353" w:lineRule="auto"/>
              <w:ind w:left="111" w:right="107" w:firstLine="481"/>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面板混凝土主要施工程序：挤压边墙修补</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挤压边墙刻槽</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刻槽回填（砂浆 条带施工）</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坝面喷涂乳化沥青</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钢筋加工与安装</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止水安装</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模板安装</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溜槽安装</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混凝土拌和、运输</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混凝土浇筑</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混凝土表面处理</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混凝土养护与防护</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表面检查及裂缝处理等。</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6" w:firstLineChars="200"/>
              <w:textAlignment w:val="auto"/>
              <w:rPr>
                <w:rFonts w:hint="default" w:ascii="Arial" w:hAnsi="Arial" w:cs="Arial"/>
                <w:b/>
                <w:bCs/>
                <w:color w:val="auto"/>
                <w:spacing w:val="-4"/>
                <w:sz w:val="24"/>
                <w:szCs w:val="24"/>
                <w:highlight w:val="none"/>
                <w:lang w:val="en-US" w:eastAsia="zh-CN"/>
              </w:rPr>
            </w:pPr>
            <w:r>
              <w:rPr>
                <w:rFonts w:hint="eastAsia" w:ascii="Arial" w:hAnsi="Arial" w:cs="Arial"/>
                <w:b/>
                <w:bCs/>
                <w:color w:val="auto"/>
                <w:spacing w:val="-4"/>
                <w:sz w:val="24"/>
                <w:szCs w:val="24"/>
                <w:highlight w:val="none"/>
                <w:lang w:val="en-US" w:eastAsia="zh-CN"/>
              </w:rPr>
              <w:t xml:space="preserve">① </w:t>
            </w:r>
            <w:r>
              <w:rPr>
                <w:rFonts w:hint="default" w:ascii="Arial" w:hAnsi="Arial" w:cs="Arial"/>
                <w:b/>
                <w:bCs/>
                <w:color w:val="auto"/>
                <w:spacing w:val="-4"/>
                <w:sz w:val="24"/>
                <w:szCs w:val="24"/>
                <w:highlight w:val="none"/>
                <w:lang w:val="en-US" w:eastAsia="zh-CN"/>
              </w:rPr>
              <w:t>挤压边墙处理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挤压边墙超过设计线的部分凿除修整，以确保面板偏差为＋</w:t>
            </w:r>
            <w:r>
              <w:rPr>
                <w:rFonts w:hint="default" w:ascii="Arial" w:hAnsi="Arial" w:eastAsia="Times New Roman" w:cs="Arial"/>
                <w:color w:val="auto"/>
                <w:spacing w:val="-1"/>
                <w:sz w:val="24"/>
                <w:szCs w:val="24"/>
                <w:highlight w:val="none"/>
              </w:rPr>
              <w:t>5~</w:t>
            </w:r>
            <w:r>
              <w:rPr>
                <w:rFonts w:hint="default" w:ascii="Arial" w:hAnsi="Arial" w:cs="Arial"/>
                <w:color w:val="auto"/>
                <w:spacing w:val="-1"/>
                <w:sz w:val="24"/>
                <w:szCs w:val="24"/>
                <w:highlight w:val="none"/>
              </w:rPr>
              <w:t>－</w:t>
            </w:r>
            <w:r>
              <w:rPr>
                <w:rFonts w:hint="default" w:ascii="Arial" w:hAnsi="Arial" w:eastAsia="Times New Roman" w:cs="Arial"/>
                <w:color w:val="auto"/>
                <w:spacing w:val="-1"/>
                <w:sz w:val="24"/>
                <w:szCs w:val="24"/>
                <w:highlight w:val="none"/>
              </w:rPr>
              <w:t>8cm</w:t>
            </w:r>
            <w:r>
              <w:rPr>
                <w:rFonts w:hint="default" w:ascii="Arial" w:hAnsi="Arial" w:cs="Arial"/>
                <w:color w:val="auto"/>
                <w:spacing w:val="-1"/>
                <w:sz w:val="24"/>
                <w:szCs w:val="24"/>
                <w:highlight w:val="none"/>
              </w:rPr>
              <w:t>范</w:t>
            </w:r>
            <w:r>
              <w:rPr>
                <w:rFonts w:hint="default" w:ascii="Arial" w:hAnsi="Arial" w:cs="Arial"/>
                <w:color w:val="auto"/>
                <w:spacing w:val="-2"/>
                <w:sz w:val="24"/>
                <w:szCs w:val="24"/>
                <w:highlight w:val="none"/>
              </w:rPr>
              <w:t>围。挤压边墙人工持小手钎和手锤凿刻修整成型，刻槽深度</w:t>
            </w:r>
            <w:r>
              <w:rPr>
                <w:rFonts w:hint="default" w:ascii="Arial" w:hAnsi="Arial" w:cs="Arial"/>
                <w:color w:val="auto"/>
                <w:spacing w:val="-51"/>
                <w:sz w:val="24"/>
                <w:szCs w:val="24"/>
                <w:highlight w:val="none"/>
              </w:rPr>
              <w:t xml:space="preserve"> </w:t>
            </w:r>
            <w:r>
              <w:rPr>
                <w:rFonts w:hint="default" w:ascii="Arial" w:hAnsi="Arial" w:eastAsia="Times New Roman" w:cs="Arial"/>
                <w:color w:val="auto"/>
                <w:spacing w:val="-2"/>
                <w:sz w:val="24"/>
                <w:szCs w:val="24"/>
                <w:highlight w:val="none"/>
              </w:rPr>
              <w:t>0.</w:t>
            </w:r>
            <w:r>
              <w:rPr>
                <w:rFonts w:hint="default" w:ascii="Arial" w:hAnsi="Arial" w:eastAsia="Times New Roman" w:cs="Arial"/>
                <w:color w:val="auto"/>
                <w:spacing w:val="-3"/>
                <w:sz w:val="24"/>
                <w:szCs w:val="24"/>
                <w:highlight w:val="none"/>
              </w:rPr>
              <w:t>5~5cm</w:t>
            </w:r>
            <w:r>
              <w:rPr>
                <w:rFonts w:hint="default" w:ascii="Arial" w:hAnsi="Arial" w:cs="Arial"/>
                <w:color w:val="auto"/>
                <w:spacing w:val="-3"/>
                <w:sz w:val="24"/>
                <w:szCs w:val="24"/>
                <w:highlight w:val="none"/>
              </w:rPr>
              <w:t>，底宽</w:t>
            </w:r>
            <w:r>
              <w:rPr>
                <w:rFonts w:hint="default" w:ascii="Arial" w:hAnsi="Arial" w:cs="Arial"/>
                <w:color w:val="auto"/>
                <w:spacing w:val="-48"/>
                <w:sz w:val="24"/>
                <w:szCs w:val="24"/>
                <w:highlight w:val="none"/>
              </w:rPr>
              <w:t xml:space="preserve"> </w:t>
            </w:r>
            <w:r>
              <w:rPr>
                <w:rFonts w:hint="default" w:ascii="Arial" w:hAnsi="Arial" w:eastAsia="Times New Roman" w:cs="Arial"/>
                <w:color w:val="auto"/>
                <w:spacing w:val="-3"/>
                <w:sz w:val="24"/>
                <w:szCs w:val="24"/>
                <w:highlight w:val="none"/>
              </w:rPr>
              <w:t>50cm</w:t>
            </w:r>
            <w:r>
              <w:rPr>
                <w:rFonts w:hint="default" w:ascii="Arial" w:hAnsi="Arial" w:cs="Arial"/>
                <w:color w:val="auto"/>
                <w:spacing w:val="-3"/>
                <w:sz w:val="24"/>
                <w:szCs w:val="24"/>
                <w:highlight w:val="none"/>
              </w:rPr>
              <w:t>。周边缝砂浆标号</w:t>
            </w:r>
            <w:r>
              <w:rPr>
                <w:rFonts w:hint="default" w:ascii="Arial" w:hAnsi="Arial" w:cs="Arial"/>
                <w:color w:val="auto"/>
                <w:spacing w:val="-39"/>
                <w:sz w:val="24"/>
                <w:szCs w:val="24"/>
                <w:highlight w:val="none"/>
              </w:rPr>
              <w:t xml:space="preserve"> </w:t>
            </w:r>
            <w:r>
              <w:rPr>
                <w:rFonts w:hint="default" w:ascii="Arial" w:hAnsi="Arial" w:eastAsia="Times New Roman" w:cs="Arial"/>
                <w:color w:val="auto"/>
                <w:spacing w:val="-3"/>
                <w:sz w:val="24"/>
                <w:szCs w:val="24"/>
                <w:highlight w:val="none"/>
              </w:rPr>
              <w:t>M10</w:t>
            </w:r>
            <w:r>
              <w:rPr>
                <w:rFonts w:hint="default" w:ascii="Arial" w:hAnsi="Arial" w:cs="Arial"/>
                <w:color w:val="auto"/>
                <w:spacing w:val="-3"/>
                <w:sz w:val="24"/>
                <w:szCs w:val="24"/>
                <w:highlight w:val="none"/>
              </w:rPr>
              <w:t>，现场拌制，人工铺设。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② </w:t>
            </w:r>
            <w:r>
              <w:rPr>
                <w:rFonts w:hint="default" w:ascii="Arial" w:hAnsi="Arial" w:cs="Arial"/>
                <w:b/>
                <w:bCs/>
                <w:color w:val="auto"/>
                <w:spacing w:val="-3"/>
                <w:sz w:val="24"/>
                <w:szCs w:val="24"/>
                <w:highlight w:val="none"/>
              </w:rPr>
              <w:t>坝面喷涂乳化沥青</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pacing w:val="-3"/>
                <w:sz w:val="24"/>
                <w:szCs w:val="24"/>
                <w:highlight w:val="none"/>
              </w:rPr>
            </w:pPr>
            <w:r>
              <w:rPr>
                <w:rFonts w:hint="default" w:ascii="Arial" w:hAnsi="Arial" w:cs="Arial"/>
                <w:color w:val="auto"/>
                <w:spacing w:val="-1"/>
                <w:sz w:val="24"/>
                <w:szCs w:val="24"/>
                <w:highlight w:val="none"/>
              </w:rPr>
              <w:t>乳化沥青人工辅以沥青喷射机喷射，沿坝坡从上而下喷射或涂刷。</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Arial" w:hAnsi="Arial" w:cs="Arial"/>
                <w:color w:val="auto"/>
                <w:sz w:val="24"/>
                <w:szCs w:val="24"/>
                <w:highlight w:val="none"/>
              </w:rPr>
            </w:pPr>
            <w:r>
              <w:rPr>
                <w:rFonts w:hint="eastAsia" w:ascii="Arial" w:hAnsi="Arial" w:cs="Arial"/>
                <w:b/>
                <w:bCs/>
                <w:color w:val="auto"/>
                <w:spacing w:val="-2"/>
                <w:sz w:val="24"/>
                <w:szCs w:val="24"/>
                <w:highlight w:val="none"/>
                <w:lang w:val="en-US" w:eastAsia="zh-CN"/>
              </w:rPr>
              <w:t xml:space="preserve">③ </w:t>
            </w:r>
            <w:r>
              <w:rPr>
                <w:rFonts w:hint="default" w:ascii="Arial" w:hAnsi="Arial" w:cs="Arial"/>
                <w:b/>
                <w:bCs/>
                <w:color w:val="auto"/>
                <w:spacing w:val="-2"/>
                <w:sz w:val="24"/>
                <w:szCs w:val="24"/>
                <w:highlight w:val="none"/>
              </w:rPr>
              <w:t>止水安装</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面板止水包括底止水、表面止水两种形式，首先安装底止水。止水铜片采用</w:t>
            </w:r>
            <w:r>
              <w:rPr>
                <w:rFonts w:hint="default" w:ascii="Arial" w:hAnsi="Arial" w:cs="Arial"/>
                <w:color w:val="auto"/>
                <w:spacing w:val="-2"/>
                <w:sz w:val="24"/>
                <w:szCs w:val="24"/>
                <w:highlight w:val="none"/>
              </w:rPr>
              <w:t>纯铜卷材，现场加工成型，搭接不少于</w:t>
            </w:r>
            <w:r>
              <w:rPr>
                <w:rFonts w:hint="default" w:ascii="Arial" w:hAnsi="Arial" w:cs="Arial"/>
                <w:color w:val="auto"/>
                <w:spacing w:val="-48"/>
                <w:sz w:val="24"/>
                <w:szCs w:val="24"/>
                <w:highlight w:val="none"/>
              </w:rPr>
              <w:t xml:space="preserve"> </w:t>
            </w:r>
            <w:r>
              <w:rPr>
                <w:rFonts w:hint="default" w:ascii="Arial" w:hAnsi="Arial" w:eastAsia="Times New Roman" w:cs="Arial"/>
                <w:color w:val="auto"/>
                <w:spacing w:val="-2"/>
                <w:sz w:val="24"/>
                <w:szCs w:val="24"/>
                <w:highlight w:val="none"/>
              </w:rPr>
              <w:t>20mm</w:t>
            </w:r>
            <w:r>
              <w:rPr>
                <w:rFonts w:hint="default" w:ascii="Arial" w:hAnsi="Arial" w:cs="Arial"/>
                <w:color w:val="auto"/>
                <w:spacing w:val="-2"/>
                <w:sz w:val="24"/>
                <w:szCs w:val="24"/>
                <w:highlight w:val="none"/>
              </w:rPr>
              <w:t>围焊，自然冷却。焊后进行煤油渗</w:t>
            </w:r>
            <w:r>
              <w:rPr>
                <w:rFonts w:hint="default" w:ascii="Arial" w:hAnsi="Arial" w:cs="Arial"/>
                <w:color w:val="auto"/>
                <w:spacing w:val="-1"/>
                <w:sz w:val="24"/>
                <w:szCs w:val="24"/>
                <w:highlight w:val="none"/>
              </w:rPr>
              <w:t>漏检查，补焊。垂直缝止水铜片尽量延长压制成型，侧模安装时，止水片放入侧模预留的止水鼻腔。</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④ </w:t>
            </w:r>
            <w:r>
              <w:rPr>
                <w:rFonts w:hint="default" w:ascii="Arial" w:hAnsi="Arial" w:cs="Arial"/>
                <w:b/>
                <w:bCs/>
                <w:color w:val="auto"/>
                <w:spacing w:val="-3"/>
                <w:sz w:val="24"/>
                <w:szCs w:val="24"/>
                <w:highlight w:val="none"/>
              </w:rPr>
              <w:t>面板混凝土浇筑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z w:val="24"/>
                <w:szCs w:val="24"/>
                <w:highlight w:val="none"/>
              </w:rPr>
            </w:pPr>
            <w:r>
              <w:rPr>
                <w:rFonts w:hint="default" w:ascii="Arial" w:hAnsi="Arial" w:cs="Arial"/>
                <w:color w:val="auto"/>
                <w:spacing w:val="0"/>
                <w:sz w:val="24"/>
                <w:szCs w:val="24"/>
                <w:highlight w:val="none"/>
              </w:rPr>
              <w:t>滑模宽</w:t>
            </w:r>
            <w:r>
              <w:rPr>
                <w:rFonts w:hint="default" w:ascii="Arial" w:hAnsi="Arial" w:eastAsia="Times New Roman" w:cs="Arial"/>
                <w:color w:val="auto"/>
                <w:spacing w:val="0"/>
                <w:sz w:val="24"/>
                <w:szCs w:val="24"/>
                <w:highlight w:val="none"/>
              </w:rPr>
              <w:t>14.0m</w:t>
            </w:r>
            <w:r>
              <w:rPr>
                <w:rFonts w:hint="default" w:ascii="Arial" w:hAnsi="Arial" w:cs="Arial"/>
                <w:color w:val="auto"/>
                <w:spacing w:val="0"/>
                <w:sz w:val="24"/>
                <w:szCs w:val="24"/>
                <w:highlight w:val="none"/>
              </w:rPr>
              <w:t>，后期拆成两台</w:t>
            </w:r>
            <w:r>
              <w:rPr>
                <w:rFonts w:hint="default" w:ascii="Arial" w:hAnsi="Arial" w:eastAsia="Times New Roman" w:cs="Arial"/>
                <w:color w:val="auto"/>
                <w:spacing w:val="0"/>
                <w:sz w:val="24"/>
                <w:szCs w:val="24"/>
                <w:highlight w:val="none"/>
              </w:rPr>
              <w:t>7.0m</w:t>
            </w:r>
            <w:r>
              <w:rPr>
                <w:rFonts w:hint="default" w:ascii="Arial" w:hAnsi="Arial" w:cs="Arial"/>
                <w:color w:val="auto"/>
                <w:spacing w:val="0"/>
                <w:sz w:val="24"/>
                <w:szCs w:val="24"/>
                <w:highlight w:val="none"/>
              </w:rPr>
              <w:t>宽；钢筋在加工厂制作，现场焊接。面板浇筑以坝顶作为施工平台，先施工中间两幅</w:t>
            </w:r>
            <w:r>
              <w:rPr>
                <w:rFonts w:hint="default" w:ascii="Arial" w:hAnsi="Arial" w:eastAsia="Times New Roman" w:cs="Arial"/>
                <w:color w:val="auto"/>
                <w:spacing w:val="0"/>
                <w:sz w:val="24"/>
                <w:szCs w:val="24"/>
                <w:highlight w:val="none"/>
              </w:rPr>
              <w:t>14.0m</w:t>
            </w:r>
            <w:r>
              <w:rPr>
                <w:rFonts w:hint="default" w:ascii="Arial" w:hAnsi="Arial" w:cs="Arial"/>
                <w:color w:val="auto"/>
                <w:spacing w:val="0"/>
                <w:sz w:val="24"/>
                <w:szCs w:val="24"/>
                <w:highlight w:val="none"/>
              </w:rPr>
              <w:t>宽面板，再施工两侧</w:t>
            </w:r>
            <w:r>
              <w:rPr>
                <w:rFonts w:hint="default" w:ascii="Arial" w:hAnsi="Arial" w:eastAsia="Times New Roman" w:cs="Arial"/>
                <w:color w:val="auto"/>
                <w:spacing w:val="0"/>
                <w:sz w:val="24"/>
                <w:szCs w:val="24"/>
                <w:highlight w:val="none"/>
              </w:rPr>
              <w:t>7.0m</w:t>
            </w:r>
            <w:r>
              <w:rPr>
                <w:rFonts w:hint="default" w:ascii="Arial" w:hAnsi="Arial" w:cs="Arial"/>
                <w:color w:val="auto"/>
                <w:spacing w:val="0"/>
                <w:sz w:val="24"/>
                <w:szCs w:val="24"/>
                <w:highlight w:val="none"/>
              </w:rPr>
              <w:t>宽面板。混凝土由布置在右岸的</w:t>
            </w:r>
            <w:r>
              <w:rPr>
                <w:rFonts w:hint="default" w:ascii="Arial" w:hAnsi="Arial" w:eastAsia="Times New Roman" w:cs="Arial"/>
                <w:color w:val="auto"/>
                <w:spacing w:val="0"/>
                <w:sz w:val="24"/>
                <w:szCs w:val="24"/>
                <w:highlight w:val="none"/>
              </w:rPr>
              <w:t>2×0.5m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拌和站集中拌制，</w:t>
            </w:r>
            <w:r>
              <w:rPr>
                <w:rFonts w:hint="default" w:ascii="Arial" w:hAnsi="Arial" w:eastAsia="Times New Roman" w:cs="Arial"/>
                <w:color w:val="auto"/>
                <w:spacing w:val="0"/>
                <w:sz w:val="24"/>
                <w:szCs w:val="24"/>
                <w:highlight w:val="none"/>
              </w:rPr>
              <w:t>6.0m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罐车水平运输，经收料斗进入溜槽垂直运输，人工摆动溜槽水平布料。</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Arial" w:hAnsi="Arial" w:cs="Arial"/>
                <w:color w:val="auto"/>
                <w:spacing w:val="0"/>
                <w:sz w:val="24"/>
                <w:szCs w:val="24"/>
                <w:highlight w:val="none"/>
              </w:rPr>
            </w:pPr>
            <w:r>
              <w:rPr>
                <w:rFonts w:hint="default" w:ascii="Arial" w:hAnsi="Arial" w:cs="Arial"/>
                <w:b/>
                <w:bCs/>
                <w:color w:val="auto"/>
                <w:spacing w:val="-1"/>
                <w:sz w:val="24"/>
                <w:szCs w:val="24"/>
                <w:highlight w:val="none"/>
                <w:u w:val="single"/>
              </w:rPr>
              <w:t>施工缝处理</w:t>
            </w:r>
            <w:r>
              <w:rPr>
                <w:rFonts w:hint="default" w:ascii="Arial" w:hAnsi="Arial" w:cs="Arial"/>
                <w:color w:val="auto"/>
                <w:spacing w:val="-1"/>
                <w:sz w:val="24"/>
                <w:szCs w:val="24"/>
                <w:highlight w:val="none"/>
              </w:rPr>
              <w:t>：</w:t>
            </w:r>
            <w:r>
              <w:rPr>
                <w:rFonts w:hint="default" w:ascii="Arial" w:hAnsi="Arial" w:cs="Arial"/>
                <w:color w:val="auto"/>
                <w:spacing w:val="0"/>
                <w:sz w:val="24"/>
                <w:szCs w:val="24"/>
                <w:highlight w:val="none"/>
              </w:rPr>
              <w:t>对混凝土面凿毛、冲洗、清除杂物、排除表面积水；浇筑前在湿润的缝面上均匀摊铺一层厚</w:t>
            </w:r>
            <w:r>
              <w:rPr>
                <w:rFonts w:hint="default" w:ascii="Arial" w:hAnsi="Arial" w:eastAsia="Times New Roman" w:cs="Arial"/>
                <w:color w:val="auto"/>
                <w:spacing w:val="0"/>
                <w:sz w:val="24"/>
                <w:szCs w:val="24"/>
                <w:highlight w:val="none"/>
              </w:rPr>
              <w:t>2~3cm</w:t>
            </w:r>
            <w:r>
              <w:rPr>
                <w:rFonts w:hint="default" w:ascii="Arial" w:hAnsi="Arial" w:cs="Arial"/>
                <w:color w:val="auto"/>
                <w:spacing w:val="0"/>
                <w:sz w:val="24"/>
                <w:szCs w:val="24"/>
                <w:highlight w:val="none"/>
              </w:rPr>
              <w:t>的</w:t>
            </w:r>
            <w:r>
              <w:rPr>
                <w:rFonts w:hint="default" w:ascii="Arial" w:hAnsi="Arial" w:eastAsia="Times New Roman" w:cs="Arial"/>
                <w:color w:val="auto"/>
                <w:spacing w:val="0"/>
                <w:sz w:val="24"/>
                <w:szCs w:val="24"/>
                <w:highlight w:val="none"/>
              </w:rPr>
              <w:t>M30</w:t>
            </w:r>
            <w:r>
              <w:rPr>
                <w:rFonts w:hint="default" w:ascii="Arial" w:hAnsi="Arial" w:cs="Arial"/>
                <w:color w:val="auto"/>
                <w:spacing w:val="0"/>
                <w:sz w:val="24"/>
                <w:szCs w:val="24"/>
                <w:highlight w:val="none"/>
              </w:rPr>
              <w:t>水泥砂浆，再浇面板混凝土。</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Arial" w:hAnsi="Arial" w:cs="Arial"/>
                <w:color w:val="auto"/>
                <w:sz w:val="24"/>
                <w:szCs w:val="24"/>
                <w:highlight w:val="none"/>
              </w:rPr>
            </w:pPr>
            <w:r>
              <w:rPr>
                <w:rFonts w:hint="default" w:ascii="Arial" w:hAnsi="Arial" w:cs="Arial"/>
                <w:b/>
                <w:bCs/>
                <w:color w:val="auto"/>
                <w:spacing w:val="-1"/>
                <w:sz w:val="24"/>
                <w:szCs w:val="24"/>
                <w:highlight w:val="none"/>
                <w:u w:val="single"/>
              </w:rPr>
              <w:t>三角区混凝土浇筑</w:t>
            </w:r>
            <w:r>
              <w:rPr>
                <w:rFonts w:hint="default" w:ascii="Arial" w:hAnsi="Arial" w:cs="Arial"/>
                <w:color w:val="auto"/>
                <w:spacing w:val="-1"/>
                <w:sz w:val="24"/>
                <w:szCs w:val="24"/>
                <w:highlight w:val="none"/>
              </w:rPr>
              <w:t>：两岸面板三角块，首先将滑模最大角度倾斜，然后滑模单边滑升至水平位置，最后人工将剩余三角部分浇筑抹平。</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cs="Arial"/>
                <w:color w:val="auto"/>
                <w:sz w:val="24"/>
                <w:szCs w:val="24"/>
                <w:highlight w:val="none"/>
              </w:rPr>
            </w:pPr>
            <w:r>
              <w:rPr>
                <w:rFonts w:hint="default" w:ascii="Arial" w:hAnsi="Arial" w:cs="Arial"/>
                <w:b/>
                <w:bCs/>
                <w:color w:val="auto"/>
                <w:spacing w:val="-3"/>
                <w:sz w:val="24"/>
                <w:szCs w:val="24"/>
                <w:highlight w:val="none"/>
                <w:u w:val="single"/>
              </w:rPr>
              <w:t>面板混凝土浇筑</w:t>
            </w:r>
            <w:r>
              <w:rPr>
                <w:rFonts w:hint="default" w:ascii="Arial" w:hAnsi="Arial" w:cs="Arial"/>
                <w:color w:val="auto"/>
                <w:spacing w:val="-3"/>
                <w:sz w:val="24"/>
                <w:szCs w:val="24"/>
                <w:highlight w:val="none"/>
              </w:rPr>
              <w:t>：面板混凝土按</w:t>
            </w:r>
            <w:r>
              <w:rPr>
                <w:rFonts w:hint="default" w:ascii="Arial" w:hAnsi="Arial" w:cs="Arial"/>
                <w:color w:val="auto"/>
                <w:spacing w:val="-55"/>
                <w:sz w:val="24"/>
                <w:szCs w:val="24"/>
                <w:highlight w:val="none"/>
              </w:rPr>
              <w:t xml:space="preserve"> </w:t>
            </w:r>
            <w:r>
              <w:rPr>
                <w:rFonts w:hint="default" w:ascii="Arial" w:hAnsi="Arial" w:eastAsia="Times New Roman" w:cs="Arial"/>
                <w:color w:val="auto"/>
                <w:spacing w:val="-3"/>
                <w:sz w:val="24"/>
                <w:szCs w:val="24"/>
                <w:highlight w:val="none"/>
              </w:rPr>
              <w:t>25~30cm</w:t>
            </w:r>
            <w:r>
              <w:rPr>
                <w:rFonts w:hint="default" w:ascii="Arial" w:hAnsi="Arial" w:cs="Arial"/>
                <w:color w:val="auto"/>
                <w:spacing w:val="-3"/>
                <w:sz w:val="24"/>
                <w:szCs w:val="24"/>
                <w:highlight w:val="none"/>
              </w:rPr>
              <w:t>分层布料，仓面中部</w:t>
            </w:r>
            <w:r>
              <w:rPr>
                <w:rFonts w:hint="default" w:ascii="Arial" w:hAnsi="Arial" w:eastAsia="Times New Roman" w:cs="Arial"/>
                <w:color w:val="auto"/>
                <w:spacing w:val="-3"/>
                <w:sz w:val="24"/>
                <w:szCs w:val="24"/>
                <w:highlight w:val="none"/>
              </w:rPr>
              <w:t>Ф70</w:t>
            </w:r>
            <w:r>
              <w:rPr>
                <w:rFonts w:hint="default" w:ascii="Arial" w:hAnsi="Arial" w:eastAsia="Times New Roman" w:cs="Arial"/>
                <w:color w:val="auto"/>
                <w:spacing w:val="-4"/>
                <w:sz w:val="24"/>
                <w:szCs w:val="24"/>
                <w:highlight w:val="none"/>
              </w:rPr>
              <w:t>~Ф100mm</w:t>
            </w:r>
            <w:r>
              <w:rPr>
                <w:rFonts w:hint="default" w:ascii="Arial" w:hAnsi="Arial" w:eastAsia="Times New Roman" w:cs="Arial"/>
                <w:color w:val="auto"/>
                <w:sz w:val="24"/>
                <w:szCs w:val="24"/>
                <w:highlight w:val="none"/>
              </w:rPr>
              <w:t xml:space="preserve"> </w:t>
            </w:r>
            <w:r>
              <w:rPr>
                <w:rFonts w:hint="default" w:ascii="Arial" w:hAnsi="Arial" w:cs="Arial"/>
                <w:color w:val="auto"/>
                <w:spacing w:val="2"/>
                <w:sz w:val="24"/>
                <w:szCs w:val="24"/>
                <w:highlight w:val="none"/>
              </w:rPr>
              <w:t>的插入式振捣器振捣，靠近侧模和止水片的部位，</w:t>
            </w:r>
            <w:r>
              <w:rPr>
                <w:rFonts w:hint="default" w:ascii="Arial" w:hAnsi="Arial" w:eastAsia="Times New Roman" w:cs="Arial"/>
                <w:color w:val="auto"/>
                <w:spacing w:val="2"/>
                <w:sz w:val="24"/>
                <w:szCs w:val="24"/>
                <w:highlight w:val="none"/>
              </w:rPr>
              <w:t>Ф50</w:t>
            </w:r>
            <w:r>
              <w:rPr>
                <w:rFonts w:hint="default" w:ascii="Arial" w:hAnsi="Arial" w:eastAsia="Times New Roman" w:cs="Arial"/>
                <w:color w:val="auto"/>
                <w:sz w:val="24"/>
                <w:szCs w:val="24"/>
                <w:highlight w:val="none"/>
              </w:rPr>
              <w:t>mm</w:t>
            </w:r>
            <w:r>
              <w:rPr>
                <w:rFonts w:hint="default" w:ascii="Arial" w:hAnsi="Arial" w:cs="Arial"/>
                <w:color w:val="auto"/>
                <w:spacing w:val="2"/>
                <w:sz w:val="24"/>
                <w:szCs w:val="24"/>
                <w:highlight w:val="none"/>
              </w:rPr>
              <w:t>软轴振捣器振捣，间</w:t>
            </w:r>
            <w:r>
              <w:rPr>
                <w:rFonts w:hint="default" w:ascii="Arial" w:hAnsi="Arial" w:cs="Arial"/>
                <w:color w:val="auto"/>
                <w:spacing w:val="-1"/>
                <w:sz w:val="24"/>
                <w:szCs w:val="24"/>
                <w:highlight w:val="none"/>
              </w:rPr>
              <w:t>距不大于振捣器有效半径的</w:t>
            </w:r>
            <w:r>
              <w:rPr>
                <w:rFonts w:hint="default" w:ascii="Arial" w:hAnsi="Arial" w:eastAsia="Times New Roman" w:cs="Arial"/>
                <w:color w:val="auto"/>
                <w:spacing w:val="-1"/>
                <w:sz w:val="24"/>
                <w:szCs w:val="24"/>
                <w:highlight w:val="none"/>
              </w:rPr>
              <w:t>1.5</w:t>
            </w:r>
            <w:r>
              <w:rPr>
                <w:rFonts w:hint="default" w:ascii="Arial" w:hAnsi="Arial" w:cs="Arial"/>
                <w:color w:val="auto"/>
                <w:spacing w:val="-1"/>
                <w:sz w:val="24"/>
                <w:szCs w:val="24"/>
                <w:highlight w:val="none"/>
              </w:rPr>
              <w:t>倍，深度达到新浇混凝土层底部以下</w:t>
            </w:r>
            <w:r>
              <w:rPr>
                <w:rFonts w:hint="default" w:ascii="Arial" w:hAnsi="Arial" w:cs="Arial"/>
                <w:color w:val="auto"/>
                <w:spacing w:val="-49"/>
                <w:sz w:val="24"/>
                <w:szCs w:val="24"/>
                <w:highlight w:val="none"/>
              </w:rPr>
              <w:t xml:space="preserve"> </w:t>
            </w:r>
            <w:r>
              <w:rPr>
                <w:rFonts w:hint="default" w:ascii="Arial" w:hAnsi="Arial" w:eastAsia="Times New Roman" w:cs="Arial"/>
                <w:color w:val="auto"/>
                <w:spacing w:val="-1"/>
                <w:sz w:val="24"/>
                <w:szCs w:val="24"/>
                <w:highlight w:val="none"/>
              </w:rPr>
              <w:t>5cm</w:t>
            </w:r>
            <w:r>
              <w:rPr>
                <w:rFonts w:hint="default" w:ascii="Arial" w:hAnsi="Arial" w:cs="Arial"/>
                <w:color w:val="auto"/>
                <w:spacing w:val="-1"/>
                <w:sz w:val="24"/>
                <w:szCs w:val="24"/>
                <w:highlight w:val="none"/>
              </w:rPr>
              <w:t>，以混凝土不再显著下沉、不出现气泡并开始泛浆时为准。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textAlignment w:val="auto"/>
              <w:rPr>
                <w:rFonts w:hint="default" w:ascii="Arial" w:hAnsi="Arial" w:cs="Arial"/>
                <w:color w:val="auto"/>
                <w:sz w:val="24"/>
                <w:szCs w:val="24"/>
                <w:highlight w:val="none"/>
              </w:rPr>
            </w:pPr>
            <w:r>
              <w:rPr>
                <w:rFonts w:hint="default" w:ascii="Arial" w:hAnsi="Arial" w:cs="Arial"/>
                <w:color w:val="auto"/>
                <w:spacing w:val="7"/>
                <w:sz w:val="24"/>
                <w:szCs w:val="24"/>
                <w:highlight w:val="none"/>
              </w:rPr>
              <w:t>模板滑升时，两端提升平衡、匀速、同步。每浇完一层混凝土滑升</w:t>
            </w:r>
            <w:r>
              <w:rPr>
                <w:rFonts w:hint="default" w:ascii="Arial" w:hAnsi="Arial" w:cs="Arial"/>
                <w:color w:val="auto"/>
                <w:spacing w:val="6"/>
                <w:sz w:val="24"/>
                <w:szCs w:val="24"/>
                <w:highlight w:val="none"/>
              </w:rPr>
              <w:t>高度约</w:t>
            </w:r>
            <w:r>
              <w:rPr>
                <w:rFonts w:hint="default" w:ascii="Arial" w:hAnsi="Arial" w:cs="Arial"/>
                <w:color w:val="auto"/>
                <w:sz w:val="24"/>
                <w:szCs w:val="24"/>
                <w:highlight w:val="none"/>
              </w:rPr>
              <w:t xml:space="preserve"> </w:t>
            </w:r>
            <w:r>
              <w:rPr>
                <w:rFonts w:hint="default" w:ascii="Arial" w:hAnsi="Arial" w:eastAsia="Times New Roman" w:cs="Arial"/>
                <w:color w:val="auto"/>
                <w:sz w:val="24"/>
                <w:szCs w:val="24"/>
                <w:highlight w:val="none"/>
              </w:rPr>
              <w:t>25~30cm</w:t>
            </w:r>
            <w:r>
              <w:rPr>
                <w:rFonts w:hint="default" w:ascii="Arial" w:hAnsi="Arial" w:cs="Arial"/>
                <w:color w:val="auto"/>
                <w:sz w:val="24"/>
                <w:szCs w:val="24"/>
                <w:highlight w:val="none"/>
              </w:rPr>
              <w:t>。滑升速度取决于脱模时混凝土坍落度、凝固状态和气温等因素，一般</w:t>
            </w:r>
            <w:r>
              <w:rPr>
                <w:rFonts w:hint="default" w:ascii="Arial" w:hAnsi="Arial" w:cs="Arial"/>
                <w:color w:val="auto"/>
                <w:spacing w:val="-6"/>
                <w:sz w:val="24"/>
                <w:szCs w:val="24"/>
                <w:highlight w:val="none"/>
              </w:rPr>
              <w:t>平均滑行速度为</w:t>
            </w:r>
            <w:r>
              <w:rPr>
                <w:rFonts w:hint="default" w:ascii="Arial" w:hAnsi="Arial" w:eastAsia="Times New Roman" w:cs="Arial"/>
                <w:color w:val="auto"/>
                <w:spacing w:val="-6"/>
                <w:sz w:val="24"/>
                <w:szCs w:val="24"/>
                <w:highlight w:val="none"/>
              </w:rPr>
              <w:t>1.0~2.0m/h</w:t>
            </w:r>
            <w:r>
              <w:rPr>
                <w:rFonts w:hint="default" w:ascii="Arial" w:hAnsi="Arial" w:cs="Arial"/>
                <w:color w:val="auto"/>
                <w:spacing w:val="-6"/>
                <w:sz w:val="24"/>
                <w:szCs w:val="24"/>
                <w:highlight w:val="none"/>
              </w:rPr>
              <w:t>，拉升间隔时间一般为</w:t>
            </w:r>
            <w:r>
              <w:rPr>
                <w:rFonts w:hint="default" w:ascii="Arial" w:hAnsi="Arial" w:eastAsia="Times New Roman" w:cs="Arial"/>
                <w:color w:val="auto"/>
                <w:spacing w:val="-6"/>
                <w:sz w:val="24"/>
                <w:szCs w:val="24"/>
                <w:highlight w:val="none"/>
              </w:rPr>
              <w:t>10~</w:t>
            </w:r>
            <w:r>
              <w:rPr>
                <w:rFonts w:hint="default" w:ascii="Arial" w:hAnsi="Arial" w:eastAsia="Times New Roman" w:cs="Arial"/>
                <w:color w:val="auto"/>
                <w:spacing w:val="-32"/>
                <w:sz w:val="24"/>
                <w:szCs w:val="24"/>
                <w:highlight w:val="none"/>
              </w:rPr>
              <w:t xml:space="preserve"> </w:t>
            </w:r>
            <w:r>
              <w:rPr>
                <w:rFonts w:hint="default" w:ascii="Arial" w:hAnsi="Arial" w:eastAsia="Times New Roman" w:cs="Arial"/>
                <w:color w:val="auto"/>
                <w:spacing w:val="-6"/>
                <w:sz w:val="24"/>
                <w:szCs w:val="24"/>
                <w:highlight w:val="none"/>
              </w:rPr>
              <w:t>15min</w:t>
            </w:r>
            <w:r>
              <w:rPr>
                <w:rFonts w:hint="default" w:ascii="Arial" w:hAnsi="Arial" w:cs="Arial"/>
                <w:color w:val="auto"/>
                <w:spacing w:val="-6"/>
                <w:sz w:val="24"/>
                <w:szCs w:val="24"/>
                <w:highlight w:val="none"/>
              </w:rPr>
              <w:t>，最大不超过</w:t>
            </w:r>
            <w:r>
              <w:rPr>
                <w:rFonts w:hint="default" w:ascii="Arial" w:hAnsi="Arial" w:cs="Arial"/>
                <w:color w:val="auto"/>
                <w:spacing w:val="-50"/>
                <w:sz w:val="24"/>
                <w:szCs w:val="24"/>
                <w:highlight w:val="none"/>
              </w:rPr>
              <w:t xml:space="preserve"> </w:t>
            </w:r>
            <w:r>
              <w:rPr>
                <w:rFonts w:hint="default" w:ascii="Arial" w:hAnsi="Arial" w:eastAsia="Times New Roman" w:cs="Arial"/>
                <w:color w:val="auto"/>
                <w:spacing w:val="-6"/>
                <w:sz w:val="24"/>
                <w:szCs w:val="24"/>
                <w:highlight w:val="none"/>
              </w:rPr>
              <w:t>30min</w:t>
            </w:r>
            <w:r>
              <w:rPr>
                <w:rFonts w:hint="default" w:ascii="Arial" w:hAnsi="Arial" w:cs="Arial"/>
                <w:color w:val="auto"/>
                <w:spacing w:val="-6"/>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Arial" w:hAnsi="Arial" w:cs="Arial"/>
                <w:color w:val="auto"/>
                <w:spacing w:val="0"/>
                <w:sz w:val="24"/>
                <w:szCs w:val="24"/>
                <w:highlight w:val="none"/>
              </w:rPr>
            </w:pPr>
            <w:r>
              <w:rPr>
                <w:rFonts w:hint="default" w:ascii="Arial" w:hAnsi="Arial" w:cs="Arial"/>
                <w:b/>
                <w:bCs/>
                <w:color w:val="auto"/>
                <w:spacing w:val="-1"/>
                <w:sz w:val="24"/>
                <w:szCs w:val="24"/>
                <w:highlight w:val="none"/>
                <w:u w:val="single"/>
              </w:rPr>
              <w:t>混凝土表面处理</w:t>
            </w:r>
            <w:r>
              <w:rPr>
                <w:rFonts w:hint="default" w:ascii="Arial" w:hAnsi="Arial" w:cs="Arial"/>
                <w:color w:val="auto"/>
                <w:spacing w:val="-1"/>
                <w:sz w:val="24"/>
                <w:szCs w:val="24"/>
                <w:highlight w:val="none"/>
              </w:rPr>
              <w:t>：</w:t>
            </w:r>
            <w:r>
              <w:rPr>
                <w:rFonts w:hint="default" w:ascii="Arial" w:hAnsi="Arial" w:cs="Arial"/>
                <w:color w:val="auto"/>
                <w:spacing w:val="0"/>
                <w:sz w:val="24"/>
                <w:szCs w:val="24"/>
                <w:highlight w:val="none"/>
              </w:rPr>
              <w:t xml:space="preserve">脱模后人工采用木模和钢模及时实施第一次收面，面板平整度用 </w:t>
            </w:r>
            <w:r>
              <w:rPr>
                <w:rFonts w:hint="default" w:ascii="Arial" w:hAnsi="Arial" w:eastAsia="Times New Roman" w:cs="Arial"/>
                <w:color w:val="auto"/>
                <w:spacing w:val="0"/>
                <w:sz w:val="24"/>
                <w:szCs w:val="24"/>
                <w:highlight w:val="none"/>
              </w:rPr>
              <w:t>2m</w:t>
            </w:r>
            <w:r>
              <w:rPr>
                <w:rFonts w:hint="default" w:ascii="Arial" w:hAnsi="Arial" w:cs="Arial"/>
                <w:color w:val="auto"/>
                <w:spacing w:val="0"/>
                <w:sz w:val="24"/>
                <w:szCs w:val="24"/>
                <w:highlight w:val="none"/>
              </w:rPr>
              <w:t>靠尺检查，平整度不大于</w:t>
            </w:r>
            <w:r>
              <w:rPr>
                <w:rFonts w:hint="default" w:ascii="Arial" w:hAnsi="Arial" w:eastAsia="Times New Roman" w:cs="Arial"/>
                <w:color w:val="auto"/>
                <w:spacing w:val="0"/>
                <w:sz w:val="24"/>
                <w:szCs w:val="24"/>
                <w:highlight w:val="none"/>
              </w:rPr>
              <w:t>5mm</w:t>
            </w:r>
            <w:r>
              <w:rPr>
                <w:rFonts w:hint="default" w:ascii="Arial" w:hAnsi="Arial" w:cs="Arial"/>
                <w:color w:val="auto"/>
                <w:spacing w:val="0"/>
                <w:sz w:val="24"/>
                <w:szCs w:val="24"/>
                <w:highlight w:val="none"/>
              </w:rPr>
              <w:t>。面板混凝土一次抹面后混凝土终凝前，对混凝土表面实施第二次压面抹光，确保混凝土表面密实、平整，避免面板表面形成微通道或早期裂缝。二次压面后的混凝土，覆盖塑料薄膜，不间断养护至达到设计强度。</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⑹ </w:t>
            </w:r>
            <w:r>
              <w:rPr>
                <w:rFonts w:hint="default" w:ascii="Arial" w:hAnsi="Arial" w:cs="Arial"/>
                <w:b/>
                <w:bCs/>
                <w:color w:val="auto"/>
                <w:spacing w:val="-5"/>
                <w:sz w:val="24"/>
                <w:szCs w:val="24"/>
                <w:highlight w:val="none"/>
              </w:rPr>
              <w:t>固结灌浆</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趾板设四排固结灌浆，灌浆深度分别为</w:t>
            </w:r>
            <w:r>
              <w:rPr>
                <w:rFonts w:hint="default" w:ascii="Arial" w:hAnsi="Arial" w:eastAsia="Times New Roman" w:cs="Arial"/>
                <w:color w:val="auto"/>
                <w:spacing w:val="0"/>
                <w:sz w:val="24"/>
                <w:szCs w:val="24"/>
                <w:highlight w:val="none"/>
              </w:rPr>
              <w:t>5.0m</w:t>
            </w:r>
            <w:r>
              <w:rPr>
                <w:rFonts w:hint="default" w:ascii="Arial" w:hAnsi="Arial" w:cs="Arial"/>
                <w:color w:val="auto"/>
                <w:spacing w:val="0"/>
                <w:sz w:val="24"/>
                <w:szCs w:val="24"/>
                <w:highlight w:val="none"/>
              </w:rPr>
              <w:t>和</w:t>
            </w:r>
            <w:r>
              <w:rPr>
                <w:rFonts w:hint="default" w:ascii="Arial" w:hAnsi="Arial" w:eastAsia="Times New Roman" w:cs="Arial"/>
                <w:color w:val="auto"/>
                <w:spacing w:val="0"/>
                <w:sz w:val="24"/>
                <w:szCs w:val="24"/>
                <w:highlight w:val="none"/>
              </w:rPr>
              <w:t>10.0m</w:t>
            </w:r>
            <w:r>
              <w:rPr>
                <w:rFonts w:hint="default" w:ascii="Arial" w:hAnsi="Arial" w:cs="Arial"/>
                <w:color w:val="auto"/>
                <w:spacing w:val="0"/>
                <w:sz w:val="24"/>
                <w:szCs w:val="24"/>
                <w:highlight w:val="none"/>
              </w:rPr>
              <w:t>；坝轴线设单排帷幕灌浆孔最大灌浆深度</w:t>
            </w:r>
            <w:r>
              <w:rPr>
                <w:rFonts w:hint="default" w:ascii="Arial" w:hAnsi="Arial" w:eastAsia="Times New Roman" w:cs="Arial"/>
                <w:color w:val="auto"/>
                <w:spacing w:val="0"/>
                <w:sz w:val="24"/>
                <w:szCs w:val="24"/>
                <w:highlight w:val="none"/>
              </w:rPr>
              <w:t>17.0m</w:t>
            </w:r>
            <w:r>
              <w:rPr>
                <w:rFonts w:hint="default" w:ascii="Arial" w:hAnsi="Arial" w:cs="Arial"/>
                <w:color w:val="auto"/>
                <w:spacing w:val="0"/>
                <w:sz w:val="24"/>
                <w:szCs w:val="24"/>
                <w:highlight w:val="none"/>
              </w:rPr>
              <w:t>。灌浆遵循先固结后帷幕，先下游排，后上游排，孔口封闭，孔内循环，自上而下分段灌浆的原则；其工艺流程为：测量定位</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钻孔</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冲洗</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压水试验</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灌浆</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封孔。灌浆预埋孔口管，</w:t>
            </w:r>
            <w:r>
              <w:rPr>
                <w:rFonts w:hint="default" w:ascii="Arial" w:hAnsi="Arial" w:eastAsia="Times New Roman" w:cs="Arial"/>
                <w:color w:val="auto"/>
                <w:spacing w:val="0"/>
                <w:sz w:val="24"/>
                <w:szCs w:val="24"/>
                <w:highlight w:val="none"/>
              </w:rPr>
              <w:t>150</w:t>
            </w:r>
            <w:r>
              <w:rPr>
                <w:rFonts w:hint="default" w:ascii="Arial" w:hAnsi="Arial" w:cs="Arial"/>
                <w:color w:val="auto"/>
                <w:spacing w:val="0"/>
                <w:sz w:val="24"/>
                <w:szCs w:val="24"/>
                <w:highlight w:val="none"/>
              </w:rPr>
              <w:t>型地质钻机分</w:t>
            </w:r>
            <w:r>
              <w:rPr>
                <w:rFonts w:hint="default" w:ascii="Arial" w:hAnsi="Arial" w:eastAsia="Times New Roman" w:cs="Arial"/>
                <w:color w:val="auto"/>
                <w:spacing w:val="0"/>
                <w:sz w:val="24"/>
                <w:szCs w:val="24"/>
                <w:highlight w:val="none"/>
              </w:rPr>
              <w:t>3</w:t>
            </w:r>
            <w:r>
              <w:rPr>
                <w:rFonts w:hint="default" w:ascii="Arial" w:hAnsi="Arial" w:cs="Arial"/>
                <w:color w:val="auto"/>
                <w:spacing w:val="0"/>
                <w:sz w:val="24"/>
                <w:szCs w:val="24"/>
                <w:highlight w:val="none"/>
              </w:rPr>
              <w:t>个工作同时施工，</w:t>
            </w:r>
            <w:r>
              <w:rPr>
                <w:rFonts w:hint="default" w:ascii="Arial" w:hAnsi="Arial" w:eastAsia="Times New Roman" w:cs="Arial"/>
                <w:color w:val="auto"/>
                <w:spacing w:val="0"/>
                <w:sz w:val="24"/>
                <w:szCs w:val="24"/>
                <w:highlight w:val="none"/>
              </w:rPr>
              <w:t>1000L</w:t>
            </w:r>
            <w:r>
              <w:rPr>
                <w:rFonts w:hint="default" w:ascii="Arial" w:hAnsi="Arial" w:cs="Arial"/>
                <w:color w:val="auto"/>
                <w:spacing w:val="0"/>
                <w:sz w:val="24"/>
                <w:szCs w:val="24"/>
                <w:highlight w:val="none"/>
              </w:rPr>
              <w:t>高速制浆机制浆，</w:t>
            </w:r>
            <w:r>
              <w:rPr>
                <w:rFonts w:hint="default" w:ascii="Arial" w:hAnsi="Arial" w:eastAsia="Times New Roman" w:cs="Arial"/>
                <w:color w:val="auto"/>
                <w:spacing w:val="0"/>
                <w:sz w:val="24"/>
                <w:szCs w:val="24"/>
                <w:highlight w:val="none"/>
              </w:rPr>
              <w:t>3SNS250/10</w:t>
            </w:r>
            <w:r>
              <w:rPr>
                <w:rFonts w:hint="default" w:ascii="Arial" w:hAnsi="Arial" w:cs="Arial"/>
                <w:color w:val="auto"/>
                <w:spacing w:val="0"/>
                <w:sz w:val="24"/>
                <w:szCs w:val="24"/>
                <w:highlight w:val="none"/>
              </w:rPr>
              <w:t>三缸泵灌注，固结灌浆质量检查孔不少于总孔数的</w:t>
            </w:r>
            <w:r>
              <w:rPr>
                <w:rFonts w:hint="default" w:ascii="Arial" w:hAnsi="Arial" w:eastAsia="Times New Roman" w:cs="Arial"/>
                <w:color w:val="auto"/>
                <w:spacing w:val="0"/>
                <w:sz w:val="24"/>
                <w:szCs w:val="24"/>
                <w:highlight w:val="none"/>
              </w:rPr>
              <w:t>5%</w:t>
            </w:r>
            <w:r>
              <w:rPr>
                <w:rFonts w:hint="default" w:ascii="Arial" w:hAnsi="Arial" w:cs="Arial"/>
                <w:color w:val="auto"/>
                <w:spacing w:val="0"/>
                <w:sz w:val="24"/>
                <w:szCs w:val="24"/>
                <w:highlight w:val="none"/>
              </w:rPr>
              <w:t>；帷幕灌浆质量检查孔不少于总孔数的</w:t>
            </w:r>
            <w:r>
              <w:rPr>
                <w:rFonts w:hint="default" w:ascii="Arial" w:hAnsi="Arial" w:eastAsia="Times New Roman" w:cs="Arial"/>
                <w:color w:val="auto"/>
                <w:spacing w:val="0"/>
                <w:sz w:val="24"/>
                <w:szCs w:val="24"/>
                <w:highlight w:val="none"/>
              </w:rPr>
              <w:t>10%</w:t>
            </w:r>
            <w:r>
              <w:rPr>
                <w:rFonts w:hint="default" w:ascii="Arial" w:hAnsi="Arial" w:cs="Arial"/>
                <w:color w:val="auto"/>
                <w:spacing w:val="0"/>
                <w:sz w:val="24"/>
                <w:szCs w:val="24"/>
                <w:highlight w:val="none"/>
              </w:rPr>
              <w:t>。钻灌循环水采用软管接高位蓄水池水管至各工作面，需水量</w:t>
            </w:r>
            <w:r>
              <w:rPr>
                <w:rFonts w:hint="default" w:ascii="Arial" w:hAnsi="Arial" w:eastAsia="Times New Roman" w:cs="Arial"/>
                <w:color w:val="auto"/>
                <w:spacing w:val="0"/>
                <w:sz w:val="24"/>
                <w:szCs w:val="24"/>
                <w:highlight w:val="none"/>
              </w:rPr>
              <w:t>45m</w:t>
            </w:r>
            <w:r>
              <w:rPr>
                <w:rFonts w:hint="eastAsia" w:ascii="Arial" w:hAnsi="Arial" w:cs="Arial"/>
                <w:color w:val="auto"/>
                <w:spacing w:val="0"/>
                <w:sz w:val="24"/>
                <w:szCs w:val="24"/>
                <w:highlight w:val="none"/>
                <w:vertAlign w:val="superscript"/>
                <w:lang w:val="en-US" w:eastAsia="zh-CN"/>
              </w:rPr>
              <w:t>3</w:t>
            </w:r>
            <w:r>
              <w:rPr>
                <w:rFonts w:hint="default" w:ascii="Arial" w:hAnsi="Arial" w:eastAsia="Times New Roman" w:cs="Arial"/>
                <w:color w:val="auto"/>
                <w:spacing w:val="0"/>
                <w:sz w:val="24"/>
                <w:szCs w:val="24"/>
                <w:highlight w:val="none"/>
              </w:rPr>
              <w:t>/h</w:t>
            </w:r>
            <w:r>
              <w:rPr>
                <w:rFonts w:hint="default" w:ascii="Arial" w:hAnsi="Arial" w:cs="Arial"/>
                <w:color w:val="auto"/>
                <w:spacing w:val="0"/>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⑺ </w:t>
            </w:r>
            <w:r>
              <w:rPr>
                <w:rFonts w:hint="default" w:ascii="Arial" w:hAnsi="Arial" w:eastAsia="宋体" w:cs="Arial"/>
                <w:b/>
                <w:bCs/>
                <w:color w:val="auto"/>
                <w:spacing w:val="-4"/>
                <w:sz w:val="24"/>
                <w:szCs w:val="24"/>
                <w:highlight w:val="none"/>
              </w:rPr>
              <w:t>其他混凝土施工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color w:val="auto"/>
                <w:spacing w:val="0"/>
                <w:sz w:val="24"/>
                <w:szCs w:val="24"/>
                <w:highlight w:val="none"/>
              </w:rPr>
            </w:pPr>
            <w:r>
              <w:rPr>
                <w:rFonts w:hint="eastAsia" w:ascii="Arial" w:hAnsi="Arial" w:cs="Arial"/>
                <w:b/>
                <w:bCs/>
                <w:color w:val="auto"/>
                <w:spacing w:val="0"/>
                <w:sz w:val="24"/>
                <w:szCs w:val="24"/>
                <w:highlight w:val="none"/>
                <w:lang w:val="en-US" w:eastAsia="zh-CN"/>
              </w:rPr>
              <w:t xml:space="preserve">① </w:t>
            </w:r>
            <w:r>
              <w:rPr>
                <w:rFonts w:hint="default" w:ascii="Arial" w:hAnsi="Arial" w:eastAsia="宋体" w:cs="Arial"/>
                <w:b/>
                <w:bCs/>
                <w:color w:val="auto"/>
                <w:spacing w:val="0"/>
                <w:sz w:val="24"/>
                <w:szCs w:val="24"/>
                <w:highlight w:val="none"/>
              </w:rPr>
              <w:t>坝顶防浪墙及公路</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坝顶防浪墙及公路由强制式混凝土拌和站集中拌制，5~8t自卸汽车运输1.0km至工作面，人工辅以机械入仓，组合钢模板成型，插入式振捣器振捣密实，人工洒水养护。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2"/>
                <w:sz w:val="24"/>
                <w:szCs w:val="24"/>
                <w:highlight w:val="none"/>
                <w:lang w:val="en-US" w:eastAsia="zh-CN"/>
              </w:rPr>
              <w:t xml:space="preserve">② </w:t>
            </w:r>
            <w:r>
              <w:rPr>
                <w:rFonts w:hint="default" w:ascii="Arial" w:hAnsi="Arial" w:eastAsia="宋体" w:cs="Arial"/>
                <w:b/>
                <w:bCs/>
                <w:color w:val="auto"/>
                <w:spacing w:val="-2"/>
                <w:sz w:val="24"/>
                <w:szCs w:val="24"/>
                <w:highlight w:val="none"/>
              </w:rPr>
              <w:t>排水沟及框格梁等小积混凝土施工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排水沟混凝土二级配，1t机动翻斗车运输混凝土至各工作面，人工入仓，钢模板成型，插入式振捣器捣实。框格梁等小体积混凝土1t机动翻斗车运输至工作 面附近，人工辅以溜槽入仓，木模板成型，插入式振捣器捣实。机动翻斗车综合运距1.0km，人工推胶轮车综合运距50m。</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⑻ </w:t>
            </w:r>
            <w:r>
              <w:rPr>
                <w:rFonts w:hint="default" w:ascii="Arial" w:hAnsi="Arial" w:eastAsia="宋体" w:cs="Arial"/>
                <w:b/>
                <w:bCs/>
                <w:color w:val="auto"/>
                <w:spacing w:val="-5"/>
                <w:sz w:val="24"/>
                <w:szCs w:val="24"/>
                <w:highlight w:val="none"/>
              </w:rPr>
              <w:t>土石方回填</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① </w:t>
            </w:r>
            <w:r>
              <w:rPr>
                <w:rFonts w:hint="default" w:ascii="Arial" w:hAnsi="Arial" w:eastAsia="宋体" w:cs="Arial"/>
                <w:b/>
                <w:bCs/>
                <w:color w:val="auto"/>
                <w:spacing w:val="-4"/>
                <w:sz w:val="24"/>
                <w:szCs w:val="24"/>
                <w:highlight w:val="none"/>
              </w:rPr>
              <w:t>壤土回填</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pacing w:val="-1"/>
                <w:sz w:val="24"/>
                <w:szCs w:val="24"/>
                <w:highlight w:val="none"/>
              </w:rPr>
              <w:t>坝坡下游框格梁内铺填</w:t>
            </w:r>
            <w:r>
              <w:rPr>
                <w:rFonts w:hint="default" w:ascii="Arial" w:hAnsi="Arial" w:eastAsia="宋体" w:cs="Arial"/>
                <w:color w:val="auto"/>
                <w:spacing w:val="-47"/>
                <w:sz w:val="24"/>
                <w:szCs w:val="24"/>
                <w:highlight w:val="none"/>
              </w:rPr>
              <w:t xml:space="preserve"> </w:t>
            </w:r>
            <w:r>
              <w:rPr>
                <w:rFonts w:hint="default" w:ascii="Arial" w:hAnsi="Arial" w:eastAsia="宋体" w:cs="Arial"/>
                <w:color w:val="auto"/>
                <w:spacing w:val="-1"/>
                <w:sz w:val="24"/>
                <w:szCs w:val="24"/>
                <w:highlight w:val="none"/>
              </w:rPr>
              <w:t>30cm厚壤土回填。壤土利用坝体开挖</w:t>
            </w:r>
            <w:r>
              <w:rPr>
                <w:rFonts w:hint="default" w:ascii="Arial" w:hAnsi="Arial" w:eastAsia="宋体" w:cs="Arial"/>
                <w:color w:val="auto"/>
                <w:spacing w:val="-2"/>
                <w:sz w:val="24"/>
                <w:szCs w:val="24"/>
                <w:highlight w:val="none"/>
              </w:rPr>
              <w:t>的根植土料，5~8t自卸汽车运输</w:t>
            </w:r>
            <w:r>
              <w:rPr>
                <w:rFonts w:hint="default" w:ascii="Arial" w:hAnsi="Arial" w:eastAsia="宋体" w:cs="Arial"/>
                <w:color w:val="auto"/>
                <w:spacing w:val="-56"/>
                <w:sz w:val="24"/>
                <w:szCs w:val="24"/>
                <w:highlight w:val="none"/>
              </w:rPr>
              <w:t xml:space="preserve"> </w:t>
            </w:r>
            <w:r>
              <w:rPr>
                <w:rFonts w:hint="default" w:ascii="Arial" w:hAnsi="Arial" w:eastAsia="宋体" w:cs="Arial"/>
                <w:color w:val="auto"/>
                <w:spacing w:val="-2"/>
                <w:sz w:val="24"/>
                <w:szCs w:val="24"/>
                <w:highlight w:val="none"/>
              </w:rPr>
              <w:t>4.0km至工作面，人工回填，打夯机轻微夯实。</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② </w:t>
            </w:r>
            <w:r>
              <w:rPr>
                <w:rFonts w:hint="default" w:ascii="Arial" w:hAnsi="Arial" w:eastAsia="宋体" w:cs="Arial"/>
                <w:b/>
                <w:bCs/>
                <w:color w:val="auto"/>
                <w:spacing w:val="-3"/>
                <w:sz w:val="24"/>
                <w:szCs w:val="24"/>
                <w:highlight w:val="none"/>
              </w:rPr>
              <w:t>石渣回填</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eastAsia="宋体" w:cs="Arial"/>
                <w:color w:val="auto"/>
                <w:sz w:val="24"/>
                <w:szCs w:val="24"/>
                <w:highlight w:val="none"/>
              </w:rPr>
            </w:pPr>
            <w:r>
              <w:rPr>
                <w:rFonts w:hint="default" w:ascii="Arial" w:hAnsi="Arial" w:eastAsia="宋体" w:cs="Arial"/>
                <w:color w:val="auto"/>
                <w:spacing w:val="-3"/>
                <w:sz w:val="24"/>
                <w:szCs w:val="24"/>
                <w:highlight w:val="none"/>
              </w:rPr>
              <w:t>上游坝脚土石回填利用大坝开挖弃渣料，2.0m</w:t>
            </w:r>
            <w:r>
              <w:rPr>
                <w:rFonts w:hint="eastAsia" w:ascii="Arial" w:hAnsi="Arial" w:cs="Arial"/>
                <w:color w:val="auto"/>
                <w:spacing w:val="-3"/>
                <w:sz w:val="24"/>
                <w:szCs w:val="24"/>
                <w:highlight w:val="none"/>
                <w:vertAlign w:val="superscript"/>
                <w:lang w:val="en-US" w:eastAsia="zh-CN"/>
              </w:rPr>
              <w:t>3</w:t>
            </w:r>
            <w:r>
              <w:rPr>
                <w:rFonts w:hint="default" w:ascii="Arial" w:hAnsi="Arial" w:eastAsia="宋体" w:cs="Arial"/>
                <w:color w:val="auto"/>
                <w:spacing w:val="-3"/>
                <w:sz w:val="24"/>
                <w:szCs w:val="24"/>
                <w:highlight w:val="none"/>
              </w:rPr>
              <w:t>反铲挖装15~10t自卸汽车运</w:t>
            </w:r>
            <w:r>
              <w:rPr>
                <w:rFonts w:hint="default" w:ascii="Arial" w:hAnsi="Arial" w:eastAsia="宋体" w:cs="Arial"/>
                <w:color w:val="auto"/>
                <w:spacing w:val="-1"/>
                <w:sz w:val="24"/>
                <w:szCs w:val="24"/>
                <w:highlight w:val="none"/>
              </w:rPr>
              <w:t>输</w:t>
            </w:r>
            <w:r>
              <w:rPr>
                <w:rFonts w:hint="default" w:ascii="Arial" w:hAnsi="Arial" w:eastAsia="宋体" w:cs="Arial"/>
                <w:color w:val="auto"/>
                <w:spacing w:val="-39"/>
                <w:sz w:val="24"/>
                <w:szCs w:val="24"/>
                <w:highlight w:val="none"/>
              </w:rPr>
              <w:t xml:space="preserve"> </w:t>
            </w:r>
            <w:r>
              <w:rPr>
                <w:rFonts w:hint="default" w:ascii="Arial" w:hAnsi="Arial" w:eastAsia="宋体" w:cs="Arial"/>
                <w:color w:val="auto"/>
                <w:spacing w:val="-1"/>
                <w:sz w:val="24"/>
                <w:szCs w:val="24"/>
                <w:highlight w:val="none"/>
              </w:rPr>
              <w:t>0.50km至填筑区，利用推土机平场和汽车行走碾压即可。</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cs="Arial"/>
                <w:b/>
                <w:bCs/>
                <w:color w:val="auto"/>
                <w:spacing w:val="-3"/>
                <w:sz w:val="24"/>
                <w:szCs w:val="24"/>
                <w:highlight w:val="none"/>
                <w:lang w:val="en-US" w:eastAsia="zh-CN"/>
              </w:rPr>
            </w:pPr>
            <w:r>
              <w:rPr>
                <w:rFonts w:hint="default" w:ascii="Arial" w:hAnsi="Arial" w:cs="Arial"/>
                <w:b/>
                <w:bCs/>
                <w:color w:val="auto"/>
                <w:spacing w:val="-3"/>
                <w:sz w:val="24"/>
                <w:szCs w:val="24"/>
                <w:highlight w:val="none"/>
                <w:lang w:val="en-US" w:eastAsia="zh-CN"/>
              </w:rPr>
              <w:t>2、溢洪道工程</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溢洪道主要施工程序为：覆盖层及土层剥离</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石方开挖（合格开挖料运输上坝）</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边坡支护（基础灌浆）</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混凝土浇筑</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完工。</w:t>
            </w:r>
          </w:p>
          <w:p>
            <w:pPr>
              <w:spacing w:before="122" w:line="2487" w:lineRule="exact"/>
              <w:ind w:firstLine="1051"/>
              <w:rPr>
                <w:color w:val="auto"/>
                <w:highlight w:val="none"/>
              </w:rPr>
            </w:pPr>
            <w:r>
              <w:rPr>
                <w:color w:val="auto"/>
                <w:position w:val="-49"/>
                <w:highlight w:val="none"/>
              </w:rPr>
              <w:drawing>
                <wp:inline distT="0" distB="0" distL="0" distR="0">
                  <wp:extent cx="4111625" cy="1578610"/>
                  <wp:effectExtent l="0" t="0" r="3175" b="2540"/>
                  <wp:docPr id="14" name="IM 52"/>
                  <wp:cNvGraphicFramePr/>
                  <a:graphic xmlns:a="http://schemas.openxmlformats.org/drawingml/2006/main">
                    <a:graphicData uri="http://schemas.openxmlformats.org/drawingml/2006/picture">
                      <pic:pic xmlns:pic="http://schemas.openxmlformats.org/drawingml/2006/picture">
                        <pic:nvPicPr>
                          <pic:cNvPr id="14" name="IM 52"/>
                          <pic:cNvPicPr/>
                        </pic:nvPicPr>
                        <pic:blipFill>
                          <a:blip r:embed="rId12"/>
                          <a:stretch>
                            <a:fillRect/>
                          </a:stretch>
                        </pic:blipFill>
                        <pic:spPr>
                          <a:xfrm>
                            <a:off x="0" y="0"/>
                            <a:ext cx="4112176" cy="1579217"/>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2</w:t>
            </w:r>
            <w:r>
              <w:rPr>
                <w:b/>
                <w:bCs/>
                <w:color w:val="auto"/>
                <w:spacing w:val="0"/>
                <w:sz w:val="21"/>
                <w:szCs w:val="21"/>
                <w:highlight w:val="none"/>
              </w:rPr>
              <w:t xml:space="preserve">  溢洪道施工工艺流程及产污环节图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pacing w:val="-3"/>
                <w:sz w:val="24"/>
                <w:szCs w:val="24"/>
                <w:highlight w:val="none"/>
              </w:rPr>
            </w:pPr>
            <w:r>
              <w:rPr>
                <w:rFonts w:hint="eastAsia" w:ascii="Arial" w:hAnsi="Arial" w:cs="Arial"/>
                <w:b/>
                <w:bCs/>
                <w:color w:val="auto"/>
                <w:spacing w:val="-5"/>
                <w:sz w:val="24"/>
                <w:szCs w:val="24"/>
                <w:highlight w:val="none"/>
                <w:lang w:val="en-US" w:eastAsia="zh-CN"/>
              </w:rPr>
              <w:t xml:space="preserve">⑴ </w:t>
            </w:r>
            <w:r>
              <w:rPr>
                <w:rFonts w:hint="default" w:ascii="Arial" w:hAnsi="Arial" w:cs="Arial"/>
                <w:b/>
                <w:bCs/>
                <w:color w:val="auto"/>
                <w:spacing w:val="-5"/>
                <w:sz w:val="24"/>
                <w:szCs w:val="24"/>
                <w:highlight w:val="none"/>
              </w:rPr>
              <w:t>土石方开挖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2"/>
                <w:sz w:val="24"/>
                <w:szCs w:val="24"/>
                <w:highlight w:val="none"/>
              </w:rPr>
            </w:pPr>
            <w:r>
              <w:rPr>
                <w:rFonts w:hint="default" w:ascii="Arial" w:hAnsi="Arial" w:cs="Arial"/>
                <w:color w:val="auto"/>
                <w:spacing w:val="0"/>
                <w:sz w:val="24"/>
                <w:szCs w:val="24"/>
                <w:highlight w:val="none"/>
              </w:rPr>
              <w:t>溢洪道工程于第一年</w:t>
            </w:r>
            <w:r>
              <w:rPr>
                <w:rFonts w:hint="default" w:ascii="Arial" w:hAnsi="Arial" w:eastAsia="Times New Roman" w:cs="Arial"/>
                <w:color w:val="auto"/>
                <w:spacing w:val="0"/>
                <w:sz w:val="24"/>
                <w:szCs w:val="24"/>
                <w:highlight w:val="none"/>
              </w:rPr>
              <w:t>9</w:t>
            </w:r>
            <w:r>
              <w:rPr>
                <w:rFonts w:hint="default" w:ascii="Arial" w:hAnsi="Arial" w:cs="Arial"/>
                <w:color w:val="auto"/>
                <w:spacing w:val="0"/>
                <w:sz w:val="24"/>
                <w:szCs w:val="24"/>
                <w:highlight w:val="none"/>
              </w:rPr>
              <w:t>月完成表层覆盖层和土方剥除，</w:t>
            </w:r>
            <w:r>
              <w:rPr>
                <w:rFonts w:hint="default" w:ascii="Arial" w:hAnsi="Arial" w:eastAsia="Times New Roman" w:cs="Arial"/>
                <w:color w:val="auto"/>
                <w:spacing w:val="0"/>
                <w:sz w:val="24"/>
                <w:szCs w:val="24"/>
                <w:highlight w:val="none"/>
              </w:rPr>
              <w:t>10~ 12</w:t>
            </w:r>
            <w:r>
              <w:rPr>
                <w:rFonts w:hint="eastAsia" w:ascii="Arial" w:hAnsi="Arial" w:cs="Arial"/>
                <w:color w:val="auto"/>
                <w:spacing w:val="0"/>
                <w:sz w:val="24"/>
                <w:szCs w:val="24"/>
                <w:highlight w:val="none"/>
                <w:lang w:val="en-US" w:eastAsia="zh-CN"/>
              </w:rPr>
              <w:t>月</w:t>
            </w:r>
            <w:r>
              <w:rPr>
                <w:rFonts w:hint="default" w:ascii="Arial" w:hAnsi="Arial" w:cs="Arial"/>
                <w:color w:val="auto"/>
                <w:spacing w:val="0"/>
                <w:sz w:val="24"/>
                <w:szCs w:val="24"/>
                <w:highlight w:val="none"/>
              </w:rPr>
              <w:t>完成石方开挖，开挖过程中，合格石渣料直接上坝填筑；溢洪道进水渠、闸室、泄槽最大开挖深</w:t>
            </w:r>
            <w:r>
              <w:rPr>
                <w:rFonts w:hint="default" w:ascii="Arial" w:hAnsi="Arial" w:eastAsia="Times New Roman" w:cs="Arial"/>
                <w:color w:val="auto"/>
                <w:spacing w:val="0"/>
                <w:sz w:val="24"/>
                <w:szCs w:val="24"/>
                <w:highlight w:val="none"/>
              </w:rPr>
              <w:t>23.44m</w:t>
            </w:r>
            <w:r>
              <w:rPr>
                <w:rFonts w:hint="eastAsia" w:ascii="Arial" w:hAnsi="Arial" w:cs="Arial"/>
                <w:color w:val="auto"/>
                <w:spacing w:val="0"/>
                <w:sz w:val="24"/>
                <w:szCs w:val="24"/>
                <w:highlight w:val="none"/>
                <w:lang w:eastAsia="zh-CN"/>
              </w:rPr>
              <w:t>，</w:t>
            </w:r>
            <w:r>
              <w:rPr>
                <w:rFonts w:hint="default" w:ascii="Arial" w:hAnsi="Arial" w:cs="Arial"/>
                <w:color w:val="auto"/>
                <w:spacing w:val="0"/>
                <w:sz w:val="24"/>
                <w:szCs w:val="24"/>
                <w:highlight w:val="none"/>
              </w:rPr>
              <w:t>石方开挖预留</w:t>
            </w:r>
            <w:r>
              <w:rPr>
                <w:rFonts w:hint="default" w:ascii="Arial" w:hAnsi="Arial" w:eastAsia="Times New Roman" w:cs="Arial"/>
                <w:color w:val="auto"/>
                <w:spacing w:val="0"/>
                <w:sz w:val="24"/>
                <w:szCs w:val="24"/>
                <w:highlight w:val="none"/>
              </w:rPr>
              <w:t>50~80cm</w:t>
            </w:r>
            <w:r>
              <w:rPr>
                <w:rFonts w:hint="default" w:ascii="Arial" w:hAnsi="Arial" w:cs="Arial"/>
                <w:color w:val="auto"/>
                <w:spacing w:val="0"/>
                <w:sz w:val="24"/>
                <w:szCs w:val="24"/>
                <w:highlight w:val="none"/>
              </w:rPr>
              <w:t>保护层，与大坝填筑同步进行。溢洪道覆盖层、无用层及砂岩全</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强风化料采用</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w:t>
            </w:r>
            <w:r>
              <w:rPr>
                <w:rFonts w:hint="eastAsia" w:ascii="Arial" w:hAnsi="Arial" w:cs="Arial"/>
                <w:color w:val="auto"/>
                <w:spacing w:val="0"/>
                <w:sz w:val="24"/>
                <w:szCs w:val="24"/>
                <w:highlight w:val="none"/>
                <w:lang w:val="en-US" w:eastAsia="zh-CN"/>
              </w:rPr>
              <w:t>1</w:t>
            </w:r>
            <w:r>
              <w:rPr>
                <w:rFonts w:hint="default" w:ascii="Arial" w:hAnsi="Arial" w:eastAsia="Times New Roman" w:cs="Arial"/>
                <w:color w:val="auto"/>
                <w:spacing w:val="0"/>
                <w:sz w:val="24"/>
                <w:szCs w:val="24"/>
                <w:highlight w:val="none"/>
              </w:rPr>
              <w:t>5t</w:t>
            </w:r>
            <w:r>
              <w:rPr>
                <w:rFonts w:hint="default" w:ascii="Arial" w:hAnsi="Arial" w:cs="Arial"/>
                <w:color w:val="auto"/>
                <w:spacing w:val="0"/>
                <w:sz w:val="24"/>
                <w:szCs w:val="24"/>
                <w:highlight w:val="none"/>
              </w:rPr>
              <w:t>自卸汽车运输</w:t>
            </w:r>
            <w:r>
              <w:rPr>
                <w:rFonts w:hint="default" w:ascii="Arial" w:hAnsi="Arial" w:eastAsia="Times New Roman" w:cs="Arial"/>
                <w:color w:val="auto"/>
                <w:spacing w:val="0"/>
                <w:sz w:val="24"/>
                <w:szCs w:val="24"/>
                <w:highlight w:val="none"/>
              </w:rPr>
              <w:t>1.0km</w:t>
            </w:r>
            <w:r>
              <w:rPr>
                <w:rFonts w:hint="default" w:ascii="Arial" w:hAnsi="Arial" w:cs="Arial"/>
                <w:color w:val="auto"/>
                <w:spacing w:val="0"/>
                <w:sz w:val="24"/>
                <w:szCs w:val="24"/>
                <w:highlight w:val="none"/>
              </w:rPr>
              <w:t>至枢纽库内临时堆渣场堆放；弱</w:t>
            </w:r>
            <w:r>
              <w:rPr>
                <w:rFonts w:hint="default" w:ascii="Arial" w:hAnsi="Arial" w:eastAsia="Times New Roman" w:cs="Arial"/>
                <w:color w:val="auto"/>
                <w:spacing w:val="0"/>
                <w:sz w:val="24"/>
                <w:szCs w:val="24"/>
                <w:highlight w:val="none"/>
              </w:rPr>
              <w:t>~</w:t>
            </w:r>
            <w:r>
              <w:rPr>
                <w:rFonts w:hint="default" w:ascii="Arial" w:hAnsi="Arial" w:cs="Arial"/>
                <w:color w:val="auto"/>
                <w:spacing w:val="0"/>
                <w:sz w:val="24"/>
                <w:szCs w:val="24"/>
                <w:highlight w:val="none"/>
              </w:rPr>
              <w:t>微风化料采用自行式潜孔钻钻孔，</w:t>
            </w:r>
            <w:r>
              <w:rPr>
                <w:rFonts w:hint="default" w:ascii="Arial" w:hAnsi="Arial" w:eastAsia="Times New Roman" w:cs="Arial"/>
                <w:color w:val="auto"/>
                <w:spacing w:val="0"/>
                <w:sz w:val="24"/>
                <w:szCs w:val="24"/>
                <w:highlight w:val="none"/>
              </w:rPr>
              <w:t>LGY-20/7G</w:t>
            </w:r>
            <w:r>
              <w:rPr>
                <w:rFonts w:hint="default" w:ascii="Arial" w:hAnsi="Arial" w:cs="Arial"/>
                <w:color w:val="auto"/>
                <w:spacing w:val="0"/>
                <w:sz w:val="24"/>
                <w:szCs w:val="24"/>
                <w:highlight w:val="none"/>
              </w:rPr>
              <w:t>移动式空压机供风，预裂松动爆破，</w:t>
            </w:r>
            <w:r>
              <w:rPr>
                <w:rFonts w:hint="default" w:ascii="Arial" w:hAnsi="Arial" w:eastAsia="Times New Roman" w:cs="Arial"/>
                <w:color w:val="auto"/>
                <w:spacing w:val="0"/>
                <w:sz w:val="24"/>
                <w:szCs w:val="24"/>
                <w:highlight w:val="none"/>
              </w:rPr>
              <w:t>88kW</w:t>
            </w:r>
            <w:r>
              <w:rPr>
                <w:rFonts w:hint="default" w:ascii="Arial" w:hAnsi="Arial" w:cs="Arial"/>
                <w:color w:val="auto"/>
                <w:spacing w:val="0"/>
                <w:sz w:val="24"/>
                <w:szCs w:val="24"/>
                <w:highlight w:val="none"/>
              </w:rPr>
              <w:t>推土机集渣，</w:t>
            </w:r>
            <w:r>
              <w:rPr>
                <w:rFonts w:hint="default" w:ascii="Arial" w:hAnsi="Arial" w:eastAsia="Times New Roman" w:cs="Arial"/>
                <w:color w:val="auto"/>
                <w:spacing w:val="0"/>
                <w:sz w:val="24"/>
                <w:szCs w:val="24"/>
                <w:highlight w:val="none"/>
              </w:rPr>
              <w:t>2.0m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反铲挖装</w:t>
            </w:r>
            <w:r>
              <w:rPr>
                <w:rFonts w:hint="default" w:ascii="Arial" w:hAnsi="Arial" w:eastAsia="Times New Roman" w:cs="Arial"/>
                <w:color w:val="auto"/>
                <w:spacing w:val="0"/>
                <w:sz w:val="24"/>
                <w:szCs w:val="24"/>
                <w:highlight w:val="none"/>
              </w:rPr>
              <w:t>15~20</w:t>
            </w:r>
            <w:r>
              <w:rPr>
                <w:rFonts w:hint="default" w:ascii="Arial" w:hAnsi="Arial" w:cs="Arial"/>
                <w:color w:val="auto"/>
                <w:spacing w:val="0"/>
                <w:sz w:val="24"/>
                <w:szCs w:val="24"/>
                <w:highlight w:val="none"/>
              </w:rPr>
              <w:t>自卸汽车直接运输</w:t>
            </w:r>
            <w:r>
              <w:rPr>
                <w:rFonts w:hint="default" w:ascii="Arial" w:hAnsi="Arial" w:eastAsia="Times New Roman" w:cs="Arial"/>
                <w:color w:val="auto"/>
                <w:spacing w:val="0"/>
                <w:sz w:val="24"/>
                <w:szCs w:val="24"/>
                <w:highlight w:val="none"/>
              </w:rPr>
              <w:t>0.50km</w:t>
            </w:r>
            <w:r>
              <w:rPr>
                <w:rFonts w:hint="default" w:ascii="Arial" w:hAnsi="Arial" w:cs="Arial"/>
                <w:color w:val="auto"/>
                <w:spacing w:val="0"/>
                <w:sz w:val="24"/>
                <w:szCs w:val="24"/>
                <w:highlight w:val="none"/>
              </w:rPr>
              <w:t>至填筑区填筑。后期采用</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自卸汽车转运</w:t>
            </w:r>
            <w:r>
              <w:rPr>
                <w:rFonts w:hint="default" w:ascii="Arial" w:hAnsi="Arial" w:eastAsia="Times New Roman" w:cs="Arial"/>
                <w:color w:val="auto"/>
                <w:spacing w:val="0"/>
                <w:sz w:val="24"/>
                <w:szCs w:val="24"/>
                <w:highlight w:val="none"/>
              </w:rPr>
              <w:t>3.0km</w:t>
            </w:r>
            <w:r>
              <w:rPr>
                <w:rFonts w:hint="default" w:ascii="Arial" w:hAnsi="Arial" w:cs="Arial"/>
                <w:color w:val="auto"/>
                <w:spacing w:val="0"/>
                <w:sz w:val="24"/>
                <w:szCs w:val="24"/>
                <w:highlight w:val="none"/>
              </w:rPr>
              <w:t>至坝后堆放。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为施工</w:t>
            </w:r>
            <w:r>
              <w:rPr>
                <w:rFonts w:hint="default" w:ascii="Arial" w:hAnsi="Arial" w:cs="Arial"/>
                <w:i/>
                <w:iCs/>
                <w:color w:val="auto"/>
                <w:spacing w:val="-1"/>
                <w:sz w:val="24"/>
                <w:szCs w:val="24"/>
                <w:highlight w:val="none"/>
              </w:rPr>
              <w:t>扬尘、机械废气、噪声、植被破坏、水土流失等。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⑵ </w:t>
            </w:r>
            <w:r>
              <w:rPr>
                <w:rFonts w:hint="default" w:ascii="Arial" w:hAnsi="Arial" w:cs="Arial"/>
                <w:b/>
                <w:bCs/>
                <w:color w:val="auto"/>
                <w:spacing w:val="-5"/>
                <w:sz w:val="24"/>
                <w:szCs w:val="24"/>
                <w:highlight w:val="none"/>
              </w:rPr>
              <w:t>边坡支护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喷锚支护锚杆采用</w:t>
            </w:r>
            <w:r>
              <w:rPr>
                <w:rFonts w:hint="default" w:ascii="Arial" w:hAnsi="Arial" w:eastAsia="Times New Roman" w:cs="Arial"/>
                <w:color w:val="auto"/>
                <w:spacing w:val="0"/>
                <w:sz w:val="24"/>
                <w:szCs w:val="24"/>
                <w:highlight w:val="none"/>
              </w:rPr>
              <w:t>Ф25Ⅲ</w:t>
            </w:r>
            <w:r>
              <w:rPr>
                <w:rFonts w:hint="default" w:ascii="Arial" w:hAnsi="Arial" w:cs="Arial"/>
                <w:color w:val="auto"/>
                <w:spacing w:val="0"/>
                <w:sz w:val="24"/>
                <w:szCs w:val="24"/>
                <w:highlight w:val="none"/>
              </w:rPr>
              <w:t>级螺纹钢筋，长度</w:t>
            </w:r>
            <w:r>
              <w:rPr>
                <w:rFonts w:hint="default" w:ascii="Arial" w:hAnsi="Arial" w:eastAsia="Times New Roman" w:cs="Arial"/>
                <w:color w:val="auto"/>
                <w:spacing w:val="0"/>
                <w:sz w:val="24"/>
                <w:szCs w:val="24"/>
                <w:highlight w:val="none"/>
              </w:rPr>
              <w:t>4.50m</w:t>
            </w:r>
            <w:r>
              <w:rPr>
                <w:rFonts w:hint="default" w:ascii="Arial" w:hAnsi="Arial" w:cs="Arial"/>
                <w:color w:val="auto"/>
                <w:spacing w:val="0"/>
                <w:sz w:val="24"/>
                <w:szCs w:val="24"/>
                <w:highlight w:val="none"/>
              </w:rPr>
              <w:t>，喷混凝土标号为</w:t>
            </w:r>
            <w:r>
              <w:rPr>
                <w:rFonts w:hint="default" w:ascii="Arial" w:hAnsi="Arial" w:eastAsia="Times New Roman" w:cs="Arial"/>
                <w:color w:val="auto"/>
                <w:spacing w:val="0"/>
                <w:sz w:val="24"/>
                <w:szCs w:val="24"/>
                <w:highlight w:val="none"/>
              </w:rPr>
              <w:t>C25</w:t>
            </w:r>
            <w:r>
              <w:rPr>
                <w:rFonts w:hint="default" w:ascii="Arial" w:hAnsi="Arial" w:cs="Arial"/>
                <w:color w:val="auto"/>
                <w:spacing w:val="0"/>
                <w:sz w:val="24"/>
                <w:szCs w:val="24"/>
                <w:highlight w:val="none"/>
              </w:rPr>
              <w:t>，厚</w:t>
            </w:r>
            <w:r>
              <w:rPr>
                <w:rFonts w:hint="default" w:ascii="Arial" w:hAnsi="Arial" w:eastAsia="Times New Roman" w:cs="Arial"/>
                <w:color w:val="auto"/>
                <w:spacing w:val="0"/>
                <w:sz w:val="24"/>
                <w:szCs w:val="24"/>
                <w:highlight w:val="none"/>
              </w:rPr>
              <w:t>10cm</w:t>
            </w:r>
            <w:r>
              <w:rPr>
                <w:rFonts w:hint="default" w:ascii="Arial" w:hAnsi="Arial" w:cs="Arial"/>
                <w:color w:val="auto"/>
                <w:spacing w:val="0"/>
                <w:sz w:val="24"/>
                <w:szCs w:val="24"/>
                <w:highlight w:val="none"/>
              </w:rPr>
              <w:t>。锚杆采用气腿式手风钻钻孔，锚杆孔轴线垂直于开挖面，局部加固锚杆的孔轴方向尽可能滑动面的倾向相反，其与滑动面的交角大于</w:t>
            </w:r>
            <w:r>
              <w:rPr>
                <w:rFonts w:hint="default" w:ascii="Arial" w:hAnsi="Arial" w:eastAsia="Times New Roman" w:cs="Arial"/>
                <w:color w:val="auto"/>
                <w:spacing w:val="0"/>
                <w:sz w:val="24"/>
                <w:szCs w:val="24"/>
                <w:highlight w:val="none"/>
              </w:rPr>
              <w:t>45°</w:t>
            </w:r>
            <w:r>
              <w:rPr>
                <w:rFonts w:hint="default" w:ascii="Arial" w:hAnsi="Arial" w:cs="Arial"/>
                <w:color w:val="auto"/>
                <w:spacing w:val="0"/>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⑶ </w:t>
            </w:r>
            <w:r>
              <w:rPr>
                <w:rFonts w:hint="default" w:ascii="Arial" w:hAnsi="Arial" w:cs="Arial"/>
                <w:b/>
                <w:bCs/>
                <w:color w:val="auto"/>
                <w:spacing w:val="-5"/>
                <w:sz w:val="24"/>
                <w:szCs w:val="24"/>
                <w:highlight w:val="none"/>
              </w:rPr>
              <w:t>混凝土浇筑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溢洪道边墙、底板混凝土采用三级配，溢流面混凝土采用二级配；混凝土由</w:t>
            </w:r>
            <w:r>
              <w:rPr>
                <w:rFonts w:hint="default" w:ascii="Arial" w:hAnsi="Arial" w:eastAsia="Times New Roman" w:cs="Arial"/>
                <w:color w:val="auto"/>
                <w:spacing w:val="0"/>
                <w:sz w:val="24"/>
                <w:szCs w:val="24"/>
                <w:highlight w:val="none"/>
              </w:rPr>
              <w:t>2×0.5m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强制式混凝土拌和站</w:t>
            </w:r>
            <w:r>
              <w:rPr>
                <w:rFonts w:hint="default" w:ascii="Arial" w:hAnsi="Arial" w:eastAsia="Times New Roman" w:cs="Arial"/>
                <w:color w:val="auto"/>
                <w:spacing w:val="0"/>
                <w:sz w:val="24"/>
                <w:szCs w:val="24"/>
                <w:highlight w:val="none"/>
              </w:rPr>
              <w:t>10~ 15t</w:t>
            </w:r>
            <w:r>
              <w:rPr>
                <w:rFonts w:hint="default" w:ascii="Arial" w:hAnsi="Arial" w:cs="Arial"/>
                <w:color w:val="auto"/>
                <w:spacing w:val="0"/>
                <w:sz w:val="24"/>
                <w:szCs w:val="24"/>
                <w:highlight w:val="none"/>
              </w:rPr>
              <w:t>自卸汽车运输</w:t>
            </w:r>
            <w:r>
              <w:rPr>
                <w:rFonts w:hint="default" w:ascii="Arial" w:hAnsi="Arial" w:eastAsia="Times New Roman" w:cs="Arial"/>
                <w:color w:val="auto"/>
                <w:spacing w:val="0"/>
                <w:sz w:val="24"/>
                <w:szCs w:val="24"/>
                <w:highlight w:val="none"/>
              </w:rPr>
              <w:t>500m</w:t>
            </w:r>
            <w:r>
              <w:rPr>
                <w:rFonts w:hint="default" w:ascii="Arial" w:hAnsi="Arial" w:cs="Arial"/>
                <w:color w:val="auto"/>
                <w:spacing w:val="0"/>
                <w:sz w:val="24"/>
                <w:szCs w:val="24"/>
                <w:highlight w:val="none"/>
              </w:rPr>
              <w:t>至工作面，溜槽入仓，两侧边墙组合钢模板成型，底板滑模板分段施工，插入式与平板振捣器浇筑，人工收面抹光。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Arial" w:hAnsi="Arial" w:cs="Arial"/>
                <w:color w:val="auto"/>
                <w:sz w:val="24"/>
                <w:szCs w:val="24"/>
                <w:highlight w:val="none"/>
              </w:rPr>
            </w:pPr>
            <w:r>
              <w:rPr>
                <w:rFonts w:hint="default" w:ascii="Arial" w:hAnsi="Arial" w:eastAsia="Times New Roman" w:cs="Arial"/>
                <w:b/>
                <w:bCs/>
                <w:color w:val="auto"/>
                <w:spacing w:val="-6"/>
                <w:sz w:val="24"/>
                <w:szCs w:val="24"/>
                <w:highlight w:val="none"/>
              </w:rPr>
              <w:t>3</w:t>
            </w:r>
            <w:r>
              <w:rPr>
                <w:rFonts w:hint="default" w:ascii="Arial" w:hAnsi="Arial" w:cs="Arial"/>
                <w:b/>
                <w:bCs/>
                <w:color w:val="auto"/>
                <w:spacing w:val="-6"/>
                <w:sz w:val="24"/>
                <w:szCs w:val="24"/>
                <w:highlight w:val="none"/>
              </w:rPr>
              <w:t>、</w:t>
            </w:r>
            <w:r>
              <w:rPr>
                <w:rFonts w:hint="eastAsia" w:ascii="Times New Roman" w:hAnsi="Times New Roman" w:eastAsia="宋体" w:cs="Times New Roman"/>
                <w:b/>
                <w:bCs/>
                <w:color w:val="auto"/>
                <w:kern w:val="2"/>
                <w:sz w:val="24"/>
                <w:szCs w:val="24"/>
                <w:highlight w:val="none"/>
                <w:lang w:val="en-US" w:eastAsia="zh-CN" w:bidi="ar-SA"/>
              </w:rPr>
              <w:t>取水（放空、导流）隧洞</w:t>
            </w:r>
            <w:r>
              <w:rPr>
                <w:rFonts w:hint="default" w:ascii="Arial" w:hAnsi="Arial" w:cs="Arial"/>
                <w:b/>
                <w:bCs/>
                <w:color w:val="auto"/>
                <w:spacing w:val="-6"/>
                <w:sz w:val="24"/>
                <w:szCs w:val="24"/>
                <w:highlight w:val="none"/>
              </w:rPr>
              <w:t>工程</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取水（放空、导流）隧洞主要施工程序为：进、出口明渠段土石方开挖</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洞身开挖</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混凝土</w:t>
            </w:r>
            <w:r>
              <w:rPr>
                <w:rFonts w:hint="default" w:ascii="Arial" w:hAnsi="Arial" w:cs="Arial"/>
                <w:color w:val="auto"/>
                <w:spacing w:val="-4"/>
                <w:sz w:val="24"/>
                <w:szCs w:val="24"/>
                <w:highlight w:val="none"/>
              </w:rPr>
              <w:t>衬砌</w:t>
            </w:r>
            <w:r>
              <w:rPr>
                <w:rFonts w:hint="default" w:ascii="Arial" w:hAnsi="Arial" w:eastAsia="Times New Roman" w:cs="Arial"/>
                <w:color w:val="auto"/>
                <w:spacing w:val="-4"/>
                <w:sz w:val="24"/>
                <w:szCs w:val="24"/>
                <w:highlight w:val="none"/>
              </w:rPr>
              <w:t>→</w:t>
            </w:r>
            <w:r>
              <w:rPr>
                <w:rFonts w:hint="default" w:ascii="Arial" w:hAnsi="Arial" w:cs="Arial"/>
                <w:color w:val="auto"/>
                <w:spacing w:val="-4"/>
                <w:sz w:val="24"/>
                <w:szCs w:val="24"/>
                <w:highlight w:val="none"/>
              </w:rPr>
              <w:t>回填灌浆</w:t>
            </w:r>
            <w:r>
              <w:rPr>
                <w:rFonts w:hint="default" w:ascii="Arial" w:hAnsi="Arial" w:eastAsia="Times New Roman" w:cs="Arial"/>
                <w:color w:val="auto"/>
                <w:spacing w:val="-4"/>
                <w:sz w:val="24"/>
                <w:szCs w:val="24"/>
                <w:highlight w:val="none"/>
              </w:rPr>
              <w:t>→</w:t>
            </w:r>
            <w:r>
              <w:rPr>
                <w:rFonts w:hint="default" w:ascii="Arial" w:hAnsi="Arial" w:cs="Arial"/>
                <w:color w:val="auto"/>
                <w:spacing w:val="-4"/>
                <w:sz w:val="24"/>
                <w:szCs w:val="24"/>
                <w:highlight w:val="none"/>
              </w:rPr>
              <w:t>完工。</w:t>
            </w:r>
          </w:p>
          <w:p>
            <w:pPr>
              <w:spacing w:before="161" w:line="2099" w:lineRule="exact"/>
              <w:ind w:firstLine="592"/>
              <w:rPr>
                <w:color w:val="auto"/>
                <w:highlight w:val="none"/>
              </w:rPr>
            </w:pPr>
            <w:r>
              <w:rPr>
                <w:color w:val="auto"/>
                <w:position w:val="-41"/>
                <w:highlight w:val="none"/>
              </w:rPr>
              <w:drawing>
                <wp:inline distT="0" distB="0" distL="0" distR="0">
                  <wp:extent cx="4681855" cy="1332230"/>
                  <wp:effectExtent l="0" t="0" r="12065" b="8890"/>
                  <wp:docPr id="16" name="IM 54"/>
                  <wp:cNvGraphicFramePr/>
                  <a:graphic xmlns:a="http://schemas.openxmlformats.org/drawingml/2006/main">
                    <a:graphicData uri="http://schemas.openxmlformats.org/drawingml/2006/picture">
                      <pic:pic xmlns:pic="http://schemas.openxmlformats.org/drawingml/2006/picture">
                        <pic:nvPicPr>
                          <pic:cNvPr id="16" name="IM 54"/>
                          <pic:cNvPicPr/>
                        </pic:nvPicPr>
                        <pic:blipFill>
                          <a:blip r:embed="rId13"/>
                          <a:stretch>
                            <a:fillRect/>
                          </a:stretch>
                        </pic:blipFill>
                        <pic:spPr>
                          <a:xfrm>
                            <a:off x="0" y="0"/>
                            <a:ext cx="4682326" cy="1332737"/>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3</w:t>
            </w:r>
            <w:r>
              <w:rPr>
                <w:b/>
                <w:bCs/>
                <w:color w:val="auto"/>
                <w:spacing w:val="0"/>
                <w:sz w:val="21"/>
                <w:szCs w:val="21"/>
                <w:highlight w:val="none"/>
              </w:rPr>
              <w:t xml:space="preserve">   施工期导流隧洞施工工艺流程及产污环节图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Arial" w:hAnsi="Arial"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⑴ </w:t>
            </w:r>
            <w:r>
              <w:rPr>
                <w:rFonts w:hint="default" w:ascii="Arial" w:hAnsi="Arial" w:cs="Arial"/>
                <w:b/>
                <w:bCs/>
                <w:color w:val="auto"/>
                <w:spacing w:val="-3"/>
                <w:sz w:val="24"/>
                <w:szCs w:val="24"/>
                <w:highlight w:val="none"/>
              </w:rPr>
              <w:t>进、出口明渠段土石方开挖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color w:val="auto"/>
                <w:spacing w:val="0"/>
                <w:sz w:val="24"/>
                <w:szCs w:val="24"/>
                <w:highlight w:val="none"/>
                <w:lang w:eastAsia="zh-CN"/>
              </w:rPr>
            </w:pPr>
            <w:r>
              <w:rPr>
                <w:rFonts w:hint="default" w:ascii="Arial" w:hAnsi="Arial" w:cs="Arial"/>
                <w:color w:val="auto"/>
                <w:spacing w:val="0"/>
                <w:sz w:val="24"/>
                <w:szCs w:val="24"/>
                <w:highlight w:val="none"/>
              </w:rPr>
              <w:t>导流隧洞进、出口覆盖层及土方</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自卸汽车运输至弃渣场堆放，综合运距</w:t>
            </w:r>
            <w:r>
              <w:rPr>
                <w:rFonts w:hint="default" w:ascii="Arial" w:hAnsi="Arial" w:eastAsia="Times New Roman" w:cs="Arial"/>
                <w:color w:val="auto"/>
                <w:spacing w:val="0"/>
                <w:sz w:val="24"/>
                <w:szCs w:val="24"/>
                <w:highlight w:val="none"/>
              </w:rPr>
              <w:t>4.0km</w:t>
            </w:r>
            <w:r>
              <w:rPr>
                <w:rFonts w:hint="default" w:ascii="Arial" w:hAnsi="Arial" w:cs="Arial"/>
                <w:color w:val="auto"/>
                <w:spacing w:val="0"/>
                <w:sz w:val="24"/>
                <w:szCs w:val="24"/>
                <w:highlight w:val="none"/>
              </w:rPr>
              <w:t>；石方手风钻钻孔，</w:t>
            </w:r>
            <w:r>
              <w:rPr>
                <w:rFonts w:hint="default" w:ascii="Arial" w:hAnsi="Arial" w:eastAsia="Times New Roman" w:cs="Arial"/>
                <w:color w:val="auto"/>
                <w:spacing w:val="0"/>
                <w:sz w:val="24"/>
                <w:szCs w:val="24"/>
                <w:highlight w:val="none"/>
              </w:rPr>
              <w:t>10m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卧式空压机供风，电雷管浅孔松动爆破，人工撬挖松渣，</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自卸汽车运输</w:t>
            </w:r>
            <w:r>
              <w:rPr>
                <w:rFonts w:hint="default" w:ascii="Arial" w:hAnsi="Arial" w:eastAsia="Times New Roman" w:cs="Arial"/>
                <w:color w:val="auto"/>
                <w:spacing w:val="0"/>
                <w:sz w:val="24"/>
                <w:szCs w:val="24"/>
                <w:highlight w:val="none"/>
              </w:rPr>
              <w:t>400m</w:t>
            </w:r>
            <w:r>
              <w:rPr>
                <w:rFonts w:hint="default" w:ascii="Arial" w:hAnsi="Arial" w:cs="Arial"/>
                <w:color w:val="auto"/>
                <w:spacing w:val="0"/>
                <w:sz w:val="24"/>
                <w:szCs w:val="24"/>
                <w:highlight w:val="none"/>
              </w:rPr>
              <w:t>至枢纽临时堆渣场，后期采用</w:t>
            </w:r>
            <w:r>
              <w:rPr>
                <w:rFonts w:hint="default" w:ascii="Arial" w:hAnsi="Arial" w:eastAsia="Times New Roman" w:cs="Arial"/>
                <w:color w:val="auto"/>
                <w:spacing w:val="0"/>
                <w:sz w:val="24"/>
                <w:szCs w:val="24"/>
                <w:highlight w:val="none"/>
              </w:rPr>
              <w:t>1.6m</w:t>
            </w:r>
            <w:r>
              <w:rPr>
                <w:rFonts w:hint="eastAsia" w:ascii="Arial" w:hAnsi="Arial" w:cs="Arial"/>
                <w:color w:val="auto"/>
                <w:spacing w:val="0"/>
                <w:sz w:val="24"/>
                <w:szCs w:val="24"/>
                <w:highlight w:val="none"/>
                <w:vertAlign w:val="superscript"/>
                <w:lang w:val="en-US" w:eastAsia="zh-CN"/>
              </w:rPr>
              <w:t>3</w:t>
            </w:r>
            <w:r>
              <w:rPr>
                <w:rFonts w:hint="default" w:ascii="Arial" w:hAnsi="Arial" w:cs="Arial"/>
                <w:color w:val="auto"/>
                <w:spacing w:val="0"/>
                <w:sz w:val="24"/>
                <w:szCs w:val="24"/>
                <w:highlight w:val="none"/>
              </w:rPr>
              <w:t>挖掘机挖装</w:t>
            </w:r>
            <w:r>
              <w:rPr>
                <w:rFonts w:hint="default" w:ascii="Arial" w:hAnsi="Arial" w:eastAsia="Times New Roman" w:cs="Arial"/>
                <w:color w:val="auto"/>
                <w:spacing w:val="0"/>
                <w:sz w:val="24"/>
                <w:szCs w:val="24"/>
                <w:highlight w:val="none"/>
              </w:rPr>
              <w:t>10~15</w:t>
            </w:r>
            <w:r>
              <w:rPr>
                <w:rFonts w:hint="eastAsia" w:ascii="Arial" w:hAnsi="Arial" w:cs="Arial"/>
                <w:color w:val="auto"/>
                <w:spacing w:val="0"/>
                <w:sz w:val="24"/>
                <w:szCs w:val="24"/>
                <w:highlight w:val="none"/>
                <w:lang w:val="en-US" w:eastAsia="zh-CN"/>
              </w:rPr>
              <w:t>t</w:t>
            </w:r>
            <w:r>
              <w:rPr>
                <w:rFonts w:hint="default" w:ascii="Arial" w:hAnsi="Arial" w:cs="Arial"/>
                <w:color w:val="auto"/>
                <w:spacing w:val="0"/>
                <w:sz w:val="24"/>
                <w:szCs w:val="24"/>
                <w:highlight w:val="none"/>
              </w:rPr>
              <w:t>自卸汽车转运</w:t>
            </w:r>
            <w:r>
              <w:rPr>
                <w:rFonts w:hint="default" w:ascii="Arial" w:hAnsi="Arial" w:eastAsia="Times New Roman" w:cs="Arial"/>
                <w:color w:val="auto"/>
                <w:spacing w:val="0"/>
                <w:sz w:val="24"/>
                <w:szCs w:val="24"/>
                <w:highlight w:val="none"/>
              </w:rPr>
              <w:t>3.0km</w:t>
            </w:r>
            <w:r>
              <w:rPr>
                <w:rFonts w:hint="default" w:ascii="Arial" w:hAnsi="Arial" w:cs="Arial"/>
                <w:color w:val="auto"/>
                <w:spacing w:val="0"/>
                <w:sz w:val="24"/>
                <w:szCs w:val="24"/>
                <w:highlight w:val="none"/>
              </w:rPr>
              <w:t>至坝后堆放</w:t>
            </w:r>
            <w:r>
              <w:rPr>
                <w:rFonts w:hint="eastAsia" w:ascii="Arial" w:hAnsi="Arial" w:cs="Arial"/>
                <w:color w:val="auto"/>
                <w:spacing w:val="0"/>
                <w:sz w:val="24"/>
                <w:szCs w:val="24"/>
                <w:highlight w:val="none"/>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为施工</w:t>
            </w:r>
            <w:r>
              <w:rPr>
                <w:rFonts w:hint="default" w:ascii="Arial" w:hAnsi="Arial" w:cs="Arial"/>
                <w:i/>
                <w:iCs/>
                <w:color w:val="auto"/>
                <w:spacing w:val="-1"/>
                <w:sz w:val="24"/>
                <w:szCs w:val="24"/>
                <w:highlight w:val="none"/>
              </w:rPr>
              <w:t>扬尘、机械废气、噪声、植被破坏、水土流失等。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⑵ </w:t>
            </w:r>
            <w:r>
              <w:rPr>
                <w:rFonts w:hint="default" w:ascii="Arial" w:hAnsi="Arial" w:cs="Arial"/>
                <w:b/>
                <w:bCs/>
                <w:color w:val="auto"/>
                <w:spacing w:val="-5"/>
                <w:sz w:val="24"/>
                <w:szCs w:val="24"/>
                <w:highlight w:val="none"/>
              </w:rPr>
              <w:t>锚杆施工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2"/>
                <w:sz w:val="24"/>
                <w:szCs w:val="24"/>
                <w:highlight w:val="none"/>
              </w:rPr>
            </w:pPr>
            <w:r>
              <w:rPr>
                <w:rFonts w:hint="default" w:ascii="Arial" w:hAnsi="Arial" w:cs="Arial"/>
                <w:color w:val="auto"/>
                <w:sz w:val="24"/>
                <w:szCs w:val="24"/>
                <w:highlight w:val="none"/>
              </w:rPr>
              <w:t>进、出口边坡锚杆采用</w:t>
            </w:r>
            <w:r>
              <w:rPr>
                <w:rFonts w:hint="default" w:ascii="Arial" w:hAnsi="Arial" w:eastAsia="Times New Roman" w:cs="Arial"/>
                <w:color w:val="auto"/>
                <w:sz w:val="24"/>
                <w:szCs w:val="24"/>
                <w:highlight w:val="none"/>
              </w:rPr>
              <w:t>Φ25Ⅲ</w:t>
            </w:r>
            <w:r>
              <w:rPr>
                <w:rFonts w:hint="default" w:ascii="Arial" w:hAnsi="Arial" w:cs="Arial"/>
                <w:color w:val="auto"/>
                <w:sz w:val="24"/>
                <w:szCs w:val="24"/>
                <w:highlight w:val="none"/>
              </w:rPr>
              <w:t>级螺纹钢筋，长</w:t>
            </w:r>
            <w:r>
              <w:rPr>
                <w:rFonts w:hint="default" w:ascii="Arial" w:hAnsi="Arial" w:cs="Arial"/>
                <w:color w:val="auto"/>
                <w:spacing w:val="-1"/>
                <w:sz w:val="24"/>
                <w:szCs w:val="24"/>
                <w:highlight w:val="none"/>
              </w:rPr>
              <w:t>度</w:t>
            </w:r>
            <w:r>
              <w:rPr>
                <w:rFonts w:hint="default" w:ascii="Arial" w:hAnsi="Arial" w:cs="Arial"/>
                <w:color w:val="auto"/>
                <w:spacing w:val="-56"/>
                <w:sz w:val="24"/>
                <w:szCs w:val="24"/>
                <w:highlight w:val="none"/>
              </w:rPr>
              <w:t xml:space="preserve"> </w:t>
            </w:r>
            <w:r>
              <w:rPr>
                <w:rFonts w:hint="default" w:ascii="Arial" w:hAnsi="Arial" w:eastAsia="Times New Roman" w:cs="Arial"/>
                <w:color w:val="auto"/>
                <w:spacing w:val="-1"/>
                <w:sz w:val="24"/>
                <w:szCs w:val="24"/>
                <w:highlight w:val="none"/>
              </w:rPr>
              <w:t>4.5m</w:t>
            </w:r>
            <w:r>
              <w:rPr>
                <w:rFonts w:hint="default" w:ascii="Arial" w:hAnsi="Arial" w:cs="Arial"/>
                <w:color w:val="auto"/>
                <w:spacing w:val="-1"/>
                <w:sz w:val="24"/>
                <w:szCs w:val="24"/>
                <w:highlight w:val="none"/>
              </w:rPr>
              <w:t>，水泥砂浆标号</w:t>
            </w:r>
            <w:r>
              <w:rPr>
                <w:rFonts w:hint="default" w:ascii="Arial" w:hAnsi="Arial" w:eastAsia="Times New Roman" w:cs="Arial"/>
                <w:color w:val="auto"/>
                <w:spacing w:val="-1"/>
                <w:sz w:val="24"/>
                <w:szCs w:val="24"/>
                <w:highlight w:val="none"/>
              </w:rPr>
              <w:t>M20</w:t>
            </w:r>
            <w:r>
              <w:rPr>
                <w:rFonts w:hint="default" w:ascii="Arial" w:hAnsi="Arial" w:cs="Arial"/>
                <w:color w:val="auto"/>
                <w:spacing w:val="-1"/>
                <w:sz w:val="24"/>
                <w:szCs w:val="24"/>
                <w:highlight w:val="none"/>
              </w:rPr>
              <w:t>；锚杆气腿式手风钻钻孔，孔轴线垂直于开挖面，局部加固锚杆的孔轴方向尽可能</w:t>
            </w:r>
            <w:r>
              <w:rPr>
                <w:rFonts w:hint="default" w:ascii="Arial" w:hAnsi="Arial" w:cs="Arial"/>
                <w:color w:val="auto"/>
                <w:spacing w:val="1"/>
                <w:sz w:val="24"/>
                <w:szCs w:val="24"/>
                <w:highlight w:val="none"/>
              </w:rPr>
              <w:t>滑动面的倾向相反，其与滑动面的交角大于</w:t>
            </w:r>
            <w:r>
              <w:rPr>
                <w:rFonts w:hint="default" w:ascii="Arial" w:hAnsi="Arial" w:cs="Arial"/>
                <w:color w:val="auto"/>
                <w:spacing w:val="-54"/>
                <w:sz w:val="24"/>
                <w:szCs w:val="24"/>
                <w:highlight w:val="none"/>
              </w:rPr>
              <w:t xml:space="preserve"> </w:t>
            </w:r>
            <w:r>
              <w:rPr>
                <w:rFonts w:hint="default" w:ascii="Arial" w:hAnsi="Arial" w:eastAsia="Times New Roman" w:cs="Arial"/>
                <w:color w:val="auto"/>
                <w:spacing w:val="1"/>
                <w:sz w:val="24"/>
                <w:szCs w:val="24"/>
                <w:highlight w:val="none"/>
              </w:rPr>
              <w:t>45°</w:t>
            </w:r>
            <w:r>
              <w:rPr>
                <w:rFonts w:hint="default" w:ascii="Arial" w:hAnsi="Arial" w:cs="Arial"/>
                <w:color w:val="auto"/>
                <w:spacing w:val="1"/>
                <w:sz w:val="24"/>
                <w:szCs w:val="24"/>
                <w:highlight w:val="none"/>
              </w:rPr>
              <w:t>。锚杆</w:t>
            </w:r>
            <w:r>
              <w:rPr>
                <w:rFonts w:hint="default" w:ascii="Arial" w:hAnsi="Arial" w:cs="Arial"/>
                <w:color w:val="auto"/>
                <w:sz w:val="24"/>
                <w:szCs w:val="24"/>
                <w:highlight w:val="none"/>
              </w:rPr>
              <w:t>施工的工艺流程为：测量</w:t>
            </w:r>
            <w:r>
              <w:rPr>
                <w:rFonts w:hint="default" w:ascii="Arial" w:hAnsi="Arial" w:cs="Arial"/>
                <w:color w:val="auto"/>
                <w:spacing w:val="-1"/>
                <w:sz w:val="24"/>
                <w:szCs w:val="24"/>
                <w:highlight w:val="none"/>
              </w:rPr>
              <w:t>定位</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造孔</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清除锚孔粉尘（高压风）</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拌和砂浆</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注浆</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安装锚杆</w:t>
            </w:r>
            <w:r>
              <w:rPr>
                <w:rFonts w:hint="default" w:ascii="Arial" w:hAnsi="Arial" w:eastAsia="Times New Roman" w:cs="Arial"/>
                <w:color w:val="auto"/>
                <w:spacing w:val="-1"/>
                <w:sz w:val="24"/>
                <w:szCs w:val="24"/>
                <w:highlight w:val="none"/>
              </w:rPr>
              <w:t>→</w:t>
            </w:r>
            <w:r>
              <w:rPr>
                <w:rFonts w:hint="default" w:ascii="Arial" w:hAnsi="Arial" w:cs="Arial"/>
                <w:color w:val="auto"/>
                <w:spacing w:val="-1"/>
                <w:sz w:val="24"/>
                <w:szCs w:val="24"/>
                <w:highlight w:val="none"/>
              </w:rPr>
              <w:t>检测。钢</w:t>
            </w:r>
            <w:r>
              <w:rPr>
                <w:rFonts w:hint="default" w:ascii="Arial" w:hAnsi="Arial" w:cs="Arial"/>
                <w:color w:val="auto"/>
                <w:spacing w:val="-3"/>
                <w:sz w:val="24"/>
                <w:szCs w:val="24"/>
                <w:highlight w:val="none"/>
              </w:rPr>
              <w:t>筋网在锚杆作业之后实施，采用直径</w:t>
            </w:r>
            <w:r>
              <w:rPr>
                <w:rFonts w:hint="default" w:ascii="Arial" w:hAnsi="Arial" w:cs="Arial"/>
                <w:color w:val="auto"/>
                <w:spacing w:val="-36"/>
                <w:sz w:val="24"/>
                <w:szCs w:val="24"/>
                <w:highlight w:val="none"/>
              </w:rPr>
              <w:t xml:space="preserve"> </w:t>
            </w:r>
            <w:r>
              <w:rPr>
                <w:rFonts w:hint="default" w:ascii="Arial" w:hAnsi="Arial" w:eastAsia="Times New Roman" w:cs="Arial"/>
                <w:color w:val="auto"/>
                <w:spacing w:val="-3"/>
                <w:sz w:val="24"/>
                <w:szCs w:val="24"/>
                <w:highlight w:val="none"/>
              </w:rPr>
              <w:t>6.5mm</w:t>
            </w:r>
            <w:r>
              <w:rPr>
                <w:rFonts w:hint="default" w:ascii="Arial" w:hAnsi="Arial" w:cs="Arial"/>
                <w:color w:val="auto"/>
                <w:spacing w:val="-3"/>
                <w:sz w:val="24"/>
                <w:szCs w:val="24"/>
                <w:highlight w:val="none"/>
              </w:rPr>
              <w:t>钢筋绑扎或焊接编织。混凝土强制式搅拌机拌制，</w:t>
            </w:r>
            <w:r>
              <w:rPr>
                <w:rFonts w:hint="default" w:ascii="Arial" w:hAnsi="Arial" w:eastAsia="Times New Roman" w:cs="Arial"/>
                <w:color w:val="auto"/>
                <w:spacing w:val="-3"/>
                <w:sz w:val="24"/>
                <w:szCs w:val="24"/>
                <w:highlight w:val="none"/>
              </w:rPr>
              <w:t>5~8t</w:t>
            </w:r>
            <w:r>
              <w:rPr>
                <w:rFonts w:hint="default" w:ascii="Arial" w:hAnsi="Arial" w:cs="Arial"/>
                <w:color w:val="auto"/>
                <w:spacing w:val="-3"/>
                <w:sz w:val="24"/>
                <w:szCs w:val="24"/>
                <w:highlight w:val="none"/>
              </w:rPr>
              <w:t>自卸汽车运输</w:t>
            </w:r>
            <w:r>
              <w:rPr>
                <w:rFonts w:hint="default" w:ascii="Arial" w:hAnsi="Arial" w:eastAsia="Times New Roman" w:cs="Arial"/>
                <w:color w:val="auto"/>
                <w:spacing w:val="-3"/>
                <w:sz w:val="24"/>
                <w:szCs w:val="24"/>
                <w:highlight w:val="none"/>
              </w:rPr>
              <w:t xml:space="preserve">1.0km </w:t>
            </w:r>
            <w:r>
              <w:rPr>
                <w:rFonts w:hint="default" w:ascii="Arial" w:hAnsi="Arial" w:cs="Arial"/>
                <w:color w:val="auto"/>
                <w:spacing w:val="-3"/>
                <w:sz w:val="24"/>
                <w:szCs w:val="24"/>
                <w:highlight w:val="none"/>
              </w:rPr>
              <w:t>至工作面</w:t>
            </w:r>
            <w:r>
              <w:rPr>
                <w:rFonts w:hint="eastAsia" w:ascii="Arial" w:hAnsi="Arial" w:cs="Arial"/>
                <w:color w:val="auto"/>
                <w:spacing w:val="-3"/>
                <w:sz w:val="24"/>
                <w:szCs w:val="24"/>
                <w:highlight w:val="none"/>
                <w:lang w:eastAsia="zh-CN"/>
              </w:rPr>
              <w:t>，</w:t>
            </w:r>
            <w:r>
              <w:rPr>
                <w:rFonts w:hint="default" w:ascii="Arial" w:hAnsi="Arial" w:eastAsia="Times New Roman" w:cs="Arial"/>
                <w:color w:val="auto"/>
                <w:spacing w:val="-3"/>
                <w:sz w:val="24"/>
                <w:szCs w:val="24"/>
                <w:highlight w:val="none"/>
              </w:rPr>
              <w:t>QPJ</w:t>
            </w:r>
            <w:r>
              <w:rPr>
                <w:rFonts w:hint="default" w:ascii="Arial" w:hAnsi="Arial" w:cs="Arial"/>
                <w:color w:val="auto"/>
                <w:spacing w:val="-3"/>
                <w:sz w:val="24"/>
                <w:szCs w:val="24"/>
                <w:highlight w:val="none"/>
              </w:rPr>
              <w:t>型混凝土喷射机分两次喷</w:t>
            </w:r>
            <w:r>
              <w:rPr>
                <w:rFonts w:hint="default" w:ascii="Arial" w:hAnsi="Arial" w:cs="Arial"/>
                <w:color w:val="auto"/>
                <w:spacing w:val="-2"/>
                <w:sz w:val="24"/>
                <w:szCs w:val="24"/>
                <w:highlight w:val="none"/>
              </w:rPr>
              <w:t>射，终凝</w:t>
            </w:r>
            <w:r>
              <w:rPr>
                <w:rFonts w:hint="default" w:ascii="Arial" w:hAnsi="Arial" w:cs="Arial"/>
                <w:color w:val="auto"/>
                <w:spacing w:val="-44"/>
                <w:sz w:val="24"/>
                <w:szCs w:val="24"/>
                <w:highlight w:val="none"/>
              </w:rPr>
              <w:t xml:space="preserve"> </w:t>
            </w:r>
            <w:r>
              <w:rPr>
                <w:rFonts w:hint="default" w:ascii="Arial" w:hAnsi="Arial" w:eastAsia="Times New Roman" w:cs="Arial"/>
                <w:color w:val="auto"/>
                <w:spacing w:val="-2"/>
                <w:sz w:val="24"/>
                <w:szCs w:val="24"/>
                <w:highlight w:val="none"/>
              </w:rPr>
              <w:t>2h</w:t>
            </w:r>
            <w:r>
              <w:rPr>
                <w:rFonts w:hint="default" w:ascii="Arial" w:hAnsi="Arial" w:cs="Arial"/>
                <w:color w:val="auto"/>
                <w:spacing w:val="-2"/>
                <w:sz w:val="24"/>
                <w:szCs w:val="24"/>
                <w:highlight w:val="none"/>
              </w:rPr>
              <w:t>后喷水养护。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为施工</w:t>
            </w:r>
            <w:r>
              <w:rPr>
                <w:rFonts w:hint="default" w:ascii="Arial" w:hAnsi="Arial" w:cs="Arial"/>
                <w:i/>
                <w:iCs/>
                <w:color w:val="auto"/>
                <w:spacing w:val="-1"/>
                <w:sz w:val="24"/>
                <w:szCs w:val="24"/>
                <w:highlight w:val="none"/>
              </w:rPr>
              <w:t>扬尘、机械废气、噪声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⑶ </w:t>
            </w:r>
            <w:r>
              <w:rPr>
                <w:rFonts w:hint="default" w:ascii="Arial" w:hAnsi="Arial" w:cs="Arial"/>
                <w:b/>
                <w:bCs/>
                <w:color w:val="auto"/>
                <w:spacing w:val="-5"/>
                <w:sz w:val="24"/>
                <w:szCs w:val="24"/>
                <w:highlight w:val="none"/>
              </w:rPr>
              <w:t>洞身开挖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w w:val="100"/>
                <w:sz w:val="24"/>
                <w:szCs w:val="24"/>
                <w:highlight w:val="none"/>
              </w:rPr>
            </w:pPr>
            <w:r>
              <w:rPr>
                <w:rFonts w:hint="default" w:ascii="Arial" w:hAnsi="Arial" w:cs="Arial"/>
                <w:color w:val="auto"/>
                <w:spacing w:val="0"/>
                <w:w w:val="100"/>
                <w:sz w:val="24"/>
                <w:szCs w:val="24"/>
                <w:highlight w:val="none"/>
              </w:rPr>
              <w:t>洞挖施工前测放出开挖轮廓线、中心线、高程腰线，并施放出钻孔孔位；</w:t>
            </w:r>
            <w:r>
              <w:rPr>
                <w:rFonts w:hint="default" w:ascii="Arial" w:hAnsi="Arial" w:eastAsia="Times New Roman" w:cs="Arial"/>
                <w:color w:val="auto"/>
                <w:spacing w:val="0"/>
                <w:w w:val="100"/>
                <w:sz w:val="24"/>
                <w:szCs w:val="24"/>
                <w:highlight w:val="none"/>
              </w:rPr>
              <w:t>YT-28</w:t>
            </w:r>
            <w:r>
              <w:rPr>
                <w:rFonts w:hint="default" w:ascii="Arial" w:hAnsi="Arial" w:cs="Arial"/>
                <w:color w:val="auto"/>
                <w:spacing w:val="0"/>
                <w:w w:val="100"/>
                <w:sz w:val="24"/>
                <w:szCs w:val="24"/>
                <w:highlight w:val="none"/>
              </w:rPr>
              <w:t>型气腿风钻钻孔，孔径</w:t>
            </w:r>
            <w:r>
              <w:rPr>
                <w:rFonts w:hint="default" w:ascii="Arial" w:hAnsi="Arial" w:eastAsia="Times New Roman" w:cs="Arial"/>
                <w:color w:val="auto"/>
                <w:spacing w:val="0"/>
                <w:w w:val="100"/>
                <w:sz w:val="24"/>
                <w:szCs w:val="24"/>
                <w:highlight w:val="none"/>
              </w:rPr>
              <w:t>Φ32mm</w:t>
            </w:r>
            <w:r>
              <w:rPr>
                <w:rFonts w:hint="default" w:ascii="Arial" w:hAnsi="Arial" w:cs="Arial"/>
                <w:color w:val="auto"/>
                <w:spacing w:val="0"/>
                <w:w w:val="100"/>
                <w:sz w:val="24"/>
                <w:szCs w:val="24"/>
                <w:highlight w:val="none"/>
              </w:rPr>
              <w:t>，洞口的</w:t>
            </w:r>
            <w:r>
              <w:rPr>
                <w:rFonts w:hint="default" w:ascii="Arial" w:hAnsi="Arial" w:eastAsia="Times New Roman" w:cs="Arial"/>
                <w:color w:val="auto"/>
                <w:spacing w:val="0"/>
                <w:w w:val="100"/>
                <w:sz w:val="24"/>
                <w:szCs w:val="24"/>
                <w:highlight w:val="none"/>
              </w:rPr>
              <w:t>10m</w:t>
            </w:r>
            <w:r>
              <w:rPr>
                <w:rFonts w:hint="eastAsia" w:ascii="Arial" w:hAnsi="Arial" w:cs="Arial"/>
                <w:color w:val="auto"/>
                <w:spacing w:val="0"/>
                <w:w w:val="100"/>
                <w:sz w:val="24"/>
                <w:szCs w:val="24"/>
                <w:highlight w:val="none"/>
                <w:vertAlign w:val="superscript"/>
                <w:lang w:val="en-US" w:eastAsia="zh-CN"/>
              </w:rPr>
              <w:t>3</w:t>
            </w:r>
            <w:r>
              <w:rPr>
                <w:rFonts w:hint="default" w:ascii="Arial" w:hAnsi="Arial" w:cs="Arial"/>
                <w:color w:val="auto"/>
                <w:spacing w:val="0"/>
                <w:w w:val="100"/>
                <w:sz w:val="24"/>
                <w:szCs w:val="24"/>
                <w:highlight w:val="none"/>
              </w:rPr>
              <w:t>移动空压机供风；</w:t>
            </w:r>
            <w:r>
              <w:rPr>
                <w:rFonts w:hint="default" w:ascii="Arial" w:hAnsi="Arial" w:eastAsia="Times New Roman" w:cs="Arial"/>
                <w:color w:val="auto"/>
                <w:spacing w:val="0"/>
                <w:w w:val="100"/>
                <w:sz w:val="24"/>
                <w:szCs w:val="24"/>
                <w:highlight w:val="none"/>
              </w:rPr>
              <w:t>Ⅲ</w:t>
            </w:r>
            <w:r>
              <w:rPr>
                <w:rFonts w:hint="default" w:ascii="Arial" w:hAnsi="Arial" w:cs="Arial"/>
                <w:color w:val="auto"/>
                <w:spacing w:val="0"/>
                <w:w w:val="100"/>
                <w:sz w:val="24"/>
                <w:szCs w:val="24"/>
                <w:highlight w:val="none"/>
              </w:rPr>
              <w:t>类围岩每循环钻孔深度</w:t>
            </w:r>
            <w:r>
              <w:rPr>
                <w:rFonts w:hint="default" w:ascii="Arial" w:hAnsi="Arial" w:eastAsia="Times New Roman" w:cs="Arial"/>
                <w:color w:val="auto"/>
                <w:spacing w:val="0"/>
                <w:w w:val="100"/>
                <w:sz w:val="24"/>
                <w:szCs w:val="24"/>
                <w:highlight w:val="none"/>
              </w:rPr>
              <w:t>3.0~3.3m</w:t>
            </w:r>
            <w:r>
              <w:rPr>
                <w:rFonts w:hint="default" w:ascii="Arial" w:hAnsi="Arial" w:cs="Arial"/>
                <w:color w:val="auto"/>
                <w:spacing w:val="0"/>
                <w:w w:val="100"/>
                <w:sz w:val="24"/>
                <w:szCs w:val="24"/>
                <w:highlight w:val="none"/>
              </w:rPr>
              <w:t>，进尺</w:t>
            </w:r>
            <w:r>
              <w:rPr>
                <w:rFonts w:hint="default" w:ascii="Arial" w:hAnsi="Arial" w:eastAsia="Times New Roman" w:cs="Arial"/>
                <w:color w:val="auto"/>
                <w:spacing w:val="0"/>
                <w:w w:val="100"/>
                <w:sz w:val="24"/>
                <w:szCs w:val="24"/>
                <w:highlight w:val="none"/>
              </w:rPr>
              <w:t>2.0~2.5m</w:t>
            </w:r>
            <w:r>
              <w:rPr>
                <w:rFonts w:hint="default" w:ascii="Arial" w:hAnsi="Arial" w:cs="Arial"/>
                <w:color w:val="auto"/>
                <w:spacing w:val="0"/>
                <w:w w:val="100"/>
                <w:sz w:val="24"/>
                <w:szCs w:val="24"/>
                <w:highlight w:val="none"/>
              </w:rPr>
              <w:t>；</w:t>
            </w:r>
            <w:r>
              <w:rPr>
                <w:rFonts w:hint="default" w:ascii="Arial" w:hAnsi="Arial" w:eastAsia="Times New Roman" w:cs="Arial"/>
                <w:color w:val="auto"/>
                <w:spacing w:val="0"/>
                <w:w w:val="100"/>
                <w:sz w:val="24"/>
                <w:szCs w:val="24"/>
                <w:highlight w:val="none"/>
              </w:rPr>
              <w:t>Ⅳ</w:t>
            </w:r>
            <w:r>
              <w:rPr>
                <w:rFonts w:hint="default" w:ascii="Arial" w:hAnsi="Arial" w:cs="Arial"/>
                <w:color w:val="auto"/>
                <w:spacing w:val="0"/>
                <w:w w:val="100"/>
                <w:sz w:val="24"/>
                <w:szCs w:val="24"/>
                <w:highlight w:val="none"/>
              </w:rPr>
              <w:t>类围岩每循环钻孔深度</w:t>
            </w:r>
            <w:r>
              <w:rPr>
                <w:rFonts w:hint="default" w:ascii="Arial" w:hAnsi="Arial" w:eastAsia="Times New Roman" w:cs="Arial"/>
                <w:color w:val="auto"/>
                <w:spacing w:val="0"/>
                <w:w w:val="100"/>
                <w:sz w:val="24"/>
                <w:szCs w:val="24"/>
                <w:highlight w:val="none"/>
              </w:rPr>
              <w:t>2.0~2.5m</w:t>
            </w:r>
            <w:r>
              <w:rPr>
                <w:rFonts w:hint="default" w:ascii="Arial" w:hAnsi="Arial" w:cs="Arial"/>
                <w:color w:val="auto"/>
                <w:spacing w:val="0"/>
                <w:w w:val="100"/>
                <w:sz w:val="24"/>
                <w:szCs w:val="24"/>
                <w:highlight w:val="none"/>
              </w:rPr>
              <w:t>，进尺</w:t>
            </w:r>
            <w:r>
              <w:rPr>
                <w:rFonts w:hint="default" w:ascii="Arial" w:hAnsi="Arial" w:eastAsia="Times New Roman" w:cs="Arial"/>
                <w:color w:val="auto"/>
                <w:spacing w:val="0"/>
                <w:w w:val="100"/>
                <w:sz w:val="24"/>
                <w:szCs w:val="24"/>
                <w:highlight w:val="none"/>
              </w:rPr>
              <w:t>1.5~2.0m</w:t>
            </w:r>
            <w:r>
              <w:rPr>
                <w:rFonts w:hint="default" w:ascii="Arial" w:hAnsi="Arial" w:cs="Arial"/>
                <w:color w:val="auto"/>
                <w:spacing w:val="0"/>
                <w:w w:val="100"/>
                <w:sz w:val="24"/>
                <w:szCs w:val="24"/>
                <w:highlight w:val="none"/>
              </w:rPr>
              <w:t>；</w:t>
            </w:r>
            <w:r>
              <w:rPr>
                <w:rFonts w:hint="default" w:ascii="Arial" w:hAnsi="Arial" w:eastAsia="Times New Roman" w:cs="Arial"/>
                <w:color w:val="auto"/>
                <w:spacing w:val="0"/>
                <w:w w:val="100"/>
                <w:sz w:val="24"/>
                <w:szCs w:val="24"/>
                <w:highlight w:val="none"/>
              </w:rPr>
              <w:t>V</w:t>
            </w:r>
            <w:r>
              <w:rPr>
                <w:rFonts w:hint="default" w:ascii="Arial" w:hAnsi="Arial" w:cs="Arial"/>
                <w:color w:val="auto"/>
                <w:spacing w:val="0"/>
                <w:w w:val="100"/>
                <w:sz w:val="24"/>
                <w:szCs w:val="24"/>
                <w:highlight w:val="none"/>
              </w:rPr>
              <w:t>类围岩每循环钻孔深度</w:t>
            </w:r>
            <w:r>
              <w:rPr>
                <w:rFonts w:hint="default" w:ascii="Arial" w:hAnsi="Arial" w:eastAsia="Times New Roman" w:cs="Arial"/>
                <w:color w:val="auto"/>
                <w:spacing w:val="0"/>
                <w:w w:val="100"/>
                <w:sz w:val="24"/>
                <w:szCs w:val="24"/>
                <w:highlight w:val="none"/>
              </w:rPr>
              <w:t>1.5m</w:t>
            </w:r>
            <w:r>
              <w:rPr>
                <w:rFonts w:hint="default" w:ascii="Arial" w:hAnsi="Arial" w:cs="Arial"/>
                <w:color w:val="auto"/>
                <w:spacing w:val="0"/>
                <w:w w:val="100"/>
                <w:sz w:val="24"/>
                <w:szCs w:val="24"/>
                <w:highlight w:val="none"/>
              </w:rPr>
              <w:t>，进尺</w:t>
            </w:r>
            <w:r>
              <w:rPr>
                <w:rFonts w:hint="default" w:ascii="Arial" w:hAnsi="Arial" w:eastAsia="Times New Roman" w:cs="Arial"/>
                <w:color w:val="auto"/>
                <w:spacing w:val="0"/>
                <w:w w:val="100"/>
                <w:sz w:val="24"/>
                <w:szCs w:val="24"/>
                <w:highlight w:val="none"/>
              </w:rPr>
              <w:t>1.2m</w:t>
            </w:r>
            <w:r>
              <w:rPr>
                <w:rFonts w:hint="default" w:ascii="Arial" w:hAnsi="Arial" w:cs="Arial"/>
                <w:color w:val="auto"/>
                <w:spacing w:val="0"/>
                <w:w w:val="100"/>
                <w:sz w:val="24"/>
                <w:szCs w:val="24"/>
                <w:highlight w:val="none"/>
              </w:rPr>
              <w:t>；人工装乳化炸药及铵梯油炸药，非电塑料导爆管微差爆破，遇水洞段使用乳化炸药。每茬炮爆破后，立即通风排烟</w:t>
            </w:r>
            <w:r>
              <w:rPr>
                <w:rFonts w:hint="default" w:ascii="Arial" w:hAnsi="Arial" w:eastAsia="Times New Roman" w:cs="Arial"/>
                <w:color w:val="auto"/>
                <w:spacing w:val="0"/>
                <w:w w:val="100"/>
                <w:sz w:val="24"/>
                <w:szCs w:val="24"/>
                <w:highlight w:val="none"/>
              </w:rPr>
              <w:t>30min</w:t>
            </w:r>
            <w:r>
              <w:rPr>
                <w:rFonts w:hint="default" w:ascii="Arial" w:hAnsi="Arial" w:cs="Arial"/>
                <w:color w:val="auto"/>
                <w:spacing w:val="0"/>
                <w:w w:val="100"/>
                <w:sz w:val="24"/>
                <w:szCs w:val="24"/>
                <w:highlight w:val="none"/>
              </w:rPr>
              <w:t>，通风排烟后，恢复并加强掌子面的照明，清撬开挖面上残留的松动岩块后，</w:t>
            </w:r>
            <w:r>
              <w:rPr>
                <w:rFonts w:hint="default" w:ascii="Arial" w:hAnsi="Arial" w:eastAsia="Times New Roman" w:cs="Arial"/>
                <w:color w:val="auto"/>
                <w:spacing w:val="0"/>
                <w:w w:val="100"/>
                <w:sz w:val="24"/>
                <w:szCs w:val="24"/>
                <w:highlight w:val="none"/>
              </w:rPr>
              <w:t>1.0m</w:t>
            </w:r>
            <w:r>
              <w:rPr>
                <w:rFonts w:hint="eastAsia" w:ascii="Arial" w:hAnsi="Arial" w:cs="Arial"/>
                <w:color w:val="auto"/>
                <w:spacing w:val="0"/>
                <w:w w:val="100"/>
                <w:sz w:val="24"/>
                <w:szCs w:val="24"/>
                <w:highlight w:val="none"/>
                <w:vertAlign w:val="superscript"/>
                <w:lang w:val="en-US" w:eastAsia="zh-CN"/>
              </w:rPr>
              <w:t>3</w:t>
            </w:r>
            <w:r>
              <w:rPr>
                <w:rFonts w:hint="default" w:ascii="Arial" w:hAnsi="Arial" w:cs="Arial"/>
                <w:color w:val="auto"/>
                <w:spacing w:val="0"/>
                <w:w w:val="100"/>
                <w:sz w:val="24"/>
                <w:szCs w:val="24"/>
                <w:highlight w:val="none"/>
              </w:rPr>
              <w:t>装载机装</w:t>
            </w:r>
            <w:r>
              <w:rPr>
                <w:rFonts w:hint="default" w:ascii="Arial" w:hAnsi="Arial" w:eastAsia="Times New Roman" w:cs="Arial"/>
                <w:color w:val="auto"/>
                <w:spacing w:val="0"/>
                <w:w w:val="100"/>
                <w:sz w:val="24"/>
                <w:szCs w:val="24"/>
                <w:highlight w:val="none"/>
              </w:rPr>
              <w:t>8~10t</w:t>
            </w:r>
            <w:r>
              <w:rPr>
                <w:rFonts w:hint="default" w:ascii="Arial" w:hAnsi="Arial" w:cs="Arial"/>
                <w:color w:val="auto"/>
                <w:spacing w:val="0"/>
                <w:w w:val="100"/>
                <w:sz w:val="24"/>
                <w:szCs w:val="24"/>
                <w:highlight w:val="none"/>
              </w:rPr>
              <w:t>自卸式汽车运输弃渣至枢纽临时堆料堆放，洞内综合运距</w:t>
            </w:r>
            <w:r>
              <w:rPr>
                <w:rFonts w:hint="default" w:ascii="Arial" w:hAnsi="Arial" w:eastAsia="Times New Roman" w:cs="Arial"/>
                <w:color w:val="auto"/>
                <w:spacing w:val="0"/>
                <w:w w:val="100"/>
                <w:sz w:val="24"/>
                <w:szCs w:val="24"/>
                <w:highlight w:val="none"/>
              </w:rPr>
              <w:t>100m</w:t>
            </w:r>
            <w:r>
              <w:rPr>
                <w:rFonts w:hint="default" w:ascii="Arial" w:hAnsi="Arial" w:cs="Arial"/>
                <w:color w:val="auto"/>
                <w:spacing w:val="0"/>
                <w:w w:val="100"/>
                <w:sz w:val="24"/>
                <w:szCs w:val="24"/>
                <w:highlight w:val="none"/>
              </w:rPr>
              <w:t>，洞外综合运距</w:t>
            </w:r>
            <w:r>
              <w:rPr>
                <w:rFonts w:hint="default" w:ascii="Arial" w:hAnsi="Arial" w:eastAsia="Times New Roman" w:cs="Arial"/>
                <w:color w:val="auto"/>
                <w:spacing w:val="0"/>
                <w:w w:val="100"/>
                <w:sz w:val="24"/>
                <w:szCs w:val="24"/>
                <w:highlight w:val="none"/>
              </w:rPr>
              <w:t>300m</w:t>
            </w:r>
            <w:r>
              <w:rPr>
                <w:rFonts w:hint="default" w:ascii="Arial" w:hAnsi="Arial" w:cs="Arial"/>
                <w:color w:val="auto"/>
                <w:spacing w:val="0"/>
                <w:w w:val="100"/>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扬尘、机械废气、噪声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⑷ </w:t>
            </w:r>
            <w:r>
              <w:rPr>
                <w:rFonts w:hint="default" w:ascii="Arial" w:hAnsi="Arial" w:cs="Arial"/>
                <w:b/>
                <w:bCs/>
                <w:color w:val="auto"/>
                <w:spacing w:val="-5"/>
                <w:sz w:val="24"/>
                <w:szCs w:val="24"/>
                <w:highlight w:val="none"/>
              </w:rPr>
              <w:t>洞身</w:t>
            </w:r>
            <w:r>
              <w:rPr>
                <w:rFonts w:hint="default" w:ascii="Arial" w:hAnsi="Arial" w:cs="Arial"/>
                <w:color w:val="auto"/>
                <w:spacing w:val="-46"/>
                <w:sz w:val="24"/>
                <w:szCs w:val="24"/>
                <w:highlight w:val="none"/>
              </w:rPr>
              <w:t xml:space="preserve"> </w:t>
            </w:r>
            <w:r>
              <w:rPr>
                <w:rFonts w:hint="default" w:ascii="Arial" w:hAnsi="Arial" w:eastAsia="Times New Roman" w:cs="Arial"/>
                <w:b/>
                <w:bCs/>
                <w:color w:val="auto"/>
                <w:spacing w:val="-5"/>
                <w:sz w:val="24"/>
                <w:szCs w:val="24"/>
                <w:highlight w:val="none"/>
              </w:rPr>
              <w:t>C25</w:t>
            </w:r>
            <w:r>
              <w:rPr>
                <w:rFonts w:hint="default" w:ascii="Arial" w:hAnsi="Arial" w:cs="Arial"/>
                <w:b/>
                <w:bCs/>
                <w:color w:val="auto"/>
                <w:spacing w:val="-5"/>
                <w:sz w:val="24"/>
                <w:szCs w:val="24"/>
                <w:highlight w:val="none"/>
              </w:rPr>
              <w:t>混凝土衬砌</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hint="default" w:ascii="Arial" w:hAnsi="Arial" w:cs="Arial"/>
                <w:color w:val="auto"/>
                <w:sz w:val="24"/>
                <w:szCs w:val="24"/>
                <w:highlight w:val="none"/>
              </w:rPr>
            </w:pPr>
            <w:r>
              <w:rPr>
                <w:rFonts w:hint="default" w:ascii="Arial" w:hAnsi="Arial" w:cs="Arial"/>
                <w:color w:val="auto"/>
                <w:spacing w:val="-4"/>
                <w:sz w:val="24"/>
                <w:szCs w:val="24"/>
                <w:highlight w:val="none"/>
              </w:rPr>
              <w:t>导流隧洞于第一年</w:t>
            </w:r>
            <w:r>
              <w:rPr>
                <w:rFonts w:hint="default" w:ascii="Arial" w:hAnsi="Arial" w:cs="Arial"/>
                <w:color w:val="auto"/>
                <w:spacing w:val="-48"/>
                <w:sz w:val="24"/>
                <w:szCs w:val="24"/>
                <w:highlight w:val="none"/>
              </w:rPr>
              <w:t xml:space="preserve"> </w:t>
            </w:r>
            <w:r>
              <w:rPr>
                <w:rFonts w:hint="default" w:ascii="Arial" w:hAnsi="Arial" w:eastAsia="Times New Roman" w:cs="Arial"/>
                <w:color w:val="auto"/>
                <w:spacing w:val="-4"/>
                <w:sz w:val="24"/>
                <w:szCs w:val="24"/>
                <w:highlight w:val="none"/>
              </w:rPr>
              <w:t>9</w:t>
            </w:r>
            <w:r>
              <w:rPr>
                <w:rFonts w:hint="default" w:ascii="Arial" w:hAnsi="Arial" w:cs="Arial"/>
                <w:color w:val="auto"/>
                <w:spacing w:val="-4"/>
                <w:sz w:val="24"/>
                <w:szCs w:val="24"/>
                <w:highlight w:val="none"/>
              </w:rPr>
              <w:t>月贯通，</w:t>
            </w:r>
            <w:r>
              <w:rPr>
                <w:rFonts w:hint="default" w:ascii="Arial" w:hAnsi="Arial" w:eastAsia="Times New Roman" w:cs="Arial"/>
                <w:color w:val="auto"/>
                <w:spacing w:val="-4"/>
                <w:sz w:val="24"/>
                <w:szCs w:val="24"/>
                <w:highlight w:val="none"/>
              </w:rPr>
              <w:t>10</w:t>
            </w:r>
            <w:r>
              <w:rPr>
                <w:rFonts w:hint="default" w:ascii="Arial" w:hAnsi="Arial" w:cs="Arial"/>
                <w:color w:val="auto"/>
                <w:spacing w:val="-4"/>
                <w:sz w:val="24"/>
                <w:szCs w:val="24"/>
                <w:highlight w:val="none"/>
              </w:rPr>
              <w:t>月完成底板混凝土浇筑，</w:t>
            </w:r>
            <w:r>
              <w:rPr>
                <w:rFonts w:hint="default" w:ascii="Arial" w:hAnsi="Arial" w:eastAsia="Times New Roman" w:cs="Arial"/>
                <w:color w:val="auto"/>
                <w:spacing w:val="-4"/>
                <w:sz w:val="24"/>
                <w:szCs w:val="24"/>
                <w:highlight w:val="none"/>
              </w:rPr>
              <w:t>11</w:t>
            </w:r>
            <w:r>
              <w:rPr>
                <w:rFonts w:hint="default" w:ascii="Arial" w:hAnsi="Arial" w:cs="Arial"/>
                <w:color w:val="auto"/>
                <w:spacing w:val="-4"/>
                <w:sz w:val="24"/>
                <w:szCs w:val="24"/>
                <w:highlight w:val="none"/>
              </w:rPr>
              <w:t>月初隧洞过流，</w:t>
            </w:r>
            <w:r>
              <w:rPr>
                <w:rFonts w:hint="default" w:ascii="Arial" w:hAnsi="Arial" w:eastAsia="Times New Roman" w:cs="Arial"/>
                <w:color w:val="auto"/>
                <w:spacing w:val="-4"/>
                <w:sz w:val="24"/>
                <w:szCs w:val="24"/>
                <w:highlight w:val="none"/>
              </w:rPr>
              <w:t>10</w:t>
            </w:r>
            <w:r>
              <w:rPr>
                <w:rFonts w:hint="default" w:ascii="Arial" w:hAnsi="Arial" w:cs="Arial"/>
                <w:color w:val="auto"/>
                <w:spacing w:val="-4"/>
                <w:sz w:val="24"/>
                <w:szCs w:val="24"/>
                <w:highlight w:val="none"/>
              </w:rPr>
              <w:t>年一遇洪水标准下洞内水深</w:t>
            </w:r>
            <w:r>
              <w:rPr>
                <w:rFonts w:hint="default" w:ascii="Arial" w:hAnsi="Arial" w:cs="Arial"/>
                <w:color w:val="auto"/>
                <w:spacing w:val="-38"/>
                <w:sz w:val="24"/>
                <w:szCs w:val="24"/>
                <w:highlight w:val="none"/>
              </w:rPr>
              <w:t xml:space="preserve"> </w:t>
            </w:r>
            <w:r>
              <w:rPr>
                <w:rFonts w:hint="default" w:ascii="Arial" w:hAnsi="Arial" w:eastAsia="Times New Roman" w:cs="Arial"/>
                <w:color w:val="auto"/>
                <w:spacing w:val="-4"/>
                <w:sz w:val="24"/>
                <w:szCs w:val="24"/>
                <w:highlight w:val="none"/>
              </w:rPr>
              <w:t>0.31m</w:t>
            </w:r>
            <w:r>
              <w:rPr>
                <w:rFonts w:hint="default" w:ascii="Arial" w:hAnsi="Arial" w:cs="Arial"/>
                <w:color w:val="auto"/>
                <w:spacing w:val="-4"/>
                <w:sz w:val="24"/>
                <w:szCs w:val="24"/>
                <w:highlight w:val="none"/>
              </w:rPr>
              <w:t>，流速</w:t>
            </w:r>
            <w:r>
              <w:rPr>
                <w:rFonts w:hint="default" w:ascii="Arial" w:hAnsi="Arial" w:cs="Arial"/>
                <w:color w:val="auto"/>
                <w:spacing w:val="-48"/>
                <w:sz w:val="24"/>
                <w:szCs w:val="24"/>
                <w:highlight w:val="none"/>
              </w:rPr>
              <w:t xml:space="preserve"> </w:t>
            </w:r>
            <w:r>
              <w:rPr>
                <w:rFonts w:hint="default" w:ascii="Arial" w:hAnsi="Arial" w:eastAsia="Times New Roman" w:cs="Arial"/>
                <w:color w:val="auto"/>
                <w:spacing w:val="-4"/>
                <w:sz w:val="24"/>
                <w:szCs w:val="24"/>
                <w:highlight w:val="none"/>
              </w:rPr>
              <w:t>5.83m/s</w:t>
            </w:r>
            <w:r>
              <w:rPr>
                <w:rFonts w:hint="default" w:ascii="Arial" w:hAnsi="Arial" w:cs="Arial"/>
                <w:color w:val="auto"/>
                <w:spacing w:val="-4"/>
                <w:sz w:val="24"/>
                <w:szCs w:val="24"/>
                <w:highlight w:val="none"/>
              </w:rPr>
              <w:t>。</w:t>
            </w:r>
            <w:r>
              <w:rPr>
                <w:rFonts w:hint="default" w:ascii="Arial" w:hAnsi="Arial" w:eastAsia="Times New Roman" w:cs="Arial"/>
                <w:color w:val="auto"/>
                <w:spacing w:val="-4"/>
                <w:sz w:val="24"/>
                <w:szCs w:val="24"/>
                <w:highlight w:val="none"/>
              </w:rPr>
              <w:t>12</w:t>
            </w:r>
            <w:r>
              <w:rPr>
                <w:rFonts w:hint="default" w:ascii="Arial" w:hAnsi="Arial" w:cs="Arial"/>
                <w:color w:val="auto"/>
                <w:spacing w:val="-4"/>
                <w:sz w:val="24"/>
                <w:szCs w:val="24"/>
                <w:highlight w:val="none"/>
              </w:rPr>
              <w:t>月</w:t>
            </w:r>
            <w:r>
              <w:rPr>
                <w:rFonts w:hint="default" w:ascii="Arial" w:hAnsi="Arial" w:eastAsia="Times New Roman" w:cs="Arial"/>
                <w:color w:val="auto"/>
                <w:spacing w:val="-4"/>
                <w:sz w:val="24"/>
                <w:szCs w:val="24"/>
                <w:highlight w:val="none"/>
              </w:rPr>
              <w:t>10</w:t>
            </w:r>
            <w:r>
              <w:rPr>
                <w:rFonts w:hint="default" w:ascii="Arial" w:hAnsi="Arial" w:cs="Arial"/>
                <w:color w:val="auto"/>
                <w:spacing w:val="-4"/>
                <w:sz w:val="24"/>
                <w:szCs w:val="24"/>
                <w:highlight w:val="none"/>
              </w:rPr>
              <w:t>年一遇洪水标准下洞内水深</w:t>
            </w:r>
            <w:r>
              <w:rPr>
                <w:rFonts w:hint="default" w:ascii="Arial" w:hAnsi="Arial" w:cs="Arial"/>
                <w:color w:val="auto"/>
                <w:spacing w:val="-44"/>
                <w:sz w:val="24"/>
                <w:szCs w:val="24"/>
                <w:highlight w:val="none"/>
              </w:rPr>
              <w:t xml:space="preserve"> </w:t>
            </w:r>
            <w:r>
              <w:rPr>
                <w:rFonts w:hint="default" w:ascii="Arial" w:hAnsi="Arial" w:eastAsia="Times New Roman" w:cs="Arial"/>
                <w:color w:val="auto"/>
                <w:spacing w:val="-4"/>
                <w:sz w:val="24"/>
                <w:szCs w:val="24"/>
                <w:highlight w:val="none"/>
              </w:rPr>
              <w:t>0.03m</w:t>
            </w:r>
            <w:r>
              <w:rPr>
                <w:rFonts w:hint="default" w:ascii="Arial" w:hAnsi="Arial" w:cs="Arial"/>
                <w:color w:val="auto"/>
                <w:spacing w:val="-4"/>
                <w:sz w:val="24"/>
                <w:szCs w:val="24"/>
                <w:highlight w:val="none"/>
              </w:rPr>
              <w:t>，流速</w:t>
            </w:r>
            <w:r>
              <w:rPr>
                <w:rFonts w:hint="default" w:ascii="Arial" w:hAnsi="Arial" w:cs="Arial"/>
                <w:color w:val="auto"/>
                <w:spacing w:val="-32"/>
                <w:sz w:val="24"/>
                <w:szCs w:val="24"/>
                <w:highlight w:val="none"/>
              </w:rPr>
              <w:t xml:space="preserve"> </w:t>
            </w:r>
            <w:r>
              <w:rPr>
                <w:rFonts w:hint="default" w:ascii="Arial" w:hAnsi="Arial" w:eastAsia="Times New Roman" w:cs="Arial"/>
                <w:color w:val="auto"/>
                <w:spacing w:val="-4"/>
                <w:sz w:val="24"/>
                <w:szCs w:val="24"/>
                <w:highlight w:val="none"/>
              </w:rPr>
              <w:t>1.08m/s</w:t>
            </w:r>
            <w:r>
              <w:rPr>
                <w:rFonts w:hint="default" w:ascii="Arial" w:hAnsi="Arial" w:cs="Arial"/>
                <w:color w:val="auto"/>
                <w:spacing w:val="-4"/>
                <w:sz w:val="24"/>
                <w:szCs w:val="24"/>
                <w:highlight w:val="none"/>
              </w:rPr>
              <w:t>。因此，建议第一年</w:t>
            </w:r>
            <w:r>
              <w:rPr>
                <w:rFonts w:hint="default" w:ascii="Arial" w:hAnsi="Arial" w:eastAsia="Times New Roman" w:cs="Arial"/>
                <w:color w:val="auto"/>
                <w:spacing w:val="-4"/>
                <w:sz w:val="24"/>
                <w:szCs w:val="24"/>
                <w:highlight w:val="none"/>
              </w:rPr>
              <w:t>11</w:t>
            </w:r>
            <w:r>
              <w:rPr>
                <w:rFonts w:hint="default" w:ascii="Arial" w:hAnsi="Arial" w:cs="Arial"/>
                <w:color w:val="auto"/>
                <w:spacing w:val="-4"/>
                <w:sz w:val="24"/>
                <w:szCs w:val="24"/>
                <w:highlight w:val="none"/>
              </w:rPr>
              <w:t>月暂停隧洞衬砌施工。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Arial" w:hAnsi="Arial" w:cs="Arial"/>
                <w:color w:val="auto"/>
                <w:sz w:val="24"/>
                <w:szCs w:val="24"/>
                <w:highlight w:val="none"/>
              </w:rPr>
            </w:pPr>
            <w:r>
              <w:rPr>
                <w:rFonts w:hint="default" w:ascii="Arial" w:hAnsi="Arial" w:cs="Arial"/>
                <w:color w:val="auto"/>
                <w:spacing w:val="-1"/>
                <w:sz w:val="24"/>
                <w:szCs w:val="24"/>
                <w:highlight w:val="none"/>
              </w:rPr>
              <w:t>隧洞混凝土二级配，按先底板、后边顶拱的施工顺序实施。钢模台车支撑钢</w:t>
            </w:r>
            <w:r>
              <w:rPr>
                <w:rFonts w:hint="default" w:ascii="Arial" w:hAnsi="Arial" w:cs="Arial"/>
                <w:color w:val="auto"/>
                <w:spacing w:val="1"/>
                <w:sz w:val="24"/>
                <w:szCs w:val="24"/>
                <w:highlight w:val="none"/>
              </w:rPr>
              <w:t>模板成型，钢筋人工绑扎；混凝土由强制式混凝土拌和站拌制</w:t>
            </w:r>
            <w:r>
              <w:rPr>
                <w:rFonts w:hint="default" w:ascii="Arial" w:hAnsi="Arial" w:cs="Arial"/>
                <w:color w:val="auto"/>
                <w:sz w:val="24"/>
                <w:szCs w:val="24"/>
                <w:highlight w:val="none"/>
              </w:rPr>
              <w:t>，</w:t>
            </w:r>
            <w:r>
              <w:rPr>
                <w:rFonts w:hint="default" w:ascii="Arial" w:hAnsi="Arial" w:eastAsia="Times New Roman" w:cs="Arial"/>
                <w:color w:val="auto"/>
                <w:sz w:val="24"/>
                <w:szCs w:val="24"/>
                <w:highlight w:val="none"/>
              </w:rPr>
              <w:t>6m</w:t>
            </w:r>
            <w:r>
              <w:rPr>
                <w:rFonts w:hint="eastAsia" w:ascii="Arial" w:hAnsi="Arial" w:cs="Arial"/>
                <w:color w:val="auto"/>
                <w:spacing w:val="-3"/>
                <w:sz w:val="24"/>
                <w:szCs w:val="24"/>
                <w:highlight w:val="none"/>
                <w:vertAlign w:val="superscript"/>
                <w:lang w:val="en-US" w:eastAsia="zh-CN"/>
              </w:rPr>
              <w:t>3</w:t>
            </w:r>
            <w:r>
              <w:rPr>
                <w:rFonts w:hint="default" w:ascii="Arial" w:hAnsi="Arial" w:cs="Arial"/>
                <w:color w:val="auto"/>
                <w:sz w:val="24"/>
                <w:szCs w:val="24"/>
                <w:highlight w:val="none"/>
              </w:rPr>
              <w:t>混凝土运输</w:t>
            </w:r>
            <w:r>
              <w:rPr>
                <w:rFonts w:hint="default" w:ascii="Arial" w:hAnsi="Arial" w:cs="Arial"/>
                <w:color w:val="auto"/>
                <w:spacing w:val="-2"/>
                <w:sz w:val="24"/>
                <w:szCs w:val="24"/>
                <w:highlight w:val="none"/>
              </w:rPr>
              <w:t>车运输</w:t>
            </w:r>
            <w:r>
              <w:rPr>
                <w:rFonts w:hint="default" w:ascii="Arial" w:hAnsi="Arial" w:cs="Arial"/>
                <w:color w:val="auto"/>
                <w:spacing w:val="-46"/>
                <w:sz w:val="24"/>
                <w:szCs w:val="24"/>
                <w:highlight w:val="none"/>
              </w:rPr>
              <w:t xml:space="preserve"> </w:t>
            </w:r>
            <w:r>
              <w:rPr>
                <w:rFonts w:hint="default" w:ascii="Arial" w:hAnsi="Arial" w:eastAsia="Times New Roman" w:cs="Arial"/>
                <w:color w:val="auto"/>
                <w:spacing w:val="-2"/>
                <w:sz w:val="24"/>
                <w:szCs w:val="24"/>
                <w:highlight w:val="none"/>
              </w:rPr>
              <w:t>2.0km</w:t>
            </w:r>
            <w:r>
              <w:rPr>
                <w:rFonts w:hint="default" w:ascii="Arial" w:hAnsi="Arial" w:cs="Arial"/>
                <w:color w:val="auto"/>
                <w:spacing w:val="-2"/>
                <w:sz w:val="24"/>
                <w:szCs w:val="24"/>
                <w:highlight w:val="none"/>
              </w:rPr>
              <w:t>至洞内衬砌工作面，</w:t>
            </w:r>
            <w:r>
              <w:rPr>
                <w:rFonts w:hint="default" w:ascii="Arial" w:hAnsi="Arial" w:eastAsia="Times New Roman" w:cs="Arial"/>
                <w:color w:val="auto"/>
                <w:spacing w:val="-2"/>
                <w:sz w:val="24"/>
                <w:szCs w:val="24"/>
                <w:highlight w:val="none"/>
              </w:rPr>
              <w:t>HBT60</w:t>
            </w:r>
            <w:r>
              <w:rPr>
                <w:rFonts w:hint="default" w:ascii="Arial" w:hAnsi="Arial" w:cs="Arial"/>
                <w:color w:val="auto"/>
                <w:spacing w:val="-2"/>
                <w:sz w:val="24"/>
                <w:szCs w:val="24"/>
                <w:highlight w:val="none"/>
              </w:rPr>
              <w:t>输送泵泵送入仓，插入式振捣器捣实，</w:t>
            </w:r>
            <w:r>
              <w:rPr>
                <w:rFonts w:hint="default" w:ascii="Arial" w:hAnsi="Arial" w:cs="Arial"/>
                <w:color w:val="auto"/>
                <w:spacing w:val="7"/>
                <w:sz w:val="24"/>
                <w:szCs w:val="24"/>
                <w:highlight w:val="none"/>
              </w:rPr>
              <w:t>边顶拱附着式振捣器振捣；底板混凝土拉模</w:t>
            </w:r>
            <w:r>
              <w:rPr>
                <w:rFonts w:hint="default" w:ascii="Arial" w:hAnsi="Arial" w:cs="Arial"/>
                <w:color w:val="auto"/>
                <w:spacing w:val="6"/>
                <w:sz w:val="24"/>
                <w:szCs w:val="24"/>
                <w:highlight w:val="none"/>
              </w:rPr>
              <w:t>施工，</w:t>
            </w:r>
            <w:r>
              <w:rPr>
                <w:rFonts w:hint="default" w:ascii="Arial" w:hAnsi="Arial" w:eastAsia="Times New Roman" w:cs="Arial"/>
                <w:color w:val="auto"/>
                <w:spacing w:val="6"/>
                <w:sz w:val="24"/>
                <w:szCs w:val="24"/>
                <w:highlight w:val="none"/>
              </w:rPr>
              <w:t>8~10t</w:t>
            </w:r>
            <w:r>
              <w:rPr>
                <w:rFonts w:hint="default" w:ascii="Arial" w:hAnsi="Arial" w:cs="Arial"/>
                <w:color w:val="auto"/>
                <w:spacing w:val="6"/>
                <w:sz w:val="24"/>
                <w:szCs w:val="24"/>
                <w:highlight w:val="none"/>
              </w:rPr>
              <w:t>自卸汽车运输混凝土</w:t>
            </w:r>
            <w:r>
              <w:rPr>
                <w:rFonts w:hint="default" w:ascii="Arial" w:hAnsi="Arial" w:eastAsia="Times New Roman" w:cs="Arial"/>
                <w:color w:val="auto"/>
                <w:sz w:val="24"/>
                <w:szCs w:val="24"/>
                <w:highlight w:val="none"/>
              </w:rPr>
              <w:t>1.0km</w:t>
            </w:r>
            <w:r>
              <w:rPr>
                <w:rFonts w:hint="default" w:ascii="Arial" w:hAnsi="Arial" w:cs="Arial"/>
                <w:color w:val="auto"/>
                <w:sz w:val="24"/>
                <w:szCs w:val="24"/>
                <w:highlight w:val="none"/>
              </w:rPr>
              <w:t>直接入仓，人工摊平，平板振捣器浇</w:t>
            </w:r>
            <w:r>
              <w:rPr>
                <w:rFonts w:hint="default" w:ascii="Arial" w:hAnsi="Arial" w:cs="Arial"/>
                <w:color w:val="auto"/>
                <w:spacing w:val="-1"/>
                <w:sz w:val="24"/>
                <w:szCs w:val="24"/>
                <w:highlight w:val="none"/>
              </w:rPr>
              <w:t>筑，人工收面抹光。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隧洞边、顶拱混凝土及按规范要求掺加泵送剂。隧洞混凝土衬砌设计月浇筑进尺：边顶拱</w:t>
            </w:r>
            <w:r>
              <w:rPr>
                <w:rFonts w:hint="default" w:ascii="Arial" w:hAnsi="Arial" w:eastAsia="Times New Roman" w:cs="Arial"/>
                <w:color w:val="auto"/>
                <w:spacing w:val="0"/>
                <w:sz w:val="24"/>
                <w:szCs w:val="24"/>
                <w:highlight w:val="none"/>
              </w:rPr>
              <w:t>150m</w:t>
            </w:r>
            <w:r>
              <w:rPr>
                <w:rFonts w:hint="default" w:ascii="Arial" w:hAnsi="Arial" w:cs="Arial"/>
                <w:color w:val="auto"/>
                <w:spacing w:val="0"/>
                <w:sz w:val="24"/>
                <w:szCs w:val="24"/>
                <w:highlight w:val="none"/>
              </w:rPr>
              <w:t>；底板</w:t>
            </w:r>
            <w:r>
              <w:rPr>
                <w:rFonts w:hint="default" w:ascii="Arial" w:hAnsi="Arial" w:eastAsia="Times New Roman" w:cs="Arial"/>
                <w:color w:val="auto"/>
                <w:spacing w:val="0"/>
                <w:sz w:val="24"/>
                <w:szCs w:val="24"/>
                <w:highlight w:val="none"/>
              </w:rPr>
              <w:t>350m</w:t>
            </w:r>
            <w:r>
              <w:rPr>
                <w:rFonts w:hint="default" w:ascii="Arial" w:hAnsi="Arial" w:cs="Arial"/>
                <w:color w:val="auto"/>
                <w:spacing w:val="0"/>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为施工</w:t>
            </w:r>
            <w:r>
              <w:rPr>
                <w:rFonts w:hint="default" w:ascii="Arial" w:hAnsi="Arial" w:cs="Arial"/>
                <w:i/>
                <w:iCs/>
                <w:color w:val="auto"/>
                <w:spacing w:val="-1"/>
                <w:sz w:val="24"/>
                <w:szCs w:val="24"/>
                <w:highlight w:val="none"/>
              </w:rPr>
              <w:t>扬尘、机械废气、噪声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⑸ </w:t>
            </w:r>
            <w:r>
              <w:rPr>
                <w:rFonts w:hint="default" w:ascii="Arial" w:hAnsi="Arial" w:cs="Arial"/>
                <w:b/>
                <w:bCs/>
                <w:color w:val="auto"/>
                <w:spacing w:val="-5"/>
                <w:sz w:val="24"/>
                <w:szCs w:val="24"/>
                <w:highlight w:val="none"/>
              </w:rPr>
              <w:t>临时支护措施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导流隧洞和取水隧洞部分隧洞轴线重叠，采用斜井相接。导流隧洞临时支护措施如下：</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隧洞临时支护中，</w:t>
            </w:r>
            <w:r>
              <w:rPr>
                <w:rFonts w:hint="default" w:ascii="Arial" w:hAnsi="Arial" w:eastAsia="Times New Roman" w:cs="Arial"/>
                <w:color w:val="auto"/>
                <w:spacing w:val="0"/>
                <w:sz w:val="24"/>
                <w:szCs w:val="24"/>
                <w:highlight w:val="none"/>
              </w:rPr>
              <w:t>Ⅳ</w:t>
            </w:r>
            <w:r>
              <w:rPr>
                <w:rFonts w:hint="default" w:ascii="Arial" w:hAnsi="Arial" w:cs="Arial"/>
                <w:color w:val="auto"/>
                <w:spacing w:val="0"/>
                <w:sz w:val="24"/>
                <w:szCs w:val="24"/>
                <w:highlight w:val="none"/>
              </w:rPr>
              <w:t>、</w:t>
            </w:r>
            <w:r>
              <w:rPr>
                <w:rFonts w:hint="default" w:ascii="Arial" w:hAnsi="Arial" w:eastAsia="Times New Roman" w:cs="Arial"/>
                <w:color w:val="auto"/>
                <w:spacing w:val="0"/>
                <w:sz w:val="24"/>
                <w:szCs w:val="24"/>
                <w:highlight w:val="none"/>
              </w:rPr>
              <w:t>Ⅴ</w:t>
            </w:r>
            <w:r>
              <w:rPr>
                <w:rFonts w:hint="default" w:ascii="Arial" w:hAnsi="Arial" w:cs="Arial"/>
                <w:color w:val="auto"/>
                <w:spacing w:val="0"/>
                <w:sz w:val="24"/>
                <w:szCs w:val="24"/>
                <w:highlight w:val="none"/>
              </w:rPr>
              <w:t>类围岩应首先完成一期临时喷护，再施工砂浆锚杆和网筋，最后施工工字钢和二期喷护。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钢拱架：钢拱架采用</w:t>
            </w:r>
            <w:r>
              <w:rPr>
                <w:rFonts w:hint="default" w:ascii="Arial" w:hAnsi="Arial" w:eastAsia="Times New Roman" w:cs="Arial"/>
                <w:color w:val="auto"/>
                <w:spacing w:val="0"/>
                <w:sz w:val="24"/>
                <w:szCs w:val="24"/>
                <w:highlight w:val="none"/>
              </w:rPr>
              <w:t>I14</w:t>
            </w:r>
            <w:r>
              <w:rPr>
                <w:rFonts w:hint="default" w:ascii="Arial" w:hAnsi="Arial" w:cs="Arial"/>
                <w:color w:val="auto"/>
                <w:spacing w:val="0"/>
                <w:sz w:val="24"/>
                <w:szCs w:val="24"/>
                <w:highlight w:val="none"/>
              </w:rPr>
              <w:t>工字钢，在机械加工厂预制成拱圈弧度，螺栓连接，两榀钢拱架之间</w:t>
            </w:r>
            <w:r>
              <w:rPr>
                <w:rFonts w:hint="default" w:ascii="Arial" w:hAnsi="Arial" w:eastAsia="Times New Roman" w:cs="Arial"/>
                <w:color w:val="auto"/>
                <w:spacing w:val="0"/>
                <w:sz w:val="24"/>
                <w:szCs w:val="24"/>
                <w:highlight w:val="none"/>
              </w:rPr>
              <w:t>Ф25</w:t>
            </w:r>
            <w:r>
              <w:rPr>
                <w:rFonts w:hint="default" w:ascii="Arial" w:hAnsi="Arial" w:cs="Arial"/>
                <w:color w:val="auto"/>
                <w:spacing w:val="0"/>
                <w:sz w:val="24"/>
                <w:szCs w:val="24"/>
                <w:highlight w:val="none"/>
              </w:rPr>
              <w:t>三级钢筋焊接，环向间距</w:t>
            </w:r>
            <w:r>
              <w:rPr>
                <w:rFonts w:hint="default" w:ascii="Arial" w:hAnsi="Arial" w:eastAsia="Times New Roman" w:cs="Arial"/>
                <w:color w:val="auto"/>
                <w:spacing w:val="0"/>
                <w:sz w:val="24"/>
                <w:szCs w:val="24"/>
                <w:highlight w:val="none"/>
              </w:rPr>
              <w:t>1.0m</w:t>
            </w:r>
            <w:r>
              <w:rPr>
                <w:rFonts w:hint="default" w:ascii="Arial" w:hAnsi="Arial" w:cs="Arial"/>
                <w:color w:val="auto"/>
                <w:spacing w:val="0"/>
                <w:sz w:val="24"/>
                <w:szCs w:val="24"/>
                <w:highlight w:val="none"/>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管棚：</w:t>
            </w:r>
            <w:r>
              <w:rPr>
                <w:rFonts w:hint="default" w:ascii="Arial" w:hAnsi="Arial" w:eastAsia="Times New Roman" w:cs="Arial"/>
                <w:color w:val="auto"/>
                <w:spacing w:val="0"/>
                <w:sz w:val="24"/>
                <w:szCs w:val="24"/>
                <w:highlight w:val="none"/>
              </w:rPr>
              <w:t>Ф50</w:t>
            </w:r>
            <w:r>
              <w:rPr>
                <w:rFonts w:hint="default" w:ascii="Arial" w:hAnsi="Arial" w:cs="Arial"/>
                <w:color w:val="auto"/>
                <w:spacing w:val="0"/>
                <w:sz w:val="24"/>
                <w:szCs w:val="24"/>
                <w:highlight w:val="none"/>
              </w:rPr>
              <w:t>注浆管棚间距</w:t>
            </w:r>
            <w:r>
              <w:rPr>
                <w:rFonts w:hint="default" w:ascii="Arial" w:hAnsi="Arial" w:eastAsia="Times New Roman" w:cs="Arial"/>
                <w:color w:val="auto"/>
                <w:spacing w:val="0"/>
                <w:sz w:val="24"/>
                <w:szCs w:val="24"/>
                <w:highlight w:val="none"/>
              </w:rPr>
              <w:t>50cm</w:t>
            </w:r>
            <w:r>
              <w:rPr>
                <w:rFonts w:hint="default" w:ascii="Arial" w:hAnsi="Arial" w:cs="Arial"/>
                <w:color w:val="auto"/>
                <w:spacing w:val="0"/>
                <w:sz w:val="24"/>
                <w:szCs w:val="24"/>
                <w:highlight w:val="none"/>
              </w:rPr>
              <w:t>，单榀长度</w:t>
            </w:r>
            <w:r>
              <w:rPr>
                <w:rFonts w:hint="default" w:ascii="Arial" w:hAnsi="Arial" w:eastAsia="Times New Roman" w:cs="Arial"/>
                <w:color w:val="auto"/>
                <w:spacing w:val="0"/>
                <w:sz w:val="24"/>
                <w:szCs w:val="24"/>
                <w:highlight w:val="none"/>
              </w:rPr>
              <w:t>6.0m</w:t>
            </w:r>
            <w:r>
              <w:rPr>
                <w:rFonts w:hint="default" w:ascii="Arial" w:hAnsi="Arial" w:cs="Arial"/>
                <w:color w:val="auto"/>
                <w:spacing w:val="0"/>
                <w:sz w:val="24"/>
                <w:szCs w:val="24"/>
                <w:highlight w:val="none"/>
              </w:rPr>
              <w:t>，外插角度</w:t>
            </w:r>
            <w:r>
              <w:rPr>
                <w:rFonts w:hint="default" w:ascii="Arial" w:hAnsi="Arial" w:eastAsia="Times New Roman" w:cs="Arial"/>
                <w:color w:val="auto"/>
                <w:spacing w:val="0"/>
                <w:sz w:val="24"/>
                <w:szCs w:val="24"/>
                <w:highlight w:val="none"/>
              </w:rPr>
              <w:t xml:space="preserve">5°~8° </w:t>
            </w:r>
            <w:r>
              <w:rPr>
                <w:rFonts w:hint="default" w:ascii="Arial" w:hAnsi="Arial" w:cs="Arial"/>
                <w:color w:val="auto"/>
                <w:spacing w:val="0"/>
                <w:sz w:val="24"/>
                <w:szCs w:val="24"/>
                <w:highlight w:val="none"/>
              </w:rPr>
              <w:t>,尾部预留</w:t>
            </w:r>
            <w:r>
              <w:rPr>
                <w:rFonts w:hint="default" w:ascii="Arial" w:hAnsi="Arial" w:eastAsia="Times New Roman" w:cs="Arial"/>
                <w:color w:val="auto"/>
                <w:spacing w:val="0"/>
                <w:sz w:val="24"/>
                <w:szCs w:val="24"/>
                <w:highlight w:val="none"/>
              </w:rPr>
              <w:t xml:space="preserve">50cm </w:t>
            </w:r>
            <w:r>
              <w:rPr>
                <w:rFonts w:hint="default" w:ascii="Arial" w:hAnsi="Arial" w:cs="Arial"/>
                <w:color w:val="auto"/>
                <w:spacing w:val="0"/>
                <w:sz w:val="24"/>
                <w:szCs w:val="24"/>
                <w:highlight w:val="none"/>
              </w:rPr>
              <w:t>，并与钢拱架焊连。</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喷混凝土分段、分片、依次实施，边墙从左到右，右到左逐步从下至上、拱部按从左边墙到右边墙，从一端到另一端进行，一次喷射厚度：边墙</w:t>
            </w:r>
            <w:r>
              <w:rPr>
                <w:rFonts w:hint="default" w:ascii="Arial" w:hAnsi="Arial" w:eastAsia="Times New Roman" w:cs="Arial"/>
                <w:color w:val="auto"/>
                <w:spacing w:val="0"/>
                <w:sz w:val="24"/>
                <w:szCs w:val="24"/>
                <w:highlight w:val="none"/>
              </w:rPr>
              <w:t>5~7cm</w:t>
            </w:r>
            <w:r>
              <w:rPr>
                <w:rFonts w:hint="default" w:ascii="Arial" w:hAnsi="Arial" w:cs="Arial"/>
                <w:color w:val="auto"/>
                <w:spacing w:val="0"/>
                <w:sz w:val="24"/>
                <w:szCs w:val="24"/>
                <w:highlight w:val="none"/>
              </w:rPr>
              <w:t>，拱顶</w:t>
            </w:r>
            <w:r>
              <w:rPr>
                <w:rFonts w:hint="default" w:ascii="Arial" w:hAnsi="Arial" w:eastAsia="Times New Roman" w:cs="Arial"/>
                <w:color w:val="auto"/>
                <w:spacing w:val="0"/>
                <w:sz w:val="24"/>
                <w:szCs w:val="24"/>
                <w:highlight w:val="none"/>
              </w:rPr>
              <w:t xml:space="preserve">3~5cm </w:t>
            </w:r>
            <w:r>
              <w:rPr>
                <w:rFonts w:hint="default" w:ascii="Arial" w:hAnsi="Arial" w:cs="Arial"/>
                <w:color w:val="auto"/>
                <w:spacing w:val="0"/>
                <w:sz w:val="24"/>
                <w:szCs w:val="24"/>
                <w:highlight w:val="none"/>
              </w:rPr>
              <w:t>，喷射混凝土终凝</w:t>
            </w:r>
            <w:r>
              <w:rPr>
                <w:rFonts w:hint="default" w:ascii="Arial" w:hAnsi="Arial" w:eastAsia="Times New Roman" w:cs="Arial"/>
                <w:color w:val="auto"/>
                <w:spacing w:val="0"/>
                <w:sz w:val="24"/>
                <w:szCs w:val="24"/>
                <w:highlight w:val="none"/>
              </w:rPr>
              <w:t>2h</w:t>
            </w:r>
            <w:r>
              <w:rPr>
                <w:rFonts w:hint="default" w:ascii="Arial" w:hAnsi="Arial" w:cs="Arial"/>
                <w:color w:val="auto"/>
                <w:spacing w:val="0"/>
                <w:sz w:val="24"/>
                <w:szCs w:val="24"/>
                <w:highlight w:val="none"/>
              </w:rPr>
              <w:t>后喷水养护。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扬尘、机械废气、噪声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⑹ </w:t>
            </w:r>
            <w:r>
              <w:rPr>
                <w:rFonts w:hint="default" w:ascii="Arial" w:hAnsi="Arial" w:cs="Arial"/>
                <w:b/>
                <w:bCs/>
                <w:color w:val="auto"/>
                <w:spacing w:val="-5"/>
                <w:sz w:val="24"/>
                <w:szCs w:val="24"/>
                <w:highlight w:val="none"/>
              </w:rPr>
              <w:t>回填灌浆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color w:val="auto"/>
                <w:spacing w:val="0"/>
                <w:sz w:val="24"/>
                <w:szCs w:val="24"/>
                <w:highlight w:val="none"/>
              </w:rPr>
            </w:pPr>
            <w:r>
              <w:rPr>
                <w:rFonts w:hint="default" w:ascii="Arial" w:hAnsi="Arial" w:cs="Arial"/>
                <w:color w:val="auto"/>
                <w:spacing w:val="0"/>
                <w:sz w:val="24"/>
                <w:szCs w:val="24"/>
                <w:highlight w:val="none"/>
              </w:rPr>
              <w:t>混凝土衬砌隧洞拱顶外围</w:t>
            </w:r>
            <w:r>
              <w:rPr>
                <w:rFonts w:hint="default" w:ascii="Arial" w:hAnsi="Arial" w:eastAsia="Times New Roman" w:cs="Arial"/>
                <w:color w:val="auto"/>
                <w:spacing w:val="0"/>
                <w:sz w:val="24"/>
                <w:szCs w:val="24"/>
                <w:highlight w:val="none"/>
              </w:rPr>
              <w:t>120°</w:t>
            </w:r>
            <w:r>
              <w:rPr>
                <w:rFonts w:hint="default" w:ascii="Arial" w:hAnsi="Arial" w:cs="Arial"/>
                <w:color w:val="auto"/>
                <w:spacing w:val="0"/>
                <w:sz w:val="24"/>
                <w:szCs w:val="24"/>
                <w:highlight w:val="none"/>
              </w:rPr>
              <w:t>范围回填灌浆，钢筋混凝土衬砌段预埋灌浆管，管径</w:t>
            </w:r>
            <w:r>
              <w:rPr>
                <w:rFonts w:hint="default" w:ascii="Arial" w:hAnsi="Arial" w:eastAsia="Times New Roman" w:cs="Arial"/>
                <w:color w:val="auto"/>
                <w:spacing w:val="0"/>
                <w:sz w:val="24"/>
                <w:szCs w:val="24"/>
                <w:highlight w:val="none"/>
              </w:rPr>
              <w:t>50mm</w:t>
            </w:r>
            <w:r>
              <w:rPr>
                <w:rFonts w:hint="default" w:ascii="Arial" w:hAnsi="Arial" w:cs="Arial"/>
                <w:color w:val="auto"/>
                <w:spacing w:val="0"/>
                <w:sz w:val="24"/>
                <w:szCs w:val="24"/>
                <w:highlight w:val="none"/>
              </w:rPr>
              <w:t>，深入基岩</w:t>
            </w:r>
            <w:r>
              <w:rPr>
                <w:rFonts w:hint="default" w:ascii="Arial" w:hAnsi="Arial" w:eastAsia="Times New Roman" w:cs="Arial"/>
                <w:color w:val="auto"/>
                <w:spacing w:val="0"/>
                <w:sz w:val="24"/>
                <w:szCs w:val="24"/>
                <w:highlight w:val="none"/>
              </w:rPr>
              <w:t>10cm</w:t>
            </w:r>
            <w:r>
              <w:rPr>
                <w:rFonts w:hint="default" w:ascii="Arial" w:hAnsi="Arial" w:cs="Arial"/>
                <w:color w:val="auto"/>
                <w:spacing w:val="0"/>
                <w:sz w:val="24"/>
                <w:szCs w:val="24"/>
                <w:highlight w:val="none"/>
              </w:rPr>
              <w:t>，分序加密的原则，从低端向高端推进；</w:t>
            </w:r>
            <w:r>
              <w:rPr>
                <w:rFonts w:hint="default" w:ascii="Arial" w:hAnsi="Arial" w:eastAsia="Times New Roman" w:cs="Arial"/>
                <w:color w:val="auto"/>
                <w:spacing w:val="0"/>
                <w:sz w:val="24"/>
                <w:szCs w:val="24"/>
                <w:highlight w:val="none"/>
              </w:rPr>
              <w:t>3SNS250/10</w:t>
            </w:r>
            <w:r>
              <w:rPr>
                <w:rFonts w:hint="default" w:ascii="Arial" w:hAnsi="Arial" w:cs="Arial"/>
                <w:color w:val="auto"/>
                <w:spacing w:val="0"/>
                <w:sz w:val="24"/>
                <w:szCs w:val="24"/>
                <w:highlight w:val="none"/>
              </w:rPr>
              <w:t>型灌浆泵水泥浆灌注，顶部空腔较大地段采用水泥砂浆，砂灰比不大于</w:t>
            </w:r>
            <w:r>
              <w:rPr>
                <w:rFonts w:hint="default" w:ascii="Arial" w:hAnsi="Arial" w:eastAsia="Times New Roman" w:cs="Arial"/>
                <w:color w:val="auto"/>
                <w:spacing w:val="0"/>
                <w:sz w:val="24"/>
                <w:szCs w:val="24"/>
                <w:highlight w:val="none"/>
              </w:rPr>
              <w:t>200</w:t>
            </w:r>
            <w:r>
              <w:rPr>
                <w:rFonts w:hint="default" w:ascii="Arial" w:hAnsi="Arial" w:cs="Arial"/>
                <w:color w:val="auto"/>
                <w:spacing w:val="0"/>
                <w:sz w:val="24"/>
                <w:szCs w:val="24"/>
                <w:highlight w:val="none"/>
              </w:rPr>
              <w:t>。灌浆压力宜为</w:t>
            </w:r>
            <w:r>
              <w:rPr>
                <w:rFonts w:hint="default" w:ascii="Arial" w:hAnsi="Arial" w:eastAsia="Times New Roman" w:cs="Arial"/>
                <w:color w:val="auto"/>
                <w:spacing w:val="0"/>
                <w:sz w:val="24"/>
                <w:szCs w:val="24"/>
                <w:highlight w:val="none"/>
              </w:rPr>
              <w:t>0.5Mpa</w:t>
            </w:r>
            <w:r>
              <w:rPr>
                <w:rFonts w:hint="default" w:ascii="Arial" w:hAnsi="Arial" w:cs="Arial"/>
                <w:color w:val="auto"/>
                <w:spacing w:val="0"/>
                <w:sz w:val="24"/>
                <w:szCs w:val="24"/>
                <w:highlight w:val="none"/>
              </w:rPr>
              <w:t>。灌浆</w:t>
            </w:r>
            <w:r>
              <w:rPr>
                <w:rFonts w:hint="default" w:ascii="Arial" w:hAnsi="Arial" w:eastAsia="Times New Roman" w:cs="Arial"/>
                <w:color w:val="auto"/>
                <w:spacing w:val="0"/>
                <w:sz w:val="24"/>
                <w:szCs w:val="24"/>
                <w:highlight w:val="none"/>
              </w:rPr>
              <w:t>14</w:t>
            </w:r>
            <w:r>
              <w:rPr>
                <w:rFonts w:hint="default" w:ascii="Arial" w:hAnsi="Arial" w:cs="Arial"/>
                <w:color w:val="auto"/>
                <w:spacing w:val="0"/>
                <w:sz w:val="24"/>
                <w:szCs w:val="24"/>
                <w:highlight w:val="none"/>
              </w:rPr>
              <w:t>天后质量检查，检查孔数量按灌浆总数的</w:t>
            </w:r>
            <w:r>
              <w:rPr>
                <w:rFonts w:hint="default" w:ascii="Arial" w:hAnsi="Arial" w:eastAsia="Times New Roman" w:cs="Arial"/>
                <w:color w:val="auto"/>
                <w:spacing w:val="0"/>
                <w:sz w:val="24"/>
                <w:szCs w:val="24"/>
                <w:highlight w:val="none"/>
              </w:rPr>
              <w:t>5%</w:t>
            </w:r>
            <w:r>
              <w:rPr>
                <w:rFonts w:hint="default" w:ascii="Arial" w:hAnsi="Arial" w:cs="Arial"/>
                <w:color w:val="auto"/>
                <w:spacing w:val="0"/>
                <w:sz w:val="24"/>
                <w:szCs w:val="24"/>
                <w:highlight w:val="none"/>
              </w:rPr>
              <w:t>抽取，用水灰比</w:t>
            </w:r>
            <w:r>
              <w:rPr>
                <w:rFonts w:hint="default" w:ascii="Arial" w:hAnsi="Arial" w:eastAsia="Times New Roman" w:cs="Arial"/>
                <w:color w:val="auto"/>
                <w:spacing w:val="0"/>
                <w:sz w:val="24"/>
                <w:szCs w:val="24"/>
                <w:highlight w:val="none"/>
              </w:rPr>
              <w:t xml:space="preserve">2 </w:t>
            </w:r>
            <w:r>
              <w:rPr>
                <w:rFonts w:hint="default" w:ascii="Arial" w:hAnsi="Arial" w:cs="Arial"/>
                <w:color w:val="auto"/>
                <w:spacing w:val="0"/>
                <w:sz w:val="24"/>
                <w:szCs w:val="24"/>
                <w:highlight w:val="none"/>
              </w:rPr>
              <w:t>：</w:t>
            </w:r>
            <w:r>
              <w:rPr>
                <w:rFonts w:hint="default" w:ascii="Arial" w:hAnsi="Arial" w:eastAsia="Times New Roman" w:cs="Arial"/>
                <w:color w:val="auto"/>
                <w:spacing w:val="0"/>
                <w:sz w:val="24"/>
                <w:szCs w:val="24"/>
                <w:highlight w:val="none"/>
              </w:rPr>
              <w:t>1</w:t>
            </w:r>
            <w:r>
              <w:rPr>
                <w:rFonts w:hint="default" w:ascii="Arial" w:hAnsi="Arial" w:cs="Arial"/>
                <w:color w:val="auto"/>
                <w:spacing w:val="0"/>
                <w:sz w:val="24"/>
                <w:szCs w:val="24"/>
                <w:highlight w:val="none"/>
              </w:rPr>
              <w:t>的浆液压入</w:t>
            </w:r>
            <w:r>
              <w:rPr>
                <w:rFonts w:hint="default" w:ascii="Arial" w:hAnsi="Arial" w:eastAsia="Times New Roman" w:cs="Arial"/>
                <w:color w:val="auto"/>
                <w:spacing w:val="0"/>
                <w:sz w:val="24"/>
                <w:szCs w:val="24"/>
                <w:highlight w:val="none"/>
              </w:rPr>
              <w:t>10min</w:t>
            </w:r>
            <w:r>
              <w:rPr>
                <w:rFonts w:hint="default" w:ascii="Arial" w:hAnsi="Arial" w:cs="Arial"/>
                <w:color w:val="auto"/>
                <w:spacing w:val="0"/>
                <w:sz w:val="24"/>
                <w:szCs w:val="24"/>
                <w:highlight w:val="none"/>
              </w:rPr>
              <w:t>的水泥浆不超过</w:t>
            </w:r>
            <w:r>
              <w:rPr>
                <w:rFonts w:hint="default" w:ascii="Arial" w:hAnsi="Arial" w:eastAsia="Times New Roman" w:cs="Arial"/>
                <w:color w:val="auto"/>
                <w:spacing w:val="0"/>
                <w:sz w:val="24"/>
                <w:szCs w:val="24"/>
                <w:highlight w:val="none"/>
              </w:rPr>
              <w:t>10L</w:t>
            </w:r>
            <w:r>
              <w:rPr>
                <w:rFonts w:hint="default" w:ascii="Arial" w:hAnsi="Arial" w:cs="Arial"/>
                <w:color w:val="auto"/>
                <w:spacing w:val="0"/>
                <w:sz w:val="24"/>
                <w:szCs w:val="24"/>
                <w:highlight w:val="none"/>
              </w:rPr>
              <w:t>即为合格，灌浆孔用砂浆封堵抹平。</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施工</w:t>
            </w:r>
            <w:r>
              <w:rPr>
                <w:rFonts w:hint="default" w:ascii="Arial" w:hAnsi="Arial" w:cs="Arial"/>
                <w:i/>
                <w:iCs/>
                <w:color w:val="auto"/>
                <w:spacing w:val="-1"/>
                <w:sz w:val="24"/>
                <w:szCs w:val="24"/>
                <w:highlight w:val="none"/>
              </w:rPr>
              <w:t>扬尘、机械废气、噪声</w:t>
            </w:r>
            <w:r>
              <w:rPr>
                <w:rFonts w:hint="eastAsia" w:ascii="Arial" w:hAnsi="Arial" w:cs="Arial"/>
                <w:i/>
                <w:iCs/>
                <w:color w:val="auto"/>
                <w:spacing w:val="-1"/>
                <w:sz w:val="24"/>
                <w:szCs w:val="24"/>
                <w:highlight w:val="none"/>
                <w:lang w:val="en-US" w:eastAsia="zh-CN"/>
              </w:rPr>
              <w:t>以及废建筑材料</w:t>
            </w:r>
            <w:r>
              <w:rPr>
                <w:rFonts w:hint="default" w:ascii="Arial" w:hAnsi="Arial" w:cs="Arial"/>
                <w:i/>
                <w:iCs/>
                <w:color w:val="auto"/>
                <w:spacing w:val="-1"/>
                <w:sz w:val="24"/>
                <w:szCs w:val="24"/>
                <w:highlight w:val="none"/>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eastAsia="宋体"/>
                <w:color w:val="auto"/>
                <w:sz w:val="24"/>
                <w:szCs w:val="24"/>
                <w:highlight w:val="none"/>
                <w:lang w:eastAsia="zh-CN"/>
              </w:rPr>
            </w:pPr>
            <w:r>
              <w:rPr>
                <w:b/>
                <w:bCs/>
                <w:color w:val="auto"/>
                <w:spacing w:val="-3"/>
                <w:sz w:val="24"/>
                <w:szCs w:val="24"/>
                <w:highlight w:val="none"/>
              </w:rPr>
              <w:t>二、渠系工程施工</w:t>
            </w:r>
            <w:r>
              <w:rPr>
                <w:rFonts w:hint="eastAsia"/>
                <w:b/>
                <w:bCs/>
                <w:color w:val="auto"/>
                <w:spacing w:val="-3"/>
                <w:sz w:val="24"/>
                <w:szCs w:val="24"/>
                <w:highlight w:val="none"/>
                <w:lang w:val="en-US" w:eastAsia="zh-CN"/>
              </w:rPr>
              <w:t>工艺</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b/>
                <w:bCs/>
                <w:color w:val="auto"/>
                <w:spacing w:val="-9"/>
                <w:sz w:val="24"/>
                <w:szCs w:val="24"/>
                <w:highlight w:val="none"/>
              </w:rPr>
            </w:pPr>
            <w:r>
              <w:rPr>
                <w:rFonts w:ascii="Times New Roman" w:hAnsi="Times New Roman" w:eastAsia="Times New Roman" w:cs="Times New Roman"/>
                <w:b/>
                <w:bCs/>
                <w:color w:val="auto"/>
                <w:spacing w:val="-9"/>
                <w:sz w:val="24"/>
                <w:szCs w:val="24"/>
                <w:highlight w:val="none"/>
              </w:rPr>
              <w:t>1</w:t>
            </w:r>
            <w:r>
              <w:rPr>
                <w:rFonts w:ascii="Times New Roman" w:hAnsi="Times New Roman" w:eastAsia="Times New Roman" w:cs="Times New Roman"/>
                <w:b/>
                <w:bCs/>
                <w:color w:val="auto"/>
                <w:spacing w:val="-31"/>
                <w:sz w:val="24"/>
                <w:szCs w:val="24"/>
                <w:highlight w:val="none"/>
              </w:rPr>
              <w:t xml:space="preserve"> </w:t>
            </w:r>
            <w:r>
              <w:rPr>
                <w:b/>
                <w:bCs/>
                <w:color w:val="auto"/>
                <w:spacing w:val="-9"/>
                <w:sz w:val="24"/>
                <w:szCs w:val="24"/>
                <w:highlight w:val="none"/>
              </w:rPr>
              <w:t>、管道工程</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pacing w:val="-9"/>
                <w:sz w:val="24"/>
                <w:szCs w:val="24"/>
                <w:highlight w:val="none"/>
              </w:rPr>
            </w:pPr>
            <w:r>
              <w:rPr>
                <w:color w:val="auto"/>
                <w:sz w:val="24"/>
                <w:highlight w:val="none"/>
              </w:rPr>
              <mc:AlternateContent>
                <mc:Choice Requires="wpg">
                  <w:drawing>
                    <wp:anchor distT="0" distB="0" distL="114300" distR="114300" simplePos="0" relativeHeight="251667456" behindDoc="0" locked="0" layoutInCell="1" allowOverlap="1">
                      <wp:simplePos x="0" y="0"/>
                      <wp:positionH relativeFrom="column">
                        <wp:posOffset>136525</wp:posOffset>
                      </wp:positionH>
                      <wp:positionV relativeFrom="paragraph">
                        <wp:posOffset>64135</wp:posOffset>
                      </wp:positionV>
                      <wp:extent cx="5547360" cy="1005840"/>
                      <wp:effectExtent l="4445" t="4445" r="10795" b="10795"/>
                      <wp:wrapNone/>
                      <wp:docPr id="72" name="组合 72"/>
                      <wp:cNvGraphicFramePr/>
                      <a:graphic xmlns:a="http://schemas.openxmlformats.org/drawingml/2006/main">
                        <a:graphicData uri="http://schemas.microsoft.com/office/word/2010/wordprocessingGroup">
                          <wpg:wgp>
                            <wpg:cNvGrpSpPr/>
                            <wpg:grpSpPr>
                              <a:xfrm>
                                <a:off x="0" y="0"/>
                                <a:ext cx="5547360" cy="1005840"/>
                                <a:chOff x="3018" y="1439904"/>
                                <a:chExt cx="8736" cy="1584"/>
                              </a:xfrm>
                            </wpg:grpSpPr>
                            <wps:wsp>
                              <wps:cNvPr id="15" name="文本框 15"/>
                              <wps:cNvSpPr txBox="1"/>
                              <wps:spPr>
                                <a:xfrm>
                                  <a:off x="3018" y="1440936"/>
                                  <a:ext cx="1392"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土石方开挖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直接箭头连接符 29"/>
                              <wps:cNvCnPr>
                                <a:stCxn id="15" idx="3"/>
                              </wps:cNvCnPr>
                              <wps:spPr>
                                <a:xfrm flipV="1">
                                  <a:off x="4410" y="1441176"/>
                                  <a:ext cx="480" cy="6"/>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 name="文本框 33"/>
                              <wps:cNvSpPr txBox="1"/>
                              <wps:spPr>
                                <a:xfrm>
                                  <a:off x="4878" y="1440948"/>
                                  <a:ext cx="1392"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中粗砂垫层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58"/>
                              <wps:cNvCnPr/>
                              <wps:spPr>
                                <a:xfrm flipV="1">
                                  <a:off x="6294" y="1441188"/>
                                  <a:ext cx="480" cy="6"/>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7" name="文本框 57"/>
                              <wps:cNvSpPr txBox="1"/>
                              <wps:spPr>
                                <a:xfrm>
                                  <a:off x="6762" y="1440960"/>
                                  <a:ext cx="1392"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混凝土浇筑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60"/>
                              <wps:cNvCnPr/>
                              <wps:spPr>
                                <a:xfrm flipV="1">
                                  <a:off x="8154" y="1441200"/>
                                  <a:ext cx="480" cy="6"/>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9" name="文本框 59"/>
                              <wps:cNvSpPr txBox="1"/>
                              <wps:spPr>
                                <a:xfrm>
                                  <a:off x="8622" y="1440972"/>
                                  <a:ext cx="1272"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管道安装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62"/>
                              <wps:cNvCnPr/>
                              <wps:spPr>
                                <a:xfrm flipV="1">
                                  <a:off x="9894" y="1441212"/>
                                  <a:ext cx="480" cy="6"/>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1" name="文本框 61"/>
                              <wps:cNvSpPr txBox="1"/>
                              <wps:spPr>
                                <a:xfrm>
                                  <a:off x="10362" y="1440984"/>
                                  <a:ext cx="1392"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土石方回填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连接符 63"/>
                              <wps:cNvCnPr>
                                <a:stCxn id="15" idx="0"/>
                              </wps:cNvCnPr>
                              <wps:spPr>
                                <a:xfrm flipH="1" flipV="1">
                                  <a:off x="3708" y="1440600"/>
                                  <a:ext cx="6" cy="33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 name="直接连接符 64"/>
                              <wps:cNvCnPr/>
                              <wps:spPr>
                                <a:xfrm flipH="1" flipV="1">
                                  <a:off x="5592" y="1440624"/>
                                  <a:ext cx="6" cy="33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 name="直接连接符 65"/>
                              <wps:cNvCnPr/>
                              <wps:spPr>
                                <a:xfrm flipH="1" flipV="1">
                                  <a:off x="7476" y="1440624"/>
                                  <a:ext cx="6" cy="33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6" name="直接连接符 66"/>
                              <wps:cNvCnPr/>
                              <wps:spPr>
                                <a:xfrm flipH="1" flipV="1">
                                  <a:off x="9204" y="1440624"/>
                                  <a:ext cx="6" cy="33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7" name="直接连接符 67"/>
                              <wps:cNvCnPr/>
                              <wps:spPr>
                                <a:xfrm flipH="1" flipV="1">
                                  <a:off x="10968" y="1440624"/>
                                  <a:ext cx="6" cy="33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8" name="直接连接符 68"/>
                              <wps:cNvCnPr/>
                              <wps:spPr>
                                <a:xfrm>
                                  <a:off x="3696" y="1440612"/>
                                  <a:ext cx="7308"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 name="直接箭头连接符 70"/>
                              <wps:cNvCnPr/>
                              <wps:spPr>
                                <a:xfrm flipV="1">
                                  <a:off x="7488" y="1440360"/>
                                  <a:ext cx="12" cy="252"/>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71" name="文本框 71"/>
                              <wps:cNvSpPr txBox="1"/>
                              <wps:spPr>
                                <a:xfrm>
                                  <a:off x="3092" y="1439904"/>
                                  <a:ext cx="8289" cy="5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施工扬尘、施工噪声、废气土石方、建筑垃圾、生活垃圾、施工机械废气、生活污水等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75pt;margin-top:5.05pt;height:79.2pt;width:436.8pt;z-index:251667456;mso-width-relative:page;mso-height-relative:page;" coordorigin="3018,1439904" coordsize="8736,1584" o:gfxdata="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UmZS1dgAAAAJAQAADwAAAAAAAAABACAAAAAi&#10;AAAAZHJzL2Rvd25yZXYueG1sUEsBAhQAFAAAAAgAh07iQJ7aWT2aBQAALykAAA4AAAAAAAAAAQAg&#10;AAAAJwEAAGRycy9lMm9Eb2MueG1sUEsFBgAAAAAGAAYAWQEAADMJAAAAAA==&#10;">
                      <o:lock v:ext="edit" aspectratio="f"/>
                      <v:shape id="_x0000_s1026" o:spid="_x0000_s1026" o:spt="202" type="#_x0000_t202" style="position:absolute;left:3018;top:1440936;height:504;width:1392;"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土石方开挖</w:t>
                              </w:r>
                            </w:p>
                          </w:txbxContent>
                        </v:textbox>
                      </v:shape>
                      <v:shape id="_x0000_s1026" o:spid="_x0000_s1026" o:spt="32" type="#_x0000_t32" style="position:absolute;left:4410;top:1441176;flip:y;height:6;width:480;" filled="f" stroked="t" coordsize="21600,21600" o:gfxdata="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yivQAA&#10;ANs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_x0000_s1026" o:spid="_x0000_s1026" o:spt="202" type="#_x0000_t202" style="position:absolute;left:4878;top:1440948;height:504;width:1392;"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中粗砂垫层</w:t>
                              </w:r>
                            </w:p>
                          </w:txbxContent>
                        </v:textbox>
                      </v:shape>
                      <v:shape id="_x0000_s1026" o:spid="_x0000_s1026" o:spt="32" type="#_x0000_t32" style="position:absolute;left:6294;top:1441188;flip:y;height:6;width:480;" filled="f" stroked="t" coordsize="21600,21600" o:gfxdata="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NKRLsAAADb&#10;AAAADwAAAAAAAAABACAAAAAiAAAAZHJzL2Rvd25yZXYueG1sUEsBAhQAFAAAAAgAh07iQDMvBZ47&#10;AAAAOQAAABAAAAAAAAAAAQAgAAAACgEAAGRycy9zaGFwZXhtbC54bWxQSwUGAAAAAAYABgBbAQAA&#10;tAMAAAAA&#10;">
                        <v:fill on="f" focussize="0,0"/>
                        <v:stroke weight="1pt" color="#000000 [3213]" joinstyle="round" endarrow="open"/>
                        <v:imagedata o:title=""/>
                        <o:lock v:ext="edit" aspectratio="f"/>
                      </v:shape>
                      <v:shape id="_x0000_s1026" o:spid="_x0000_s1026" o:spt="202" type="#_x0000_t202" style="position:absolute;left:6762;top:1440960;height:504;width:1392;" fillcolor="#FFFFFF [3201]" filled="t" stroked="t" coordsize="21600,21600" o:gfxdata="UEsDBAoAAAAAAIdO4kAAAAAAAAAAAAAAAAAEAAAAZHJzL1BLAwQUAAAACACHTuJA5XejkrcAAADb&#10;AAAADwAAAGRycy9kb3ducmV2LnhtbEWPzQrCMBCE74LvEFbwpqmKP1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d6OS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混凝土浇筑</w:t>
                              </w:r>
                            </w:p>
                          </w:txbxContent>
                        </v:textbox>
                      </v:shape>
                      <v:shape id="_x0000_s1026" o:spid="_x0000_s1026" o:spt="32" type="#_x0000_t32" style="position:absolute;left:8154;top:1441200;flip:y;height:6;width:480;" filled="f" stroked="t" coordsize="21600,21600" o:gfxdata="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mM/7sAAADb&#10;AAAADwAAAAAAAAABACAAAAAiAAAAZHJzL2Rvd25yZXYueG1sUEsBAhQAFAAAAAgAh07iQDMvBZ47&#10;AAAAOQAAABAAAAAAAAAAAQAgAAAACgEAAGRycy9zaGFwZXhtbC54bWxQSwUGAAAAAAYABgBbAQAA&#10;tAMAAAAA&#10;">
                        <v:fill on="f" focussize="0,0"/>
                        <v:stroke weight="1pt" color="#000000 [3213]" joinstyle="round" endarrow="open"/>
                        <v:imagedata o:title=""/>
                        <o:lock v:ext="edit" aspectratio="f"/>
                      </v:shape>
                      <v:shape id="_x0000_s1026" o:spid="_x0000_s1026" o:spt="202" type="#_x0000_t202" style="position:absolute;left:8622;top:1440972;height:504;width:1272;" fillcolor="#FFFFFF [3201]" filled="t" stroked="t" coordsize="21600,21600" o:gfxdata="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pJJ7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管道安装</w:t>
                              </w:r>
                            </w:p>
                          </w:txbxContent>
                        </v:textbox>
                      </v:shape>
                      <v:shape id="_x0000_s1026" o:spid="_x0000_s1026" o:spt="32" type="#_x0000_t32" style="position:absolute;left:9894;top:1441212;flip:y;height:6;width:480;" filled="f" stroked="t" coordsize="21600,21600" o:gfxdata="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e3E74A&#10;AADb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202" type="#_x0000_t202" style="position:absolute;left:10362;top:1440984;height:504;width:1392;" fillcolor="#FFFFFF [3201]" filled="t" stroked="t" coordsize="21600,21600" o:gfxdata="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u+VM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土石方回填</w:t>
                              </w:r>
                            </w:p>
                          </w:txbxContent>
                        </v:textbox>
                      </v:shape>
                      <v:line id="_x0000_s1026" o:spid="_x0000_s1026" o:spt="20" style="position:absolute;left:3708;top:1440600;flip:x y;height:336;width:6;" filled="f" stroked="t" coordsize="21600,21600" o:gfxdata="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W4Mr4A&#10;AADb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_x0000_s1026" o:spid="_x0000_s1026" o:spt="20" style="position:absolute;left:5592;top:1440624;flip:x y;height:336;width:6;" filled="f" stroked="t" coordsize="21600,21600" o:gfxdata="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wgRr4A&#10;AADb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_x0000_s1026" o:spid="_x0000_s1026" o:spt="20" style="position:absolute;left:7476;top:1440624;flip:x y;height:336;width:6;" filled="f" stroked="t" coordsize="21600,21600" o:gfxdata="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4IXd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9204;top:1440624;flip:x y;height:336;width:6;" filled="f" stroked="t" coordsize="21600,21600" o:gfxdata="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yG6q8AAAA&#10;2w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line id="_x0000_s1026" o:spid="_x0000_s1026" o:spt="20" style="position:absolute;left:10968;top:1440624;flip:x y;height:336;width:6;" filled="f" stroked="t" coordsize="21600,21600" o:gfxdata="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r4x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_x0000_s1026" o:spid="_x0000_s1026" o:spt="20" style="position:absolute;left:3696;top:1440612;height:0;width:7308;" filled="f" stroked="t" coordsize="21600,21600" o:gfxdata="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GE07gAAADbAAAA&#10;DwAAAAAAAAABACAAAAAiAAAAZHJzL2Rvd25yZXYueG1sUEsBAhQAFAAAAAgAh07iQDMvBZ47AAAA&#10;OQAAABAAAAAAAAAAAQAgAAAABwEAAGRycy9zaGFwZXhtbC54bWxQSwUGAAAAAAYABgBbAQAAsQMA&#10;AAAA&#10;">
                        <v:fill on="f" focussize="0,0"/>
                        <v:stroke weight="1pt" color="#000000 [3213]" joinstyle="round"/>
                        <v:imagedata o:title=""/>
                        <o:lock v:ext="edit" aspectratio="f"/>
                      </v:line>
                      <v:shape id="_x0000_s1026" o:spid="_x0000_s1026" o:spt="32" type="#_x0000_t32" style="position:absolute;left:7488;top:1440360;flip:y;height:252;width:12;" filled="f" stroked="t" coordsize="21600,21600" o:gfxdata="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AaIrsAAADb&#10;AAAADwAAAAAAAAABACAAAAAiAAAAZHJzL2Rvd25yZXYueG1sUEsBAhQAFAAAAAgAh07iQDMvBZ47&#10;AAAAOQAAABAAAAAAAAAAAQAgAAAACgEAAGRycy9zaGFwZXhtbC54bWxQSwUGAAAAAAYABgBbAQAA&#10;tAMAAAAA&#10;">
                        <v:fill on="f" focussize="0,0"/>
                        <v:stroke weight="1pt" color="#000000 [3213]" joinstyle="round" endarrow="open"/>
                        <v:imagedata o:title=""/>
                        <o:lock v:ext="edit" aspectratio="f"/>
                      </v:shape>
                      <v:shape id="_x0000_s1026" o:spid="_x0000_s1026" o:spt="202" type="#_x0000_t202" style="position:absolute;left:3092;top:1439904;height:504;width:8289;" fillcolor="#FFFFFF [3201]" filled="t" stroked="t" coordsize="21600,21600" o:gfxdata="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Z8I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施工扬尘、施工噪声、废气土石方、建筑垃圾、生活垃圾、施工机械废气、生活污水等</w:t>
                              </w:r>
                            </w:p>
                          </w:txbxContent>
                        </v:textbox>
                      </v:shape>
                    </v:group>
                  </w:pict>
                </mc:Fallback>
              </mc:AlternateConten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6" w:firstLineChars="200"/>
              <w:textAlignment w:val="auto"/>
              <w:rPr>
                <w:b/>
                <w:bCs/>
                <w:color w:val="auto"/>
                <w:spacing w:val="-9"/>
                <w:sz w:val="24"/>
                <w:szCs w:val="24"/>
                <w:highlight w:val="none"/>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6" w:firstLineChars="200"/>
              <w:textAlignment w:val="auto"/>
              <w:rPr>
                <w:b/>
                <w:bCs/>
                <w:color w:val="auto"/>
                <w:spacing w:val="-9"/>
                <w:sz w:val="24"/>
                <w:szCs w:val="24"/>
                <w:highlight w:val="none"/>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46" w:firstLineChars="200"/>
              <w:textAlignment w:val="auto"/>
              <w:rPr>
                <w:b/>
                <w:bCs/>
                <w:color w:val="auto"/>
                <w:spacing w:val="-9"/>
                <w:sz w:val="24"/>
                <w:szCs w:val="24"/>
                <w:highlight w:val="none"/>
              </w:rPr>
            </w:pP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4</w:t>
            </w:r>
            <w:r>
              <w:rPr>
                <w:b/>
                <w:bCs/>
                <w:color w:val="auto"/>
                <w:spacing w:val="0"/>
                <w:sz w:val="21"/>
                <w:szCs w:val="21"/>
                <w:highlight w:val="none"/>
              </w:rPr>
              <w:t xml:space="preserve">  管道工程施工工艺流程及产污环节图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⑴ </w:t>
            </w:r>
            <w:r>
              <w:rPr>
                <w:rFonts w:hint="default" w:ascii="Arial" w:hAnsi="Arial" w:eastAsia="宋体" w:cs="Arial"/>
                <w:b/>
                <w:bCs/>
                <w:color w:val="auto"/>
                <w:spacing w:val="-4"/>
                <w:sz w:val="24"/>
                <w:szCs w:val="24"/>
                <w:highlight w:val="none"/>
              </w:rPr>
              <w:t>土石方开挖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埋管段土石方开挖以强风化岩体为主，深度2.0~4.35m不等；土方在各工程区由远及近退挖；石方6m</w:t>
            </w:r>
            <w:r>
              <w:rPr>
                <w:rFonts w:hint="eastAsia" w:ascii="Arial" w:hAnsi="Arial" w:cs="Arial"/>
                <w:color w:val="auto"/>
                <w:spacing w:val="0"/>
                <w:sz w:val="24"/>
                <w:szCs w:val="24"/>
                <w:highlight w:val="none"/>
                <w:vertAlign w:val="superscript"/>
                <w:lang w:val="en-US" w:eastAsia="zh-CN"/>
              </w:rPr>
              <w:t>3</w:t>
            </w:r>
            <w:r>
              <w:rPr>
                <w:rFonts w:hint="default" w:ascii="Arial" w:hAnsi="Arial" w:eastAsia="宋体" w:cs="Arial"/>
                <w:color w:val="auto"/>
                <w:spacing w:val="0"/>
                <w:sz w:val="24"/>
                <w:szCs w:val="24"/>
                <w:highlight w:val="none"/>
              </w:rPr>
              <w:t>移动式空压机供风，YT28型手风钻钻孔，浅孔松动爆破，0.5m</w:t>
            </w:r>
            <w:r>
              <w:rPr>
                <w:rFonts w:hint="eastAsia" w:ascii="Arial" w:hAnsi="Arial" w:cs="Arial"/>
                <w:color w:val="auto"/>
                <w:spacing w:val="0"/>
                <w:sz w:val="24"/>
                <w:szCs w:val="24"/>
                <w:highlight w:val="none"/>
                <w:vertAlign w:val="superscript"/>
                <w:lang w:val="en-US" w:eastAsia="zh-CN"/>
              </w:rPr>
              <w:t>3</w:t>
            </w:r>
            <w:r>
              <w:rPr>
                <w:rFonts w:hint="default" w:ascii="Arial" w:hAnsi="Arial" w:eastAsia="宋体" w:cs="Arial"/>
                <w:color w:val="auto"/>
                <w:spacing w:val="0"/>
                <w:sz w:val="24"/>
                <w:szCs w:val="24"/>
                <w:highlight w:val="none"/>
              </w:rPr>
              <w:t>装载机集渣，0.5m</w:t>
            </w:r>
            <w:r>
              <w:rPr>
                <w:rFonts w:hint="eastAsia" w:ascii="Arial" w:hAnsi="Arial" w:cs="Arial"/>
                <w:color w:val="auto"/>
                <w:spacing w:val="0"/>
                <w:sz w:val="24"/>
                <w:szCs w:val="24"/>
                <w:highlight w:val="none"/>
                <w:vertAlign w:val="superscript"/>
                <w:lang w:val="en-US" w:eastAsia="zh-CN"/>
              </w:rPr>
              <w:t>3</w:t>
            </w:r>
            <w:r>
              <w:rPr>
                <w:rFonts w:hint="default" w:ascii="Arial" w:hAnsi="Arial" w:eastAsia="宋体" w:cs="Arial"/>
                <w:color w:val="auto"/>
                <w:spacing w:val="0"/>
                <w:sz w:val="24"/>
                <w:szCs w:val="24"/>
                <w:highlight w:val="none"/>
              </w:rPr>
              <w:t>反铲挖机装5~8t自卸汽车运输2.0km至渣场堆放。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w:t>
            </w:r>
            <w:r>
              <w:rPr>
                <w:rFonts w:hint="default" w:ascii="Arial" w:hAnsi="Arial" w:cs="Arial"/>
                <w:i/>
                <w:iCs/>
                <w:color w:val="auto"/>
                <w:spacing w:val="-1"/>
                <w:sz w:val="24"/>
                <w:szCs w:val="24"/>
                <w:highlight w:val="none"/>
              </w:rPr>
              <w:t>施工扬尘、施工噪声、废气土石方、建筑垃圾、生活垃圾、施工机械废气、生活污水等。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⑵ </w:t>
            </w:r>
            <w:r>
              <w:rPr>
                <w:rFonts w:hint="default" w:ascii="Arial" w:hAnsi="Arial" w:eastAsia="宋体" w:cs="Arial"/>
                <w:b/>
                <w:bCs/>
                <w:color w:val="auto"/>
                <w:spacing w:val="-4"/>
                <w:sz w:val="24"/>
                <w:szCs w:val="24"/>
                <w:highlight w:val="none"/>
              </w:rPr>
              <w:t>中粗砂垫层</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螺旋钢管底部的中粗砂垫层料采用人工骨料，5~8t自卸汽车运输至工程区后转1t机动翻斗车运输500m至各施工区最里端卸料，后退法铺填，80型蛙式打夯机夯实；管道两侧的中粗砂1t机动翻斗车运输500m至各施工区最外端卸料，进占法铺填，人工辅以80型蛙式打夯机夯实。</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为施工扬尘、</w:t>
            </w:r>
            <w:r>
              <w:rPr>
                <w:rFonts w:hint="default" w:ascii="Arial" w:hAnsi="Arial" w:cs="Arial"/>
                <w:i/>
                <w:iCs/>
                <w:color w:val="auto"/>
                <w:spacing w:val="-1"/>
                <w:sz w:val="24"/>
                <w:szCs w:val="24"/>
                <w:highlight w:val="none"/>
              </w:rPr>
              <w:t>施工噪声、生活垃圾、施工机械废气、生活污水等。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⑶ 镇、</w:t>
            </w:r>
            <w:r>
              <w:rPr>
                <w:rFonts w:hint="default" w:ascii="Arial" w:hAnsi="Arial" w:eastAsia="宋体" w:cs="Arial"/>
                <w:b/>
                <w:bCs/>
                <w:color w:val="auto"/>
                <w:spacing w:val="-4"/>
                <w:sz w:val="24"/>
                <w:szCs w:val="24"/>
                <w:highlight w:val="none"/>
              </w:rPr>
              <w:t>支墩混凝土浇筑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eastAsia="宋体" w:cs="Arial"/>
                <w:color w:val="auto"/>
                <w:spacing w:val="-1"/>
                <w:sz w:val="24"/>
                <w:szCs w:val="24"/>
                <w:highlight w:val="none"/>
              </w:rPr>
            </w:pPr>
            <w:r>
              <w:rPr>
                <w:rFonts w:hint="eastAsia" w:ascii="Arial" w:hAnsi="Arial" w:cs="Arial"/>
                <w:color w:val="auto"/>
                <w:spacing w:val="-3"/>
                <w:sz w:val="24"/>
                <w:szCs w:val="24"/>
                <w:highlight w:val="none"/>
                <w:lang w:val="en-US" w:eastAsia="zh-CN"/>
              </w:rPr>
              <w:t>镇、</w:t>
            </w:r>
            <w:r>
              <w:rPr>
                <w:rFonts w:hint="default" w:ascii="Arial" w:hAnsi="Arial" w:eastAsia="宋体" w:cs="Arial"/>
                <w:color w:val="auto"/>
                <w:spacing w:val="-3"/>
                <w:sz w:val="24"/>
                <w:szCs w:val="24"/>
                <w:highlight w:val="none"/>
              </w:rPr>
              <w:t>支墩混凝土采用</w:t>
            </w:r>
            <w:r>
              <w:rPr>
                <w:rFonts w:hint="default" w:ascii="Arial" w:hAnsi="Arial" w:eastAsia="宋体" w:cs="Arial"/>
                <w:color w:val="auto"/>
                <w:spacing w:val="-50"/>
                <w:sz w:val="24"/>
                <w:szCs w:val="24"/>
                <w:highlight w:val="none"/>
              </w:rPr>
              <w:t xml:space="preserve"> </w:t>
            </w:r>
            <w:r>
              <w:rPr>
                <w:rFonts w:hint="default" w:ascii="Arial" w:hAnsi="Arial" w:eastAsia="宋体" w:cs="Arial"/>
                <w:color w:val="auto"/>
                <w:spacing w:val="-3"/>
                <w:sz w:val="24"/>
                <w:szCs w:val="24"/>
                <w:highlight w:val="none"/>
              </w:rPr>
              <w:t>0.8m</w:t>
            </w:r>
            <w:r>
              <w:rPr>
                <w:rFonts w:hint="eastAsia" w:ascii="Arial" w:hAnsi="Arial" w:cs="Arial"/>
                <w:color w:val="auto"/>
                <w:spacing w:val="-3"/>
                <w:sz w:val="24"/>
                <w:szCs w:val="24"/>
                <w:highlight w:val="none"/>
                <w:vertAlign w:val="superscript"/>
                <w:lang w:val="en-US" w:eastAsia="zh-CN"/>
              </w:rPr>
              <w:t>3</w:t>
            </w:r>
            <w:r>
              <w:rPr>
                <w:rFonts w:hint="default" w:ascii="Arial" w:hAnsi="Arial" w:eastAsia="宋体" w:cs="Arial"/>
                <w:color w:val="auto"/>
                <w:spacing w:val="-3"/>
                <w:sz w:val="24"/>
                <w:szCs w:val="24"/>
                <w:highlight w:val="none"/>
              </w:rPr>
              <w:t>拌和机拌制二级配，1t机动翻斗车运输</w:t>
            </w:r>
            <w:r>
              <w:rPr>
                <w:rFonts w:hint="default" w:ascii="Arial" w:hAnsi="Arial" w:eastAsia="宋体" w:cs="Arial"/>
                <w:color w:val="auto"/>
                <w:spacing w:val="-52"/>
                <w:sz w:val="24"/>
                <w:szCs w:val="24"/>
                <w:highlight w:val="none"/>
              </w:rPr>
              <w:t xml:space="preserve"> </w:t>
            </w:r>
            <w:r>
              <w:rPr>
                <w:rFonts w:hint="default" w:ascii="Arial" w:hAnsi="Arial" w:eastAsia="宋体" w:cs="Arial"/>
                <w:color w:val="auto"/>
                <w:spacing w:val="-3"/>
                <w:sz w:val="24"/>
                <w:szCs w:val="24"/>
                <w:highlight w:val="none"/>
              </w:rPr>
              <w:t>0.50km至</w:t>
            </w:r>
            <w:r>
              <w:rPr>
                <w:rFonts w:hint="default" w:ascii="Arial" w:hAnsi="Arial" w:eastAsia="宋体" w:cs="Arial"/>
                <w:color w:val="auto"/>
                <w:sz w:val="24"/>
                <w:szCs w:val="24"/>
                <w:highlight w:val="none"/>
              </w:rPr>
              <w:t>各施工区最里端卸入料斗，人工入仓，钢模板成型，2.2kW插入式振</w:t>
            </w:r>
            <w:r>
              <w:rPr>
                <w:rFonts w:hint="default" w:ascii="Arial" w:hAnsi="Arial" w:eastAsia="宋体" w:cs="Arial"/>
                <w:color w:val="auto"/>
                <w:spacing w:val="-1"/>
                <w:sz w:val="24"/>
                <w:szCs w:val="24"/>
                <w:highlight w:val="none"/>
              </w:rPr>
              <w:t>捣器捣实，</w:t>
            </w:r>
            <w:r>
              <w:rPr>
                <w:rFonts w:hint="default" w:ascii="Arial" w:hAnsi="Arial" w:eastAsia="宋体" w:cs="Arial"/>
                <w:color w:val="auto"/>
                <w:spacing w:val="1"/>
                <w:sz w:val="24"/>
                <w:szCs w:val="24"/>
                <w:highlight w:val="none"/>
              </w:rPr>
              <w:t>混凝土养护在砌筑结束后12小时内实施，保持混凝土表面湿润，并覆盖草席。</w:t>
            </w:r>
            <w:r>
              <w:rPr>
                <w:rFonts w:hint="eastAsia" w:ascii="Arial" w:hAnsi="Arial" w:cs="Arial"/>
                <w:color w:val="auto"/>
                <w:spacing w:val="1"/>
                <w:sz w:val="24"/>
                <w:szCs w:val="24"/>
                <w:highlight w:val="none"/>
                <w:lang w:val="en-US" w:eastAsia="zh-CN"/>
              </w:rPr>
              <w:t>镇、</w:t>
            </w:r>
            <w:r>
              <w:rPr>
                <w:rFonts w:hint="default" w:ascii="Arial" w:hAnsi="Arial" w:eastAsia="宋体" w:cs="Arial"/>
                <w:color w:val="auto"/>
                <w:spacing w:val="-1"/>
                <w:sz w:val="24"/>
                <w:szCs w:val="24"/>
                <w:highlight w:val="none"/>
              </w:rPr>
              <w:t>支墩混凝土由各施工区由里向外后退法浇筑。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w:t>
            </w:r>
            <w:r>
              <w:rPr>
                <w:rFonts w:hint="default" w:ascii="Arial" w:hAnsi="Arial" w:cs="Arial"/>
                <w:i/>
                <w:iCs/>
                <w:color w:val="auto"/>
                <w:spacing w:val="-1"/>
                <w:sz w:val="24"/>
                <w:szCs w:val="24"/>
                <w:highlight w:val="none"/>
              </w:rPr>
              <w:t>施工噪声、生活垃圾、施工机械废气、生活污水等。</w:t>
            </w:r>
          </w:p>
          <w:p>
            <w:pPr>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eastAsia="宋体" w:cs="Arial"/>
                <w:color w:val="auto"/>
                <w:spacing w:val="-3"/>
                <w:sz w:val="24"/>
                <w:szCs w:val="24"/>
                <w:highlight w:val="none"/>
              </w:rPr>
            </w:pPr>
            <w:r>
              <w:rPr>
                <w:rFonts w:hint="eastAsia" w:ascii="Arial" w:hAnsi="Arial" w:cs="Arial"/>
                <w:b/>
                <w:bCs/>
                <w:color w:val="auto"/>
                <w:spacing w:val="-5"/>
                <w:sz w:val="24"/>
                <w:szCs w:val="24"/>
                <w:highlight w:val="none"/>
                <w:lang w:val="en-US" w:eastAsia="zh-CN"/>
              </w:rPr>
              <w:t xml:space="preserve">⑷ </w:t>
            </w:r>
            <w:r>
              <w:rPr>
                <w:rFonts w:hint="default" w:ascii="Arial" w:hAnsi="Arial" w:eastAsia="宋体" w:cs="Arial"/>
                <w:b/>
                <w:bCs/>
                <w:color w:val="auto"/>
                <w:spacing w:val="-5"/>
                <w:sz w:val="24"/>
                <w:szCs w:val="24"/>
                <w:highlight w:val="none"/>
              </w:rPr>
              <w:t>管道安装</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螺旋钢管和玻璃夹砂管委托成都专业生产厂家定制，单根长度6.0m~9.0m，个别地段根据渠道轴线布置，采用3.0m~6.0m。管道</w:t>
            </w:r>
            <w:r>
              <w:rPr>
                <w:rFonts w:hint="eastAsia" w:ascii="Arial" w:hAnsi="Arial" w:cs="Arial"/>
                <w:color w:val="auto"/>
                <w:spacing w:val="0"/>
                <w:sz w:val="24"/>
                <w:szCs w:val="24"/>
                <w:highlight w:val="none"/>
                <w:lang w:val="en-US" w:eastAsia="zh-CN"/>
              </w:rPr>
              <w:t>使用</w:t>
            </w:r>
            <w:r>
              <w:rPr>
                <w:rFonts w:hint="default" w:ascii="Arial" w:hAnsi="Arial" w:eastAsia="宋体" w:cs="Arial"/>
                <w:color w:val="auto"/>
                <w:spacing w:val="0"/>
                <w:sz w:val="24"/>
                <w:szCs w:val="24"/>
                <w:highlight w:val="none"/>
              </w:rPr>
              <w:t>10~15t载重汽车运输到各工区存放，平板汽车运输500m至分段工区的最里端，1t机动翻斗车改装的桅杆式起重机后退法吊装至渠内，螺旋钢管人工安装就位后焊接。玻璃夹砂管承口迎向水流方向，插口与水流方向一致布置；将橡胶圈套入插口上的凹槽内，沿橡胶圈四周依次向外适当用力拉离凹槽并慢慢放回凹槽，以保证橡胶圈在凹槽内受力均匀，没有扭曲；在插口上做好安装限位标记，在承口前衬填厚木板，前置沟槽的挖掘机沿着管轴方向推动管节，使插口部分的橡胶圈到达插口内，用倒链慢慢紧固承插口，直至插口达到预定的连接位置。</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Arial" w:hAnsi="Arial" w:eastAsia="宋体" w:cs="Arial"/>
                <w:color w:val="auto"/>
                <w:spacing w:val="0"/>
                <w:sz w:val="24"/>
                <w:szCs w:val="24"/>
                <w:highlight w:val="none"/>
                <w:lang w:val="en-US" w:eastAsia="zh-CN"/>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w:t>
            </w:r>
            <w:r>
              <w:rPr>
                <w:rFonts w:hint="default" w:ascii="Arial" w:hAnsi="Arial" w:cs="Arial"/>
                <w:i/>
                <w:iCs/>
                <w:color w:val="auto"/>
                <w:spacing w:val="-1"/>
                <w:sz w:val="24"/>
                <w:szCs w:val="24"/>
                <w:highlight w:val="none"/>
              </w:rPr>
              <w:t>施工噪声、生活垃圾</w:t>
            </w:r>
            <w:r>
              <w:rPr>
                <w:rFonts w:hint="eastAsia" w:ascii="Arial" w:hAnsi="Arial" w:cs="Arial"/>
                <w:i/>
                <w:iCs/>
                <w:color w:val="auto"/>
                <w:spacing w:val="-1"/>
                <w:sz w:val="24"/>
                <w:szCs w:val="24"/>
                <w:highlight w:val="none"/>
                <w:lang w:val="en-US" w:eastAsia="zh-CN"/>
              </w:rPr>
              <w:t>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4"/>
                <w:sz w:val="24"/>
                <w:szCs w:val="24"/>
                <w:highlight w:val="none"/>
                <w:lang w:val="en-US" w:eastAsia="zh-CN"/>
              </w:rPr>
              <w:t xml:space="preserve">⑸ </w:t>
            </w:r>
            <w:r>
              <w:rPr>
                <w:rFonts w:hint="default" w:ascii="Arial" w:hAnsi="Arial" w:eastAsia="宋体" w:cs="Arial"/>
                <w:b/>
                <w:bCs/>
                <w:color w:val="auto"/>
                <w:spacing w:val="-4"/>
                <w:sz w:val="24"/>
                <w:szCs w:val="24"/>
                <w:highlight w:val="none"/>
              </w:rPr>
              <w:t>土石方回填</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支渠螺旋钢管和玻璃夹砂管上部土石回填料土石混合料回填，土石混合比1：8；土石回填料0.5m</w:t>
            </w:r>
            <w:r>
              <w:rPr>
                <w:rFonts w:hint="eastAsia" w:ascii="Arial" w:hAnsi="Arial" w:cs="Arial"/>
                <w:color w:val="auto"/>
                <w:spacing w:val="0"/>
                <w:sz w:val="24"/>
                <w:szCs w:val="24"/>
                <w:highlight w:val="none"/>
                <w:vertAlign w:val="superscript"/>
                <w:lang w:val="en-US" w:eastAsia="zh-CN"/>
              </w:rPr>
              <w:t>3</w:t>
            </w:r>
            <w:r>
              <w:rPr>
                <w:rFonts w:hint="default" w:ascii="Arial" w:hAnsi="Arial" w:eastAsia="宋体" w:cs="Arial"/>
                <w:color w:val="auto"/>
                <w:spacing w:val="0"/>
                <w:sz w:val="24"/>
                <w:szCs w:val="24"/>
                <w:highlight w:val="none"/>
              </w:rPr>
              <w:t>反挖装1t机动翻斗车从弃渣场回采2.0km至各施工区最外侧，进占法铺筑，挖掘机平整，利用自卸汽车和挖掘机行走碾压即可。</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i/>
                <w:iCs/>
                <w:color w:val="auto"/>
                <w:sz w:val="24"/>
                <w:szCs w:val="24"/>
                <w:highlight w:val="none"/>
              </w:rPr>
            </w:pPr>
            <w:r>
              <w:rPr>
                <w:rFonts w:hint="eastAsia" w:ascii="Arial" w:hAnsi="Arial" w:cs="Arial"/>
                <w:i/>
                <w:iCs/>
                <w:color w:val="auto"/>
                <w:spacing w:val="-1"/>
                <w:sz w:val="24"/>
                <w:szCs w:val="24"/>
                <w:highlight w:val="none"/>
                <w:lang w:val="en-US" w:eastAsia="zh-CN"/>
              </w:rPr>
              <w:t>该</w:t>
            </w:r>
            <w:r>
              <w:rPr>
                <w:rFonts w:hint="default" w:ascii="Arial" w:hAnsi="Arial" w:cs="Arial"/>
                <w:i/>
                <w:iCs/>
                <w:color w:val="auto"/>
                <w:spacing w:val="-1"/>
                <w:sz w:val="24"/>
                <w:szCs w:val="24"/>
                <w:highlight w:val="none"/>
              </w:rPr>
              <w:t>过程产生</w:t>
            </w:r>
            <w:r>
              <w:rPr>
                <w:rFonts w:hint="eastAsia" w:ascii="Arial" w:hAnsi="Arial" w:cs="Arial"/>
                <w:i/>
                <w:iCs/>
                <w:color w:val="auto"/>
                <w:spacing w:val="-1"/>
                <w:sz w:val="24"/>
                <w:szCs w:val="24"/>
                <w:highlight w:val="none"/>
                <w:lang w:val="en-US" w:eastAsia="zh-CN"/>
              </w:rPr>
              <w:t>的污染物为</w:t>
            </w:r>
            <w:r>
              <w:rPr>
                <w:rFonts w:hint="default" w:ascii="Arial" w:hAnsi="Arial" w:cs="Arial"/>
                <w:i/>
                <w:iCs/>
                <w:color w:val="auto"/>
                <w:spacing w:val="-1"/>
                <w:sz w:val="24"/>
                <w:szCs w:val="24"/>
                <w:highlight w:val="none"/>
              </w:rPr>
              <w:t>主要</w:t>
            </w:r>
            <w:r>
              <w:rPr>
                <w:rFonts w:hint="eastAsia" w:ascii="Arial" w:hAnsi="Arial" w:cs="Arial"/>
                <w:i/>
                <w:iCs/>
                <w:color w:val="auto"/>
                <w:spacing w:val="-1"/>
                <w:sz w:val="24"/>
                <w:szCs w:val="24"/>
                <w:highlight w:val="none"/>
                <w:lang w:val="en-US" w:eastAsia="zh-CN"/>
              </w:rPr>
              <w:t>为</w:t>
            </w:r>
            <w:r>
              <w:rPr>
                <w:rFonts w:hint="default" w:ascii="Arial" w:hAnsi="Arial" w:cs="Arial"/>
                <w:i/>
                <w:iCs/>
                <w:color w:val="auto"/>
                <w:spacing w:val="-1"/>
                <w:sz w:val="24"/>
                <w:szCs w:val="24"/>
                <w:highlight w:val="none"/>
              </w:rPr>
              <w:t>施工扬尘、施工噪声、废气土石方、施工机械废气、生活污水等。</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5"/>
                <w:sz w:val="24"/>
                <w:szCs w:val="24"/>
                <w:highlight w:val="none"/>
                <w:lang w:val="en-US" w:eastAsia="zh-CN"/>
              </w:rPr>
              <w:t xml:space="preserve">⑹ </w:t>
            </w:r>
            <w:r>
              <w:rPr>
                <w:rFonts w:hint="default" w:ascii="Arial" w:hAnsi="Arial" w:eastAsia="宋体" w:cs="Arial"/>
                <w:b/>
                <w:bCs/>
                <w:color w:val="auto"/>
                <w:spacing w:val="-5"/>
                <w:sz w:val="24"/>
                <w:szCs w:val="24"/>
                <w:highlight w:val="none"/>
              </w:rPr>
              <w:t>小型建筑物施工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小型建筑物主要以分水闸、节制闸、阀门井和放水洞。</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ascii="Arial" w:hAnsi="Arial" w:cs="Arial"/>
                <w:b/>
                <w:bCs/>
                <w:color w:val="auto"/>
                <w:spacing w:val="-5"/>
                <w:sz w:val="24"/>
                <w:szCs w:val="24"/>
                <w:highlight w:val="none"/>
                <w:lang w:val="en-US" w:eastAsia="zh-CN"/>
              </w:rPr>
            </w:pPr>
            <w:r>
              <w:rPr>
                <w:rFonts w:hint="eastAsia" w:ascii="Arial" w:hAnsi="Arial" w:cs="Arial"/>
                <w:b/>
                <w:bCs/>
                <w:color w:val="auto"/>
                <w:spacing w:val="-5"/>
                <w:sz w:val="24"/>
                <w:szCs w:val="24"/>
                <w:highlight w:val="none"/>
                <w:lang w:val="en-US" w:eastAsia="zh-CN"/>
              </w:rPr>
              <w:t xml:space="preserve">① </w:t>
            </w:r>
            <w:r>
              <w:rPr>
                <w:rFonts w:hint="default" w:ascii="Arial" w:hAnsi="Arial" w:cs="Arial"/>
                <w:b/>
                <w:bCs/>
                <w:color w:val="auto"/>
                <w:spacing w:val="-5"/>
                <w:sz w:val="24"/>
                <w:szCs w:val="24"/>
                <w:highlight w:val="none"/>
                <w:lang w:val="en-US" w:eastAsia="zh-CN"/>
              </w:rPr>
              <w:t>土石方开挖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土方0.5m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反铲挖掘机装 5~8t自卸汽车运输；石方3m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移动式空压机供风，YT28型手风钻钻孔，0.5m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反铲挖机装5~8t自卸汽车运输2.0km至渣场堆放。</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ascii="Arial" w:hAnsi="Arial" w:cs="Arial"/>
                <w:b/>
                <w:bCs/>
                <w:color w:val="auto"/>
                <w:spacing w:val="-5"/>
                <w:sz w:val="24"/>
                <w:szCs w:val="24"/>
                <w:highlight w:val="none"/>
                <w:lang w:val="en-US" w:eastAsia="zh-CN"/>
              </w:rPr>
            </w:pPr>
            <w:r>
              <w:rPr>
                <w:rFonts w:hint="eastAsia" w:ascii="Arial" w:hAnsi="Arial" w:cs="Arial"/>
                <w:b/>
                <w:bCs/>
                <w:color w:val="auto"/>
                <w:spacing w:val="-5"/>
                <w:sz w:val="24"/>
                <w:szCs w:val="24"/>
                <w:highlight w:val="none"/>
                <w:lang w:val="en-US" w:eastAsia="zh-CN"/>
              </w:rPr>
              <w:t xml:space="preserve">② </w:t>
            </w:r>
            <w:r>
              <w:rPr>
                <w:rFonts w:hint="default" w:ascii="Arial" w:hAnsi="Arial" w:cs="Arial"/>
                <w:b/>
                <w:bCs/>
                <w:color w:val="auto"/>
                <w:spacing w:val="-5"/>
                <w:sz w:val="24"/>
                <w:szCs w:val="24"/>
                <w:highlight w:val="none"/>
                <w:lang w:val="en-US" w:eastAsia="zh-CN"/>
              </w:rPr>
              <w:t>闸室混凝土浇筑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闸室混凝土采用0.8m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移动式拌和机拌制二级配，1t机动翻斗车运输0.50km至工程区卸入料斗，0.8m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长臂挖掘机运输入仓，2.2kW振捣器捣实；二期混凝土一级配，门槽安装完成后浇筑，附着式联合插入式振捣器捣实。</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启闭机房排架混凝土采用钢管架支撑钢模板成型，钢筋人工绑扎，10t汽车吊吊运0.5m</w:t>
            </w:r>
            <w:r>
              <w:rPr>
                <w:rFonts w:hint="default" w:ascii="Arial" w:hAnsi="Arial" w:eastAsia="宋体" w:cs="Arial"/>
                <w:color w:val="auto"/>
                <w:spacing w:val="0"/>
                <w:sz w:val="24"/>
                <w:szCs w:val="24"/>
                <w:highlight w:val="none"/>
                <w:vertAlign w:val="superscript"/>
              </w:rPr>
              <w:t>3</w:t>
            </w:r>
            <w:r>
              <w:rPr>
                <w:rFonts w:hint="default" w:ascii="Arial" w:hAnsi="Arial" w:eastAsia="宋体" w:cs="Arial"/>
                <w:color w:val="auto"/>
                <w:spacing w:val="0"/>
                <w:sz w:val="24"/>
                <w:szCs w:val="24"/>
                <w:highlight w:val="none"/>
              </w:rPr>
              <w:t>吊罐10m入仓，钢模板成型，插入式振捣器捣实。</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ascii="Arial" w:hAnsi="Arial" w:cs="Arial"/>
                <w:b/>
                <w:bCs/>
                <w:color w:val="auto"/>
                <w:spacing w:val="-5"/>
                <w:sz w:val="24"/>
                <w:szCs w:val="24"/>
                <w:highlight w:val="none"/>
                <w:lang w:val="en-US" w:eastAsia="zh-CN"/>
              </w:rPr>
            </w:pPr>
            <w:r>
              <w:rPr>
                <w:rFonts w:hint="eastAsia" w:ascii="Arial" w:hAnsi="Arial" w:cs="Arial"/>
                <w:b/>
                <w:bCs/>
                <w:color w:val="auto"/>
                <w:spacing w:val="-5"/>
                <w:sz w:val="24"/>
                <w:szCs w:val="24"/>
                <w:highlight w:val="none"/>
                <w:lang w:val="en-US" w:eastAsia="zh-CN"/>
              </w:rPr>
              <w:t xml:space="preserve">③ </w:t>
            </w:r>
            <w:r>
              <w:rPr>
                <w:rFonts w:hint="default" w:ascii="Arial" w:hAnsi="Arial" w:cs="Arial"/>
                <w:b/>
                <w:bCs/>
                <w:color w:val="auto"/>
                <w:spacing w:val="-5"/>
                <w:sz w:val="24"/>
                <w:szCs w:val="24"/>
                <w:highlight w:val="none"/>
                <w:lang w:val="en-US" w:eastAsia="zh-CN"/>
              </w:rPr>
              <w:t>M10浆砌块石</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浆砌石在</w:t>
            </w:r>
            <w:r>
              <w:rPr>
                <w:rFonts w:hint="eastAsia" w:ascii="Arial" w:hAnsi="Arial" w:cs="Arial"/>
                <w:color w:val="auto"/>
                <w:spacing w:val="0"/>
                <w:sz w:val="24"/>
                <w:szCs w:val="24"/>
                <w:highlight w:val="none"/>
                <w:lang w:val="en-US" w:eastAsia="zh-CN"/>
              </w:rPr>
              <w:t>赵家山石</w:t>
            </w:r>
            <w:r>
              <w:rPr>
                <w:rFonts w:hint="default" w:ascii="Arial" w:hAnsi="Arial" w:eastAsia="宋体" w:cs="Arial"/>
                <w:color w:val="auto"/>
                <w:spacing w:val="0"/>
                <w:sz w:val="24"/>
                <w:szCs w:val="24"/>
                <w:highlight w:val="none"/>
              </w:rPr>
              <w:t>料场开采块石料，8~10t自卸汽车运输至工程区后转1t机动翻斗车运输1.0km至各施工区；砌筑水泥砂浆标号M10。</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color w:val="auto"/>
                <w:spacing w:val="0"/>
                <w:sz w:val="24"/>
                <w:szCs w:val="24"/>
                <w:highlight w:val="none"/>
              </w:rPr>
            </w:pPr>
            <w:r>
              <w:rPr>
                <w:rFonts w:hint="default" w:ascii="Arial" w:hAnsi="Arial" w:eastAsia="宋体" w:cs="Arial"/>
                <w:color w:val="auto"/>
                <w:spacing w:val="0"/>
                <w:sz w:val="24"/>
                <w:szCs w:val="24"/>
                <w:highlight w:val="none"/>
              </w:rPr>
              <w:t>砌体挤浆法砌筑，砌筑应先在基础面上铺一层3~5cm厚的稠砂浆，然后安放石块，且将大面朝下，尽量使石缝间隙最小，再用灰浆填满空隙的1/3~1/2，并放入合适的石块，用锤轻轻敲击，使石块挤入灰缝中，不得先摆碎石块后填砂浆或干填碎石块的施工方法，石块间不得相互接触，要求平整、稳定、密实、错缝、内外搭接；坐浆及竖缝砂浆填塞应饱满密实，铺浆均匀；砌体每天砌筑高度不应超过1.2m。勾缝在砌筑完成24h以后实施，缝宽不小于砌缝宽度，缝深不小于缝宽的2倍，勾缝前必须将槽缝冲洗干净，不得残留灰渣和积水，并保持缝面湿润。勾缝的砂浆必须单独拌制，严禁与砌体砂浆混用，勾缝砂浆采用细砂和较小的水灰比，其灰砂比控制在1：1~1：2。砌筑完成后12~18h及时养护，养护时间一般不少于14d。</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0" w:firstLineChars="200"/>
              <w:textAlignment w:val="auto"/>
              <w:rPr>
                <w:rFonts w:hint="default" w:ascii="Arial" w:hAnsi="Arial" w:eastAsia="宋体" w:cs="Arial"/>
                <w:color w:val="auto"/>
                <w:sz w:val="24"/>
                <w:szCs w:val="24"/>
                <w:highlight w:val="none"/>
              </w:rPr>
            </w:pPr>
            <w:r>
              <w:rPr>
                <w:rFonts w:hint="eastAsia" w:ascii="Arial" w:hAnsi="Arial" w:cs="Arial"/>
                <w:b/>
                <w:bCs/>
                <w:color w:val="auto"/>
                <w:spacing w:val="-3"/>
                <w:sz w:val="24"/>
                <w:szCs w:val="24"/>
                <w:highlight w:val="none"/>
                <w:lang w:val="en-US" w:eastAsia="zh-CN"/>
              </w:rPr>
              <w:t xml:space="preserve">④ </w:t>
            </w:r>
            <w:r>
              <w:rPr>
                <w:rFonts w:hint="default" w:ascii="Arial" w:hAnsi="Arial" w:eastAsia="宋体" w:cs="Arial"/>
                <w:b/>
                <w:bCs/>
                <w:color w:val="auto"/>
                <w:spacing w:val="-3"/>
                <w:sz w:val="24"/>
                <w:szCs w:val="24"/>
                <w:highlight w:val="none"/>
              </w:rPr>
              <w:t>MU10砖砌体</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auto"/>
                <w:sz w:val="24"/>
                <w:highlight w:val="none"/>
              </w:rPr>
            </w:pPr>
            <w:r>
              <w:rPr>
                <w:rFonts w:hint="default" w:ascii="Arial" w:hAnsi="Arial" w:eastAsia="宋体" w:cs="Arial"/>
                <w:color w:val="auto"/>
                <w:spacing w:val="0"/>
                <w:sz w:val="24"/>
                <w:szCs w:val="24"/>
                <w:highlight w:val="none"/>
              </w:rPr>
              <w:t>砌体采用240mm×115mm×53mm过火砖，在</w:t>
            </w:r>
            <w:r>
              <w:rPr>
                <w:rFonts w:hint="eastAsia" w:ascii="Arial" w:hAnsi="Arial" w:cs="Arial"/>
                <w:color w:val="auto"/>
                <w:spacing w:val="0"/>
                <w:sz w:val="24"/>
                <w:szCs w:val="24"/>
                <w:highlight w:val="none"/>
                <w:lang w:val="en-US" w:eastAsia="zh-CN"/>
              </w:rPr>
              <w:t>当地</w:t>
            </w:r>
            <w:r>
              <w:rPr>
                <w:rFonts w:hint="default" w:ascii="Arial" w:hAnsi="Arial" w:eastAsia="宋体" w:cs="Arial"/>
                <w:color w:val="auto"/>
                <w:spacing w:val="0"/>
                <w:sz w:val="24"/>
                <w:szCs w:val="24"/>
                <w:highlight w:val="none"/>
              </w:rPr>
              <w:t>个体经营企业购买，5~8t载重汽车运输至各工程堆放，人工砌筑；砖砌体施工前先清除混凝土板上的灰土等杂物，皮数杆设置转角及纵横墙交接处，钉于木桩上保证垂直度和牢固程度；砌墙先从墙角开始，先砌砖盘角，盘角完成挂小线，挂线时两端应固定拴牢、绷紧；砌砖优先采用“三一”法，砌砖时砂浆要饱满，砖要放平，并“上跟线，下跟棱，左右相邻要对平”；砖与砂浆要挤、压紧密、黏结牢固。砌砖采用铺浆法砌筑时，铺浆长度不得超过750mm，施工期间气温超过30℃时，铺浆长度不得超过500mm；墙体分段砌筑留斜槎，砌平拱过梁的灰缝应砌成楔形缝；灰缝的宽度在过梁底面不应小于5mm；每层砌体最上一皮砖应整砖丁砌；砖砌体施工临时间断处补砌时，必须将接槎处表面清理干净，浇水湿润，并填实砂浆，保持灰缝平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56"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其他</w:t>
            </w:r>
          </w:p>
        </w:tc>
        <w:tc>
          <w:tcPr>
            <w:tcW w:w="9079" w:type="dxa"/>
            <w:vAlign w:val="center"/>
          </w:tcPr>
          <w:p>
            <w:pPr>
              <w:pStyle w:val="75"/>
              <w:keepNext w:val="0"/>
              <w:keepLines w:val="0"/>
              <w:pageBreakBefore w:val="0"/>
              <w:widowControl w:val="0"/>
              <w:kinsoku/>
              <w:wordWrap/>
              <w:overflowPunct/>
              <w:autoSpaceDE/>
              <w:autoSpaceDN/>
              <w:bidi w:val="0"/>
              <w:spacing w:line="360" w:lineRule="auto"/>
              <w:ind w:left="0"/>
              <w:textAlignment w:val="auto"/>
              <w:rPr>
                <w:color w:val="auto"/>
                <w:sz w:val="24"/>
                <w:szCs w:val="24"/>
                <w:highlight w:val="none"/>
              </w:rPr>
            </w:pPr>
            <w:r>
              <w:rPr>
                <w:b/>
                <w:bCs/>
                <w:color w:val="auto"/>
                <w:spacing w:val="-4"/>
                <w:sz w:val="24"/>
                <w:szCs w:val="24"/>
                <w:highlight w:val="none"/>
              </w:rPr>
              <w:t>一、坝址选择</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52" w:firstLineChars="200"/>
              <w:textAlignment w:val="auto"/>
              <w:rPr>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b/>
                <w:bCs/>
                <w:color w:val="auto"/>
                <w:spacing w:val="-7"/>
                <w:sz w:val="24"/>
                <w:szCs w:val="24"/>
                <w:highlight w:val="none"/>
              </w:rPr>
              <w:t>、坝址河段选择</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color w:val="auto"/>
                <w:sz w:val="24"/>
                <w:szCs w:val="24"/>
                <w:highlight w:val="none"/>
              </w:rPr>
            </w:pPr>
            <w:r>
              <w:rPr>
                <w:rFonts w:hint="eastAsia"/>
                <w:b/>
                <w:bCs/>
                <w:color w:val="auto"/>
                <w:spacing w:val="-5"/>
                <w:sz w:val="24"/>
                <w:szCs w:val="24"/>
                <w:highlight w:val="none"/>
                <w:lang w:val="en-US" w:eastAsia="zh-CN"/>
              </w:rPr>
              <w:t xml:space="preserve">⑴ </w:t>
            </w:r>
            <w:r>
              <w:rPr>
                <w:b/>
                <w:bCs/>
                <w:color w:val="auto"/>
                <w:spacing w:val="-5"/>
                <w:sz w:val="24"/>
                <w:szCs w:val="24"/>
                <w:highlight w:val="none"/>
              </w:rPr>
              <w:t>流域概况</w:t>
            </w:r>
          </w:p>
          <w:p>
            <w:pPr>
              <w:pStyle w:val="78"/>
              <w:keepNext w:val="0"/>
              <w:keepLines w:val="0"/>
              <w:pageBreakBefore w:val="0"/>
              <w:widowControl w:val="0"/>
              <w:kinsoku/>
              <w:wordWrap/>
              <w:overflowPunct/>
              <w:topLinePunct/>
              <w:autoSpaceDE/>
              <w:autoSpaceDN/>
              <w:bidi w:val="0"/>
              <w:spacing w:line="360" w:lineRule="auto"/>
              <w:ind w:left="0" w:firstLine="480"/>
              <w:textAlignment w:val="auto"/>
              <w:rPr>
                <w:snapToGrid w:val="0"/>
                <w:color w:val="auto"/>
                <w:sz w:val="24"/>
                <w:szCs w:val="24"/>
                <w:highlight w:val="none"/>
              </w:rPr>
            </w:pPr>
            <w:r>
              <w:rPr>
                <w:rFonts w:hint="eastAsia"/>
                <w:snapToGrid w:val="0"/>
                <w:color w:val="auto"/>
                <w:sz w:val="24"/>
                <w:szCs w:val="24"/>
                <w:highlight w:val="none"/>
              </w:rPr>
              <w:t>辜家河为东河左岸一级支流，发源于广元市旺苍县东河镇川山村王台包（峰顶高程1085m），上游称作作坊沟，向西南流至东河镇凤阳村左纳苟家湾沟后为中游，称作辜家河，又称奉家河，转西行至凤阳村境内左纳朱家湾，之后转西北进入东河镇红垭村左纳大塘沟，过井坝为下游，在昝家石坝处折向西南，于观音岩处汇入东河。辜家河流域介于东经106゜14′～106゜19′之间，北纬32゜11′～32゜13′之间，流域面积20.6km</w:t>
            </w:r>
            <w:r>
              <w:rPr>
                <w:rFonts w:hint="eastAsia"/>
                <w:snapToGrid w:val="0"/>
                <w:color w:val="auto"/>
                <w:sz w:val="24"/>
                <w:szCs w:val="24"/>
                <w:highlight w:val="none"/>
                <w:vertAlign w:val="superscript"/>
              </w:rPr>
              <w:t>2</w:t>
            </w:r>
            <w:r>
              <w:rPr>
                <w:rFonts w:hint="eastAsia"/>
                <w:snapToGrid w:val="0"/>
                <w:color w:val="auto"/>
                <w:sz w:val="24"/>
                <w:szCs w:val="24"/>
                <w:highlight w:val="none"/>
              </w:rPr>
              <w:t>，河道长10.7km，河道平均比降20.2‰。辜家河流域呈树枝状，水系发育，地势由东向西倾斜，东高西低。</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b/>
                <w:bCs/>
                <w:color w:val="auto"/>
                <w:spacing w:val="-5"/>
                <w:sz w:val="24"/>
                <w:szCs w:val="24"/>
                <w:highlight w:val="none"/>
                <w:lang w:val="en-US" w:eastAsia="zh-CN"/>
              </w:rPr>
            </w:pPr>
            <w:r>
              <w:rPr>
                <w:rFonts w:hint="eastAsia"/>
                <w:b/>
                <w:bCs/>
                <w:color w:val="auto"/>
                <w:spacing w:val="-5"/>
                <w:sz w:val="24"/>
                <w:szCs w:val="24"/>
                <w:highlight w:val="none"/>
                <w:lang w:val="en-US" w:eastAsia="zh-CN"/>
              </w:rPr>
              <w:t>⑵ 坝址选择</w:t>
            </w: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r>
              <w:rPr>
                <w:rFonts w:hint="eastAsia"/>
                <w:snapToGrid w:val="0"/>
                <w:color w:val="auto"/>
                <w:sz w:val="24"/>
                <w:szCs w:val="24"/>
                <w:highlight w:val="none"/>
              </w:rPr>
              <w:t>根据上坝址所在河段的地形、地质条件，本阶段在前期工作的基础上，拟定两条坝线进行比较，其中下坝线为原可研阶段上坝址轴线，上坝线为下坝线右岸向上游旋转约10°，左岸与下坝线相同，河床部位位于下坝线上游约15m，右岸位于下坝线上游约30m，两个坝线均具备枢纽布置条件。</w:t>
            </w: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r>
              <w:rPr>
                <w:rFonts w:hint="eastAsia"/>
                <w:snapToGrid w:val="0"/>
                <w:color w:val="auto"/>
                <w:sz w:val="24"/>
                <w:szCs w:val="24"/>
                <w:highlight w:val="none"/>
              </w:rPr>
              <w:t>上、下坝线分别相距约15m（河床部位），均以沥青混凝土心墙石渣坝为代表坝型，两个坝线工程地质条件列表对比如下：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表2-16   上、下坝线主要工程地质条件比较表</w:t>
            </w:r>
          </w:p>
          <w:tbl>
            <w:tblPr>
              <w:tblStyle w:val="23"/>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25"/>
              <w:gridCol w:w="3403"/>
              <w:gridCol w:w="3301"/>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6" w:hRule="atLeast"/>
                <w:tblHeader/>
              </w:trPr>
              <w:tc>
                <w:tcPr>
                  <w:tcW w:w="835" w:type="pct"/>
                  <w:tcBorders>
                    <w:top w:val="single" w:color="auto" w:sz="4" w:space="0"/>
                    <w:left w:val="single" w:color="auto" w:sz="4" w:space="0"/>
                    <w:bottom w:val="single" w:color="auto" w:sz="4" w:space="0"/>
                    <w:tl2br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bookmarkStart w:id="19" w:name="_Hlk10725344"/>
                  <w:r>
                    <w:rPr>
                      <w:rFonts w:hint="default" w:ascii="Arial" w:hAnsi="Arial" w:eastAsia="宋体" w:cs="Arial"/>
                      <w:b/>
                      <w:bCs/>
                      <w:color w:val="auto"/>
                      <w:sz w:val="21"/>
                      <w:szCs w:val="21"/>
                      <w:highlight w:val="none"/>
                      <w:lang w:val="en-US" w:eastAsia="zh-CN"/>
                    </w:rPr>
                    <w:t xml:space="preserve">     </w:t>
                  </w:r>
                  <w:r>
                    <w:rPr>
                      <w:rFonts w:hint="default" w:ascii="Arial" w:hAnsi="Arial" w:eastAsia="宋体" w:cs="Arial"/>
                      <w:b/>
                      <w:bCs/>
                      <w:color w:val="auto"/>
                      <w:sz w:val="21"/>
                      <w:szCs w:val="21"/>
                      <w:highlight w:val="none"/>
                    </w:rPr>
                    <w:t>坝线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项目</w:t>
                  </w:r>
                </w:p>
              </w:tc>
              <w:tc>
                <w:tcPr>
                  <w:tcW w:w="1863"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上坝线</w:t>
                  </w:r>
                </w:p>
              </w:tc>
              <w:tc>
                <w:tcPr>
                  <w:tcW w:w="1807" w:type="pc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下坝线</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比较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
                      <w:bCs/>
                      <w:color w:val="auto"/>
                      <w:sz w:val="21"/>
                      <w:szCs w:val="21"/>
                      <w:highlight w:val="none"/>
                    </w:rPr>
                  </w:pPr>
                  <w:r>
                    <w:rPr>
                      <w:rFonts w:hint="default" w:ascii="Arial" w:hAnsi="Arial" w:eastAsia="宋体" w:cs="Arial"/>
                      <w:b/>
                      <w:bCs/>
                      <w:color w:val="auto"/>
                      <w:sz w:val="21"/>
                      <w:szCs w:val="21"/>
                      <w:highlight w:val="none"/>
                    </w:rPr>
                    <w:t>意见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地形地貌</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河床高程546～552m，河水面宽10～14m，谷宽30～50m，水深0.3～0.8m。</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河床高程546～554m，河水面宽5～18m，谷宽20～40m，水深0.3～0.8m。</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Cs/>
                      <w:color w:val="auto"/>
                      <w:sz w:val="21"/>
                      <w:szCs w:val="21"/>
                      <w:highlight w:val="none"/>
                    </w:rPr>
                  </w:pPr>
                  <w:r>
                    <w:rPr>
                      <w:rFonts w:hint="default" w:ascii="Arial" w:hAnsi="Arial" w:eastAsia="宋体" w:cs="Arial"/>
                      <w:bCs/>
                      <w:color w:val="auto"/>
                      <w:sz w:val="21"/>
                      <w:szCs w:val="21"/>
                      <w:highlight w:val="none"/>
                    </w:rPr>
                    <w:t>下坝线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bCs/>
                      <w:color w:val="auto"/>
                      <w:sz w:val="21"/>
                      <w:szCs w:val="21"/>
                      <w:highlight w:val="none"/>
                    </w:rPr>
                    <w:t>略优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地层岩性及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坝基覆盖层</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侏罗系上统</w:t>
                  </w:r>
                  <w:r>
                    <w:rPr>
                      <w:rFonts w:hint="default" w:ascii="Arial" w:hAnsi="Arial" w:eastAsia="宋体" w:cs="Arial"/>
                      <w:color w:val="auto"/>
                      <w:sz w:val="21"/>
                      <w:szCs w:val="21"/>
                      <w:highlight w:val="none"/>
                      <w:lang w:val="zh-CN"/>
                    </w:rPr>
                    <w:t>蓬莱镇组第一段（</w:t>
                  </w:r>
                  <w:r>
                    <w:rPr>
                      <w:rFonts w:hint="default" w:ascii="Arial" w:hAnsi="Arial" w:eastAsia="宋体" w:cs="Arial"/>
                      <w:color w:val="auto"/>
                      <w:sz w:val="21"/>
                      <w:szCs w:val="21"/>
                      <w:highlight w:val="none"/>
                    </w:rPr>
                    <w:t>J</w:t>
                  </w:r>
                  <w:r>
                    <w:rPr>
                      <w:rFonts w:hint="default" w:ascii="Arial" w:hAnsi="Arial" w:eastAsia="宋体" w:cs="Arial"/>
                      <w:color w:val="auto"/>
                      <w:sz w:val="21"/>
                      <w:szCs w:val="21"/>
                      <w:highlight w:val="none"/>
                      <w:vertAlign w:val="subscript"/>
                    </w:rPr>
                    <w:t>3</w:t>
                  </w:r>
                  <w:r>
                    <w:rPr>
                      <w:rFonts w:hint="default" w:ascii="Arial" w:hAnsi="Arial" w:eastAsia="宋体" w:cs="Arial"/>
                      <w:color w:val="auto"/>
                      <w:sz w:val="21"/>
                      <w:szCs w:val="21"/>
                      <w:highlight w:val="none"/>
                    </w:rPr>
                    <w:t>p</w:t>
                  </w:r>
                  <w:r>
                    <w:rPr>
                      <w:rFonts w:hint="default" w:ascii="Arial" w:hAnsi="Arial" w:eastAsia="宋体" w:cs="Arial"/>
                      <w:color w:val="auto"/>
                      <w:sz w:val="21"/>
                      <w:szCs w:val="21"/>
                      <w:highlight w:val="none"/>
                      <w:vertAlign w:val="superscript"/>
                    </w:rPr>
                    <w:t>1-b</w:t>
                  </w:r>
                  <w:r>
                    <w:rPr>
                      <w:rFonts w:hint="default" w:ascii="Arial" w:hAnsi="Arial" w:eastAsia="宋体" w:cs="Arial"/>
                      <w:color w:val="auto"/>
                      <w:sz w:val="21"/>
                      <w:szCs w:val="21"/>
                      <w:highlight w:val="none"/>
                      <w:lang w:val="zh-CN"/>
                    </w:rPr>
                    <w:t>)</w:t>
                  </w:r>
                  <w:r>
                    <w:rPr>
                      <w:rFonts w:hint="default" w:ascii="Arial" w:hAnsi="Arial" w:eastAsia="宋体" w:cs="Arial"/>
                      <w:color w:val="auto"/>
                      <w:sz w:val="21"/>
                      <w:szCs w:val="21"/>
                      <w:highlight w:val="none"/>
                    </w:rPr>
                    <w:t>砂岩、粉砂质泥岩，河床冲洪积层厚度1.3～3.5m，两岸坡残积层厚度1～2.0m。</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侏罗系上统</w:t>
                  </w:r>
                  <w:r>
                    <w:rPr>
                      <w:rFonts w:hint="default" w:ascii="Arial" w:hAnsi="Arial" w:eastAsia="宋体" w:cs="Arial"/>
                      <w:color w:val="auto"/>
                      <w:sz w:val="21"/>
                      <w:szCs w:val="21"/>
                      <w:highlight w:val="none"/>
                      <w:lang w:val="zh-CN"/>
                    </w:rPr>
                    <w:t>蓬莱镇组第一段（</w:t>
                  </w:r>
                  <w:r>
                    <w:rPr>
                      <w:rFonts w:hint="default" w:ascii="Arial" w:hAnsi="Arial" w:eastAsia="宋体" w:cs="Arial"/>
                      <w:color w:val="auto"/>
                      <w:sz w:val="21"/>
                      <w:szCs w:val="21"/>
                      <w:highlight w:val="none"/>
                    </w:rPr>
                    <w:t>J</w:t>
                  </w:r>
                  <w:r>
                    <w:rPr>
                      <w:rFonts w:hint="default" w:ascii="Arial" w:hAnsi="Arial" w:eastAsia="宋体" w:cs="Arial"/>
                      <w:color w:val="auto"/>
                      <w:sz w:val="21"/>
                      <w:szCs w:val="21"/>
                      <w:highlight w:val="none"/>
                      <w:vertAlign w:val="subscript"/>
                    </w:rPr>
                    <w:t>3</w:t>
                  </w:r>
                  <w:r>
                    <w:rPr>
                      <w:rFonts w:hint="default" w:ascii="Arial" w:hAnsi="Arial" w:eastAsia="宋体" w:cs="Arial"/>
                      <w:color w:val="auto"/>
                      <w:sz w:val="21"/>
                      <w:szCs w:val="21"/>
                      <w:highlight w:val="none"/>
                    </w:rPr>
                    <w:t>p</w:t>
                  </w:r>
                  <w:r>
                    <w:rPr>
                      <w:rFonts w:hint="default" w:ascii="Arial" w:hAnsi="Arial" w:eastAsia="宋体" w:cs="Arial"/>
                      <w:color w:val="auto"/>
                      <w:sz w:val="21"/>
                      <w:szCs w:val="21"/>
                      <w:highlight w:val="none"/>
                      <w:vertAlign w:val="superscript"/>
                    </w:rPr>
                    <w:t>1-b</w:t>
                  </w:r>
                  <w:r>
                    <w:rPr>
                      <w:rFonts w:hint="default" w:ascii="Arial" w:hAnsi="Arial" w:eastAsia="宋体" w:cs="Arial"/>
                      <w:color w:val="auto"/>
                      <w:sz w:val="21"/>
                      <w:szCs w:val="21"/>
                      <w:highlight w:val="none"/>
                      <w:lang w:val="zh-CN"/>
                    </w:rPr>
                    <w:t>)</w:t>
                  </w:r>
                  <w:r>
                    <w:rPr>
                      <w:rFonts w:hint="default" w:ascii="Arial" w:hAnsi="Arial" w:eastAsia="宋体" w:cs="Arial"/>
                      <w:color w:val="auto"/>
                      <w:sz w:val="21"/>
                      <w:szCs w:val="21"/>
                      <w:highlight w:val="none"/>
                    </w:rPr>
                    <w:t>砂岩、粉砂质泥岩，河床冲洪积层厚度2～5.2m，两岸坡残积层厚度1～2.5m。</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基本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岸坡稳定</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左岸为斜向坡，坝肩边坡总体稳定性较好。坝肩开挖后，由于强风化岩体结构较破碎，易产生小规模垮塌，建议采取支护措施。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右岸为斜向坡，坝肩分布倾向上游的贯通性软弱结构面，坝基开挖后，下游边墙临空易产生滑动，坝肩边坡总体稳定性较左岸差，建议采取支护措施。</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左岸为斜向坡，坝肩边坡总体稳定性较好。坝肩开挖后，由于强风化岩体结构较破碎，易产生小规模垮塌，建议采取支护措施。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右岸为斜向坡，坝肩分布倾向上游的贯通性软弱结构面，坝基开挖后，下游边墙临空易产生滑动，坝肩边坡总体稳定性较左岸差，建议采取支护措施。</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基本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坝基持力层</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建议清除覆盖层及强风化表层松动岩体后，将坝壳基础置于基岩上，心墙基础可置于弱风化岩体中下部。</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建议清除覆盖层及强风化表层松动岩体后，将坝壳基础置于基岩上，心墙基础可置于弱风化岩体中下部。</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基本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坝基坝肩渗漏</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据钻孔水文地质试验表明，两岸坡及河床坝基强、弱风化带多为强～中等透水，因此存在坝基渗漏及绕坝渗漏问题，建议采取相应防渗措施。</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据钻孔水文地质试验表明，两岸坡及河床坝基强、弱风化带多为强～中等透水，因此存在坝基渗漏及绕坝渗漏问题，建议采取相应防渗措施。</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基本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不良地质</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距离下游滑坡体最上缘距离167m，对大坝影响小。</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距离下游滑坡体最上缘距离154m，对大坝影响小。</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基本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相同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35"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防渗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帷幕水平长度</w:t>
                  </w:r>
                </w:p>
              </w:tc>
              <w:tc>
                <w:tcPr>
                  <w:tcW w:w="1863"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300m</w:t>
                  </w:r>
                </w:p>
              </w:tc>
              <w:tc>
                <w:tcPr>
                  <w:tcW w:w="18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259m</w:t>
                  </w:r>
                </w:p>
              </w:tc>
              <w:tc>
                <w:tcPr>
                  <w:tcW w:w="492"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bCs/>
                      <w:color w:val="auto"/>
                      <w:sz w:val="21"/>
                      <w:szCs w:val="21"/>
                      <w:highlight w:val="none"/>
                    </w:rPr>
                  </w:pPr>
                  <w:r>
                    <w:rPr>
                      <w:rFonts w:hint="default" w:ascii="Arial" w:hAnsi="Arial" w:eastAsia="宋体" w:cs="Arial"/>
                      <w:bCs/>
                      <w:color w:val="auto"/>
                      <w:sz w:val="21"/>
                      <w:szCs w:val="21"/>
                      <w:highlight w:val="none"/>
                    </w:rPr>
                    <w:t>下坝线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sz w:val="21"/>
                      <w:szCs w:val="21"/>
                      <w:highlight w:val="none"/>
                    </w:rPr>
                  </w:pPr>
                  <w:r>
                    <w:rPr>
                      <w:rFonts w:hint="default" w:ascii="Arial" w:hAnsi="Arial" w:eastAsia="宋体" w:cs="Arial"/>
                      <w:bCs/>
                      <w:color w:val="auto"/>
                      <w:sz w:val="21"/>
                      <w:szCs w:val="21"/>
                      <w:highlight w:val="none"/>
                    </w:rPr>
                    <w:t>略优</w:t>
                  </w:r>
                </w:p>
              </w:tc>
            </w:tr>
          </w:tbl>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r>
              <w:rPr>
                <w:rFonts w:hint="eastAsia"/>
                <w:snapToGrid w:val="0"/>
                <w:color w:val="auto"/>
                <w:sz w:val="24"/>
                <w:szCs w:val="24"/>
                <w:highlight w:val="none"/>
              </w:rPr>
              <w:t>从表</w:t>
            </w:r>
            <w:r>
              <w:rPr>
                <w:rFonts w:hint="eastAsia"/>
                <w:snapToGrid w:val="0"/>
                <w:color w:val="auto"/>
                <w:sz w:val="24"/>
                <w:szCs w:val="24"/>
                <w:highlight w:val="none"/>
                <w:lang w:val="en-US" w:eastAsia="zh-CN"/>
              </w:rPr>
              <w:t>2</w:t>
            </w:r>
            <w:r>
              <w:rPr>
                <w:rFonts w:hint="eastAsia"/>
                <w:snapToGrid w:val="0"/>
                <w:color w:val="auto"/>
                <w:sz w:val="24"/>
                <w:szCs w:val="24"/>
                <w:highlight w:val="none"/>
              </w:rPr>
              <w:t>-</w:t>
            </w:r>
            <w:r>
              <w:rPr>
                <w:rFonts w:hint="eastAsia"/>
                <w:snapToGrid w:val="0"/>
                <w:color w:val="auto"/>
                <w:sz w:val="24"/>
                <w:szCs w:val="24"/>
                <w:highlight w:val="none"/>
                <w:lang w:val="en-US" w:eastAsia="zh-CN"/>
              </w:rPr>
              <w:t>15</w:t>
            </w:r>
            <w:r>
              <w:rPr>
                <w:rFonts w:hint="eastAsia"/>
                <w:snapToGrid w:val="0"/>
                <w:color w:val="auto"/>
                <w:sz w:val="24"/>
                <w:szCs w:val="24"/>
                <w:highlight w:val="none"/>
              </w:rPr>
              <w:t>可以看出，上坝线和下坝线从地形地貌、坝基岩性及覆盖层厚度、岸坡稳定、持力层选择等方面综合比较，两坝线基本相同。下坝线距离下游奉家河滑坡体略近，但滑坡体对两坝线均基本无影响；防渗帷幕长度下坝线较上坝线线短51m，下坝线较优。</w:t>
            </w: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b/>
                <w:bCs/>
                <w:color w:val="auto"/>
                <w:spacing w:val="0"/>
                <w:sz w:val="21"/>
                <w:szCs w:val="21"/>
                <w:highlight w:val="none"/>
                <w:lang w:eastAsia="zh-CN"/>
              </w:rPr>
            </w:pPr>
            <w:r>
              <w:rPr>
                <w:rFonts w:hint="eastAsia"/>
                <w:b/>
                <w:bCs/>
                <w:color w:val="auto"/>
                <w:spacing w:val="0"/>
                <w:sz w:val="21"/>
                <w:szCs w:val="21"/>
                <w:highlight w:val="none"/>
                <w:lang w:eastAsia="zh-CN"/>
              </w:rPr>
              <w:drawing>
                <wp:inline distT="0" distB="0" distL="114300" distR="114300">
                  <wp:extent cx="5788025" cy="3816350"/>
                  <wp:effectExtent l="0" t="0" r="3175" b="889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14"/>
                          <a:stretch>
                            <a:fillRect/>
                          </a:stretch>
                        </pic:blipFill>
                        <pic:spPr>
                          <a:xfrm>
                            <a:off x="0" y="0"/>
                            <a:ext cx="5788025" cy="3816350"/>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5</w:t>
            </w:r>
            <w:r>
              <w:rPr>
                <w:b/>
                <w:bCs/>
                <w:color w:val="auto"/>
                <w:spacing w:val="0"/>
                <w:sz w:val="21"/>
                <w:szCs w:val="21"/>
                <w:highlight w:val="none"/>
              </w:rPr>
              <w:t xml:space="preserve">   </w:t>
            </w:r>
            <w:r>
              <w:rPr>
                <w:rFonts w:hint="eastAsia"/>
                <w:b/>
                <w:bCs/>
                <w:color w:val="auto"/>
                <w:spacing w:val="0"/>
                <w:sz w:val="21"/>
                <w:szCs w:val="21"/>
                <w:highlight w:val="none"/>
                <w:lang w:val="en-US" w:eastAsia="zh-CN"/>
              </w:rPr>
              <w:t>枢纽工程上坝线和下坝线</w:t>
            </w:r>
            <w:r>
              <w:rPr>
                <w:b/>
                <w:bCs/>
                <w:color w:val="auto"/>
                <w:spacing w:val="0"/>
                <w:sz w:val="21"/>
                <w:szCs w:val="21"/>
                <w:highlight w:val="none"/>
              </w:rPr>
              <w:t>布置示意图</w:t>
            </w:r>
          </w:p>
          <w:p>
            <w:pPr>
              <w:pStyle w:val="78"/>
              <w:keepNext w:val="0"/>
              <w:keepLines w:val="0"/>
              <w:pageBreakBefore w:val="0"/>
              <w:widowControl w:val="0"/>
              <w:kinsoku/>
              <w:wordWrap/>
              <w:overflowPunct/>
              <w:topLinePunct/>
              <w:autoSpaceDE/>
              <w:autoSpaceDN/>
              <w:bidi w:val="0"/>
              <w:spacing w:line="360" w:lineRule="auto"/>
              <w:ind w:left="0" w:firstLine="480"/>
              <w:textAlignment w:val="auto"/>
              <w:rPr>
                <w:rFonts w:hint="eastAsia"/>
                <w:snapToGrid w:val="0"/>
                <w:color w:val="auto"/>
                <w:sz w:val="24"/>
                <w:szCs w:val="24"/>
                <w:highlight w:val="none"/>
              </w:rPr>
            </w:pPr>
            <w:r>
              <w:rPr>
                <w:rFonts w:hint="eastAsia"/>
                <w:b/>
                <w:bCs/>
                <w:snapToGrid w:val="0"/>
                <w:color w:val="auto"/>
                <w:sz w:val="24"/>
                <w:szCs w:val="24"/>
                <w:highlight w:val="none"/>
                <w:u w:val="single"/>
              </w:rPr>
              <w:t>综合分析，从地形、地质条件方面下坝线略优</w:t>
            </w:r>
            <w:r>
              <w:rPr>
                <w:rFonts w:hint="eastAsia"/>
                <w:snapToGrid w:val="0"/>
                <w:color w:val="auto"/>
                <w:sz w:val="24"/>
                <w:szCs w:val="24"/>
                <w:highlight w:val="none"/>
              </w:rPr>
              <w:t>。</w:t>
            </w:r>
          </w:p>
          <w:bookmarkEnd w:id="19"/>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b/>
                <w:bCs/>
                <w:color w:val="auto"/>
                <w:spacing w:val="-5"/>
                <w:sz w:val="24"/>
                <w:szCs w:val="24"/>
                <w:highlight w:val="none"/>
                <w:lang w:val="en-US" w:eastAsia="zh-CN"/>
              </w:rPr>
            </w:pPr>
            <w:r>
              <w:rPr>
                <w:rFonts w:hint="eastAsia"/>
                <w:b/>
                <w:bCs/>
                <w:color w:val="auto"/>
                <w:spacing w:val="-5"/>
                <w:sz w:val="24"/>
                <w:szCs w:val="24"/>
                <w:highlight w:val="none"/>
                <w:lang w:val="en-US" w:eastAsia="zh-CN"/>
              </w:rPr>
              <w:t>⑶ 坝形选择</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hint="default" w:ascii="Arial" w:hAnsi="Arial" w:cs="Arial"/>
                <w:b w:val="0"/>
                <w:bCs w:val="0"/>
                <w:color w:val="auto"/>
                <w:spacing w:val="-5"/>
                <w:sz w:val="24"/>
                <w:szCs w:val="24"/>
                <w:highlight w:val="none"/>
                <w:lang w:val="en-US" w:eastAsia="zh-CN"/>
              </w:rPr>
            </w:pPr>
            <w:r>
              <w:rPr>
                <w:rFonts w:hint="default" w:ascii="Arial" w:hAnsi="Arial" w:cs="Arial"/>
                <w:b w:val="0"/>
                <w:bCs w:val="0"/>
                <w:color w:val="auto"/>
                <w:spacing w:val="-5"/>
                <w:sz w:val="24"/>
                <w:szCs w:val="24"/>
                <w:highlight w:val="none"/>
                <w:lang w:val="en-US" w:eastAsia="zh-CN"/>
              </w:rPr>
              <w:t>本阶段选择黏土心墙石渣坝、纵向增强体心墙石渣坝、沥青混凝土心墙石渣坝三种坝型进行比较。三种坝型基本地质条件（地形地貌、地层岩性、地质构造、物理地质现象及水文地质条件）基本相同，但对心墙地基和建筑材料要求存在差异。坝型方案比较详见表2-1</w:t>
            </w:r>
            <w:r>
              <w:rPr>
                <w:rFonts w:hint="eastAsia" w:ascii="Arial" w:hAnsi="Arial" w:cs="Arial"/>
                <w:b w:val="0"/>
                <w:bCs w:val="0"/>
                <w:color w:val="auto"/>
                <w:spacing w:val="-5"/>
                <w:sz w:val="24"/>
                <w:szCs w:val="24"/>
                <w:highlight w:val="none"/>
                <w:lang w:val="en-US" w:eastAsia="zh-CN"/>
              </w:rPr>
              <w:t>7</w:t>
            </w:r>
            <w:r>
              <w:rPr>
                <w:rFonts w:hint="default" w:ascii="Arial" w:hAnsi="Arial" w:cs="Arial"/>
                <w:b w:val="0"/>
                <w:bCs w:val="0"/>
                <w:color w:val="auto"/>
                <w:spacing w:val="-5"/>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表2-17   坝型方案选择对比表</w:t>
            </w:r>
          </w:p>
          <w:tbl>
            <w:tblPr>
              <w:tblStyle w:val="2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2974"/>
              <w:gridCol w:w="2568"/>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blHeader/>
                <w:jc w:val="center"/>
              </w:trPr>
              <w:tc>
                <w:tcPr>
                  <w:tcW w:w="383" w:type="pct"/>
                  <w:vAlign w:val="center"/>
                </w:tcPr>
                <w:p>
                  <w:pPr>
                    <w:pStyle w:val="40"/>
                    <w:spacing w:before="0" w:after="0" w:line="240" w:lineRule="auto"/>
                    <w:ind w:firstLine="0" w:firstLineChars="0"/>
                    <w:rPr>
                      <w:b/>
                      <w:bCs/>
                      <w:color w:val="auto"/>
                      <w:sz w:val="21"/>
                      <w:szCs w:val="21"/>
                      <w:highlight w:val="none"/>
                    </w:rPr>
                  </w:pPr>
                  <w:r>
                    <w:rPr>
                      <w:rFonts w:hAnsi="宋体"/>
                      <w:b/>
                      <w:bCs/>
                      <w:color w:val="auto"/>
                      <w:sz w:val="21"/>
                      <w:szCs w:val="21"/>
                      <w:highlight w:val="none"/>
                    </w:rPr>
                    <w:t>项目</w:t>
                  </w:r>
                </w:p>
              </w:tc>
              <w:tc>
                <w:tcPr>
                  <w:tcW w:w="1686" w:type="pct"/>
                  <w:vAlign w:val="center"/>
                </w:tcPr>
                <w:p>
                  <w:pPr>
                    <w:pStyle w:val="40"/>
                    <w:spacing w:before="0" w:after="0" w:line="240" w:lineRule="auto"/>
                    <w:ind w:firstLine="0" w:firstLineChars="0"/>
                    <w:rPr>
                      <w:b/>
                      <w:bCs/>
                      <w:color w:val="auto"/>
                      <w:sz w:val="21"/>
                      <w:szCs w:val="21"/>
                      <w:highlight w:val="none"/>
                    </w:rPr>
                  </w:pPr>
                  <w:r>
                    <w:rPr>
                      <w:b/>
                      <w:bCs/>
                      <w:color w:val="auto"/>
                      <w:sz w:val="21"/>
                      <w:szCs w:val="21"/>
                      <w:highlight w:val="none"/>
                    </w:rPr>
                    <w:t>黏土心墙石渣坝</w:t>
                  </w:r>
                </w:p>
              </w:tc>
              <w:tc>
                <w:tcPr>
                  <w:tcW w:w="1456" w:type="pct"/>
                  <w:vAlign w:val="center"/>
                </w:tcPr>
                <w:p>
                  <w:pPr>
                    <w:pStyle w:val="40"/>
                    <w:spacing w:before="0" w:after="0" w:line="240" w:lineRule="auto"/>
                    <w:ind w:firstLine="0" w:firstLineChars="0"/>
                    <w:rPr>
                      <w:b/>
                      <w:bCs/>
                      <w:color w:val="auto"/>
                      <w:sz w:val="21"/>
                      <w:szCs w:val="21"/>
                      <w:highlight w:val="none"/>
                    </w:rPr>
                  </w:pPr>
                  <w:r>
                    <w:rPr>
                      <w:b/>
                      <w:bCs/>
                      <w:color w:val="auto"/>
                      <w:sz w:val="21"/>
                      <w:szCs w:val="21"/>
                      <w:highlight w:val="none"/>
                    </w:rPr>
                    <w:t>纵向增强体心墙石渣坝</w:t>
                  </w:r>
                </w:p>
              </w:tc>
              <w:tc>
                <w:tcPr>
                  <w:tcW w:w="1473" w:type="pct"/>
                  <w:vAlign w:val="center"/>
                </w:tcPr>
                <w:p>
                  <w:pPr>
                    <w:pStyle w:val="40"/>
                    <w:spacing w:before="0" w:after="0" w:line="240" w:lineRule="auto"/>
                    <w:ind w:firstLine="0" w:firstLineChars="0"/>
                    <w:rPr>
                      <w:b/>
                      <w:bCs/>
                      <w:color w:val="auto"/>
                      <w:sz w:val="21"/>
                      <w:szCs w:val="21"/>
                      <w:highlight w:val="none"/>
                    </w:rPr>
                  </w:pPr>
                  <w:r>
                    <w:rPr>
                      <w:b/>
                      <w:bCs/>
                      <w:color w:val="auto"/>
                      <w:sz w:val="21"/>
                      <w:szCs w:val="21"/>
                      <w:highlight w:val="none"/>
                    </w:rPr>
                    <w:t>沥青混凝土心墙石渣坝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383" w:type="pct"/>
                  <w:vAlign w:val="center"/>
                </w:tcPr>
                <w:p>
                  <w:pPr>
                    <w:pStyle w:val="40"/>
                    <w:spacing w:before="0" w:after="0" w:line="240" w:lineRule="auto"/>
                    <w:ind w:firstLine="0" w:firstLineChars="0"/>
                    <w:rPr>
                      <w:color w:val="auto"/>
                      <w:sz w:val="21"/>
                      <w:szCs w:val="21"/>
                      <w:highlight w:val="none"/>
                    </w:rPr>
                  </w:pPr>
                  <w:r>
                    <w:rPr>
                      <w:rFonts w:hAnsi="宋体"/>
                      <w:color w:val="auto"/>
                      <w:sz w:val="21"/>
                      <w:szCs w:val="21"/>
                      <w:highlight w:val="none"/>
                    </w:rPr>
                    <w:t>特点</w:t>
                  </w:r>
                </w:p>
              </w:tc>
              <w:tc>
                <w:tcPr>
                  <w:tcW w:w="168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1、适应地形条件较高，黏土用量较大；</w:t>
                  </w:r>
                </w:p>
                <w:p>
                  <w:pPr>
                    <w:pStyle w:val="40"/>
                    <w:spacing w:before="0" w:after="0" w:line="240" w:lineRule="auto"/>
                    <w:ind w:firstLine="0" w:firstLineChars="0"/>
                    <w:jc w:val="both"/>
                    <w:rPr>
                      <w:color w:val="auto"/>
                      <w:sz w:val="21"/>
                      <w:szCs w:val="21"/>
                      <w:highlight w:val="none"/>
                    </w:rPr>
                  </w:pPr>
                  <w:r>
                    <w:rPr>
                      <w:color w:val="auto"/>
                      <w:sz w:val="21"/>
                      <w:szCs w:val="21"/>
                      <w:highlight w:val="none"/>
                    </w:rPr>
                    <w:t>2、黏土心墙施工受季节（雨季）干扰较大，施工周期较长；</w:t>
                  </w:r>
                </w:p>
                <w:p>
                  <w:pPr>
                    <w:pStyle w:val="40"/>
                    <w:spacing w:before="0" w:after="0" w:line="240" w:lineRule="auto"/>
                    <w:ind w:firstLine="0" w:firstLineChars="0"/>
                    <w:jc w:val="both"/>
                    <w:rPr>
                      <w:color w:val="auto"/>
                      <w:sz w:val="21"/>
                      <w:szCs w:val="21"/>
                      <w:highlight w:val="none"/>
                    </w:rPr>
                  </w:pPr>
                  <w:r>
                    <w:rPr>
                      <w:color w:val="auto"/>
                      <w:sz w:val="21"/>
                      <w:szCs w:val="21"/>
                      <w:highlight w:val="none"/>
                    </w:rPr>
                    <w:t>3、坝体填筑方量相差不大，对石渣料质量要求相对较低；</w:t>
                  </w:r>
                </w:p>
                <w:p>
                  <w:pPr>
                    <w:pStyle w:val="40"/>
                    <w:spacing w:before="0" w:after="0" w:line="240" w:lineRule="auto"/>
                    <w:ind w:firstLine="0" w:firstLineChars="0"/>
                    <w:jc w:val="both"/>
                    <w:rPr>
                      <w:color w:val="auto"/>
                      <w:sz w:val="21"/>
                      <w:szCs w:val="21"/>
                      <w:highlight w:val="none"/>
                    </w:rPr>
                  </w:pPr>
                  <w:r>
                    <w:rPr>
                      <w:color w:val="auto"/>
                      <w:sz w:val="21"/>
                      <w:szCs w:val="21"/>
                      <w:highlight w:val="none"/>
                    </w:rPr>
                    <w:t>4、帷幕、固结灌浆工作量较大；</w:t>
                  </w:r>
                </w:p>
                <w:p>
                  <w:pPr>
                    <w:pStyle w:val="40"/>
                    <w:spacing w:before="0" w:after="0" w:line="240" w:lineRule="auto"/>
                    <w:ind w:firstLine="0" w:firstLineChars="0"/>
                    <w:jc w:val="both"/>
                    <w:rPr>
                      <w:color w:val="auto"/>
                      <w:sz w:val="21"/>
                      <w:szCs w:val="21"/>
                      <w:highlight w:val="none"/>
                    </w:rPr>
                  </w:pPr>
                  <w:r>
                    <w:rPr>
                      <w:color w:val="auto"/>
                      <w:sz w:val="21"/>
                      <w:szCs w:val="21"/>
                      <w:highlight w:val="none"/>
                    </w:rPr>
                    <w:t>5、施工质量控制难度较大。</w:t>
                  </w:r>
                </w:p>
              </w:tc>
              <w:tc>
                <w:tcPr>
                  <w:tcW w:w="145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1、砼浇注量较小，施工周期短；</w:t>
                  </w:r>
                </w:p>
                <w:p>
                  <w:pPr>
                    <w:pStyle w:val="40"/>
                    <w:spacing w:before="0" w:after="0" w:line="240" w:lineRule="auto"/>
                    <w:ind w:firstLine="0" w:firstLineChars="0"/>
                    <w:jc w:val="both"/>
                    <w:rPr>
                      <w:color w:val="auto"/>
                      <w:sz w:val="21"/>
                      <w:szCs w:val="21"/>
                      <w:highlight w:val="none"/>
                    </w:rPr>
                  </w:pPr>
                  <w:r>
                    <w:rPr>
                      <w:color w:val="auto"/>
                      <w:sz w:val="21"/>
                      <w:szCs w:val="21"/>
                      <w:highlight w:val="none"/>
                    </w:rPr>
                    <w:t>2、坝体填筑方量相差不大，对石渣料质量要求较高；</w:t>
                  </w:r>
                </w:p>
                <w:p>
                  <w:pPr>
                    <w:pStyle w:val="40"/>
                    <w:spacing w:before="0" w:after="0" w:line="240" w:lineRule="auto"/>
                    <w:ind w:firstLine="0" w:firstLineChars="0"/>
                    <w:jc w:val="both"/>
                    <w:rPr>
                      <w:color w:val="auto"/>
                      <w:sz w:val="21"/>
                      <w:szCs w:val="21"/>
                      <w:highlight w:val="none"/>
                    </w:rPr>
                  </w:pPr>
                  <w:r>
                    <w:rPr>
                      <w:color w:val="auto"/>
                      <w:sz w:val="21"/>
                      <w:szCs w:val="21"/>
                      <w:highlight w:val="none"/>
                    </w:rPr>
                    <w:t>3、帷幕、固结灌浆工作量较小。</w:t>
                  </w:r>
                </w:p>
                <w:p>
                  <w:pPr>
                    <w:pStyle w:val="40"/>
                    <w:spacing w:before="0" w:after="0" w:line="240" w:lineRule="auto"/>
                    <w:ind w:firstLine="0" w:firstLineChars="0"/>
                    <w:jc w:val="both"/>
                    <w:rPr>
                      <w:color w:val="auto"/>
                      <w:sz w:val="21"/>
                      <w:szCs w:val="21"/>
                      <w:highlight w:val="none"/>
                    </w:rPr>
                  </w:pPr>
                  <w:r>
                    <w:rPr>
                      <w:color w:val="auto"/>
                      <w:sz w:val="21"/>
                      <w:szCs w:val="21"/>
                      <w:highlight w:val="none"/>
                    </w:rPr>
                    <w:t>4、对施工单位要求高，施工质量控制难度大。</w:t>
                  </w:r>
                </w:p>
              </w:tc>
              <w:tc>
                <w:tcPr>
                  <w:tcW w:w="1473"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1、心墙浇注量较小，施工周期短；</w:t>
                  </w:r>
                </w:p>
                <w:p>
                  <w:pPr>
                    <w:pStyle w:val="40"/>
                    <w:spacing w:before="0" w:after="0" w:line="240" w:lineRule="auto"/>
                    <w:ind w:firstLine="0" w:firstLineChars="0"/>
                    <w:jc w:val="both"/>
                    <w:rPr>
                      <w:color w:val="auto"/>
                      <w:sz w:val="21"/>
                      <w:szCs w:val="21"/>
                      <w:highlight w:val="none"/>
                    </w:rPr>
                  </w:pPr>
                  <w:r>
                    <w:rPr>
                      <w:color w:val="auto"/>
                      <w:sz w:val="21"/>
                      <w:szCs w:val="21"/>
                      <w:highlight w:val="none"/>
                    </w:rPr>
                    <w:t>2、坝体填筑方量相差不大，对石渣料质量要求相对较低；</w:t>
                  </w:r>
                </w:p>
                <w:p>
                  <w:pPr>
                    <w:pStyle w:val="40"/>
                    <w:spacing w:before="0" w:after="0" w:line="240" w:lineRule="auto"/>
                    <w:ind w:firstLine="0" w:firstLineChars="0"/>
                    <w:jc w:val="both"/>
                    <w:rPr>
                      <w:color w:val="auto"/>
                      <w:sz w:val="21"/>
                      <w:szCs w:val="21"/>
                      <w:highlight w:val="none"/>
                    </w:rPr>
                  </w:pPr>
                  <w:r>
                    <w:rPr>
                      <w:color w:val="auto"/>
                      <w:sz w:val="21"/>
                      <w:szCs w:val="21"/>
                      <w:highlight w:val="none"/>
                    </w:rPr>
                    <w:t>3、帷幕、固结灌浆工作量较小。</w:t>
                  </w:r>
                </w:p>
                <w:p>
                  <w:pPr>
                    <w:pStyle w:val="40"/>
                    <w:spacing w:before="0" w:after="0" w:line="240" w:lineRule="auto"/>
                    <w:ind w:firstLine="0" w:firstLineChars="0"/>
                    <w:jc w:val="both"/>
                    <w:rPr>
                      <w:color w:val="auto"/>
                      <w:sz w:val="21"/>
                      <w:szCs w:val="21"/>
                      <w:highlight w:val="none"/>
                    </w:rPr>
                  </w:pPr>
                  <w:r>
                    <w:rPr>
                      <w:color w:val="auto"/>
                      <w:sz w:val="21"/>
                      <w:szCs w:val="21"/>
                      <w:highlight w:val="none"/>
                    </w:rPr>
                    <w:t>4、对施工单位要求较高，施工质量控制难度较大。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12" w:hRule="atLeast"/>
                <w:jc w:val="center"/>
              </w:trPr>
              <w:tc>
                <w:tcPr>
                  <w:tcW w:w="383" w:type="pct"/>
                  <w:vAlign w:val="center"/>
                </w:tcPr>
                <w:p>
                  <w:pPr>
                    <w:pStyle w:val="40"/>
                    <w:spacing w:before="0" w:after="0" w:line="240" w:lineRule="auto"/>
                    <w:ind w:firstLine="0" w:firstLineChars="0"/>
                    <w:rPr>
                      <w:color w:val="auto"/>
                      <w:sz w:val="21"/>
                      <w:szCs w:val="21"/>
                      <w:highlight w:val="none"/>
                    </w:rPr>
                  </w:pPr>
                  <w:r>
                    <w:rPr>
                      <w:rFonts w:hAnsi="宋体"/>
                      <w:color w:val="auto"/>
                      <w:sz w:val="21"/>
                      <w:szCs w:val="21"/>
                      <w:highlight w:val="none"/>
                    </w:rPr>
                    <w:t>坝基</w:t>
                  </w:r>
                </w:p>
                <w:p>
                  <w:pPr>
                    <w:pStyle w:val="40"/>
                    <w:spacing w:before="0" w:after="0" w:line="240" w:lineRule="auto"/>
                    <w:ind w:firstLine="0" w:firstLineChars="0"/>
                    <w:rPr>
                      <w:color w:val="auto"/>
                      <w:sz w:val="21"/>
                      <w:szCs w:val="21"/>
                      <w:highlight w:val="none"/>
                    </w:rPr>
                  </w:pPr>
                  <w:r>
                    <w:rPr>
                      <w:rFonts w:hAnsi="宋体"/>
                      <w:color w:val="auto"/>
                      <w:sz w:val="21"/>
                      <w:szCs w:val="21"/>
                      <w:highlight w:val="none"/>
                    </w:rPr>
                    <w:t>持力层</w:t>
                  </w:r>
                </w:p>
              </w:tc>
              <w:tc>
                <w:tcPr>
                  <w:tcW w:w="168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 xml:space="preserve">坝基覆盖层厚度不大，河床2～5.2m，两岸坡残积层厚度1～2.5m。覆盖层物理力学性质差，承载力低，不能满足坝基持力层要求，建议清除覆盖层及强风化表层松动岩体后，将坝壳基础置于基岩上。强风化岩体厚度不大，物理力学性质较差，建议清除；弱风化岩体强度能满足设计要求，可作为心墙基础持力层。 </w:t>
                  </w:r>
                </w:p>
              </w:tc>
              <w:tc>
                <w:tcPr>
                  <w:tcW w:w="145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坝基覆盖层厚度不大，河床2～5.2m，两岸坡残积层厚度1～2.5m。覆盖层物理力学性质差，承载力低，不能满足坝基持力层要求，建议清除覆盖层及强风化表层松动岩体后，将坝壳基础置于基岩上。强风化岩体厚度不大，物理力学性质较差，建议以弱风化中下部作为心墙基础持力层。</w:t>
                  </w:r>
                </w:p>
              </w:tc>
              <w:tc>
                <w:tcPr>
                  <w:tcW w:w="1473"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坝基覆盖层厚度不大，河床2～5.2m，两岸坡残积层厚度1～2.5m。覆盖层物理力学性质差，承载力低，不能满足坝基持力层要求，建议清除覆盖层及强风化表层松动岩体后，将坝壳基础置于基岩上。强风化岩体厚度不大，物理力学性质较差，建议以弱风化作为心墙基础持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57" w:hRule="atLeast"/>
                <w:jc w:val="center"/>
              </w:trPr>
              <w:tc>
                <w:tcPr>
                  <w:tcW w:w="383" w:type="pct"/>
                  <w:vAlign w:val="center"/>
                </w:tcPr>
                <w:p>
                  <w:pPr>
                    <w:pStyle w:val="40"/>
                    <w:spacing w:before="0" w:after="0" w:line="240" w:lineRule="auto"/>
                    <w:ind w:firstLine="0" w:firstLineChars="0"/>
                    <w:rPr>
                      <w:color w:val="auto"/>
                      <w:sz w:val="21"/>
                      <w:szCs w:val="21"/>
                      <w:highlight w:val="none"/>
                    </w:rPr>
                  </w:pPr>
                  <w:r>
                    <w:rPr>
                      <w:rFonts w:hAnsi="宋体"/>
                      <w:color w:val="auto"/>
                      <w:sz w:val="21"/>
                      <w:szCs w:val="21"/>
                      <w:highlight w:val="none"/>
                    </w:rPr>
                    <w:t>坝基抗滑稳定</w:t>
                  </w:r>
                </w:p>
              </w:tc>
              <w:tc>
                <w:tcPr>
                  <w:tcW w:w="168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建基面以下主要为粉砂质泥岩及砂岩，岩体产状较平缓，倾上游偏左岸。坝基中软弱夹层较少，且大多埋深较大，基本不存在抗滑稳定问题。</w:t>
                  </w:r>
                </w:p>
              </w:tc>
              <w:tc>
                <w:tcPr>
                  <w:tcW w:w="145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建基面以下主要为粉砂质泥岩及砂岩，岩体产状较平缓，倾上游偏左岸。坝基中软弱夹层较少，且大多埋深较大，基本不存在抗滑稳定问题。</w:t>
                  </w:r>
                </w:p>
              </w:tc>
              <w:tc>
                <w:tcPr>
                  <w:tcW w:w="1473"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建基面以下主要为粉砂质泥岩及砂岩，岩体产状较平缓，倾上游偏左岸。坝基中软弱夹层较少，且大多埋深较大，基本不存在抗滑稳定问题。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12" w:hRule="atLeast"/>
                <w:jc w:val="center"/>
              </w:trPr>
              <w:tc>
                <w:tcPr>
                  <w:tcW w:w="383" w:type="pct"/>
                  <w:vAlign w:val="center"/>
                </w:tcPr>
                <w:p>
                  <w:pPr>
                    <w:pStyle w:val="40"/>
                    <w:spacing w:before="0" w:after="0" w:line="240" w:lineRule="auto"/>
                    <w:ind w:firstLine="0" w:firstLineChars="0"/>
                    <w:rPr>
                      <w:color w:val="auto"/>
                      <w:sz w:val="21"/>
                      <w:szCs w:val="21"/>
                      <w:highlight w:val="none"/>
                    </w:rPr>
                  </w:pPr>
                  <w:r>
                    <w:rPr>
                      <w:rFonts w:hAnsi="宋体"/>
                      <w:color w:val="auto"/>
                      <w:sz w:val="21"/>
                      <w:szCs w:val="21"/>
                      <w:highlight w:val="none"/>
                    </w:rPr>
                    <w:t>坝肩及岸坡边坡稳定问题</w:t>
                  </w:r>
                </w:p>
              </w:tc>
              <w:tc>
                <w:tcPr>
                  <w:tcW w:w="1686" w:type="pct"/>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ascii="Times New Roman" w:hAnsi="Times New Roman" w:eastAsia="华文中宋"/>
                      <w:color w:val="auto"/>
                      <w:sz w:val="21"/>
                      <w:szCs w:val="21"/>
                      <w:highlight w:val="none"/>
                    </w:rPr>
                  </w:pPr>
                  <w:r>
                    <w:rPr>
                      <w:rFonts w:ascii="宋体" w:hAnsi="Times New Roman" w:eastAsia="宋体" w:cs="Times New Roman"/>
                      <w:color w:val="auto"/>
                      <w:kern w:val="0"/>
                      <w:sz w:val="21"/>
                      <w:szCs w:val="21"/>
                      <w:highlight w:val="none"/>
                      <w:lang w:val="zh-CN" w:eastAsia="zh-CN" w:bidi="ar-SA"/>
                    </w:rPr>
                    <w:t>左岸为斜向坡，</w:t>
                  </w:r>
                  <w:r>
                    <w:rPr>
                      <w:rFonts w:ascii="宋体" w:hAnsi="Times New Roman" w:eastAsia="宋体" w:cs="Times New Roman"/>
                      <w:color w:val="auto"/>
                      <w:kern w:val="0"/>
                      <w:sz w:val="21"/>
                      <w:szCs w:val="21"/>
                      <w:highlight w:val="none"/>
                      <w:lang w:val="en-US" w:eastAsia="zh-CN" w:bidi="ar-SA"/>
                    </w:rPr>
                    <w:t>坝肩边坡总体稳定性较好。坝肩开挖后，由于强风化岩体结构较破碎，易产生小规模垮塌，建议采取支护措施。</w:t>
                  </w:r>
                  <w:r>
                    <w:rPr>
                      <w:rFonts w:ascii="宋体" w:hAnsi="Times New Roman" w:eastAsia="宋体" w:cs="Times New Roman"/>
                      <w:color w:val="auto"/>
                      <w:kern w:val="0"/>
                      <w:sz w:val="21"/>
                      <w:szCs w:val="21"/>
                      <w:highlight w:val="none"/>
                      <w:lang w:val="zh-CN" w:eastAsia="zh-CN" w:bidi="ar-SA"/>
                    </w:rPr>
                    <w:t>右岸为斜向坡，</w:t>
                  </w:r>
                  <w:r>
                    <w:rPr>
                      <w:rFonts w:ascii="宋体" w:hAnsi="Times New Roman" w:eastAsia="宋体" w:cs="Times New Roman"/>
                      <w:color w:val="auto"/>
                      <w:kern w:val="0"/>
                      <w:sz w:val="21"/>
                      <w:szCs w:val="21"/>
                      <w:highlight w:val="none"/>
                      <w:lang w:val="en-US" w:eastAsia="zh-CN" w:bidi="ar-SA"/>
                    </w:rPr>
                    <w:t>坝肩分布倾向上游的贯通性软弱结构面，坝基开挖后，下游边墙临空易产生滑动，坝肩边坡总体稳定性较左岸差。</w:t>
                  </w:r>
                </w:p>
              </w:tc>
              <w:tc>
                <w:tcPr>
                  <w:tcW w:w="145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lang w:val="zh-CN"/>
                    </w:rPr>
                    <w:t>左岸为斜向坡，</w:t>
                  </w:r>
                  <w:r>
                    <w:rPr>
                      <w:color w:val="auto"/>
                      <w:sz w:val="21"/>
                      <w:szCs w:val="21"/>
                      <w:highlight w:val="none"/>
                    </w:rPr>
                    <w:t>坝肩边坡总体稳定性较好。坝肩开挖后，由于强风化岩体结构较破碎，易产生小规模垮塌，建议采取支护措施。</w:t>
                  </w:r>
                  <w:r>
                    <w:rPr>
                      <w:color w:val="auto"/>
                      <w:sz w:val="21"/>
                      <w:szCs w:val="21"/>
                      <w:highlight w:val="none"/>
                      <w:lang w:val="zh-CN"/>
                    </w:rPr>
                    <w:t>右岸为斜向坡，</w:t>
                  </w:r>
                  <w:r>
                    <w:rPr>
                      <w:color w:val="auto"/>
                      <w:sz w:val="21"/>
                      <w:szCs w:val="21"/>
                      <w:highlight w:val="none"/>
                    </w:rPr>
                    <w:t>坝肩分布倾向上游的贯通性软弱结构面，坝基开挖后，下游边墙临空易产生滑动，坝肩边坡总体稳定性较左岸差。</w:t>
                  </w:r>
                </w:p>
              </w:tc>
              <w:tc>
                <w:tcPr>
                  <w:tcW w:w="1473"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lang w:val="zh-CN"/>
                    </w:rPr>
                    <w:t>左岸为斜向坡，</w:t>
                  </w:r>
                  <w:r>
                    <w:rPr>
                      <w:color w:val="auto"/>
                      <w:sz w:val="21"/>
                      <w:szCs w:val="21"/>
                      <w:highlight w:val="none"/>
                    </w:rPr>
                    <w:t>坝肩边坡总体稳定性较好。坝肩开挖后，由于强风化岩体结构较破碎，易产生小规模垮塌，建议采取支护措施。</w:t>
                  </w:r>
                  <w:r>
                    <w:rPr>
                      <w:color w:val="auto"/>
                      <w:sz w:val="21"/>
                      <w:szCs w:val="21"/>
                      <w:highlight w:val="none"/>
                      <w:lang w:val="zh-CN"/>
                    </w:rPr>
                    <w:t>右岸为斜向坡，</w:t>
                  </w:r>
                  <w:r>
                    <w:rPr>
                      <w:color w:val="auto"/>
                      <w:sz w:val="21"/>
                      <w:szCs w:val="21"/>
                      <w:highlight w:val="none"/>
                    </w:rPr>
                    <w:t>坝肩分布倾向上游的贯通性软弱结构面，坝基开挖后，下游边墙临空易产生滑动，坝肩边坡总体稳定性较左岸差。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383" w:type="pct"/>
                  <w:vAlign w:val="center"/>
                </w:tcPr>
                <w:p>
                  <w:pPr>
                    <w:pStyle w:val="40"/>
                    <w:spacing w:before="0" w:after="0" w:line="240" w:lineRule="auto"/>
                    <w:ind w:firstLine="0" w:firstLineChars="0"/>
                    <w:rPr>
                      <w:color w:val="auto"/>
                      <w:sz w:val="21"/>
                      <w:szCs w:val="21"/>
                      <w:highlight w:val="none"/>
                    </w:rPr>
                  </w:pPr>
                  <w:r>
                    <w:rPr>
                      <w:rFonts w:hAnsi="宋体"/>
                      <w:color w:val="auto"/>
                      <w:sz w:val="21"/>
                      <w:szCs w:val="21"/>
                      <w:highlight w:val="none"/>
                    </w:rPr>
                    <w:t>料源</w:t>
                  </w:r>
                </w:p>
                <w:p>
                  <w:pPr>
                    <w:pStyle w:val="40"/>
                    <w:spacing w:before="0" w:after="0" w:line="240" w:lineRule="auto"/>
                    <w:ind w:firstLine="0" w:firstLineChars="0"/>
                    <w:rPr>
                      <w:color w:val="auto"/>
                      <w:sz w:val="21"/>
                      <w:szCs w:val="21"/>
                      <w:highlight w:val="none"/>
                    </w:rPr>
                  </w:pPr>
                  <w:r>
                    <w:rPr>
                      <w:rFonts w:hAnsi="宋体"/>
                      <w:color w:val="auto"/>
                      <w:sz w:val="21"/>
                      <w:szCs w:val="21"/>
                      <w:highlight w:val="none"/>
                    </w:rPr>
                    <w:t>条件</w:t>
                  </w:r>
                </w:p>
              </w:tc>
              <w:tc>
                <w:tcPr>
                  <w:tcW w:w="1686" w:type="pct"/>
                  <w:vAlign w:val="center"/>
                </w:tcPr>
                <w:p>
                  <w:pPr>
                    <w:pStyle w:val="40"/>
                    <w:spacing w:before="0" w:after="0" w:line="240" w:lineRule="auto"/>
                    <w:ind w:firstLine="0" w:firstLineChars="0"/>
                    <w:jc w:val="both"/>
                    <w:rPr>
                      <w:color w:val="auto"/>
                      <w:sz w:val="21"/>
                      <w:szCs w:val="21"/>
                      <w:highlight w:val="none"/>
                    </w:rPr>
                  </w:pPr>
                  <w:r>
                    <w:rPr>
                      <w:color w:val="auto"/>
                      <w:sz w:val="21"/>
                      <w:szCs w:val="21"/>
                      <w:highlight w:val="none"/>
                    </w:rPr>
                    <w:t>1、黏土心墙料可到右坝肩（A、B区）、张家山（C、D区）、习家河（E区）、后槽口（F区）、邓家梁（金华村、川山村）5处进行开采。各土料场试验指标符合质量技术要求。</w:t>
                  </w:r>
                </w:p>
                <w:p>
                  <w:pPr>
                    <w:pStyle w:val="40"/>
                    <w:spacing w:before="0" w:after="0" w:line="240" w:lineRule="auto"/>
                    <w:ind w:firstLine="0" w:firstLineChars="0"/>
                    <w:jc w:val="both"/>
                    <w:rPr>
                      <w:color w:val="auto"/>
                      <w:sz w:val="21"/>
                      <w:szCs w:val="21"/>
                      <w:highlight w:val="none"/>
                    </w:rPr>
                  </w:pPr>
                  <w:r>
                    <w:rPr>
                      <w:color w:val="auto"/>
                      <w:sz w:val="21"/>
                      <w:szCs w:val="21"/>
                      <w:highlight w:val="none"/>
                    </w:rPr>
                    <w:t>2、石渣可充分利用大坝、溢洪道、取水洞开挖料作为坝壳料，当地材料利用率高，不足部分从库内赵家山料场开采，储量丰富，质量满足设计要求，运距约1.6km，运距较近。</w:t>
                  </w:r>
                </w:p>
                <w:p>
                  <w:pPr>
                    <w:pStyle w:val="40"/>
                    <w:spacing w:before="0" w:after="0" w:line="240" w:lineRule="auto"/>
                    <w:ind w:firstLine="0" w:firstLineChars="0"/>
                    <w:jc w:val="both"/>
                    <w:rPr>
                      <w:color w:val="auto"/>
                      <w:sz w:val="21"/>
                      <w:szCs w:val="21"/>
                      <w:highlight w:val="none"/>
                    </w:rPr>
                  </w:pPr>
                  <w:r>
                    <w:rPr>
                      <w:color w:val="auto"/>
                      <w:sz w:val="21"/>
                      <w:szCs w:val="21"/>
                      <w:highlight w:val="none"/>
                    </w:rPr>
                    <w:t>3、反滤过渡料、排水带料及混凝土粗、细骨料</w:t>
                  </w:r>
                  <w:r>
                    <w:rPr>
                      <w:color w:val="auto"/>
                      <w:sz w:val="21"/>
                      <w:szCs w:val="21"/>
                      <w:highlight w:val="none"/>
                      <w:lang w:val="zh-CN"/>
                    </w:rPr>
                    <w:t>建议到东源砂石厂购买</w:t>
                  </w:r>
                  <w:r>
                    <w:rPr>
                      <w:color w:val="auto"/>
                      <w:sz w:val="21"/>
                      <w:szCs w:val="21"/>
                      <w:highlight w:val="none"/>
                    </w:rPr>
                    <w:t>，其质量满足要求，距坝址运距15.5km。</w:t>
                  </w:r>
                </w:p>
              </w:tc>
              <w:tc>
                <w:tcPr>
                  <w:tcW w:w="1456" w:type="pct"/>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宋体" w:hAnsi="Times New Roman" w:eastAsia="宋体" w:cs="Times New Roman"/>
                      <w:color w:val="auto"/>
                      <w:kern w:val="0"/>
                      <w:sz w:val="21"/>
                      <w:szCs w:val="21"/>
                      <w:highlight w:val="none"/>
                      <w:lang w:val="zh-CN" w:eastAsia="zh-CN" w:bidi="ar-SA"/>
                    </w:rPr>
                  </w:pPr>
                  <w:r>
                    <w:rPr>
                      <w:rFonts w:ascii="Times New Roman" w:hAnsi="Times New Roman" w:eastAsia="华文中宋" w:cs="Times New Roman"/>
                      <w:color w:val="auto"/>
                      <w:kern w:val="2"/>
                      <w:sz w:val="21"/>
                      <w:szCs w:val="21"/>
                      <w:highlight w:val="none"/>
                      <w:lang w:val="zh-CN" w:eastAsia="zh-CN" w:bidi="ar-SA"/>
                    </w:rPr>
                    <w:t>1</w:t>
                  </w:r>
                  <w:r>
                    <w:rPr>
                      <w:rFonts w:ascii="宋体" w:hAnsi="Times New Roman" w:eastAsia="宋体" w:cs="Times New Roman"/>
                      <w:color w:val="auto"/>
                      <w:kern w:val="0"/>
                      <w:sz w:val="21"/>
                      <w:szCs w:val="21"/>
                      <w:highlight w:val="none"/>
                      <w:lang w:val="zh-CN" w:eastAsia="zh-CN" w:bidi="ar-SA"/>
                    </w:rPr>
                    <w:t>、纵向增强体心墙所需砼骨料到东源砂石厂购买，距坝址运距15.5km。</w:t>
                  </w:r>
                </w:p>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宋体" w:hAnsi="Times New Roman" w:eastAsia="宋体" w:cs="Times New Roman"/>
                      <w:color w:val="auto"/>
                      <w:kern w:val="0"/>
                      <w:sz w:val="21"/>
                      <w:szCs w:val="21"/>
                      <w:highlight w:val="none"/>
                      <w:lang w:val="zh-CN" w:eastAsia="zh-CN" w:bidi="ar-SA"/>
                    </w:rPr>
                  </w:pPr>
                  <w:r>
                    <w:rPr>
                      <w:rFonts w:ascii="宋体" w:hAnsi="Times New Roman" w:eastAsia="宋体" w:cs="Times New Roman"/>
                      <w:color w:val="auto"/>
                      <w:kern w:val="0"/>
                      <w:sz w:val="21"/>
                      <w:szCs w:val="21"/>
                      <w:highlight w:val="none"/>
                      <w:lang w:val="zh-CN" w:eastAsia="zh-CN" w:bidi="ar-SA"/>
                    </w:rPr>
                    <w:t>2、石渣可利用大坝、溢洪道、取水洞新鲜岩体开挖料作为坝壳料，当地材料利用率较高，不足部分从库内赵家山料场开采较好的新鲜料，储量丰富，质量满足设计要求，运距约1.6km，运距较近。</w:t>
                  </w:r>
                </w:p>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Times New Roman" w:hAnsi="Times New Roman" w:eastAsia="华文中宋" w:cs="Times New Roman"/>
                      <w:color w:val="auto"/>
                      <w:kern w:val="2"/>
                      <w:sz w:val="21"/>
                      <w:szCs w:val="21"/>
                      <w:highlight w:val="none"/>
                      <w:lang w:val="zh-CN" w:eastAsia="zh-CN" w:bidi="ar-SA"/>
                    </w:rPr>
                  </w:pPr>
                  <w:r>
                    <w:rPr>
                      <w:rFonts w:ascii="宋体" w:hAnsi="Times New Roman" w:eastAsia="宋体" w:cs="Times New Roman"/>
                      <w:color w:val="auto"/>
                      <w:kern w:val="0"/>
                      <w:sz w:val="21"/>
                      <w:szCs w:val="21"/>
                      <w:highlight w:val="none"/>
                      <w:lang w:val="zh-CN" w:eastAsia="zh-CN" w:bidi="ar-SA"/>
                    </w:rPr>
                    <w:t>3、反滤过渡料、排水带料及混凝土粗、细骨料建议到东源砂石厂购买，其质量满足要求，距坝址运距15.5km。</w:t>
                  </w:r>
                </w:p>
              </w:tc>
              <w:tc>
                <w:tcPr>
                  <w:tcW w:w="1473" w:type="pct"/>
                  <w:vAlign w:val="center"/>
                </w:tcPr>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宋体" w:hAnsi="Times New Roman" w:eastAsia="宋体" w:cs="Times New Roman"/>
                      <w:color w:val="auto"/>
                      <w:kern w:val="0"/>
                      <w:sz w:val="21"/>
                      <w:szCs w:val="21"/>
                      <w:highlight w:val="none"/>
                      <w:lang w:val="zh-CN" w:eastAsia="zh-CN" w:bidi="ar-SA"/>
                    </w:rPr>
                  </w:pPr>
                  <w:r>
                    <w:rPr>
                      <w:rFonts w:ascii="宋体" w:hAnsi="Times New Roman" w:eastAsia="宋体" w:cs="Times New Roman"/>
                      <w:color w:val="auto"/>
                      <w:kern w:val="0"/>
                      <w:sz w:val="21"/>
                      <w:szCs w:val="21"/>
                      <w:highlight w:val="none"/>
                      <w:lang w:val="zh-CN" w:eastAsia="zh-CN" w:bidi="ar-SA"/>
                    </w:rPr>
                    <w:t>1、沥青砼心墙所需骨料到旺苍诺诚矿业有限公司购买灰岩，距坝址运距29km。</w:t>
                  </w:r>
                </w:p>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宋体" w:hAnsi="Times New Roman" w:eastAsia="宋体" w:cs="Times New Roman"/>
                      <w:color w:val="auto"/>
                      <w:kern w:val="0"/>
                      <w:sz w:val="21"/>
                      <w:szCs w:val="21"/>
                      <w:highlight w:val="none"/>
                      <w:lang w:val="zh-CN" w:eastAsia="zh-CN" w:bidi="ar-SA"/>
                    </w:rPr>
                  </w:pPr>
                  <w:r>
                    <w:rPr>
                      <w:rFonts w:ascii="宋体" w:hAnsi="Times New Roman" w:eastAsia="宋体" w:cs="Times New Roman"/>
                      <w:color w:val="auto"/>
                      <w:kern w:val="0"/>
                      <w:sz w:val="21"/>
                      <w:szCs w:val="21"/>
                      <w:highlight w:val="none"/>
                      <w:lang w:val="zh-CN" w:eastAsia="zh-CN" w:bidi="ar-SA"/>
                    </w:rPr>
                    <w:t>2、石渣可充分利用大坝、溢洪道、取水洞开挖料作为坝壳料，当地材料利用率高，不足部分从库内赵家山料场开采，储量丰富，质量满足设计要求，运距约1.6km，运距较近。</w:t>
                  </w:r>
                </w:p>
                <w:p>
                  <w:pPr>
                    <w:pStyle w:val="4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both"/>
                    <w:textAlignment w:val="auto"/>
                    <w:rPr>
                      <w:rFonts w:ascii="Times New Roman" w:hAnsi="Times New Roman" w:eastAsia="华文中宋" w:cs="Times New Roman"/>
                      <w:color w:val="auto"/>
                      <w:kern w:val="2"/>
                      <w:sz w:val="21"/>
                      <w:szCs w:val="21"/>
                      <w:highlight w:val="none"/>
                      <w:lang w:val="zh-CN" w:eastAsia="zh-CN" w:bidi="ar-SA"/>
                    </w:rPr>
                  </w:pPr>
                  <w:r>
                    <w:rPr>
                      <w:rFonts w:ascii="宋体" w:hAnsi="Times New Roman" w:eastAsia="宋体" w:cs="Times New Roman"/>
                      <w:color w:val="auto"/>
                      <w:kern w:val="0"/>
                      <w:sz w:val="21"/>
                      <w:szCs w:val="21"/>
                      <w:highlight w:val="none"/>
                      <w:lang w:val="zh-CN" w:eastAsia="zh-CN" w:bidi="ar-SA"/>
                    </w:rPr>
                    <w:t>3、反滤过渡料、排水带料及混凝土粗、细骨料建议到东源砂石厂购买，其质量满足要求，距坝址运距15.5km。</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hint="default" w:ascii="Arial" w:hAnsi="Arial" w:cs="Arial"/>
                <w:b w:val="0"/>
                <w:bCs w:val="0"/>
                <w:color w:val="auto"/>
                <w:spacing w:val="-5"/>
                <w:sz w:val="24"/>
                <w:szCs w:val="24"/>
                <w:highlight w:val="none"/>
                <w:lang w:val="en-US" w:eastAsia="zh-CN"/>
              </w:rPr>
            </w:pPr>
            <w:r>
              <w:rPr>
                <w:rFonts w:hint="eastAsia" w:ascii="Arial" w:hAnsi="Arial" w:cs="Arial"/>
                <w:b w:val="0"/>
                <w:bCs w:val="0"/>
                <w:color w:val="auto"/>
                <w:spacing w:val="-5"/>
                <w:sz w:val="24"/>
                <w:szCs w:val="24"/>
                <w:highlight w:val="none"/>
                <w:lang w:val="en-US" w:eastAsia="zh-CN"/>
              </w:rPr>
              <w:t>综上所述，黏土心墙石渣坝、纵向增强体心墙、沥青混凝土心墙石渣坝对坝基、边坡、防渗等地质条件要求大体相同。就建筑材料而言，各坝型对防渗体及坝壳建筑材料的要求有所不同，纵向增强体心墙石渣坝坝壳料宜采用质量较好的新鲜料，而黏土心墙和沥青砼心墙石渣坝风化及新鲜料均可作为坝壳料，当地材料利用率高。就施工而言，黏土心墙石渣坝施工受季节（雨季）干扰较大，施工质量控制难度较大，但施工工艺较成熟；纵向增强体心墙石渣坝心墙开挖量较小，帷幕、固结灌浆工作量较小，施工周期短，但对施工工艺要求高，施工质量控制难度大；黏土心墙石渣坝施工难度较大，施工受季节影响，对施工工艺要求较高。</w:t>
            </w:r>
            <w:r>
              <w:rPr>
                <w:rFonts w:hint="eastAsia" w:ascii="Arial" w:hAnsi="Arial" w:cs="Arial"/>
                <w:b/>
                <w:bCs/>
                <w:color w:val="auto"/>
                <w:spacing w:val="-5"/>
                <w:sz w:val="24"/>
                <w:szCs w:val="24"/>
                <w:highlight w:val="none"/>
                <w:u w:val="single"/>
                <w:lang w:val="en-US" w:eastAsia="zh-CN"/>
              </w:rPr>
              <w:t>就地质条件、施工及对天然建材要求和利用而言，最终选择沥青混凝土心墙石渣坝</w:t>
            </w:r>
            <w:r>
              <w:rPr>
                <w:rFonts w:hint="eastAsia" w:ascii="Arial" w:hAnsi="Arial" w:cs="Arial"/>
                <w:b w:val="0"/>
                <w:bCs w:val="0"/>
                <w:color w:val="auto"/>
                <w:spacing w:val="-5"/>
                <w:sz w:val="24"/>
                <w:szCs w:val="24"/>
                <w:highlight w:val="none"/>
                <w:lang w:val="en-US" w:eastAsia="zh-CN"/>
              </w:rPr>
              <w:t>。</w:t>
            </w:r>
          </w:p>
          <w:p>
            <w:pPr>
              <w:pStyle w:val="75"/>
              <w:keepNext w:val="0"/>
              <w:keepLines w:val="0"/>
              <w:pageBreakBefore w:val="0"/>
              <w:widowControl w:val="0"/>
              <w:kinsoku/>
              <w:wordWrap/>
              <w:overflowPunct/>
              <w:topLinePunct w:val="0"/>
              <w:autoSpaceDE/>
              <w:autoSpaceDN/>
              <w:bidi w:val="0"/>
              <w:adjustRightInd/>
              <w:spacing w:line="360" w:lineRule="auto"/>
              <w:ind w:left="0" w:firstLine="466" w:firstLineChars="200"/>
              <w:textAlignment w:val="auto"/>
              <w:rPr>
                <w:color w:val="auto"/>
                <w:sz w:val="24"/>
                <w:szCs w:val="24"/>
                <w:highlight w:val="none"/>
              </w:rPr>
            </w:pPr>
            <w:r>
              <w:rPr>
                <w:b/>
                <w:bCs/>
                <w:color w:val="auto"/>
                <w:spacing w:val="-4"/>
                <w:sz w:val="24"/>
                <w:szCs w:val="24"/>
                <w:highlight w:val="none"/>
              </w:rPr>
              <w:t>二、溢洪道选线</w:t>
            </w: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val="en-US" w:eastAsia="zh-CN"/>
              </w:rPr>
            </w:pPr>
            <w:r>
              <w:rPr>
                <w:rFonts w:hint="eastAsia"/>
                <w:color w:val="auto"/>
                <w:spacing w:val="-1"/>
                <w:sz w:val="24"/>
                <w:szCs w:val="24"/>
                <w:highlight w:val="none"/>
                <w:lang w:val="en-US" w:eastAsia="zh-CN"/>
              </w:rPr>
              <w:t>项目在设计阶段</w:t>
            </w:r>
            <w:r>
              <w:rPr>
                <w:color w:val="auto"/>
                <w:spacing w:val="-1"/>
                <w:sz w:val="24"/>
                <w:szCs w:val="24"/>
                <w:highlight w:val="none"/>
              </w:rPr>
              <w:t>首先对溢洪道左、右岸布置方式进行了比选，</w:t>
            </w:r>
            <w:r>
              <w:rPr>
                <w:rFonts w:hint="eastAsia"/>
                <w:color w:val="auto"/>
                <w:spacing w:val="-1"/>
                <w:sz w:val="24"/>
                <w:szCs w:val="24"/>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表2-17   溢洪道选线对比表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3761"/>
              <w:gridCol w:w="347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blHeader/>
                <w:jc w:val="center"/>
              </w:trPr>
              <w:tc>
                <w:tcPr>
                  <w:tcW w:w="422" w:type="pct"/>
                  <w:vAlign w:val="center"/>
                </w:tcPr>
                <w:p>
                  <w:pPr>
                    <w:pStyle w:val="40"/>
                    <w:spacing w:before="0" w:after="0" w:line="240" w:lineRule="auto"/>
                    <w:ind w:firstLine="0" w:firstLineChars="0"/>
                    <w:rPr>
                      <w:b/>
                      <w:bCs/>
                      <w:color w:val="auto"/>
                      <w:sz w:val="21"/>
                      <w:szCs w:val="21"/>
                      <w:highlight w:val="none"/>
                    </w:rPr>
                  </w:pPr>
                  <w:r>
                    <w:rPr>
                      <w:rFonts w:hAnsi="宋体"/>
                      <w:b/>
                      <w:bCs/>
                      <w:color w:val="auto"/>
                      <w:sz w:val="21"/>
                      <w:szCs w:val="21"/>
                      <w:highlight w:val="none"/>
                    </w:rPr>
                    <w:t>项目</w:t>
                  </w:r>
                </w:p>
              </w:tc>
              <w:tc>
                <w:tcPr>
                  <w:tcW w:w="2059" w:type="pct"/>
                  <w:vAlign w:val="center"/>
                </w:tcPr>
                <w:p>
                  <w:pPr>
                    <w:pStyle w:val="40"/>
                    <w:spacing w:before="0" w:after="0" w:line="240" w:lineRule="auto"/>
                    <w:ind w:firstLine="0" w:firstLineChars="0"/>
                    <w:rPr>
                      <w:b/>
                      <w:bCs/>
                      <w:color w:val="auto"/>
                      <w:sz w:val="21"/>
                      <w:szCs w:val="21"/>
                      <w:highlight w:val="none"/>
                    </w:rPr>
                  </w:pPr>
                  <w:r>
                    <w:rPr>
                      <w:rFonts w:hint="eastAsia"/>
                      <w:b/>
                      <w:bCs/>
                      <w:color w:val="auto"/>
                      <w:sz w:val="21"/>
                      <w:szCs w:val="21"/>
                      <w:highlight w:val="none"/>
                    </w:rPr>
                    <w:t>上坝址左岸</w:t>
                  </w:r>
                </w:p>
              </w:tc>
              <w:tc>
                <w:tcPr>
                  <w:tcW w:w="1901" w:type="pct"/>
                  <w:vAlign w:val="center"/>
                </w:tcPr>
                <w:p>
                  <w:pPr>
                    <w:pStyle w:val="40"/>
                    <w:spacing w:before="0" w:after="0" w:line="240" w:lineRule="auto"/>
                    <w:ind w:firstLine="0" w:firstLineChars="0"/>
                    <w:rPr>
                      <w:b/>
                      <w:bCs/>
                      <w:color w:val="auto"/>
                      <w:sz w:val="21"/>
                      <w:szCs w:val="21"/>
                      <w:highlight w:val="none"/>
                    </w:rPr>
                  </w:pPr>
                  <w:r>
                    <w:rPr>
                      <w:rFonts w:hint="eastAsia"/>
                      <w:b/>
                      <w:bCs/>
                      <w:color w:val="auto"/>
                      <w:sz w:val="21"/>
                      <w:szCs w:val="21"/>
                      <w:highlight w:val="none"/>
                    </w:rPr>
                    <w:t>上坝址右岸</w:t>
                  </w:r>
                </w:p>
              </w:tc>
              <w:tc>
                <w:tcPr>
                  <w:tcW w:w="616" w:type="pct"/>
                  <w:vAlign w:val="center"/>
                </w:tcPr>
                <w:p>
                  <w:pPr>
                    <w:pStyle w:val="40"/>
                    <w:spacing w:before="0" w:after="0" w:line="240" w:lineRule="auto"/>
                    <w:ind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比较意见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22" w:type="pct"/>
                  <w:vAlign w:val="center"/>
                </w:tcPr>
                <w:p>
                  <w:pPr>
                    <w:pStyle w:val="40"/>
                    <w:spacing w:before="0" w:after="0" w:line="240" w:lineRule="auto"/>
                    <w:ind w:firstLine="0" w:firstLineChars="0"/>
                    <w:rPr>
                      <w:color w:val="auto"/>
                      <w:spacing w:val="-1"/>
                      <w:sz w:val="21"/>
                      <w:szCs w:val="21"/>
                      <w:highlight w:val="none"/>
                    </w:rPr>
                  </w:pPr>
                  <w:r>
                    <w:rPr>
                      <w:color w:val="auto"/>
                      <w:spacing w:val="-1"/>
                      <w:sz w:val="21"/>
                      <w:szCs w:val="21"/>
                      <w:highlight w:val="none"/>
                    </w:rPr>
                    <w:t>地层</w:t>
                  </w:r>
                </w:p>
                <w:p>
                  <w:pPr>
                    <w:pStyle w:val="40"/>
                    <w:spacing w:before="0" w:after="0" w:line="240" w:lineRule="auto"/>
                    <w:ind w:firstLine="0" w:firstLineChars="0"/>
                    <w:rPr>
                      <w:rFonts w:hint="eastAsia" w:eastAsia="宋体"/>
                      <w:color w:val="auto"/>
                      <w:sz w:val="21"/>
                      <w:szCs w:val="21"/>
                      <w:highlight w:val="none"/>
                      <w:lang w:eastAsia="zh-CN"/>
                    </w:rPr>
                  </w:pPr>
                  <w:r>
                    <w:rPr>
                      <w:color w:val="auto"/>
                      <w:spacing w:val="-1"/>
                      <w:sz w:val="21"/>
                      <w:szCs w:val="21"/>
                      <w:highlight w:val="none"/>
                    </w:rPr>
                    <w:t>岩性</w:t>
                  </w:r>
                </w:p>
              </w:tc>
              <w:tc>
                <w:tcPr>
                  <w:tcW w:w="2059"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地层岩性、地质构造、风化特征等大体相同，均具备修建溢洪道的条件</w:t>
                  </w:r>
                </w:p>
              </w:tc>
              <w:tc>
                <w:tcPr>
                  <w:tcW w:w="1901"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地层岩性、地质构造、风化特征等大体相同，均具备修建溢洪道的条件</w:t>
                  </w:r>
                </w:p>
              </w:tc>
              <w:tc>
                <w:tcPr>
                  <w:tcW w:w="616" w:type="pct"/>
                  <w:vAlign w:val="center"/>
                </w:tcPr>
                <w:p>
                  <w:pPr>
                    <w:pStyle w:val="40"/>
                    <w:spacing w:before="0" w:after="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基本相同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2" w:hRule="atLeast"/>
                <w:jc w:val="center"/>
              </w:trPr>
              <w:tc>
                <w:tcPr>
                  <w:tcW w:w="422" w:type="pct"/>
                  <w:vAlign w:val="center"/>
                </w:tcPr>
                <w:p>
                  <w:pPr>
                    <w:pStyle w:val="40"/>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运行</w:t>
                  </w:r>
                </w:p>
                <w:p>
                  <w:pPr>
                    <w:pStyle w:val="40"/>
                    <w:spacing w:before="0" w:after="0" w:line="240" w:lineRule="auto"/>
                    <w:ind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管理</w:t>
                  </w:r>
                </w:p>
              </w:tc>
              <w:tc>
                <w:tcPr>
                  <w:tcW w:w="2059"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左岸坝肩地形较陡，溢洪道轴线较长，无法与</w:t>
                  </w:r>
                  <w:r>
                    <w:rPr>
                      <w:color w:val="auto"/>
                      <w:spacing w:val="-5"/>
                      <w:sz w:val="21"/>
                      <w:szCs w:val="21"/>
                      <w:highlight w:val="none"/>
                    </w:rPr>
                    <w:t>上坝公路、管理平台结合，开挖方量较大，高</w:t>
                  </w:r>
                  <w:r>
                    <w:rPr>
                      <w:color w:val="auto"/>
                      <w:spacing w:val="-6"/>
                      <w:sz w:val="21"/>
                      <w:szCs w:val="21"/>
                      <w:highlight w:val="none"/>
                    </w:rPr>
                    <w:t>边坡处理难度较大，工程投资较高，</w:t>
                  </w:r>
                  <w:r>
                    <w:rPr>
                      <w:color w:val="auto"/>
                      <w:spacing w:val="-1"/>
                      <w:sz w:val="21"/>
                      <w:szCs w:val="21"/>
                      <w:highlight w:val="none"/>
                    </w:rPr>
                    <w:t>后期管理难度大，存在安全隐患，出口需设置弯道才能使水流较为顺直的汇入河</w:t>
                  </w:r>
                  <w:r>
                    <w:rPr>
                      <w:color w:val="auto"/>
                      <w:spacing w:val="-2"/>
                      <w:sz w:val="21"/>
                      <w:szCs w:val="21"/>
                      <w:highlight w:val="none"/>
                    </w:rPr>
                    <w:t>道，工程处理措施较为困难，投资较高</w:t>
                  </w:r>
                </w:p>
              </w:tc>
              <w:tc>
                <w:tcPr>
                  <w:tcW w:w="1901"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在右坝肩布置溢洪道能够结合永久上坝公路的修建、管理平台的开挖，减少形成高边坡，建筑物集中运行管理方便、安全可靠</w:t>
                  </w:r>
                </w:p>
              </w:tc>
              <w:tc>
                <w:tcPr>
                  <w:tcW w:w="616" w:type="pct"/>
                  <w:vAlign w:val="center"/>
                </w:tcPr>
                <w:p>
                  <w:pPr>
                    <w:pStyle w:val="40"/>
                    <w:spacing w:before="0" w:after="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右岸较好</w:t>
                  </w:r>
                </w:p>
              </w:tc>
            </w:tr>
          </w:tbl>
          <w:p>
            <w:pPr>
              <w:keepNext w:val="0"/>
              <w:keepLines w:val="0"/>
              <w:pageBreakBefore w:val="0"/>
              <w:widowControl w:val="0"/>
              <w:kinsoku/>
              <w:wordWrap/>
              <w:overflowPunct/>
              <w:topLinePunct w:val="0"/>
              <w:autoSpaceDE/>
              <w:autoSpaceDN/>
              <w:bidi w:val="0"/>
              <w:adjustRightInd/>
              <w:snapToGrid w:val="0"/>
              <w:spacing w:line="360" w:lineRule="auto"/>
              <w:ind w:left="0" w:firstLine="474" w:firstLineChars="200"/>
              <w:textAlignment w:val="auto"/>
              <w:rPr>
                <w:rFonts w:hint="eastAsia"/>
                <w:color w:val="auto"/>
                <w:spacing w:val="-1"/>
                <w:sz w:val="24"/>
                <w:szCs w:val="24"/>
                <w:highlight w:val="none"/>
                <w:lang w:eastAsia="zh-CN"/>
              </w:rPr>
            </w:pPr>
            <w:r>
              <w:rPr>
                <w:b/>
                <w:bCs/>
                <w:color w:val="auto"/>
                <w:spacing w:val="-2"/>
                <w:sz w:val="24"/>
                <w:szCs w:val="24"/>
                <w:highlight w:val="none"/>
              </w:rPr>
              <w:t>故本阶段经综合比较推荐采用右岸溢洪</w:t>
            </w:r>
            <w:r>
              <w:rPr>
                <w:b/>
                <w:bCs/>
                <w:color w:val="auto"/>
                <w:spacing w:val="-1"/>
                <w:sz w:val="24"/>
                <w:szCs w:val="24"/>
                <w:highlight w:val="none"/>
              </w:rPr>
              <w:t>道布置方案。</w:t>
            </w:r>
            <w:r>
              <w:rPr>
                <w:color w:val="auto"/>
                <w:spacing w:val="-1"/>
                <w:sz w:val="24"/>
                <w:szCs w:val="24"/>
                <w:highlight w:val="none"/>
              </w:rPr>
              <w:t>左、右岸溢洪道布置示意图见下图</w:t>
            </w:r>
            <w:r>
              <w:rPr>
                <w:rFonts w:hint="eastAsia"/>
                <w:color w:val="auto"/>
                <w:spacing w:val="-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spacing w:val="-1"/>
                <w:sz w:val="24"/>
                <w:szCs w:val="24"/>
                <w:highlight w:val="none"/>
                <w:lang w:eastAsia="zh-CN"/>
              </w:rPr>
            </w:pP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3700145</wp:posOffset>
                      </wp:positionH>
                      <wp:positionV relativeFrom="paragraph">
                        <wp:posOffset>1062990</wp:posOffset>
                      </wp:positionV>
                      <wp:extent cx="929640" cy="327025"/>
                      <wp:effectExtent l="95885" t="456565" r="26035" b="24130"/>
                      <wp:wrapNone/>
                      <wp:docPr id="75" name="圆角矩形标注 75"/>
                      <wp:cNvGraphicFramePr/>
                      <a:graphic xmlns:a="http://schemas.openxmlformats.org/drawingml/2006/main">
                        <a:graphicData uri="http://schemas.microsoft.com/office/word/2010/wordprocessingShape">
                          <wps:wsp>
                            <wps:cNvSpPr/>
                            <wps:spPr>
                              <a:xfrm>
                                <a:off x="0" y="0"/>
                                <a:ext cx="929640" cy="327025"/>
                              </a:xfrm>
                              <a:prstGeom prst="wedgeRoundRectCallout">
                                <a:avLst>
                                  <a:gd name="adj1" fmla="val -58948"/>
                                  <a:gd name="adj2" fmla="val -185728"/>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比较方案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1.35pt;margin-top:83.7pt;height:25.75pt;width:73.2pt;z-index:251669504;v-text-anchor:middle;mso-width-relative:page;mso-height-relative:page;" fillcolor="#4F81BD [3204]" filled="t" stroked="t" coordsize="21600,21600" o:gfxdata="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DrN7a2gAAAAsBAAAPAAAAAAAAAAEAIAAAACIA&#10;AABkcnMvZG93bnJldi54bWxQSwECFAAUAAAACACHTuJA/WqkKrICAABSBQAADgAAAAAAAAABACAA&#10;AAApAQAAZHJzL2Uyb0RvYy54bWxQSwUGAAAAAAYABgBZAQAATQYAAAAA&#10;" adj="-1933,-29317,14400">
                      <v:fill on="t" focussize="0,0"/>
                      <v:stroke weight="2pt" color="#376092 [2404]" joinstyle="round"/>
                      <v:imagedata o:title=""/>
                      <o:lock v:ext="edit" aspectratio="f"/>
                      <v:textbo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比较方案</w:t>
                            </w:r>
                          </w:p>
                        </w:txbxContent>
                      </v:textbox>
                    </v:shape>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2206625</wp:posOffset>
                      </wp:positionH>
                      <wp:positionV relativeFrom="paragraph">
                        <wp:posOffset>1383030</wp:posOffset>
                      </wp:positionV>
                      <wp:extent cx="929640" cy="327025"/>
                      <wp:effectExtent l="12700" t="12700" r="17780" b="452755"/>
                      <wp:wrapNone/>
                      <wp:docPr id="74" name="圆角矩形标注 74"/>
                      <wp:cNvGraphicFramePr/>
                      <a:graphic xmlns:a="http://schemas.openxmlformats.org/drawingml/2006/main">
                        <a:graphicData uri="http://schemas.microsoft.com/office/word/2010/wordprocessingShape">
                          <wps:wsp>
                            <wps:cNvSpPr/>
                            <wps:spPr>
                              <a:xfrm>
                                <a:off x="3227705" y="5454650"/>
                                <a:ext cx="929640" cy="327025"/>
                              </a:xfrm>
                              <a:prstGeom prst="wedgeRoundRectCallout">
                                <a:avLst>
                                  <a:gd name="adj1" fmla="val -5669"/>
                                  <a:gd name="adj2" fmla="val 180097"/>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推荐方案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3.75pt;margin-top:108.9pt;height:25.75pt;width:73.2pt;z-index:251668480;v-text-anchor:middle;mso-width-relative:page;mso-height-relative:page;" fillcolor="#4F81BD [3204]" filled="t" stroked="t" coordsize="21600,21600" o:gfxdata="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NgfwF2QAAAAsBAAAP&#10;AAAAAAAAAAEAIAAAACIAAABkcnMvZG93bnJldi54bWxQSwECFAAUAAAACACHTuJAVXZgksICAABc&#10;BQAADgAAAAAAAAABACAAAAAoAQAAZHJzL2Uyb0RvYy54bWxQSwUGAAAAAAYABgBZAQAAXAYAAAAA&#10;" adj="9575,49701,14400">
                      <v:fill on="t" focussize="0,0"/>
                      <v:stroke weight="2pt" color="#376092 [2404]" joinstyle="round"/>
                      <v:imagedata o:title=""/>
                      <o:lock v:ext="edit" aspectratio="f"/>
                      <v:textbo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推荐方案</w:t>
                            </w:r>
                          </w:p>
                        </w:txbxContent>
                      </v:textbox>
                    </v:shape>
                  </w:pict>
                </mc:Fallback>
              </mc:AlternateContent>
            </w:r>
            <w:r>
              <w:rPr>
                <w:rFonts w:hint="eastAsia"/>
                <w:color w:val="auto"/>
                <w:spacing w:val="-1"/>
                <w:sz w:val="24"/>
                <w:szCs w:val="24"/>
                <w:highlight w:val="none"/>
                <w:lang w:eastAsia="zh-CN"/>
              </w:rPr>
              <w:drawing>
                <wp:inline distT="0" distB="0" distL="114300" distR="114300">
                  <wp:extent cx="5791835" cy="3793490"/>
                  <wp:effectExtent l="0" t="0" r="14605" b="1270"/>
                  <wp:docPr id="73" name="图片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
                          <pic:cNvPicPr>
                            <a:picLocks noChangeAspect="1"/>
                          </pic:cNvPicPr>
                        </pic:nvPicPr>
                        <pic:blipFill>
                          <a:blip r:embed="rId15"/>
                          <a:stretch>
                            <a:fillRect/>
                          </a:stretch>
                        </pic:blipFill>
                        <pic:spPr>
                          <a:xfrm>
                            <a:off x="0" y="0"/>
                            <a:ext cx="5791835" cy="3793490"/>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6</w:t>
            </w:r>
            <w:r>
              <w:rPr>
                <w:b/>
                <w:bCs/>
                <w:color w:val="auto"/>
                <w:spacing w:val="0"/>
                <w:sz w:val="21"/>
                <w:szCs w:val="21"/>
                <w:highlight w:val="none"/>
              </w:rPr>
              <w:t xml:space="preserve">  </w:t>
            </w:r>
            <w:r>
              <w:rPr>
                <w:rFonts w:hint="eastAsia"/>
                <w:b/>
                <w:bCs/>
                <w:color w:val="auto"/>
                <w:spacing w:val="0"/>
                <w:sz w:val="21"/>
                <w:szCs w:val="21"/>
                <w:highlight w:val="none"/>
                <w:lang w:val="en-US" w:eastAsia="zh-CN"/>
              </w:rPr>
              <w:t>枢纽工程溢洪道工程</w:t>
            </w:r>
            <w:r>
              <w:rPr>
                <w:b/>
                <w:bCs/>
                <w:color w:val="auto"/>
                <w:spacing w:val="0"/>
                <w:sz w:val="21"/>
                <w:szCs w:val="21"/>
                <w:highlight w:val="none"/>
              </w:rPr>
              <w:t>布置示意图</w:t>
            </w:r>
          </w:p>
          <w:p>
            <w:pPr>
              <w:pStyle w:val="75"/>
              <w:keepNext w:val="0"/>
              <w:keepLines w:val="0"/>
              <w:pageBreakBefore w:val="0"/>
              <w:widowControl w:val="0"/>
              <w:kinsoku/>
              <w:wordWrap/>
              <w:overflowPunct/>
              <w:topLinePunct w:val="0"/>
              <w:autoSpaceDE/>
              <w:autoSpaceDN/>
              <w:bidi w:val="0"/>
              <w:adjustRightInd/>
              <w:spacing w:line="360" w:lineRule="auto"/>
              <w:ind w:left="0" w:firstLine="470" w:firstLineChars="200"/>
              <w:textAlignment w:val="auto"/>
              <w:rPr>
                <w:color w:val="auto"/>
                <w:sz w:val="24"/>
                <w:szCs w:val="24"/>
                <w:highlight w:val="none"/>
              </w:rPr>
            </w:pPr>
            <w:r>
              <w:rPr>
                <w:b/>
                <w:bCs/>
                <w:color w:val="auto"/>
                <w:spacing w:val="-3"/>
                <w:sz w:val="24"/>
                <w:szCs w:val="24"/>
                <w:highlight w:val="none"/>
              </w:rPr>
              <w:t>三、取水（放空）工程线路选择</w:t>
            </w:r>
          </w:p>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val="en-US" w:eastAsia="zh-CN"/>
              </w:rPr>
            </w:pPr>
            <w:r>
              <w:rPr>
                <w:rFonts w:hint="eastAsia"/>
                <w:color w:val="auto"/>
                <w:spacing w:val="-1"/>
                <w:sz w:val="24"/>
                <w:szCs w:val="24"/>
                <w:highlight w:val="none"/>
                <w:lang w:val="en-US" w:eastAsia="zh-CN"/>
              </w:rPr>
              <w:t>本阶段首先对取水隧洞左、右岸布置方式进行了比选，具体如下：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highlight w:val="none"/>
                <w:lang w:val="en-US" w:eastAsia="zh-CN"/>
              </w:rPr>
            </w:pPr>
            <w:r>
              <w:rPr>
                <w:rFonts w:hint="eastAsia"/>
                <w:b/>
                <w:color w:val="auto"/>
                <w:sz w:val="21"/>
                <w:szCs w:val="21"/>
                <w:highlight w:val="none"/>
                <w:lang w:val="en-US" w:eastAsia="zh-CN"/>
              </w:rPr>
              <w:t>表2-19   取水工程比选对比表</w:t>
            </w:r>
          </w:p>
          <w:tbl>
            <w:tblPr>
              <w:tblStyle w:val="23"/>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3629"/>
              <w:gridCol w:w="3212"/>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blHeader/>
                <w:jc w:val="center"/>
              </w:trPr>
              <w:tc>
                <w:tcPr>
                  <w:tcW w:w="423" w:type="pct"/>
                  <w:vAlign w:val="center"/>
                </w:tcPr>
                <w:p>
                  <w:pPr>
                    <w:pStyle w:val="40"/>
                    <w:spacing w:before="0" w:after="0" w:line="240" w:lineRule="auto"/>
                    <w:ind w:firstLine="0" w:firstLineChars="0"/>
                    <w:rPr>
                      <w:b/>
                      <w:bCs/>
                      <w:color w:val="auto"/>
                      <w:sz w:val="21"/>
                      <w:szCs w:val="21"/>
                      <w:highlight w:val="none"/>
                    </w:rPr>
                  </w:pPr>
                  <w:r>
                    <w:rPr>
                      <w:rFonts w:hAnsi="宋体"/>
                      <w:b/>
                      <w:bCs/>
                      <w:color w:val="auto"/>
                      <w:sz w:val="21"/>
                      <w:szCs w:val="21"/>
                      <w:highlight w:val="none"/>
                    </w:rPr>
                    <w:t>项目</w:t>
                  </w:r>
                </w:p>
              </w:tc>
              <w:tc>
                <w:tcPr>
                  <w:tcW w:w="2058" w:type="pct"/>
                  <w:vAlign w:val="center"/>
                </w:tcPr>
                <w:p>
                  <w:pPr>
                    <w:pStyle w:val="40"/>
                    <w:spacing w:before="0" w:after="0" w:line="240" w:lineRule="auto"/>
                    <w:ind w:firstLine="0" w:firstLineChars="0"/>
                    <w:rPr>
                      <w:b/>
                      <w:bCs/>
                      <w:color w:val="auto"/>
                      <w:sz w:val="21"/>
                      <w:szCs w:val="21"/>
                      <w:highlight w:val="none"/>
                    </w:rPr>
                  </w:pPr>
                  <w:r>
                    <w:rPr>
                      <w:rFonts w:hint="eastAsia"/>
                      <w:b/>
                      <w:bCs/>
                      <w:color w:val="auto"/>
                      <w:sz w:val="21"/>
                      <w:szCs w:val="21"/>
                      <w:highlight w:val="none"/>
                    </w:rPr>
                    <w:t>上坝址左岸</w:t>
                  </w:r>
                </w:p>
              </w:tc>
              <w:tc>
                <w:tcPr>
                  <w:tcW w:w="1821" w:type="pct"/>
                  <w:vAlign w:val="center"/>
                </w:tcPr>
                <w:p>
                  <w:pPr>
                    <w:pStyle w:val="40"/>
                    <w:spacing w:before="0" w:after="0" w:line="240" w:lineRule="auto"/>
                    <w:ind w:firstLine="0" w:firstLineChars="0"/>
                    <w:rPr>
                      <w:b/>
                      <w:bCs/>
                      <w:color w:val="auto"/>
                      <w:sz w:val="21"/>
                      <w:szCs w:val="21"/>
                      <w:highlight w:val="none"/>
                    </w:rPr>
                  </w:pPr>
                  <w:r>
                    <w:rPr>
                      <w:rFonts w:hint="eastAsia"/>
                      <w:b/>
                      <w:bCs/>
                      <w:color w:val="auto"/>
                      <w:sz w:val="21"/>
                      <w:szCs w:val="21"/>
                      <w:highlight w:val="none"/>
                    </w:rPr>
                    <w:t>上坝址右岸</w:t>
                  </w:r>
                </w:p>
              </w:tc>
              <w:tc>
                <w:tcPr>
                  <w:tcW w:w="696" w:type="pct"/>
                  <w:vAlign w:val="center"/>
                </w:tcPr>
                <w:p>
                  <w:pPr>
                    <w:pStyle w:val="40"/>
                    <w:spacing w:before="0" w:after="0" w:line="240" w:lineRule="auto"/>
                    <w:ind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比较意见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23" w:type="pct"/>
                  <w:vAlign w:val="center"/>
                </w:tcPr>
                <w:p>
                  <w:pPr>
                    <w:pStyle w:val="40"/>
                    <w:spacing w:before="0" w:after="0" w:line="240" w:lineRule="auto"/>
                    <w:ind w:firstLine="0" w:firstLineChars="0"/>
                    <w:rPr>
                      <w:color w:val="auto"/>
                      <w:spacing w:val="-1"/>
                      <w:sz w:val="21"/>
                      <w:szCs w:val="21"/>
                      <w:highlight w:val="none"/>
                    </w:rPr>
                  </w:pPr>
                  <w:r>
                    <w:rPr>
                      <w:color w:val="auto"/>
                      <w:spacing w:val="-1"/>
                      <w:sz w:val="21"/>
                      <w:szCs w:val="21"/>
                      <w:highlight w:val="none"/>
                    </w:rPr>
                    <w:t>地层</w:t>
                  </w:r>
                </w:p>
                <w:p>
                  <w:pPr>
                    <w:pStyle w:val="40"/>
                    <w:spacing w:before="0" w:after="0" w:line="240" w:lineRule="auto"/>
                    <w:ind w:firstLine="0" w:firstLineChars="0"/>
                    <w:rPr>
                      <w:rFonts w:hint="eastAsia" w:eastAsia="宋体"/>
                      <w:color w:val="auto"/>
                      <w:sz w:val="21"/>
                      <w:szCs w:val="21"/>
                      <w:highlight w:val="none"/>
                      <w:lang w:eastAsia="zh-CN"/>
                    </w:rPr>
                  </w:pPr>
                  <w:r>
                    <w:rPr>
                      <w:color w:val="auto"/>
                      <w:spacing w:val="-1"/>
                      <w:sz w:val="21"/>
                      <w:szCs w:val="21"/>
                      <w:highlight w:val="none"/>
                    </w:rPr>
                    <w:t>岩性</w:t>
                  </w:r>
                </w:p>
              </w:tc>
              <w:tc>
                <w:tcPr>
                  <w:tcW w:w="2058"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地层岩性、地质构造、风化特征等大体相同，均具备修建溢洪道的条件</w:t>
                  </w:r>
                </w:p>
              </w:tc>
              <w:tc>
                <w:tcPr>
                  <w:tcW w:w="1821" w:type="pct"/>
                  <w:vAlign w:val="center"/>
                </w:tcPr>
                <w:p>
                  <w:pPr>
                    <w:pStyle w:val="40"/>
                    <w:spacing w:before="0" w:after="0" w:line="240" w:lineRule="auto"/>
                    <w:ind w:firstLine="0" w:firstLineChars="0"/>
                    <w:jc w:val="both"/>
                    <w:rPr>
                      <w:color w:val="auto"/>
                      <w:sz w:val="21"/>
                      <w:szCs w:val="21"/>
                      <w:highlight w:val="none"/>
                    </w:rPr>
                  </w:pPr>
                  <w:r>
                    <w:rPr>
                      <w:color w:val="auto"/>
                      <w:spacing w:val="-1"/>
                      <w:sz w:val="21"/>
                      <w:szCs w:val="21"/>
                      <w:highlight w:val="none"/>
                    </w:rPr>
                    <w:t>地层岩性、地质构造、风化特征等大体相同，均具备修建</w:t>
                  </w:r>
                  <w:r>
                    <w:rPr>
                      <w:rFonts w:hint="eastAsia"/>
                      <w:color w:val="auto"/>
                      <w:spacing w:val="-1"/>
                      <w:sz w:val="21"/>
                      <w:szCs w:val="21"/>
                      <w:highlight w:val="none"/>
                      <w:lang w:val="en-US" w:eastAsia="zh-CN"/>
                    </w:rPr>
                    <w:t>取水工程</w:t>
                  </w:r>
                  <w:r>
                    <w:rPr>
                      <w:color w:val="auto"/>
                      <w:spacing w:val="-1"/>
                      <w:sz w:val="21"/>
                      <w:szCs w:val="21"/>
                      <w:highlight w:val="none"/>
                    </w:rPr>
                    <w:t>的条件</w:t>
                  </w:r>
                </w:p>
              </w:tc>
              <w:tc>
                <w:tcPr>
                  <w:tcW w:w="696" w:type="pct"/>
                  <w:vAlign w:val="center"/>
                </w:tcPr>
                <w:p>
                  <w:pPr>
                    <w:pStyle w:val="40"/>
                    <w:spacing w:before="0" w:after="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基本相同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12" w:hRule="atLeast"/>
                <w:jc w:val="center"/>
              </w:trPr>
              <w:tc>
                <w:tcPr>
                  <w:tcW w:w="423" w:type="pct"/>
                  <w:vAlign w:val="center"/>
                </w:tcPr>
                <w:p>
                  <w:pPr>
                    <w:pStyle w:val="40"/>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投资及</w:t>
                  </w:r>
                </w:p>
                <w:p>
                  <w:pPr>
                    <w:pStyle w:val="40"/>
                    <w:spacing w:before="0" w:after="0"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运行</w:t>
                  </w:r>
                </w:p>
                <w:p>
                  <w:pPr>
                    <w:pStyle w:val="40"/>
                    <w:spacing w:before="0" w:after="0" w:line="240" w:lineRule="auto"/>
                    <w:ind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管理</w:t>
                  </w:r>
                </w:p>
              </w:tc>
              <w:tc>
                <w:tcPr>
                  <w:tcW w:w="2058" w:type="pct"/>
                  <w:vAlign w:val="center"/>
                </w:tcPr>
                <w:p>
                  <w:pPr>
                    <w:pStyle w:val="40"/>
                    <w:spacing w:before="0" w:after="0" w:line="240" w:lineRule="auto"/>
                    <w:ind w:firstLine="0" w:firstLineChars="0"/>
                    <w:jc w:val="both"/>
                    <w:rPr>
                      <w:color w:val="auto"/>
                      <w:sz w:val="21"/>
                      <w:szCs w:val="21"/>
                      <w:highlight w:val="none"/>
                    </w:rPr>
                  </w:pPr>
                  <w:r>
                    <w:rPr>
                      <w:rFonts w:hint="eastAsia"/>
                      <w:color w:val="auto"/>
                      <w:sz w:val="21"/>
                      <w:szCs w:val="21"/>
                      <w:highlight w:val="none"/>
                      <w:lang w:val="en-US" w:eastAsia="zh-CN"/>
                    </w:rPr>
                    <w:t>左岸坝肩地形较陡，单独开挖控制竖井段无法与上坝公路、管理平台结合，开挖方量较大，高边坡处理难度较大，工程投资较高，后期管理难度大，存在安全隐患</w:t>
                  </w:r>
                </w:p>
              </w:tc>
              <w:tc>
                <w:tcPr>
                  <w:tcW w:w="1821" w:type="pct"/>
                  <w:vAlign w:val="center"/>
                </w:tcPr>
                <w:p>
                  <w:pPr>
                    <w:pStyle w:val="40"/>
                    <w:spacing w:before="0" w:after="0" w:line="240" w:lineRule="auto"/>
                    <w:ind w:firstLine="0" w:firstLineChars="0"/>
                    <w:jc w:val="both"/>
                    <w:rPr>
                      <w:color w:val="auto"/>
                      <w:sz w:val="21"/>
                      <w:szCs w:val="21"/>
                      <w:highlight w:val="none"/>
                    </w:rPr>
                  </w:pPr>
                  <w:r>
                    <w:rPr>
                      <w:rFonts w:hint="eastAsia"/>
                      <w:color w:val="auto"/>
                      <w:sz w:val="21"/>
                      <w:szCs w:val="21"/>
                      <w:highlight w:val="none"/>
                    </w:rPr>
                    <w:t>在右坝肩布置取水隧洞，控制段闸门竖井能够结合永久上坝公路的修建、管理平台的开挖，避免形成高边坡，建筑物集中运行管理方便、安全可靠</w:t>
                  </w:r>
                </w:p>
              </w:tc>
              <w:tc>
                <w:tcPr>
                  <w:tcW w:w="696" w:type="pct"/>
                  <w:vAlign w:val="center"/>
                </w:tcPr>
                <w:p>
                  <w:pPr>
                    <w:pStyle w:val="40"/>
                    <w:spacing w:before="0" w:after="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右岸较好</w:t>
                  </w:r>
                </w:p>
              </w:tc>
            </w:tr>
          </w:tbl>
          <w:p>
            <w:pPr>
              <w:keepNext w:val="0"/>
              <w:keepLines w:val="0"/>
              <w:pageBreakBefore w:val="0"/>
              <w:widowControl w:val="0"/>
              <w:kinsoku/>
              <w:wordWrap/>
              <w:overflowPunct/>
              <w:topLinePunct w:val="0"/>
              <w:autoSpaceDE/>
              <w:autoSpaceDN/>
              <w:bidi w:val="0"/>
              <w:adjustRightInd/>
              <w:snapToGrid w:val="0"/>
              <w:spacing w:line="360" w:lineRule="auto"/>
              <w:ind w:left="0" w:firstLine="476" w:firstLineChars="200"/>
              <w:textAlignment w:val="auto"/>
              <w:rPr>
                <w:rFonts w:hint="eastAsia"/>
                <w:color w:val="auto"/>
                <w:spacing w:val="-1"/>
                <w:sz w:val="24"/>
                <w:szCs w:val="24"/>
                <w:highlight w:val="none"/>
                <w:lang w:val="en-US" w:eastAsia="zh-CN"/>
              </w:rPr>
            </w:pPr>
            <w:r>
              <w:rPr>
                <w:rFonts w:hint="eastAsia"/>
                <w:color w:val="auto"/>
                <w:spacing w:val="-1"/>
                <w:sz w:val="24"/>
                <w:szCs w:val="24"/>
                <w:highlight w:val="none"/>
                <w:lang w:val="en-US" w:eastAsia="zh-CN"/>
              </w:rPr>
              <w:t>综上所述，因左岸地势陡峭，无道路相接，干渠施工难度大，且投资较高。故本阶段经综合比较推荐采用右岸取水隧洞布置方案。同时，为节约工程投资，取水放空洞与导流洞同轴线布置，前期施工导流洞，导流完成后实施封堵，后期改建为取水放空隧洞。左、右岸取水隧洞布置示意图见下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spacing w:val="-1"/>
                <w:sz w:val="24"/>
                <w:szCs w:val="24"/>
                <w:highlight w:val="none"/>
                <w:lang w:val="en-US" w:eastAsia="zh-CN"/>
              </w:rPr>
            </w:pP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3288665</wp:posOffset>
                      </wp:positionH>
                      <wp:positionV relativeFrom="paragraph">
                        <wp:posOffset>1593850</wp:posOffset>
                      </wp:positionV>
                      <wp:extent cx="929640" cy="327025"/>
                      <wp:effectExtent l="12700" t="593725" r="17780" b="24130"/>
                      <wp:wrapNone/>
                      <wp:docPr id="78" name="圆角矩形标注 78"/>
                      <wp:cNvGraphicFramePr/>
                      <a:graphic xmlns:a="http://schemas.openxmlformats.org/drawingml/2006/main">
                        <a:graphicData uri="http://schemas.microsoft.com/office/word/2010/wordprocessingShape">
                          <wps:wsp>
                            <wps:cNvSpPr/>
                            <wps:spPr>
                              <a:xfrm>
                                <a:off x="0" y="0"/>
                                <a:ext cx="929640" cy="327025"/>
                              </a:xfrm>
                              <a:prstGeom prst="wedgeRoundRectCallout">
                                <a:avLst>
                                  <a:gd name="adj1" fmla="val -15505"/>
                                  <a:gd name="adj2" fmla="val -227669"/>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比较方案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8.95pt;margin-top:125.5pt;height:25.75pt;width:73.2pt;z-index:251671552;v-text-anchor:middle;mso-width-relative:page;mso-height-relative:page;" fillcolor="#4F81BD [3204]" filled="t" stroked="t" coordsize="21600,21600" o:gfxdata="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IMNzgzbAAAACwEAAA8AAAAAAAAA&#10;AQAgAAAAIgAAAGRycy9kb3ducmV2LnhtbFBLAQIUABQAAAAIAIdO4kDJdHwouQIAAFIFAAAOAAAA&#10;AAAAAAEAIAAAACoBAABkcnMvZTJvRG9jLnhtbFBLBQYAAAAABgAGAFkBAABVBgAAAAA=&#10;" adj="7451,-38377,14400">
                      <v:fill on="t" focussize="0,0"/>
                      <v:stroke weight="2pt" color="#376092 [2404]" joinstyle="round"/>
                      <v:imagedata o:title=""/>
                      <o:lock v:ext="edit" aspectratio="f"/>
                      <v:textbo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比较方案</w:t>
                            </w:r>
                          </w:p>
                        </w:txbxContent>
                      </v:textbox>
                    </v:shape>
                  </w:pict>
                </mc:Fallback>
              </mc:AlternateContent>
            </w: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1741805</wp:posOffset>
                      </wp:positionH>
                      <wp:positionV relativeFrom="paragraph">
                        <wp:posOffset>1022350</wp:posOffset>
                      </wp:positionV>
                      <wp:extent cx="929640" cy="327025"/>
                      <wp:effectExtent l="12700" t="12700" r="17780" b="452755"/>
                      <wp:wrapNone/>
                      <wp:docPr id="77" name="圆角矩形标注 77"/>
                      <wp:cNvGraphicFramePr/>
                      <a:graphic xmlns:a="http://schemas.openxmlformats.org/drawingml/2006/main">
                        <a:graphicData uri="http://schemas.microsoft.com/office/word/2010/wordprocessingShape">
                          <wps:wsp>
                            <wps:cNvSpPr/>
                            <wps:spPr>
                              <a:xfrm>
                                <a:off x="0" y="0"/>
                                <a:ext cx="929640" cy="327025"/>
                              </a:xfrm>
                              <a:prstGeom prst="wedgeRoundRectCallout">
                                <a:avLst>
                                  <a:gd name="adj1" fmla="val -5669"/>
                                  <a:gd name="adj2" fmla="val 180097"/>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推荐方案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7.15pt;margin-top:80.5pt;height:25.75pt;width:73.2pt;z-index:251670528;v-text-anchor:middle;mso-width-relative:page;mso-height-relative:page;" fillcolor="#4F81BD [3204]" filled="t" stroked="t" coordsize="21600,21600" o:gfxdata="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4ULjk1wAAAAsBAAAPAAAAAAAAAAEAIAAA&#10;ACIAAABkcnMvZG93bnJldi54bWxQSwECFAAUAAAACACHTuJAwlUwkLgCAABQBQAADgAAAAAAAAAB&#10;ACAAAAAmAQAAZHJzL2Uyb0RvYy54bWxQSwUGAAAAAAYABgBZAQAAUAYAAAAA&#10;" adj="9575,49701,14400">
                      <v:fill on="t" focussize="0,0"/>
                      <v:stroke weight="2pt" color="#376092 [2404]" joinstyle="round"/>
                      <v:imagedata o:title=""/>
                      <o:lock v:ext="edit" aspectratio="f"/>
                      <v:textbox>
                        <w:txbxContent>
                          <w:p>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推荐方案</w:t>
                            </w:r>
                          </w:p>
                        </w:txbxContent>
                      </v:textbox>
                    </v:shape>
                  </w:pict>
                </mc:Fallback>
              </mc:AlternateContent>
            </w:r>
            <w:r>
              <w:rPr>
                <w:rFonts w:hint="eastAsia"/>
                <w:color w:val="auto"/>
                <w:spacing w:val="-1"/>
                <w:sz w:val="24"/>
                <w:szCs w:val="24"/>
                <w:highlight w:val="none"/>
                <w:lang w:val="en-US" w:eastAsia="zh-CN"/>
              </w:rPr>
              <w:drawing>
                <wp:inline distT="0" distB="0" distL="114300" distR="114300">
                  <wp:extent cx="5801360" cy="3435350"/>
                  <wp:effectExtent l="0" t="0" r="5080" b="8890"/>
                  <wp:docPr id="76" name="图片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
                          <pic:cNvPicPr>
                            <a:picLocks noChangeAspect="1"/>
                          </pic:cNvPicPr>
                        </pic:nvPicPr>
                        <pic:blipFill>
                          <a:blip r:embed="rId16"/>
                          <a:stretch>
                            <a:fillRect/>
                          </a:stretch>
                        </pic:blipFill>
                        <pic:spPr>
                          <a:xfrm>
                            <a:off x="0" y="0"/>
                            <a:ext cx="5801360" cy="3435350"/>
                          </a:xfrm>
                          <a:prstGeom prst="rect">
                            <a:avLst/>
                          </a:prstGeom>
                        </pic:spPr>
                      </pic:pic>
                    </a:graphicData>
                  </a:graphic>
                </wp:inline>
              </w:drawing>
            </w:r>
          </w:p>
          <w:p>
            <w:pPr>
              <w:pStyle w:val="75"/>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b/>
                <w:bCs/>
                <w:color w:val="auto"/>
                <w:spacing w:val="0"/>
                <w:sz w:val="21"/>
                <w:szCs w:val="21"/>
                <w:highlight w:val="none"/>
              </w:rPr>
            </w:pPr>
            <w:r>
              <w:rPr>
                <w:b/>
                <w:bCs/>
                <w:color w:val="auto"/>
                <w:spacing w:val="0"/>
                <w:sz w:val="21"/>
                <w:szCs w:val="21"/>
                <w:highlight w:val="none"/>
              </w:rPr>
              <w:t>图2-</w:t>
            </w:r>
            <w:r>
              <w:rPr>
                <w:rFonts w:hint="eastAsia"/>
                <w:b/>
                <w:bCs/>
                <w:color w:val="auto"/>
                <w:spacing w:val="0"/>
                <w:sz w:val="21"/>
                <w:szCs w:val="21"/>
                <w:highlight w:val="none"/>
                <w:lang w:val="en-US" w:eastAsia="zh-CN"/>
              </w:rPr>
              <w:t>6</w:t>
            </w:r>
            <w:r>
              <w:rPr>
                <w:b/>
                <w:bCs/>
                <w:color w:val="auto"/>
                <w:spacing w:val="0"/>
                <w:sz w:val="21"/>
                <w:szCs w:val="21"/>
                <w:highlight w:val="none"/>
              </w:rPr>
              <w:t xml:space="preserve">  </w:t>
            </w:r>
            <w:r>
              <w:rPr>
                <w:rFonts w:hint="eastAsia"/>
                <w:b/>
                <w:bCs/>
                <w:color w:val="auto"/>
                <w:spacing w:val="0"/>
                <w:sz w:val="21"/>
                <w:szCs w:val="21"/>
                <w:highlight w:val="none"/>
                <w:lang w:val="en-US" w:eastAsia="zh-CN"/>
              </w:rPr>
              <w:t>枢纽工程取水工程</w:t>
            </w:r>
            <w:r>
              <w:rPr>
                <w:b/>
                <w:bCs/>
                <w:color w:val="auto"/>
                <w:spacing w:val="0"/>
                <w:sz w:val="21"/>
                <w:szCs w:val="21"/>
                <w:highlight w:val="none"/>
              </w:rPr>
              <w:t>布置示意图</w:t>
            </w:r>
          </w:p>
          <w:p>
            <w:pPr>
              <w:pStyle w:val="75"/>
              <w:keepNext w:val="0"/>
              <w:keepLines w:val="0"/>
              <w:pageBreakBefore w:val="0"/>
              <w:widowControl w:val="0"/>
              <w:kinsoku/>
              <w:wordWrap/>
              <w:overflowPunct/>
              <w:topLinePunct w:val="0"/>
              <w:autoSpaceDE/>
              <w:autoSpaceDN/>
              <w:bidi w:val="0"/>
              <w:spacing w:line="360" w:lineRule="auto"/>
              <w:ind w:left="0" w:right="0" w:firstLine="450" w:firstLineChars="200"/>
              <w:textAlignment w:val="auto"/>
              <w:rPr>
                <w:color w:val="auto"/>
                <w:sz w:val="24"/>
                <w:szCs w:val="24"/>
                <w:highlight w:val="none"/>
              </w:rPr>
            </w:pPr>
            <w:r>
              <w:rPr>
                <w:b/>
                <w:bCs/>
                <w:color w:val="auto"/>
                <w:spacing w:val="-8"/>
                <w:sz w:val="24"/>
                <w:szCs w:val="24"/>
                <w:highlight w:val="none"/>
              </w:rPr>
              <w:t>四、渠道选线</w:t>
            </w:r>
          </w:p>
          <w:p>
            <w:pPr>
              <w:pStyle w:val="75"/>
              <w:keepNext w:val="0"/>
              <w:keepLines w:val="0"/>
              <w:pageBreakBefore w:val="0"/>
              <w:widowControl w:val="0"/>
              <w:kinsoku/>
              <w:wordWrap/>
              <w:overflowPunct/>
              <w:topLinePunct w:val="0"/>
              <w:autoSpaceDE/>
              <w:autoSpaceDN/>
              <w:bidi w:val="0"/>
              <w:spacing w:line="360" w:lineRule="auto"/>
              <w:ind w:left="0" w:right="0" w:firstLine="452" w:firstLineChars="200"/>
              <w:textAlignment w:val="auto"/>
              <w:rPr>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b/>
                <w:bCs/>
                <w:color w:val="auto"/>
                <w:spacing w:val="-7"/>
                <w:sz w:val="24"/>
                <w:szCs w:val="24"/>
                <w:highlight w:val="none"/>
              </w:rPr>
              <w:t>、管线布置原则</w:t>
            </w:r>
          </w:p>
          <w:p>
            <w:pPr>
              <w:pStyle w:val="7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color w:val="auto"/>
                <w:sz w:val="24"/>
                <w:szCs w:val="24"/>
                <w:highlight w:val="none"/>
              </w:rPr>
            </w:pPr>
            <w:r>
              <w:rPr>
                <w:color w:val="auto"/>
                <w:spacing w:val="-1"/>
                <w:sz w:val="24"/>
                <w:szCs w:val="24"/>
                <w:highlight w:val="none"/>
              </w:rPr>
              <w:t>本工程灌区线路较长，工程结合灌区分布及沿线地形、地质条件进行总体布置。遵循的主要原则为：</w:t>
            </w:r>
          </w:p>
          <w:p>
            <w:pPr>
              <w:pStyle w:val="75"/>
              <w:keepNext w:val="0"/>
              <w:keepLines w:val="0"/>
              <w:pageBreakBefore w:val="0"/>
              <w:widowControl w:val="0"/>
              <w:kinsoku/>
              <w:wordWrap/>
              <w:overflowPunct/>
              <w:topLinePunct w:val="0"/>
              <w:autoSpaceDE/>
              <w:autoSpaceDN/>
              <w:bidi w:val="0"/>
              <w:spacing w:line="360" w:lineRule="auto"/>
              <w:ind w:left="0" w:right="0" w:firstLine="492" w:firstLineChars="200"/>
              <w:textAlignment w:val="auto"/>
              <w:rPr>
                <w:color w:val="auto"/>
                <w:sz w:val="24"/>
                <w:szCs w:val="24"/>
                <w:highlight w:val="none"/>
              </w:rPr>
            </w:pPr>
            <w:r>
              <w:rPr>
                <w:rFonts w:hint="eastAsia"/>
                <w:color w:val="auto"/>
                <w:spacing w:val="3"/>
                <w:sz w:val="24"/>
                <w:szCs w:val="24"/>
                <w:highlight w:val="none"/>
                <w:lang w:val="en-US" w:eastAsia="zh-CN"/>
              </w:rPr>
              <w:t xml:space="preserve">⑴ </w:t>
            </w:r>
            <w:r>
              <w:rPr>
                <w:color w:val="auto"/>
                <w:spacing w:val="3"/>
                <w:sz w:val="24"/>
                <w:szCs w:val="24"/>
                <w:highlight w:val="none"/>
              </w:rPr>
              <w:t>根据</w:t>
            </w:r>
            <w:r>
              <w:rPr>
                <w:rFonts w:hint="eastAsia"/>
                <w:color w:val="auto"/>
                <w:spacing w:val="3"/>
                <w:sz w:val="24"/>
                <w:szCs w:val="24"/>
                <w:highlight w:val="none"/>
                <w:lang w:val="en-US" w:eastAsia="zh-CN"/>
              </w:rPr>
              <w:t>三合</w:t>
            </w:r>
            <w:r>
              <w:rPr>
                <w:color w:val="auto"/>
                <w:spacing w:val="3"/>
                <w:sz w:val="24"/>
                <w:szCs w:val="24"/>
                <w:highlight w:val="none"/>
              </w:rPr>
              <w:t>水库灌区线路布置方案，布置应符合</w:t>
            </w:r>
            <w:r>
              <w:rPr>
                <w:color w:val="auto"/>
                <w:spacing w:val="2"/>
                <w:sz w:val="24"/>
                <w:szCs w:val="24"/>
                <w:highlight w:val="none"/>
              </w:rPr>
              <w:t>总体布局的要求，适</w:t>
            </w:r>
            <w:r>
              <w:rPr>
                <w:color w:val="auto"/>
                <w:spacing w:val="-2"/>
                <w:sz w:val="24"/>
                <w:szCs w:val="24"/>
                <w:highlight w:val="none"/>
              </w:rPr>
              <w:t>当集中，分段取水与分片灌溉相结合的原则进行。</w:t>
            </w:r>
          </w:p>
          <w:p>
            <w:pPr>
              <w:pStyle w:val="75"/>
              <w:keepNext w:val="0"/>
              <w:keepLines w:val="0"/>
              <w:pageBreakBefore w:val="0"/>
              <w:widowControl w:val="0"/>
              <w:kinsoku/>
              <w:wordWrap/>
              <w:overflowPunct/>
              <w:topLinePunct w:val="0"/>
              <w:autoSpaceDE/>
              <w:autoSpaceDN/>
              <w:bidi w:val="0"/>
              <w:spacing w:line="360" w:lineRule="auto"/>
              <w:ind w:left="0" w:right="0" w:firstLine="492" w:firstLineChars="200"/>
              <w:textAlignment w:val="auto"/>
              <w:rPr>
                <w:color w:val="auto"/>
                <w:sz w:val="24"/>
                <w:szCs w:val="24"/>
                <w:highlight w:val="none"/>
              </w:rPr>
            </w:pPr>
            <w:r>
              <w:rPr>
                <w:rFonts w:hint="eastAsia"/>
                <w:color w:val="auto"/>
                <w:spacing w:val="3"/>
                <w:sz w:val="24"/>
                <w:szCs w:val="24"/>
                <w:highlight w:val="none"/>
                <w:lang w:val="en-US" w:eastAsia="zh-CN"/>
              </w:rPr>
              <w:t xml:space="preserve">⑵ </w:t>
            </w:r>
            <w:r>
              <w:rPr>
                <w:color w:val="auto"/>
                <w:spacing w:val="3"/>
                <w:sz w:val="24"/>
                <w:szCs w:val="24"/>
                <w:highlight w:val="none"/>
              </w:rPr>
              <w:t>线路力求短、直，避免通过滑坡、透水性强以及</w:t>
            </w:r>
            <w:r>
              <w:rPr>
                <w:color w:val="auto"/>
                <w:spacing w:val="2"/>
                <w:sz w:val="24"/>
                <w:szCs w:val="24"/>
                <w:highlight w:val="none"/>
              </w:rPr>
              <w:t>土壤沉陷量很大的地</w:t>
            </w:r>
            <w:r>
              <w:rPr>
                <w:color w:val="auto"/>
                <w:sz w:val="24"/>
                <w:szCs w:val="24"/>
                <w:highlight w:val="none"/>
              </w:rPr>
              <w:t xml:space="preserve"> </w:t>
            </w:r>
            <w:r>
              <w:rPr>
                <w:color w:val="auto"/>
                <w:spacing w:val="-1"/>
                <w:sz w:val="24"/>
                <w:szCs w:val="24"/>
                <w:highlight w:val="none"/>
              </w:rPr>
              <w:t>区，尽量减少交叉建筑物，尽可能避免深挖高填，为工程施工、管理创造良好的</w:t>
            </w:r>
            <w:r>
              <w:rPr>
                <w:color w:val="auto"/>
                <w:spacing w:val="15"/>
                <w:sz w:val="24"/>
                <w:szCs w:val="24"/>
                <w:highlight w:val="none"/>
              </w:rPr>
              <w:t xml:space="preserve"> </w:t>
            </w:r>
            <w:r>
              <w:rPr>
                <w:color w:val="auto"/>
                <w:spacing w:val="-4"/>
                <w:sz w:val="24"/>
                <w:szCs w:val="24"/>
                <w:highlight w:val="none"/>
              </w:rPr>
              <w:t>条件。</w:t>
            </w:r>
          </w:p>
          <w:p>
            <w:pPr>
              <w:pStyle w:val="75"/>
              <w:keepNext w:val="0"/>
              <w:keepLines w:val="0"/>
              <w:pageBreakBefore w:val="0"/>
              <w:widowControl w:val="0"/>
              <w:kinsoku/>
              <w:wordWrap/>
              <w:overflowPunct/>
              <w:topLinePunct w:val="0"/>
              <w:autoSpaceDE/>
              <w:autoSpaceDN/>
              <w:bidi w:val="0"/>
              <w:spacing w:line="360" w:lineRule="auto"/>
              <w:ind w:left="0" w:right="0" w:firstLine="484" w:firstLineChars="200"/>
              <w:textAlignment w:val="auto"/>
              <w:rPr>
                <w:color w:val="auto"/>
                <w:sz w:val="24"/>
                <w:szCs w:val="24"/>
                <w:highlight w:val="none"/>
              </w:rPr>
            </w:pPr>
            <w:r>
              <w:rPr>
                <w:rFonts w:hint="eastAsia"/>
                <w:color w:val="auto"/>
                <w:spacing w:val="1"/>
                <w:sz w:val="24"/>
                <w:szCs w:val="24"/>
                <w:highlight w:val="none"/>
                <w:lang w:val="en-US" w:eastAsia="zh-CN"/>
              </w:rPr>
              <w:t xml:space="preserve">⑶ </w:t>
            </w:r>
            <w:r>
              <w:rPr>
                <w:color w:val="auto"/>
                <w:spacing w:val="1"/>
                <w:sz w:val="24"/>
                <w:szCs w:val="24"/>
                <w:highlight w:val="none"/>
              </w:rPr>
              <w:t>力求线路对灌区具有较好的控灌性，尽可能增大灌区自流灌溉比例，</w:t>
            </w:r>
            <w:r>
              <w:rPr>
                <w:color w:val="auto"/>
                <w:sz w:val="24"/>
                <w:szCs w:val="24"/>
                <w:highlight w:val="none"/>
              </w:rPr>
              <w:t xml:space="preserve"> </w:t>
            </w:r>
            <w:r>
              <w:rPr>
                <w:color w:val="auto"/>
                <w:spacing w:val="-2"/>
                <w:sz w:val="24"/>
                <w:szCs w:val="24"/>
                <w:highlight w:val="none"/>
              </w:rPr>
              <w:t>降低工程运行成本，照顾主要灌区的灌面。</w:t>
            </w:r>
          </w:p>
          <w:p>
            <w:pPr>
              <w:pStyle w:val="7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color w:val="auto"/>
                <w:sz w:val="24"/>
                <w:szCs w:val="24"/>
                <w:highlight w:val="none"/>
              </w:rPr>
            </w:pPr>
            <w:r>
              <w:rPr>
                <w:rFonts w:hint="eastAsia"/>
                <w:color w:val="auto"/>
                <w:spacing w:val="-1"/>
                <w:sz w:val="24"/>
                <w:szCs w:val="24"/>
                <w:highlight w:val="none"/>
                <w:lang w:val="en-US" w:eastAsia="zh-CN"/>
              </w:rPr>
              <w:t xml:space="preserve">⑷ </w:t>
            </w:r>
            <w:r>
              <w:rPr>
                <w:color w:val="auto"/>
                <w:spacing w:val="-1"/>
                <w:sz w:val="24"/>
                <w:szCs w:val="24"/>
                <w:highlight w:val="none"/>
              </w:rPr>
              <w:t>尽可能考虑灌区乡镇及乡村人畜饮用水的需要。</w:t>
            </w:r>
          </w:p>
          <w:p>
            <w:pPr>
              <w:pStyle w:val="75"/>
              <w:keepNext w:val="0"/>
              <w:keepLines w:val="0"/>
              <w:pageBreakBefore w:val="0"/>
              <w:widowControl w:val="0"/>
              <w:kinsoku/>
              <w:wordWrap/>
              <w:overflowPunct/>
              <w:topLinePunct w:val="0"/>
              <w:autoSpaceDE/>
              <w:autoSpaceDN/>
              <w:bidi w:val="0"/>
              <w:spacing w:line="360" w:lineRule="auto"/>
              <w:ind w:left="0" w:right="0" w:firstLine="492" w:firstLineChars="200"/>
              <w:textAlignment w:val="auto"/>
              <w:rPr>
                <w:color w:val="auto"/>
                <w:sz w:val="24"/>
                <w:szCs w:val="24"/>
                <w:highlight w:val="none"/>
              </w:rPr>
            </w:pPr>
            <w:r>
              <w:rPr>
                <w:rFonts w:hint="eastAsia"/>
                <w:color w:val="auto"/>
                <w:spacing w:val="3"/>
                <w:sz w:val="24"/>
                <w:szCs w:val="24"/>
                <w:highlight w:val="none"/>
                <w:lang w:val="en-US" w:eastAsia="zh-CN"/>
              </w:rPr>
              <w:t xml:space="preserve">⑸ </w:t>
            </w:r>
            <w:r>
              <w:rPr>
                <w:color w:val="auto"/>
                <w:spacing w:val="3"/>
                <w:sz w:val="24"/>
                <w:szCs w:val="24"/>
                <w:highlight w:val="none"/>
              </w:rPr>
              <w:t>管线布置应尽量短直，减少水头损失，后期配套</w:t>
            </w:r>
            <w:r>
              <w:rPr>
                <w:color w:val="auto"/>
                <w:spacing w:val="2"/>
                <w:sz w:val="24"/>
                <w:szCs w:val="24"/>
                <w:highlight w:val="none"/>
              </w:rPr>
              <w:t>支管等尽可能照顾已</w:t>
            </w:r>
            <w:r>
              <w:rPr>
                <w:color w:val="auto"/>
                <w:sz w:val="24"/>
                <w:szCs w:val="24"/>
                <w:highlight w:val="none"/>
              </w:rPr>
              <w:t xml:space="preserve"> </w:t>
            </w:r>
            <w:r>
              <w:rPr>
                <w:color w:val="auto"/>
                <w:spacing w:val="-3"/>
                <w:sz w:val="24"/>
                <w:szCs w:val="24"/>
                <w:highlight w:val="none"/>
              </w:rPr>
              <w:t>成灌区。</w:t>
            </w:r>
          </w:p>
          <w:p>
            <w:pPr>
              <w:pStyle w:val="75"/>
              <w:keepNext w:val="0"/>
              <w:keepLines w:val="0"/>
              <w:pageBreakBefore w:val="0"/>
              <w:widowControl w:val="0"/>
              <w:kinsoku/>
              <w:wordWrap/>
              <w:overflowPunct/>
              <w:topLinePunct w:val="0"/>
              <w:autoSpaceDE/>
              <w:autoSpaceDN/>
              <w:bidi w:val="0"/>
              <w:spacing w:line="360" w:lineRule="auto"/>
              <w:ind w:left="0" w:right="0" w:firstLine="456" w:firstLineChars="200"/>
              <w:textAlignment w:val="auto"/>
              <w:rPr>
                <w:color w:val="auto"/>
                <w:sz w:val="24"/>
                <w:szCs w:val="24"/>
                <w:highlight w:val="none"/>
              </w:rPr>
            </w:pPr>
            <w:r>
              <w:rPr>
                <w:rFonts w:ascii="Times New Roman" w:hAnsi="Times New Roman" w:eastAsia="Times New Roman" w:cs="Times New Roman"/>
                <w:b/>
                <w:bCs/>
                <w:color w:val="auto"/>
                <w:spacing w:val="-6"/>
                <w:sz w:val="24"/>
                <w:szCs w:val="24"/>
                <w:highlight w:val="none"/>
              </w:rPr>
              <w:t>2</w:t>
            </w:r>
            <w:r>
              <w:rPr>
                <w:b/>
                <w:bCs/>
                <w:color w:val="auto"/>
                <w:spacing w:val="-6"/>
                <w:sz w:val="24"/>
                <w:szCs w:val="24"/>
                <w:highlight w:val="none"/>
              </w:rPr>
              <w:t>、灌区范围选择</w:t>
            </w: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color w:val="auto"/>
                <w:spacing w:val="7"/>
                <w:sz w:val="24"/>
                <w:szCs w:val="24"/>
                <w:highlight w:val="none"/>
              </w:rPr>
            </w:pPr>
            <w:r>
              <w:rPr>
                <w:rFonts w:hint="eastAsia"/>
                <w:color w:val="auto"/>
                <w:sz w:val="24"/>
                <w:highlight w:val="none"/>
              </w:rPr>
              <w:t>旺苍县三合水库工程位于旺苍县东河镇南峰村与凤阳村交界处，水库坝址位于坝址辜家河中游，坝址以上控制集雨面积7.6km</w:t>
            </w:r>
            <w:r>
              <w:rPr>
                <w:rFonts w:hint="eastAsia"/>
                <w:color w:val="auto"/>
                <w:sz w:val="24"/>
                <w:highlight w:val="none"/>
                <w:vertAlign w:val="superscript"/>
              </w:rPr>
              <w:t>2</w:t>
            </w:r>
            <w:r>
              <w:rPr>
                <w:rFonts w:hint="eastAsia"/>
                <w:color w:val="auto"/>
                <w:sz w:val="24"/>
                <w:highlight w:val="none"/>
              </w:rPr>
              <w:t>，距旺苍县城4.3km（直线距离）</w:t>
            </w:r>
          </w:p>
          <w:p>
            <w:pPr>
              <w:pStyle w:val="75"/>
              <w:keepNext w:val="0"/>
              <w:keepLines w:val="0"/>
              <w:pageBreakBefore w:val="0"/>
              <w:widowControl w:val="0"/>
              <w:kinsoku/>
              <w:wordWrap/>
              <w:overflowPunct/>
              <w:topLinePunct w:val="0"/>
              <w:autoSpaceDE/>
              <w:autoSpaceDN/>
              <w:bidi w:val="0"/>
              <w:spacing w:line="360" w:lineRule="auto"/>
              <w:ind w:left="0" w:right="0" w:firstLine="508" w:firstLineChars="200"/>
              <w:textAlignment w:val="auto"/>
              <w:rPr>
                <w:color w:val="auto"/>
                <w:sz w:val="24"/>
                <w:szCs w:val="24"/>
                <w:highlight w:val="none"/>
              </w:rPr>
            </w:pPr>
            <w:r>
              <w:rPr>
                <w:color w:val="auto"/>
                <w:spacing w:val="7"/>
                <w:sz w:val="24"/>
                <w:szCs w:val="24"/>
                <w:highlight w:val="none"/>
              </w:rPr>
              <w:t>根据灌</w:t>
            </w:r>
            <w:r>
              <w:rPr>
                <w:color w:val="auto"/>
                <w:spacing w:val="6"/>
                <w:sz w:val="24"/>
                <w:szCs w:val="24"/>
                <w:highlight w:val="none"/>
              </w:rPr>
              <w:t>区地形条件和灌面分布高</w:t>
            </w:r>
            <w:r>
              <w:rPr>
                <w:color w:val="auto"/>
                <w:spacing w:val="-1"/>
                <w:sz w:val="24"/>
                <w:szCs w:val="24"/>
                <w:highlight w:val="none"/>
              </w:rPr>
              <w:t>程，配合当地水利设施的运用，作为骨干水利工程调度，工程宜最大程度发挥调节能力。从灌面来看，应以控灌</w:t>
            </w:r>
            <w:r>
              <w:rPr>
                <w:rFonts w:hint="eastAsia"/>
                <w:color w:val="auto"/>
                <w:sz w:val="24"/>
                <w:highlight w:val="none"/>
              </w:rPr>
              <w:t>辜家河</w:t>
            </w:r>
            <w:r>
              <w:rPr>
                <w:color w:val="auto"/>
                <w:spacing w:val="-1"/>
                <w:sz w:val="24"/>
                <w:szCs w:val="24"/>
                <w:highlight w:val="none"/>
              </w:rPr>
              <w:t>两岸较为肥沃的耕园地为主，两岸以自流高程控制，最大限度的向</w:t>
            </w:r>
            <w:r>
              <w:rPr>
                <w:rFonts w:hint="eastAsia"/>
                <w:color w:val="auto"/>
                <w:sz w:val="24"/>
                <w:highlight w:val="none"/>
              </w:rPr>
              <w:t>辜家河</w:t>
            </w:r>
            <w:r>
              <w:rPr>
                <w:color w:val="auto"/>
                <w:spacing w:val="-1"/>
                <w:sz w:val="24"/>
                <w:szCs w:val="24"/>
                <w:highlight w:val="none"/>
              </w:rPr>
              <w:t>上下游延伸。从场镇供水来看，区内没有骨干供</w:t>
            </w:r>
            <w:r>
              <w:rPr>
                <w:color w:val="auto"/>
                <w:sz w:val="24"/>
                <w:szCs w:val="24"/>
                <w:highlight w:val="none"/>
              </w:rPr>
              <w:t>水工程，</w:t>
            </w:r>
            <w:r>
              <w:rPr>
                <w:rFonts w:hint="eastAsia"/>
                <w:color w:val="auto"/>
                <w:sz w:val="24"/>
                <w:highlight w:val="none"/>
              </w:rPr>
              <w:t>东河镇、嘉川镇2个镇13个村</w:t>
            </w:r>
            <w:r>
              <w:rPr>
                <w:color w:val="auto"/>
                <w:sz w:val="24"/>
                <w:szCs w:val="24"/>
                <w:highlight w:val="none"/>
              </w:rPr>
              <w:t>均需要</w:t>
            </w:r>
            <w:r>
              <w:rPr>
                <w:rFonts w:hint="eastAsia"/>
                <w:color w:val="auto"/>
                <w:sz w:val="24"/>
                <w:szCs w:val="24"/>
                <w:highlight w:val="none"/>
                <w:lang w:val="en-US" w:eastAsia="zh-CN"/>
              </w:rPr>
              <w:t>三合</w:t>
            </w:r>
            <w:r>
              <w:rPr>
                <w:color w:val="auto"/>
                <w:sz w:val="24"/>
                <w:szCs w:val="24"/>
                <w:highlight w:val="none"/>
              </w:rPr>
              <w:t>水库水源。</w:t>
            </w:r>
          </w:p>
          <w:p>
            <w:pPr>
              <w:spacing w:line="360" w:lineRule="auto"/>
              <w:ind w:firstLine="480" w:firstLineChars="200"/>
              <w:rPr>
                <w:rFonts w:hint="eastAsia"/>
                <w:color w:val="auto"/>
                <w:sz w:val="24"/>
                <w:highlight w:val="none"/>
              </w:rPr>
            </w:pPr>
            <w:r>
              <w:rPr>
                <w:rFonts w:hint="eastAsia"/>
                <w:color w:val="auto"/>
                <w:sz w:val="24"/>
                <w:highlight w:val="none"/>
              </w:rPr>
              <w:t>本工程开发任务为农业灌溉、乡村供水等综合利用，并作为旺苍县城市应急备用水源。灌区范围涉及东河镇、嘉川镇2个镇13个村，设计灌溉面积共2.14万亩，同时为灌区0.54万村民提供生产生活用水。</w:t>
            </w:r>
          </w:p>
          <w:p>
            <w:pPr>
              <w:pStyle w:val="75"/>
              <w:keepNext w:val="0"/>
              <w:keepLines w:val="0"/>
              <w:pageBreakBefore w:val="0"/>
              <w:widowControl w:val="0"/>
              <w:kinsoku/>
              <w:wordWrap/>
              <w:overflowPunct/>
              <w:topLinePunct w:val="0"/>
              <w:autoSpaceDE/>
              <w:autoSpaceDN/>
              <w:bidi w:val="0"/>
              <w:spacing w:line="360" w:lineRule="auto"/>
              <w:ind w:left="0" w:right="0" w:firstLine="452" w:firstLineChars="200"/>
              <w:textAlignment w:val="auto"/>
              <w:rPr>
                <w:color w:val="auto"/>
                <w:sz w:val="24"/>
                <w:szCs w:val="24"/>
                <w:highlight w:val="none"/>
              </w:rPr>
            </w:pPr>
            <w:r>
              <w:rPr>
                <w:rFonts w:ascii="Times New Roman" w:hAnsi="Times New Roman" w:eastAsia="Times New Roman" w:cs="Times New Roman"/>
                <w:b/>
                <w:bCs/>
                <w:color w:val="auto"/>
                <w:spacing w:val="-7"/>
                <w:sz w:val="24"/>
                <w:szCs w:val="24"/>
                <w:highlight w:val="none"/>
              </w:rPr>
              <w:t>3</w:t>
            </w:r>
            <w:r>
              <w:rPr>
                <w:rFonts w:ascii="Times New Roman" w:hAnsi="Times New Roman" w:eastAsia="Times New Roman" w:cs="Times New Roman"/>
                <w:b/>
                <w:bCs/>
                <w:color w:val="auto"/>
                <w:spacing w:val="-34"/>
                <w:sz w:val="24"/>
                <w:szCs w:val="24"/>
                <w:highlight w:val="none"/>
              </w:rPr>
              <w:t xml:space="preserve"> </w:t>
            </w:r>
            <w:r>
              <w:rPr>
                <w:b/>
                <w:bCs/>
                <w:color w:val="auto"/>
                <w:spacing w:val="-7"/>
                <w:sz w:val="24"/>
                <w:szCs w:val="24"/>
                <w:highlight w:val="none"/>
              </w:rPr>
              <w:t>、渠首水位</w:t>
            </w: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Arial" w:hAnsi="Arial" w:cs="Arial"/>
                <w:color w:val="auto"/>
                <w:sz w:val="24"/>
                <w:highlight w:val="none"/>
              </w:rPr>
            </w:pPr>
            <w:r>
              <w:rPr>
                <w:rFonts w:hint="default" w:ascii="Arial" w:hAnsi="Arial" w:cs="Arial"/>
                <w:color w:val="auto"/>
                <w:spacing w:val="0"/>
                <w:sz w:val="24"/>
                <w:szCs w:val="24"/>
                <w:highlight w:val="none"/>
                <w:lang w:val="en-US" w:eastAsia="zh-CN"/>
              </w:rPr>
              <w:t>三合</w:t>
            </w:r>
            <w:r>
              <w:rPr>
                <w:rFonts w:hint="default" w:ascii="Arial" w:hAnsi="Arial" w:cs="Arial"/>
                <w:color w:val="auto"/>
                <w:spacing w:val="0"/>
                <w:sz w:val="24"/>
                <w:szCs w:val="24"/>
                <w:highlight w:val="none"/>
              </w:rPr>
              <w:t>水库位于</w:t>
            </w:r>
            <w:r>
              <w:rPr>
                <w:rFonts w:hint="default" w:ascii="Arial" w:hAnsi="Arial" w:cs="Arial"/>
                <w:color w:val="auto"/>
                <w:sz w:val="24"/>
                <w:highlight w:val="none"/>
              </w:rPr>
              <w:t>水库坝址位于坝址辜家河中游，地势总体呈北高南低，山脉走向北东，与构造线展布方向大体一致。区内河流曲折，河谷狭窄切割较深，多呈“V”型河谷展布，海拔多在500～1200m，山顶高程一般800〜1000m，相对高差200〜500m，属低山地貌。谷底宽度10～30m，河谷地带左右岸偶见一级阶地。</w:t>
            </w: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Arial" w:hAnsi="Arial" w:cs="Arial"/>
                <w:color w:val="auto"/>
                <w:sz w:val="24"/>
                <w:highlight w:val="none"/>
              </w:rPr>
            </w:pPr>
            <w:r>
              <w:rPr>
                <w:rFonts w:hint="default" w:ascii="Arial" w:hAnsi="Arial" w:cs="Arial"/>
                <w:color w:val="auto"/>
                <w:sz w:val="24"/>
                <w:highlight w:val="none"/>
              </w:rPr>
              <w:t>三合水库的开发任务是农业灌溉、乡村供水等综合利用，并作为旺苍县城应急备用水源。水库设计正常蓄水位594.50m，总库容371万m</w:t>
            </w:r>
            <w:r>
              <w:rPr>
                <w:rFonts w:hint="default" w:ascii="Arial" w:hAnsi="Arial" w:cs="Arial"/>
                <w:color w:val="auto"/>
                <w:sz w:val="24"/>
                <w:highlight w:val="none"/>
                <w:vertAlign w:val="superscript"/>
              </w:rPr>
              <w:t>3</w:t>
            </w:r>
            <w:r>
              <w:rPr>
                <w:rFonts w:hint="default" w:ascii="Arial" w:hAnsi="Arial" w:cs="Arial"/>
                <w:color w:val="auto"/>
                <w:sz w:val="24"/>
                <w:highlight w:val="none"/>
              </w:rPr>
              <w:t>，设计灌面2.14万亩，灌区干管首端设计流量0.711m3/s。工程建成后，可以解决旺苍县东河镇、嘉川镇2个镇13个村2.14万亩农田的灌溉用水，保障灌区农村0.54万人的生活用水，满足旺苍县城应急供水需求。</w:t>
            </w: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eastAsia" w:ascii="Arial" w:hAnsi="Arial" w:eastAsia="宋体" w:cs="Arial"/>
                <w:color w:val="auto"/>
                <w:sz w:val="24"/>
                <w:highlight w:val="none"/>
                <w:lang w:eastAsia="zh-CN"/>
              </w:rPr>
            </w:pPr>
            <w:r>
              <w:rPr>
                <w:rFonts w:hint="default" w:ascii="Arial" w:hAnsi="Arial" w:cs="Arial"/>
                <w:color w:val="auto"/>
                <w:sz w:val="24"/>
                <w:highlight w:val="none"/>
              </w:rPr>
              <w:t>水库由枢纽工程和灌区工程组成，其中枢纽工程由拦河大坝、溢洪</w:t>
            </w:r>
            <w:r>
              <w:rPr>
                <w:rFonts w:hint="eastAsia" w:ascii="Arial" w:hAnsi="Arial" w:cs="Arial"/>
                <w:color w:val="auto"/>
                <w:sz w:val="24"/>
                <w:highlight w:val="none"/>
              </w:rPr>
              <w:t>道</w:t>
            </w:r>
            <w:r>
              <w:rPr>
                <w:rFonts w:hint="default" w:ascii="Arial" w:hAnsi="Arial" w:cs="Arial"/>
                <w:color w:val="auto"/>
                <w:sz w:val="24"/>
                <w:highlight w:val="none"/>
              </w:rPr>
              <w:t>、取水</w:t>
            </w:r>
            <w:r>
              <w:rPr>
                <w:rFonts w:hint="eastAsia" w:ascii="Arial" w:hAnsi="Arial" w:cs="Arial"/>
                <w:color w:val="auto"/>
                <w:sz w:val="24"/>
                <w:highlight w:val="none"/>
              </w:rPr>
              <w:t>（放空、导流）隧洞</w:t>
            </w:r>
            <w:r>
              <w:rPr>
                <w:rFonts w:hint="default" w:ascii="Arial" w:hAnsi="Arial" w:cs="Arial"/>
                <w:color w:val="auto"/>
                <w:sz w:val="24"/>
                <w:highlight w:val="none"/>
              </w:rPr>
              <w:t>等建筑物组成，</w:t>
            </w:r>
            <w:r>
              <w:rPr>
                <w:rFonts w:hint="eastAsia" w:ascii="Arial" w:hAnsi="Arial" w:cs="Arial"/>
                <w:color w:val="auto"/>
                <w:sz w:val="24"/>
                <w:highlight w:val="none"/>
              </w:rPr>
              <w:t>灌区</w:t>
            </w:r>
            <w:r>
              <w:rPr>
                <w:rFonts w:hint="default" w:ascii="Arial" w:hAnsi="Arial" w:cs="Arial"/>
                <w:color w:val="auto"/>
                <w:sz w:val="24"/>
                <w:highlight w:val="none"/>
              </w:rPr>
              <w:t>工程由</w:t>
            </w:r>
            <w:r>
              <w:rPr>
                <w:rFonts w:hint="eastAsia" w:ascii="Arial" w:hAnsi="Arial" w:cs="Arial"/>
                <w:color w:val="auto"/>
                <w:sz w:val="24"/>
                <w:highlight w:val="none"/>
              </w:rPr>
              <w:t>干管</w:t>
            </w:r>
            <w:r>
              <w:rPr>
                <w:rFonts w:hint="default" w:ascii="Arial" w:hAnsi="Arial" w:cs="Arial"/>
                <w:color w:val="auto"/>
                <w:sz w:val="24"/>
                <w:highlight w:val="none"/>
              </w:rPr>
              <w:t>等组成。水库正常蓄水位为594.50m，对应库容</w:t>
            </w:r>
            <w:r>
              <w:rPr>
                <w:rFonts w:hint="eastAsia" w:ascii="Arial" w:hAnsi="Arial" w:cs="Arial"/>
                <w:color w:val="auto"/>
                <w:sz w:val="24"/>
                <w:highlight w:val="none"/>
              </w:rPr>
              <w:t>307</w:t>
            </w:r>
            <w:r>
              <w:rPr>
                <w:rFonts w:hint="default" w:ascii="Arial" w:hAnsi="Arial" w:cs="Arial"/>
                <w:color w:val="auto"/>
                <w:sz w:val="24"/>
                <w:highlight w:val="none"/>
              </w:rPr>
              <w:t>万m</w:t>
            </w:r>
            <w:r>
              <w:rPr>
                <w:rFonts w:hint="default" w:ascii="Arial" w:hAnsi="Arial" w:cs="Arial"/>
                <w:color w:val="auto"/>
                <w:sz w:val="24"/>
                <w:highlight w:val="none"/>
                <w:vertAlign w:val="superscript"/>
              </w:rPr>
              <w:t>3</w:t>
            </w:r>
            <w:r>
              <w:rPr>
                <w:rFonts w:hint="default" w:ascii="Arial" w:hAnsi="Arial" w:cs="Arial"/>
                <w:color w:val="auto"/>
                <w:sz w:val="24"/>
                <w:highlight w:val="none"/>
              </w:rPr>
              <w:t>，校核洪水位597.25m，总库容371万m</w:t>
            </w:r>
            <w:r>
              <w:rPr>
                <w:rFonts w:hint="default" w:ascii="Arial" w:hAnsi="Arial" w:cs="Arial"/>
                <w:color w:val="auto"/>
                <w:sz w:val="24"/>
                <w:highlight w:val="none"/>
                <w:vertAlign w:val="superscript"/>
              </w:rPr>
              <w:t>3</w:t>
            </w:r>
            <w:r>
              <w:rPr>
                <w:rFonts w:hint="default" w:ascii="Arial" w:hAnsi="Arial" w:cs="Arial"/>
                <w:color w:val="auto"/>
                <w:sz w:val="24"/>
                <w:highlight w:val="none"/>
              </w:rPr>
              <w:t>，水库死水位567.00m，死库容34万m</w:t>
            </w:r>
            <w:r>
              <w:rPr>
                <w:rFonts w:hint="default" w:ascii="Arial" w:hAnsi="Arial" w:cs="Arial"/>
                <w:color w:val="auto"/>
                <w:sz w:val="24"/>
                <w:highlight w:val="none"/>
                <w:vertAlign w:val="superscript"/>
              </w:rPr>
              <w:t>3</w:t>
            </w:r>
            <w:r>
              <w:rPr>
                <w:rFonts w:hint="default" w:ascii="Arial" w:hAnsi="Arial" w:cs="Arial"/>
                <w:color w:val="auto"/>
                <w:sz w:val="24"/>
                <w:highlight w:val="none"/>
              </w:rPr>
              <w:t>，兴利库容273万m</w:t>
            </w:r>
            <w:r>
              <w:rPr>
                <w:rFonts w:hint="default" w:ascii="Arial" w:hAnsi="Arial" w:cs="Arial"/>
                <w:color w:val="auto"/>
                <w:sz w:val="24"/>
                <w:highlight w:val="none"/>
                <w:vertAlign w:val="superscript"/>
              </w:rPr>
              <w:t>3</w:t>
            </w:r>
            <w:r>
              <w:rPr>
                <w:rFonts w:hint="default" w:ascii="Arial" w:hAnsi="Arial" w:cs="Arial"/>
                <w:color w:val="auto"/>
                <w:sz w:val="24"/>
                <w:highlight w:val="none"/>
              </w:rPr>
              <w:t>。拦河大坝为</w:t>
            </w:r>
            <w:r>
              <w:rPr>
                <w:rFonts w:hint="eastAsia" w:ascii="Arial" w:hAnsi="Arial" w:cs="Arial"/>
                <w:color w:val="auto"/>
                <w:sz w:val="24"/>
                <w:highlight w:val="none"/>
              </w:rPr>
              <w:t>碾压式</w:t>
            </w:r>
            <w:r>
              <w:rPr>
                <w:rFonts w:hint="default" w:ascii="Arial" w:hAnsi="Arial" w:cs="Arial"/>
                <w:color w:val="auto"/>
                <w:sz w:val="24"/>
                <w:highlight w:val="none"/>
              </w:rPr>
              <w:t>沥青混凝土心墙石渣坝，坝顶高程为597.50m，坝顶宽6m，坝</w:t>
            </w:r>
            <w:r>
              <w:rPr>
                <w:rFonts w:hint="eastAsia" w:ascii="Arial" w:hAnsi="Arial" w:cs="Arial"/>
                <w:color w:val="auto"/>
                <w:sz w:val="24"/>
                <w:highlight w:val="none"/>
              </w:rPr>
              <w:t>轴线</w:t>
            </w:r>
            <w:r>
              <w:rPr>
                <w:rFonts w:hint="default" w:ascii="Arial" w:hAnsi="Arial" w:cs="Arial"/>
                <w:color w:val="auto"/>
                <w:sz w:val="24"/>
                <w:highlight w:val="none"/>
              </w:rPr>
              <w:t>长185m，最大坝高54.5m。溢洪</w:t>
            </w:r>
            <w:r>
              <w:rPr>
                <w:rFonts w:hint="eastAsia" w:ascii="Arial" w:hAnsi="Arial" w:cs="Arial"/>
                <w:color w:val="auto"/>
                <w:sz w:val="24"/>
                <w:highlight w:val="none"/>
              </w:rPr>
              <w:t>道</w:t>
            </w:r>
            <w:r>
              <w:rPr>
                <w:rFonts w:hint="default" w:ascii="Arial" w:hAnsi="Arial" w:cs="Arial"/>
                <w:color w:val="auto"/>
                <w:sz w:val="24"/>
                <w:highlight w:val="none"/>
              </w:rPr>
              <w:t>布置于大坝</w:t>
            </w:r>
            <w:r>
              <w:rPr>
                <w:rFonts w:hint="eastAsia" w:ascii="Arial" w:hAnsi="Arial" w:cs="Arial"/>
                <w:color w:val="auto"/>
                <w:sz w:val="24"/>
                <w:highlight w:val="none"/>
              </w:rPr>
              <w:t>左</w:t>
            </w:r>
            <w:r>
              <w:rPr>
                <w:rFonts w:hint="default" w:ascii="Arial" w:hAnsi="Arial" w:cs="Arial"/>
                <w:color w:val="auto"/>
                <w:sz w:val="24"/>
                <w:highlight w:val="none"/>
              </w:rPr>
              <w:t>岸，为开敞式</w:t>
            </w:r>
            <w:r>
              <w:rPr>
                <w:rFonts w:hint="eastAsia" w:ascii="Arial" w:hAnsi="Arial" w:cs="Arial"/>
                <w:color w:val="auto"/>
                <w:sz w:val="24"/>
                <w:highlight w:val="none"/>
              </w:rPr>
              <w:t>侧堰</w:t>
            </w:r>
            <w:r>
              <w:rPr>
                <w:rFonts w:hint="default" w:ascii="Arial" w:hAnsi="Arial" w:cs="Arial"/>
                <w:color w:val="auto"/>
                <w:sz w:val="24"/>
                <w:highlight w:val="none"/>
              </w:rPr>
              <w:t>无闸</w:t>
            </w:r>
            <w:r>
              <w:rPr>
                <w:rFonts w:hint="eastAsia" w:ascii="Arial" w:hAnsi="Arial" w:cs="Arial"/>
                <w:color w:val="auto"/>
                <w:sz w:val="24"/>
                <w:highlight w:val="none"/>
              </w:rPr>
              <w:t>控制</w:t>
            </w:r>
            <w:r>
              <w:rPr>
                <w:rFonts w:hint="default" w:ascii="Arial" w:hAnsi="Arial" w:cs="Arial"/>
                <w:color w:val="auto"/>
                <w:sz w:val="24"/>
                <w:highlight w:val="none"/>
              </w:rPr>
              <w:t>溢洪</w:t>
            </w:r>
            <w:r>
              <w:rPr>
                <w:rFonts w:hint="eastAsia" w:ascii="Arial" w:hAnsi="Arial" w:cs="Arial"/>
                <w:color w:val="auto"/>
                <w:sz w:val="24"/>
                <w:highlight w:val="none"/>
              </w:rPr>
              <w:t>明槽</w:t>
            </w:r>
            <w:r>
              <w:rPr>
                <w:rFonts w:hint="default" w:ascii="Arial" w:hAnsi="Arial" w:cs="Arial"/>
                <w:color w:val="auto"/>
                <w:sz w:val="24"/>
                <w:highlight w:val="none"/>
              </w:rPr>
              <w:t>，由</w:t>
            </w:r>
            <w:r>
              <w:rPr>
                <w:rFonts w:hint="eastAsia" w:ascii="Arial" w:hAnsi="Arial" w:cs="Arial"/>
                <w:color w:val="auto"/>
                <w:sz w:val="24"/>
                <w:highlight w:val="none"/>
              </w:rPr>
              <w:t>侧槽段</w:t>
            </w:r>
            <w:r>
              <w:rPr>
                <w:rFonts w:hint="default" w:ascii="Arial" w:hAnsi="Arial" w:cs="Arial"/>
                <w:color w:val="auto"/>
                <w:sz w:val="24"/>
                <w:highlight w:val="none"/>
              </w:rPr>
              <w:t>、</w:t>
            </w:r>
            <w:r>
              <w:rPr>
                <w:rFonts w:hint="eastAsia" w:ascii="Arial" w:hAnsi="Arial" w:cs="Arial"/>
                <w:color w:val="auto"/>
                <w:sz w:val="24"/>
                <w:highlight w:val="none"/>
              </w:rPr>
              <w:t>调整</w:t>
            </w:r>
            <w:r>
              <w:rPr>
                <w:rFonts w:hint="default" w:ascii="Arial" w:hAnsi="Arial" w:cs="Arial"/>
                <w:color w:val="auto"/>
                <w:sz w:val="24"/>
                <w:highlight w:val="none"/>
              </w:rPr>
              <w:t>段、泄槽段</w:t>
            </w:r>
            <w:r>
              <w:rPr>
                <w:rFonts w:hint="eastAsia" w:ascii="Arial" w:hAnsi="Arial" w:cs="Arial"/>
                <w:color w:val="auto"/>
                <w:sz w:val="24"/>
                <w:highlight w:val="none"/>
              </w:rPr>
              <w:t>、消力池段</w:t>
            </w:r>
            <w:r>
              <w:rPr>
                <w:rFonts w:hint="default" w:ascii="Arial" w:hAnsi="Arial" w:cs="Arial"/>
                <w:color w:val="auto"/>
                <w:sz w:val="24"/>
                <w:highlight w:val="none"/>
              </w:rPr>
              <w:t>、</w:t>
            </w:r>
            <w:r>
              <w:rPr>
                <w:rFonts w:hint="eastAsia" w:ascii="Arial" w:hAnsi="Arial" w:cs="Arial"/>
                <w:color w:val="auto"/>
                <w:sz w:val="24"/>
                <w:highlight w:val="none"/>
              </w:rPr>
              <w:t>尾水渠</w:t>
            </w:r>
            <w:r>
              <w:rPr>
                <w:rFonts w:hint="default" w:ascii="Arial" w:hAnsi="Arial" w:cs="Arial"/>
                <w:color w:val="auto"/>
                <w:sz w:val="24"/>
                <w:highlight w:val="none"/>
              </w:rPr>
              <w:t>段组成，水平投影总长为</w:t>
            </w:r>
            <w:r>
              <w:rPr>
                <w:rFonts w:hint="eastAsia" w:ascii="Arial" w:hAnsi="Arial" w:cs="Arial"/>
                <w:color w:val="auto"/>
                <w:sz w:val="24"/>
                <w:highlight w:val="none"/>
              </w:rPr>
              <w:t>322.30</w:t>
            </w:r>
            <w:r>
              <w:rPr>
                <w:rFonts w:hint="default" w:ascii="Arial" w:hAnsi="Arial" w:cs="Arial"/>
                <w:color w:val="auto"/>
                <w:sz w:val="24"/>
                <w:highlight w:val="none"/>
              </w:rPr>
              <w:t>m。</w:t>
            </w:r>
            <w:r>
              <w:rPr>
                <w:rFonts w:hint="eastAsia" w:ascii="Arial" w:hAnsi="Arial" w:cs="Arial"/>
                <w:color w:val="auto"/>
                <w:sz w:val="24"/>
                <w:highlight w:val="none"/>
              </w:rPr>
              <w:t>取水</w:t>
            </w:r>
            <w:r>
              <w:rPr>
                <w:rFonts w:hint="default" w:ascii="Arial" w:hAnsi="Arial" w:cs="Arial"/>
                <w:color w:val="auto"/>
                <w:sz w:val="24"/>
                <w:highlight w:val="none"/>
              </w:rPr>
              <w:t>（</w:t>
            </w:r>
            <w:r>
              <w:rPr>
                <w:rFonts w:hint="eastAsia" w:ascii="Arial" w:hAnsi="Arial" w:cs="Arial"/>
                <w:color w:val="auto"/>
                <w:sz w:val="24"/>
                <w:highlight w:val="none"/>
              </w:rPr>
              <w:t>放空、</w:t>
            </w:r>
            <w:r>
              <w:rPr>
                <w:rFonts w:hint="default" w:ascii="Arial" w:hAnsi="Arial" w:cs="Arial"/>
                <w:color w:val="auto"/>
                <w:sz w:val="24"/>
                <w:highlight w:val="none"/>
              </w:rPr>
              <w:t>导流）隧洞布置于大坝左岸山体内，由导流</w:t>
            </w:r>
            <w:r>
              <w:rPr>
                <w:rFonts w:hint="eastAsia" w:ascii="Arial" w:hAnsi="Arial" w:cs="Arial"/>
                <w:color w:val="auto"/>
                <w:sz w:val="24"/>
                <w:highlight w:val="none"/>
              </w:rPr>
              <w:t>隧</w:t>
            </w:r>
            <w:r>
              <w:rPr>
                <w:rFonts w:hint="default" w:ascii="Arial" w:hAnsi="Arial" w:cs="Arial"/>
                <w:color w:val="auto"/>
                <w:sz w:val="24"/>
                <w:highlight w:val="none"/>
              </w:rPr>
              <w:t>洞改建而成，采用</w:t>
            </w:r>
            <w:r>
              <w:rPr>
                <w:rFonts w:hint="eastAsia" w:ascii="Arial" w:hAnsi="Arial" w:cs="Arial"/>
                <w:color w:val="auto"/>
                <w:sz w:val="24"/>
                <w:highlight w:val="none"/>
              </w:rPr>
              <w:t>竖井式</w:t>
            </w:r>
            <w:r>
              <w:rPr>
                <w:rFonts w:hint="default" w:ascii="Arial" w:hAnsi="Arial" w:cs="Arial"/>
                <w:color w:val="auto"/>
                <w:sz w:val="24"/>
                <w:highlight w:val="none"/>
              </w:rPr>
              <w:t>进水口，</w:t>
            </w:r>
            <w:r>
              <w:rPr>
                <w:rFonts w:hint="eastAsia" w:ascii="Arial" w:hAnsi="Arial" w:cs="Arial"/>
                <w:color w:val="auto"/>
                <w:sz w:val="24"/>
                <w:highlight w:val="none"/>
              </w:rPr>
              <w:t>隧洞洞身采用城门洞型，水平投影总长</w:t>
            </w:r>
            <w:r>
              <w:rPr>
                <w:rFonts w:hint="default" w:ascii="Arial" w:hAnsi="Arial" w:cs="Arial"/>
                <w:color w:val="auto"/>
                <w:sz w:val="24"/>
                <w:highlight w:val="none"/>
              </w:rPr>
              <w:t>331.05m</w:t>
            </w:r>
            <w:r>
              <w:rPr>
                <w:rFonts w:hint="eastAsia" w:ascii="Arial" w:hAnsi="Arial" w:cs="Arial"/>
                <w:color w:val="auto"/>
                <w:sz w:val="24"/>
                <w:highlight w:val="none"/>
              </w:rPr>
              <w:t>，其中洞身段水平投影长293</w:t>
            </w:r>
            <w:r>
              <w:rPr>
                <w:rFonts w:hint="default" w:ascii="Arial" w:hAnsi="Arial" w:cs="Arial"/>
                <w:color w:val="auto"/>
                <w:sz w:val="24"/>
                <w:highlight w:val="none"/>
              </w:rPr>
              <w:t>m</w:t>
            </w:r>
            <w:r>
              <w:rPr>
                <w:rFonts w:hint="eastAsia" w:ascii="Arial" w:hAnsi="Arial" w:cs="Arial"/>
                <w:color w:val="auto"/>
                <w:sz w:val="24"/>
                <w:highlight w:val="none"/>
              </w:rPr>
              <w:t>。</w:t>
            </w:r>
            <w:r>
              <w:rPr>
                <w:rFonts w:hint="eastAsia" w:ascii="Arial" w:hAnsi="Arial" w:cs="Arial"/>
                <w:color w:val="auto"/>
                <w:sz w:val="24"/>
                <w:highlight w:val="none"/>
                <w:lang w:val="en-US" w:eastAsia="zh-CN"/>
              </w:rPr>
              <w:t>取水工程</w:t>
            </w:r>
            <w:r>
              <w:rPr>
                <w:rFonts w:hint="eastAsia" w:ascii="Arial" w:hAnsi="Arial" w:cs="Arial"/>
                <w:color w:val="auto"/>
                <w:sz w:val="24"/>
                <w:highlight w:val="none"/>
              </w:rPr>
              <w:t>进水口高程为557.00m，高于淤沙高程（555.36）1.64m</w:t>
            </w:r>
            <w:r>
              <w:rPr>
                <w:rFonts w:hint="eastAsia" w:ascii="Arial" w:hAnsi="Arial" w:cs="Arial"/>
                <w:color w:val="auto"/>
                <w:sz w:val="24"/>
                <w:highlight w:val="none"/>
                <w:lang w:eastAsia="zh-CN"/>
              </w:rPr>
              <w:t>，出口底板起点高程542.73m。</w:t>
            </w: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Arial" w:hAnsi="Arial" w:cs="Arial"/>
                <w:color w:val="auto"/>
                <w:sz w:val="24"/>
                <w:highlight w:val="none"/>
              </w:rPr>
            </w:pPr>
          </w:p>
          <w:p>
            <w:pPr>
              <w:pStyle w:val="7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Arial" w:hAnsi="Arial" w:cs="Arial"/>
                <w:color w:val="auto"/>
                <w:sz w:val="24"/>
                <w:highlight w:val="none"/>
              </w:rPr>
            </w:pPr>
          </w:p>
          <w:p>
            <w:pPr>
              <w:adjustRightInd w:val="0"/>
              <w:snapToGrid w:val="0"/>
              <w:rPr>
                <w:rFonts w:ascii="宋体" w:hAnsi="宋体" w:cs="宋体"/>
                <w:color w:val="auto"/>
                <w:kern w:val="0"/>
                <w:sz w:val="24"/>
                <w:highlight w:val="none"/>
              </w:rPr>
            </w:pPr>
          </w:p>
        </w:tc>
      </w:tr>
    </w:tbl>
    <w:p>
      <w:pPr>
        <w:pStyle w:val="19"/>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23"/>
        <w:tblW w:w="51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2" w:hRule="atLeast"/>
          <w:jc w:val="center"/>
        </w:trPr>
        <w:tc>
          <w:tcPr>
            <w:tcW w:w="590" w:type="dxa"/>
            <w:vAlign w:val="center"/>
          </w:tcPr>
          <w:p>
            <w:pPr>
              <w:adjustRightInd w:val="0"/>
              <w:snapToGrid w:val="0"/>
              <w:jc w:val="center"/>
              <w:rPr>
                <w:rFonts w:ascii="宋体" w:hAnsi="宋体" w:cs="宋体"/>
                <w:kern w:val="0"/>
                <w:sz w:val="24"/>
              </w:rPr>
            </w:pPr>
            <w:r>
              <w:rPr>
                <w:rFonts w:hint="eastAsia" w:ascii="宋体" w:hAnsi="宋体" w:cs="宋体"/>
                <w:kern w:val="0"/>
                <w:sz w:val="24"/>
              </w:rPr>
              <w:t>生态环境现状</w:t>
            </w:r>
          </w:p>
        </w:tc>
        <w:tc>
          <w:tcPr>
            <w:tcW w:w="9112" w:type="dxa"/>
            <w:vAlign w:val="center"/>
          </w:tcPr>
          <w:p>
            <w:pPr>
              <w:spacing w:line="360" w:lineRule="auto"/>
              <w:rPr>
                <w:rFonts w:ascii="Arial" w:hAnsi="Arial" w:cs="Arial"/>
                <w:b/>
                <w:color w:val="000000"/>
                <w:sz w:val="24"/>
              </w:rPr>
            </w:pPr>
            <w:r>
              <w:rPr>
                <w:rFonts w:hint="eastAsia" w:ascii="Arial" w:hAnsi="Arial" w:cs="Arial"/>
                <w:b/>
                <w:color w:val="000000"/>
                <w:sz w:val="24"/>
              </w:rPr>
              <w:t>一、生态环境质量现状</w:t>
            </w:r>
          </w:p>
          <w:p>
            <w:pPr>
              <w:spacing w:line="360" w:lineRule="auto"/>
              <w:ind w:firstLine="482" w:firstLineChars="200"/>
              <w:rPr>
                <w:rFonts w:ascii="Arial" w:hAnsi="Arial" w:cs="Arial"/>
                <w:b/>
                <w:color w:val="000000"/>
                <w:sz w:val="24"/>
              </w:rPr>
            </w:pPr>
            <w:r>
              <w:rPr>
                <w:rFonts w:ascii="Arial" w:hAnsi="Arial" w:cs="Arial"/>
                <w:b/>
                <w:color w:val="000000"/>
                <w:sz w:val="24"/>
              </w:rPr>
              <w:t>㈠</w:t>
            </w:r>
            <w:r>
              <w:rPr>
                <w:rFonts w:hint="eastAsia" w:ascii="Arial" w:hAnsi="Arial" w:cs="Arial"/>
                <w:b/>
                <w:color w:val="000000"/>
                <w:sz w:val="24"/>
              </w:rPr>
              <w:t>、</w:t>
            </w:r>
            <w:r>
              <w:rPr>
                <w:rFonts w:ascii="Arial" w:hAnsi="Arial" w:cs="Arial"/>
                <w:b/>
                <w:color w:val="000000"/>
                <w:sz w:val="24"/>
              </w:rPr>
              <w:t>生态功能定位</w:t>
            </w:r>
          </w:p>
          <w:p>
            <w:pPr>
              <w:spacing w:line="360" w:lineRule="auto"/>
              <w:ind w:firstLine="482" w:firstLineChars="200"/>
              <w:rPr>
                <w:rFonts w:ascii="Arial" w:hAnsi="宋体" w:cs="Arial"/>
                <w:b/>
                <w:color w:val="000000"/>
                <w:sz w:val="24"/>
                <w:lang w:bidi="en-US"/>
              </w:rPr>
            </w:pPr>
            <w:bookmarkStart w:id="20" w:name="_Toc436592431"/>
            <w:bookmarkStart w:id="21" w:name="_Toc4487229"/>
            <w:bookmarkStart w:id="22" w:name="_Toc12103"/>
            <w:bookmarkStart w:id="23" w:name="_Toc47920310"/>
            <w:bookmarkStart w:id="24" w:name="_Toc526931910"/>
            <w:bookmarkStart w:id="25" w:name="_Toc505980332"/>
            <w:r>
              <w:rPr>
                <w:rFonts w:hint="eastAsia" w:ascii="Arial" w:hAnsi="宋体" w:cs="Arial"/>
                <w:b/>
                <w:color w:val="000000"/>
                <w:sz w:val="24"/>
                <w:lang w:bidi="en-US"/>
              </w:rPr>
              <w:t>1、</w:t>
            </w:r>
            <w:r>
              <w:rPr>
                <w:rFonts w:ascii="Arial" w:hAnsi="宋体" w:cs="Arial"/>
                <w:b/>
                <w:color w:val="000000"/>
                <w:sz w:val="24"/>
                <w:lang w:bidi="en-US"/>
              </w:rPr>
              <w:t>评价区在国家生态功能区中的定位</w:t>
            </w:r>
            <w:bookmarkEnd w:id="20"/>
            <w:bookmarkEnd w:id="21"/>
            <w:bookmarkEnd w:id="22"/>
            <w:bookmarkEnd w:id="23"/>
            <w:bookmarkEnd w:id="24"/>
            <w:bookmarkEnd w:id="25"/>
          </w:p>
          <w:p>
            <w:pPr>
              <w:spacing w:line="360" w:lineRule="auto"/>
              <w:ind w:firstLine="480" w:firstLineChars="200"/>
              <w:rPr>
                <w:sz w:val="24"/>
              </w:rPr>
            </w:pPr>
            <w:r>
              <w:rPr>
                <w:sz w:val="24"/>
              </w:rPr>
              <w:t>根据《全国生态功能区划（修编版）》(环境保护部公告2015年第61号)中的定位，评价区属于Ⅲ-02-1成都城镇群（图</w:t>
            </w:r>
            <w:r>
              <w:rPr>
                <w:rFonts w:hint="eastAsia"/>
                <w:sz w:val="24"/>
              </w:rPr>
              <w:t>3</w:t>
            </w:r>
            <w:r>
              <w:rPr>
                <w:sz w:val="24"/>
              </w:rPr>
              <w:t>-1）。在全国生态功能重要区中属于重点城镇群。</w:t>
            </w:r>
          </w:p>
          <w:p>
            <w:pPr>
              <w:spacing w:line="360" w:lineRule="auto"/>
              <w:jc w:val="center"/>
              <w:rPr>
                <w:rFonts w:hint="eastAsia" w:eastAsia="宋体"/>
                <w:b/>
                <w:bCs/>
                <w:kern w:val="0"/>
                <w:lang w:eastAsia="zh-CN"/>
              </w:rPr>
            </w:pPr>
            <w:r>
              <w:rPr>
                <w:rFonts w:hint="eastAsia" w:eastAsia="宋体"/>
                <w:b/>
                <w:bCs/>
                <w:kern w:val="0"/>
                <w:lang w:eastAsia="zh-CN"/>
              </w:rPr>
              <w:drawing>
                <wp:inline distT="0" distB="0" distL="114300" distR="114300">
                  <wp:extent cx="5714365" cy="3603625"/>
                  <wp:effectExtent l="0" t="0" r="635" b="8255"/>
                  <wp:docPr id="1" name="图片 1"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副本"/>
                          <pic:cNvPicPr>
                            <a:picLocks noChangeAspect="1"/>
                          </pic:cNvPicPr>
                        </pic:nvPicPr>
                        <pic:blipFill>
                          <a:blip r:embed="rId17"/>
                          <a:stretch>
                            <a:fillRect/>
                          </a:stretch>
                        </pic:blipFill>
                        <pic:spPr>
                          <a:xfrm>
                            <a:off x="0" y="0"/>
                            <a:ext cx="5714365" cy="3603625"/>
                          </a:xfrm>
                          <a:prstGeom prst="rect">
                            <a:avLst/>
                          </a:prstGeom>
                        </pic:spPr>
                      </pic:pic>
                    </a:graphicData>
                  </a:graphic>
                </wp:inline>
              </w:drawing>
            </w:r>
          </w:p>
          <w:p>
            <w:pPr>
              <w:spacing w:line="360" w:lineRule="auto"/>
              <w:jc w:val="center"/>
              <w:rPr>
                <w:b/>
                <w:bCs/>
                <w:kern w:val="0"/>
              </w:rPr>
            </w:pPr>
            <w:r>
              <w:rPr>
                <w:b/>
                <w:bCs/>
                <w:kern w:val="0"/>
              </w:rPr>
              <w:t>图</w:t>
            </w:r>
            <w:r>
              <w:rPr>
                <w:rFonts w:hint="eastAsia"/>
                <w:b/>
                <w:bCs/>
                <w:kern w:val="0"/>
              </w:rPr>
              <w:t>3</w:t>
            </w:r>
            <w:r>
              <w:rPr>
                <w:b/>
                <w:bCs/>
                <w:kern w:val="0"/>
              </w:rPr>
              <w:t>-1  评价区在国家生态功能区中的定位</w:t>
            </w:r>
          </w:p>
          <w:p>
            <w:pPr>
              <w:spacing w:line="360" w:lineRule="auto"/>
              <w:ind w:firstLine="482" w:firstLineChars="200"/>
              <w:rPr>
                <w:b/>
                <w:bCs/>
                <w:sz w:val="24"/>
              </w:rPr>
            </w:pPr>
            <w:r>
              <w:rPr>
                <w:b/>
                <w:bCs/>
                <w:sz w:val="24"/>
              </w:rPr>
              <w:t>该类型区的主要生态问题：该类型区的主要生态问题：</w:t>
            </w:r>
          </w:p>
          <w:p>
            <w:pPr>
              <w:spacing w:line="360" w:lineRule="auto"/>
              <w:ind w:firstLine="480" w:firstLineChars="200"/>
              <w:rPr>
                <w:sz w:val="24"/>
              </w:rPr>
            </w:pPr>
            <w:r>
              <w:rPr>
                <w:rFonts w:hint="eastAsia"/>
                <w:sz w:val="24"/>
                <w:lang w:val="en-US" w:eastAsia="zh-CN"/>
              </w:rPr>
              <w:t>人类活动干扰强度大，生态系统结构单一，生态系统质量低，生态涵养功能衰退，森林资源过度开发、天然草原过度放牧等导致植被破坏，水土流失与土地沙化严重，实地萎缩、面积减少、冰川后退，雪线上升</w:t>
            </w:r>
            <w:r>
              <w:rPr>
                <w:sz w:val="24"/>
              </w:rPr>
              <w:t xml:space="preserve">。 </w:t>
            </w:r>
          </w:p>
          <w:p>
            <w:pPr>
              <w:spacing w:line="360" w:lineRule="auto"/>
              <w:ind w:firstLine="482" w:firstLineChars="200"/>
              <w:rPr>
                <w:b/>
                <w:bCs/>
                <w:sz w:val="24"/>
              </w:rPr>
            </w:pPr>
            <w:r>
              <w:rPr>
                <w:b/>
                <w:bCs/>
                <w:sz w:val="24"/>
              </w:rPr>
              <w:t>该类型区生态保护的主要方向：</w:t>
            </w:r>
          </w:p>
          <w:p>
            <w:pPr>
              <w:numPr>
                <w:ilvl w:val="0"/>
                <w:numId w:val="7"/>
              </w:numPr>
              <w:spacing w:line="360" w:lineRule="auto"/>
              <w:ind w:firstLine="480" w:firstLineChars="200"/>
              <w:rPr>
                <w:sz w:val="24"/>
              </w:rPr>
            </w:pPr>
            <w:r>
              <w:rPr>
                <w:rFonts w:hint="eastAsia"/>
                <w:sz w:val="24"/>
              </w:rPr>
              <w:t xml:space="preserve">对重要水源涵养区建立生态功能保护区，加强对水源涵养区的保护与管理，严格保护具有重要水源涵养功能的自然植被，限制或禁止各种损害生态系统水源涵养功能的经济社会活动和生产方式，如无序采矿、毁林开荒、湿地和草地开垦、过度放牧、道路建设等。 </w:t>
            </w:r>
          </w:p>
          <w:p>
            <w:pPr>
              <w:numPr>
                <w:ilvl w:val="0"/>
                <w:numId w:val="7"/>
              </w:numPr>
              <w:spacing w:line="360" w:lineRule="auto"/>
              <w:ind w:left="0" w:leftChars="0" w:firstLine="480" w:firstLineChars="200"/>
              <w:rPr>
                <w:rFonts w:hint="eastAsia"/>
                <w:sz w:val="24"/>
              </w:rPr>
            </w:pPr>
            <w:r>
              <w:rPr>
                <w:rFonts w:hint="eastAsia"/>
                <w:sz w:val="24"/>
              </w:rPr>
              <w:t xml:space="preserve">继续加强生态保护与恢复，恢复与重建水源涵养区森林、草地、湿地等生态系统，提高生态系统的水源丽养能力。坚持自然恢复为主，严格限制在水源涵养区大规模人工造林。 </w:t>
            </w:r>
          </w:p>
          <w:p>
            <w:pPr>
              <w:numPr>
                <w:ilvl w:val="0"/>
                <w:numId w:val="7"/>
              </w:numPr>
              <w:spacing w:line="360" w:lineRule="auto"/>
              <w:ind w:left="0" w:leftChars="0" w:firstLine="480" w:firstLineChars="200"/>
              <w:rPr>
                <w:sz w:val="24"/>
              </w:rPr>
            </w:pPr>
            <w:r>
              <w:rPr>
                <w:rFonts w:hint="eastAsia"/>
                <w:sz w:val="24"/>
              </w:rPr>
              <w:t>控制水污染，减轻水污染负荷，出导致水体污染的产业发展，开展生态清洁小流域的建设。</w:t>
            </w:r>
            <w:r>
              <w:rPr>
                <w:sz w:val="24"/>
              </w:rPr>
              <w:t>以生态环境承载力为基础，规划城市发展规模、产业方向；建设生态城市，优化产业结构，发展循环经济，提高资源利用效率；加快城市环境保护基础设施建设，加强城乡环境综合整治；城镇发展坚持以人为本，从长计议，节约资源，保护环境，科学规划。</w:t>
            </w:r>
          </w:p>
          <w:p>
            <w:pPr>
              <w:spacing w:line="360" w:lineRule="auto"/>
              <w:ind w:firstLine="482" w:firstLineChars="200"/>
              <w:rPr>
                <w:rFonts w:ascii="Arial" w:hAnsi="宋体" w:cs="Arial"/>
                <w:b/>
                <w:color w:val="000000"/>
                <w:sz w:val="24"/>
                <w:lang w:bidi="en-US"/>
              </w:rPr>
            </w:pPr>
            <w:bookmarkStart w:id="26" w:name="_Toc47920311"/>
            <w:bookmarkStart w:id="27" w:name="_Toc526931911"/>
            <w:bookmarkStart w:id="28" w:name="_Toc436592432"/>
            <w:bookmarkStart w:id="29" w:name="_Toc4487230"/>
            <w:bookmarkStart w:id="30" w:name="_Toc505980333"/>
            <w:bookmarkStart w:id="31" w:name="_Toc30135"/>
            <w:r>
              <w:rPr>
                <w:rFonts w:hint="eastAsia" w:ascii="Arial" w:hAnsi="宋体" w:cs="Arial"/>
                <w:b/>
                <w:color w:val="000000"/>
                <w:sz w:val="24"/>
                <w:lang w:bidi="en-US"/>
              </w:rPr>
              <w:t>2、</w:t>
            </w:r>
            <w:r>
              <w:rPr>
                <w:rFonts w:ascii="Arial" w:hAnsi="宋体" w:cs="Arial"/>
                <w:b/>
                <w:color w:val="000000"/>
                <w:sz w:val="24"/>
                <w:lang w:bidi="en-US"/>
              </w:rPr>
              <w:t>评价区在四川省生态功能区中的定位</w:t>
            </w:r>
            <w:bookmarkEnd w:id="26"/>
            <w:bookmarkEnd w:id="27"/>
            <w:bookmarkEnd w:id="28"/>
            <w:bookmarkEnd w:id="29"/>
            <w:bookmarkEnd w:id="30"/>
            <w:bookmarkEnd w:id="31"/>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4" w:firstLineChars="200"/>
              <w:textAlignment w:val="auto"/>
              <w:rPr>
                <w:sz w:val="24"/>
                <w:szCs w:val="24"/>
              </w:rPr>
            </w:pPr>
            <w:bookmarkStart w:id="32" w:name="_Toc47920312"/>
            <w:r>
              <w:rPr>
                <w:rFonts w:hint="eastAsia" w:ascii="Times New Roman" w:hAnsi="Times New Roman" w:cs="Times New Roman"/>
                <w:b/>
                <w:bCs/>
                <w:spacing w:val="-7"/>
                <w:sz w:val="24"/>
                <w:szCs w:val="24"/>
                <w:lang w:val="en-US" w:eastAsia="zh-CN"/>
              </w:rPr>
              <w:t xml:space="preserve">⑴ </w:t>
            </w:r>
            <w:r>
              <w:rPr>
                <w:b/>
                <w:bCs/>
                <w:spacing w:val="-7"/>
                <w:sz w:val="24"/>
                <w:szCs w:val="24"/>
              </w:rPr>
              <w:t>主体功能区划</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jc w:val="both"/>
              <w:textAlignment w:val="auto"/>
              <w:rPr>
                <w:sz w:val="24"/>
                <w:szCs w:val="24"/>
              </w:rPr>
            </w:pPr>
            <w:r>
              <w:rPr>
                <w:spacing w:val="-2"/>
                <w:sz w:val="24"/>
                <w:szCs w:val="24"/>
              </w:rPr>
              <w:t>本项目位于广元市</w:t>
            </w:r>
            <w:r>
              <w:rPr>
                <w:rFonts w:hint="eastAsia"/>
                <w:spacing w:val="-2"/>
                <w:sz w:val="24"/>
                <w:szCs w:val="24"/>
              </w:rPr>
              <w:t>旺苍县东河镇南峰村与凤阳村交界处</w:t>
            </w:r>
            <w:r>
              <w:rPr>
                <w:spacing w:val="-2"/>
                <w:sz w:val="24"/>
                <w:szCs w:val="24"/>
              </w:rPr>
              <w:t>，本项目所在地属于《四川省主体功能</w:t>
            </w:r>
            <w:r>
              <w:rPr>
                <w:sz w:val="24"/>
                <w:szCs w:val="24"/>
              </w:rPr>
              <w:t>区规划》当中：</w:t>
            </w:r>
            <w:r>
              <w:rPr>
                <w:rFonts w:ascii="Times New Roman" w:hAnsi="Times New Roman" w:eastAsia="Times New Roman" w:cs="Times New Roman"/>
                <w:b/>
                <w:bCs/>
                <w:sz w:val="24"/>
                <w:szCs w:val="24"/>
              </w:rPr>
              <w:t>“</w:t>
            </w:r>
            <w:r>
              <w:rPr>
                <w:b/>
                <w:bCs/>
                <w:sz w:val="24"/>
                <w:szCs w:val="24"/>
              </w:rPr>
              <w:t>重点生态功能区（国家层面限制开发区域）</w:t>
            </w:r>
            <w:r>
              <w:rPr>
                <w:rFonts w:ascii="Times New Roman" w:hAnsi="Times New Roman" w:eastAsia="Times New Roman" w:cs="Times New Roman"/>
                <w:b/>
                <w:bCs/>
                <w:sz w:val="24"/>
                <w:szCs w:val="24"/>
              </w:rPr>
              <w:t>”</w:t>
            </w:r>
            <w:r>
              <w:rPr>
                <w:sz w:val="24"/>
                <w:szCs w:val="24"/>
              </w:rPr>
              <w:t>、</w:t>
            </w:r>
            <w:r>
              <w:rPr>
                <w:rFonts w:ascii="Times New Roman" w:hAnsi="Times New Roman" w:eastAsia="Times New Roman" w:cs="Times New Roman"/>
                <w:b/>
                <w:bCs/>
                <w:sz w:val="24"/>
                <w:szCs w:val="24"/>
              </w:rPr>
              <w:t>“</w:t>
            </w:r>
            <w:r>
              <w:rPr>
                <w:b/>
                <w:bCs/>
                <w:sz w:val="24"/>
                <w:szCs w:val="24"/>
              </w:rPr>
              <w:t>秦巴生物</w:t>
            </w:r>
            <w:r>
              <w:rPr>
                <w:b/>
                <w:bCs/>
                <w:spacing w:val="-1"/>
                <w:sz w:val="24"/>
                <w:szCs w:val="24"/>
              </w:rPr>
              <w:t>多样</w:t>
            </w:r>
            <w:r>
              <w:rPr>
                <w:b/>
                <w:bCs/>
                <w:spacing w:val="-3"/>
                <w:sz w:val="24"/>
                <w:szCs w:val="24"/>
              </w:rPr>
              <w:t>性生态功能区</w:t>
            </w:r>
            <w:r>
              <w:rPr>
                <w:rFonts w:ascii="Times New Roman" w:hAnsi="Times New Roman" w:eastAsia="Times New Roman" w:cs="Times New Roman"/>
                <w:b/>
                <w:bCs/>
                <w:spacing w:val="-3"/>
                <w:sz w:val="24"/>
                <w:szCs w:val="24"/>
              </w:rPr>
              <w:t>”</w:t>
            </w:r>
            <w:r>
              <w:rPr>
                <w:spacing w:val="-3"/>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sz w:val="24"/>
                <w:szCs w:val="24"/>
              </w:rPr>
            </w:pPr>
            <w:r>
              <w:rPr>
                <w:b/>
                <w:bCs/>
                <w:spacing w:val="-2"/>
                <w:sz w:val="24"/>
                <w:szCs w:val="24"/>
              </w:rPr>
              <w:t>重点生态功能区</w:t>
            </w:r>
            <w:r>
              <w:rPr>
                <w:spacing w:val="-2"/>
                <w:sz w:val="24"/>
                <w:szCs w:val="24"/>
              </w:rPr>
              <w:t>的主体功能定位是：国家青藏高原生态屏障</w:t>
            </w:r>
            <w:r>
              <w:rPr>
                <w:spacing w:val="-3"/>
                <w:sz w:val="24"/>
                <w:szCs w:val="24"/>
              </w:rPr>
              <w:t>和长江上游生态</w:t>
            </w:r>
            <w:r>
              <w:rPr>
                <w:sz w:val="24"/>
                <w:szCs w:val="24"/>
              </w:rPr>
              <w:t xml:space="preserve"> </w:t>
            </w:r>
            <w:r>
              <w:rPr>
                <w:spacing w:val="-2"/>
                <w:sz w:val="24"/>
                <w:szCs w:val="24"/>
              </w:rPr>
              <w:t>屏障的重要组成部分，国家重要的水源涵养、水土保持与生物多样性保护区域，</w:t>
            </w:r>
            <w:r>
              <w:rPr>
                <w:spacing w:val="5"/>
                <w:sz w:val="24"/>
                <w:szCs w:val="24"/>
              </w:rPr>
              <w:t>全省提供生态产品的主体区域与生态财富富集区，保障国家生态安全的重要区</w:t>
            </w:r>
            <w:r>
              <w:rPr>
                <w:spacing w:val="-1"/>
                <w:sz w:val="24"/>
                <w:szCs w:val="24"/>
              </w:rPr>
              <w:t>域，生态文明建设、人与自然和谐相处的示范区。</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sz w:val="24"/>
                <w:szCs w:val="24"/>
              </w:rPr>
            </w:pPr>
            <w:r>
              <w:rPr>
                <w:spacing w:val="-2"/>
                <w:sz w:val="24"/>
                <w:szCs w:val="24"/>
              </w:rPr>
              <w:t>重点生态功能区以保护和修复生态环境、提供生态产品为首要任务，因地制</w:t>
            </w:r>
            <w:r>
              <w:rPr>
                <w:spacing w:val="11"/>
                <w:sz w:val="24"/>
                <w:szCs w:val="24"/>
              </w:rPr>
              <w:t xml:space="preserve"> </w:t>
            </w:r>
            <w:r>
              <w:rPr>
                <w:spacing w:val="-2"/>
                <w:sz w:val="24"/>
                <w:szCs w:val="24"/>
              </w:rPr>
              <w:t>宜开发利用优势特色资源，发展资源环境可承载的适宜产业，加强基本公共服务</w:t>
            </w:r>
            <w:r>
              <w:rPr>
                <w:spacing w:val="-1"/>
                <w:sz w:val="24"/>
                <w:szCs w:val="24"/>
              </w:rPr>
              <w:t>能力建设，引导超载人口逐步有序转移。发展方向和管制原则：</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textAlignment w:val="auto"/>
              <w:rPr>
                <w:sz w:val="24"/>
                <w:szCs w:val="24"/>
              </w:rPr>
            </w:pPr>
            <w:r>
              <w:rPr>
                <w:rFonts w:ascii="Times New Roman" w:hAnsi="Times New Roman" w:eastAsia="Times New Roman" w:cs="Times New Roman"/>
                <w:spacing w:val="-1"/>
                <w:sz w:val="24"/>
                <w:szCs w:val="24"/>
              </w:rPr>
              <w:t>——</w:t>
            </w:r>
            <w:r>
              <w:rPr>
                <w:spacing w:val="-1"/>
                <w:sz w:val="24"/>
                <w:szCs w:val="24"/>
              </w:rPr>
              <w:t>加强水源涵养。推进天然林资源保护、防沙治沙</w:t>
            </w:r>
            <w:r>
              <w:rPr>
                <w:spacing w:val="-2"/>
                <w:sz w:val="24"/>
                <w:szCs w:val="24"/>
              </w:rPr>
              <w:t>，重建和修复湿地、森林、草原、荒漠等生态系统。严格保护具有水源涵养功能的自然植被，禁止过度放牧、无序采矿、毁林开荒、开垦草原等。加强大江大河源头及上游的小流域治</w:t>
            </w:r>
            <w:r>
              <w:rPr>
                <w:spacing w:val="16"/>
                <w:sz w:val="24"/>
                <w:szCs w:val="24"/>
              </w:rPr>
              <w:t xml:space="preserve"> </w:t>
            </w:r>
            <w:r>
              <w:rPr>
                <w:spacing w:val="-1"/>
                <w:sz w:val="24"/>
                <w:szCs w:val="24"/>
              </w:rPr>
              <w:t>理和植树造林，减少面源污染。</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9"/>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治理水土流失。限制陡坡垦殖和超载过牧。加强</w:t>
            </w:r>
            <w:r>
              <w:rPr>
                <w:spacing w:val="-2"/>
                <w:sz w:val="24"/>
                <w:szCs w:val="24"/>
              </w:rPr>
              <w:t>小流域综合治理，实行封山禁牧，恢复退化植被，治理水土流失。大力推行节水灌溉和雨水集蓄，发展旱作节水农业。加强对能源和矿产资源开发及建设项目的监管，加大矿山环境整治和生态修复力度，提高防洪减灾能力，加强地质灾害风险防治，最大限度地减</w:t>
            </w:r>
            <w:r>
              <w:rPr>
                <w:spacing w:val="-1"/>
                <w:sz w:val="24"/>
                <w:szCs w:val="24"/>
              </w:rPr>
              <w:t>少人为因素造成新的水土流失。</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维护生物多样性。强化生态系统、生物物种和遗</w:t>
            </w:r>
            <w:r>
              <w:rPr>
                <w:spacing w:val="-2"/>
                <w:sz w:val="24"/>
                <w:szCs w:val="24"/>
              </w:rPr>
              <w:t>传资源保护，科学、合理和有序地利用生物资源。保护自然生态系统与重要物种栖息地。禁止对野生动植物滥捕滥采，保持并恢复野生动植物物种和种群平衡，加强对自然保护区外分布的极小种群野生植物就地保护小区、保护点的建设，开展多种形式的民间生物多样性就地保护。加强防御外来物种入侵的能力，防止外来有害物种对生态系统</w:t>
            </w:r>
            <w:r>
              <w:rPr>
                <w:spacing w:val="16"/>
                <w:sz w:val="24"/>
                <w:szCs w:val="24"/>
              </w:rPr>
              <w:t xml:space="preserve"> </w:t>
            </w:r>
            <w:r>
              <w:rPr>
                <w:spacing w:val="-3"/>
                <w:sz w:val="24"/>
                <w:szCs w:val="24"/>
              </w:rPr>
              <w:t>的侵害。</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rFonts w:ascii="Times New Roman" w:hAnsi="Times New Roman" w:eastAsia="Times New Roman" w:cs="Times New Roman"/>
                <w:spacing w:val="-1"/>
                <w:sz w:val="24"/>
                <w:szCs w:val="24"/>
              </w:rPr>
              <w:t>——</w:t>
            </w:r>
            <w:r>
              <w:rPr>
                <w:spacing w:val="-1"/>
                <w:sz w:val="24"/>
                <w:szCs w:val="24"/>
              </w:rPr>
              <w:t>引导人口集中居住。提高县城和重点镇的综合承</w:t>
            </w:r>
            <w:r>
              <w:rPr>
                <w:spacing w:val="-2"/>
                <w:sz w:val="24"/>
                <w:szCs w:val="24"/>
              </w:rPr>
              <w:t>载能力，增强城镇人口</w:t>
            </w:r>
            <w:r>
              <w:rPr>
                <w:spacing w:val="-7"/>
                <w:sz w:val="24"/>
                <w:szCs w:val="24"/>
              </w:rPr>
              <w:t>吸纳功能，大力实施生态移民，促进分散人口集中居住，提高基本公共服务能力</w:t>
            </w:r>
            <w:r>
              <w:rPr>
                <w:spacing w:val="-1"/>
                <w:sz w:val="24"/>
                <w:szCs w:val="24"/>
              </w:rPr>
              <w:t>降低基本公共服务成本，减少对生态环境的干</w:t>
            </w:r>
            <w:r>
              <w:rPr>
                <w:spacing w:val="-2"/>
                <w:sz w:val="24"/>
                <w:szCs w:val="24"/>
              </w:rPr>
              <w:t>扰和影响。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严格控制开发强度。城镇建设与工业开发要依据</w:t>
            </w:r>
            <w:r>
              <w:rPr>
                <w:spacing w:val="-2"/>
                <w:sz w:val="24"/>
                <w:szCs w:val="24"/>
              </w:rPr>
              <w:t>现有资源环境承载能力相对较强的城镇集中布局、据点式开发，禁止成片蔓延式扩张。原则上不再新建各类开发区和扩大现有工业开发区的面积，已有的工业开发区要逐步改造成为低</w:t>
            </w:r>
            <w:r>
              <w:rPr>
                <w:spacing w:val="-1"/>
                <w:sz w:val="24"/>
                <w:szCs w:val="24"/>
              </w:rPr>
              <w:t>消耗、可循环、少排放、</w:t>
            </w:r>
            <w:r>
              <w:rPr>
                <w:rFonts w:ascii="Times New Roman" w:hAnsi="Times New Roman" w:eastAsia="Times New Roman" w:cs="Times New Roman"/>
                <w:spacing w:val="-1"/>
                <w:sz w:val="24"/>
                <w:szCs w:val="24"/>
              </w:rPr>
              <w:t>“</w:t>
            </w:r>
            <w:r>
              <w:rPr>
                <w:spacing w:val="-1"/>
                <w:sz w:val="24"/>
                <w:szCs w:val="24"/>
              </w:rPr>
              <w:t>零污染</w:t>
            </w:r>
            <w:r>
              <w:rPr>
                <w:rFonts w:ascii="Times New Roman" w:hAnsi="Times New Roman" w:eastAsia="Times New Roman" w:cs="Times New Roman"/>
                <w:spacing w:val="-1"/>
                <w:sz w:val="24"/>
                <w:szCs w:val="24"/>
              </w:rPr>
              <w:t>”</w:t>
            </w:r>
            <w:r>
              <w:rPr>
                <w:spacing w:val="-1"/>
                <w:sz w:val="24"/>
                <w:szCs w:val="24"/>
              </w:rPr>
              <w:t>的生态型工业区。</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rFonts w:ascii="Times New Roman" w:hAnsi="Times New Roman" w:eastAsia="Times New Roman" w:cs="Times New Roman"/>
                <w:spacing w:val="-1"/>
                <w:sz w:val="24"/>
                <w:szCs w:val="24"/>
              </w:rPr>
              <w:t>——</w:t>
            </w:r>
            <w:r>
              <w:rPr>
                <w:spacing w:val="-1"/>
                <w:sz w:val="24"/>
                <w:szCs w:val="24"/>
              </w:rPr>
              <w:t>因地制宜地发展适宜产业。在不损害生态系统功</w:t>
            </w:r>
            <w:r>
              <w:rPr>
                <w:spacing w:val="-2"/>
                <w:sz w:val="24"/>
                <w:szCs w:val="24"/>
              </w:rPr>
              <w:t>能的前提下，适度发展</w:t>
            </w:r>
            <w:r>
              <w:rPr>
                <w:spacing w:val="-1"/>
                <w:sz w:val="24"/>
                <w:szCs w:val="24"/>
              </w:rPr>
              <w:t>旅游、农林牧产品生产和加工、生态农业、休闲农业等产业。</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sz w:val="24"/>
                <w:szCs w:val="24"/>
              </w:rPr>
            </w:pPr>
            <w:r>
              <w:rPr>
                <w:b/>
                <w:bCs/>
                <w:spacing w:val="-3"/>
                <w:sz w:val="24"/>
                <w:szCs w:val="24"/>
              </w:rPr>
              <w:t>秦巴生物多样性生态功能区主体功能定位</w:t>
            </w:r>
            <w:r>
              <w:rPr>
                <w:spacing w:val="-3"/>
                <w:sz w:val="24"/>
                <w:szCs w:val="24"/>
              </w:rPr>
              <w:t>：四川重要的原始森林、野生</w:t>
            </w:r>
            <w:r>
              <w:rPr>
                <w:spacing w:val="-4"/>
                <w:sz w:val="24"/>
                <w:szCs w:val="24"/>
              </w:rPr>
              <w:t>珍稀</w:t>
            </w:r>
            <w:r>
              <w:rPr>
                <w:spacing w:val="-2"/>
                <w:sz w:val="24"/>
                <w:szCs w:val="24"/>
              </w:rPr>
              <w:t>物种栖息地与生物多样性保护的关键地区和生态屏障区域；全国生物多样性、涵养水源与土壤保持重要区，最大的天然生物种质的</w:t>
            </w:r>
            <w:r>
              <w:rPr>
                <w:rFonts w:ascii="Times New Roman" w:hAnsi="Times New Roman" w:eastAsia="Times New Roman" w:cs="Times New Roman"/>
                <w:spacing w:val="-2"/>
                <w:sz w:val="24"/>
                <w:szCs w:val="24"/>
              </w:rPr>
              <w:t>“</w:t>
            </w:r>
            <w:r>
              <w:rPr>
                <w:spacing w:val="-2"/>
                <w:sz w:val="24"/>
                <w:szCs w:val="24"/>
              </w:rPr>
              <w:t>基因库</w:t>
            </w:r>
            <w:r>
              <w:rPr>
                <w:rFonts w:ascii="Times New Roman" w:hAnsi="Times New Roman" w:eastAsia="Times New Roman" w:cs="Times New Roman"/>
                <w:spacing w:val="-2"/>
                <w:sz w:val="24"/>
                <w:szCs w:val="24"/>
              </w:rPr>
              <w:t>”</w:t>
            </w:r>
            <w:r>
              <w:rPr>
                <w:spacing w:val="-2"/>
                <w:sz w:val="24"/>
                <w:szCs w:val="24"/>
              </w:rPr>
              <w:t>，世界同纬度地区重要的绿色宝库。</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7"/>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重点保护原生森林、流域生态系统，加强造林绿</w:t>
            </w:r>
            <w:r>
              <w:rPr>
                <w:spacing w:val="-2"/>
                <w:sz w:val="24"/>
                <w:szCs w:val="24"/>
              </w:rPr>
              <w:t>化、野生动植物保护和自然保护区建设、小流域治理、矿山生态恢复等生态工程，提高水源涵养、水土</w:t>
            </w:r>
            <w:r>
              <w:rPr>
                <w:spacing w:val="-7"/>
                <w:sz w:val="24"/>
                <w:szCs w:val="24"/>
              </w:rPr>
              <w:t>保持和野生动植物保护等生态功能。加强防洪基础设施建设，加强山洪灾害防治，</w:t>
            </w:r>
            <w:r>
              <w:rPr>
                <w:spacing w:val="-1"/>
                <w:sz w:val="24"/>
                <w:szCs w:val="24"/>
              </w:rPr>
              <w:t>提高水旱灾害应对能力。</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Times New Roman" w:hAnsi="Times New Roman" w:eastAsia="Times New Roman" w:cs="Times New Roman"/>
                <w:sz w:val="24"/>
                <w:szCs w:val="24"/>
              </w:rPr>
              <w:t>——</w:t>
            </w:r>
            <w:r>
              <w:rPr>
                <w:sz w:val="24"/>
                <w:szCs w:val="24"/>
              </w:rPr>
              <w:t>建设珍稀、濒危中药资源和动植物资源等指向明确的生态功能保护区对现有植被和自然生态系统严加保护，防止生态环境的破</w:t>
            </w:r>
            <w:r>
              <w:rPr>
                <w:spacing w:val="-1"/>
                <w:sz w:val="24"/>
                <w:szCs w:val="24"/>
              </w:rPr>
              <w:t>坏和生态功能的退化。</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巩固和扩大天然林资源保护成果、扩大保护范围</w:t>
            </w:r>
            <w:r>
              <w:rPr>
                <w:spacing w:val="-2"/>
                <w:sz w:val="24"/>
                <w:szCs w:val="24"/>
              </w:rPr>
              <w:t>，加强生物物种资源保护，依法禁止一切形式的捕杀、采集濒危野生动植物的活动，保护物种多样性和</w:t>
            </w:r>
            <w:r>
              <w:rPr>
                <w:sz w:val="24"/>
                <w:szCs w:val="24"/>
              </w:rPr>
              <w:t>确保生物安全，强化引进外来物种生物安全管理，</w:t>
            </w:r>
            <w:r>
              <w:rPr>
                <w:spacing w:val="-1"/>
                <w:sz w:val="24"/>
                <w:szCs w:val="24"/>
              </w:rPr>
              <w:t>防止国外有害物种进入。</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7"/>
              <w:jc w:val="both"/>
              <w:textAlignment w:val="auto"/>
              <w:rPr>
                <w:sz w:val="24"/>
                <w:szCs w:val="24"/>
              </w:rPr>
            </w:pPr>
            <w:r>
              <w:rPr>
                <w:rFonts w:ascii="Times New Roman" w:hAnsi="Times New Roman" w:eastAsia="Times New Roman" w:cs="Times New Roman"/>
                <w:spacing w:val="-1"/>
                <w:sz w:val="24"/>
                <w:szCs w:val="24"/>
              </w:rPr>
              <w:t>——</w:t>
            </w:r>
            <w:r>
              <w:rPr>
                <w:spacing w:val="-1"/>
                <w:sz w:val="24"/>
                <w:szCs w:val="24"/>
              </w:rPr>
              <w:t>引导人口转移，降低人口密度，停止导致生态功</w:t>
            </w:r>
            <w:r>
              <w:rPr>
                <w:spacing w:val="-2"/>
                <w:sz w:val="24"/>
                <w:szCs w:val="24"/>
              </w:rPr>
              <w:t>能继续退化的开发活动和其他人为破坏活动，以及产生严重环境污染的工程项目建设，遏制生态环境恶</w:t>
            </w:r>
            <w:r>
              <w:rPr>
                <w:spacing w:val="-3"/>
                <w:sz w:val="24"/>
                <w:szCs w:val="24"/>
              </w:rPr>
              <w:t>化趋势。</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4"/>
              <w:textAlignment w:val="auto"/>
              <w:rPr>
                <w:sz w:val="24"/>
                <w:szCs w:val="24"/>
              </w:rPr>
            </w:pPr>
            <w:r>
              <w:rPr>
                <w:rFonts w:ascii="Times New Roman" w:hAnsi="Times New Roman" w:eastAsia="Times New Roman" w:cs="Times New Roman"/>
                <w:spacing w:val="-1"/>
                <w:sz w:val="24"/>
                <w:szCs w:val="24"/>
              </w:rPr>
              <w:t>——</w:t>
            </w:r>
            <w:r>
              <w:rPr>
                <w:spacing w:val="-1"/>
                <w:sz w:val="24"/>
                <w:szCs w:val="24"/>
              </w:rPr>
              <w:t>发展以养殖业、经济林为主的生态农林牧业和农</w:t>
            </w:r>
            <w:r>
              <w:rPr>
                <w:spacing w:val="-2"/>
                <w:sz w:val="24"/>
                <w:szCs w:val="24"/>
              </w:rPr>
              <w:t>产品深加工业，合理开</w:t>
            </w:r>
            <w:r>
              <w:rPr>
                <w:spacing w:val="-1"/>
                <w:sz w:val="24"/>
                <w:szCs w:val="24"/>
              </w:rPr>
              <w:t>发旅游文化资源，发展生态旅游，点状开发天然气、水能、矿产资源。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sz w:val="24"/>
                <w:szCs w:val="24"/>
              </w:rPr>
            </w:pPr>
            <w:r>
              <w:rPr>
                <w:spacing w:val="-2"/>
                <w:sz w:val="24"/>
                <w:szCs w:val="24"/>
              </w:rPr>
              <w:t>本项目所在区域建设涉及《四川省主体功能区规划》规定的国家层面限制开</w:t>
            </w:r>
            <w:r>
              <w:rPr>
                <w:spacing w:val="-1"/>
                <w:sz w:val="24"/>
                <w:szCs w:val="24"/>
              </w:rPr>
              <w:t>发区域（重点生态功能区</w:t>
            </w:r>
            <w:r>
              <w:rPr>
                <w:spacing w:val="-7"/>
                <w:sz w:val="24"/>
                <w:szCs w:val="24"/>
              </w:rPr>
              <w:t>），</w:t>
            </w:r>
            <w:r>
              <w:rPr>
                <w:spacing w:val="-1"/>
                <w:sz w:val="24"/>
                <w:szCs w:val="24"/>
              </w:rPr>
              <w:t>符合区域生态功能发展</w:t>
            </w:r>
            <w:r>
              <w:rPr>
                <w:spacing w:val="-2"/>
                <w:sz w:val="24"/>
                <w:szCs w:val="24"/>
              </w:rPr>
              <w:t>的总体要求，与四川省生态</w:t>
            </w:r>
            <w:r>
              <w:rPr>
                <w:spacing w:val="1"/>
                <w:sz w:val="24"/>
                <w:szCs w:val="24"/>
              </w:rPr>
              <w:t xml:space="preserve"> </w:t>
            </w:r>
            <w:r>
              <w:rPr>
                <w:spacing w:val="-2"/>
                <w:sz w:val="24"/>
                <w:szCs w:val="24"/>
              </w:rPr>
              <w:t>功能区划是协调的。同时，区域生态功能定位也进一步明确了本工程在实施过程</w:t>
            </w:r>
            <w:r>
              <w:rPr>
                <w:sz w:val="24"/>
                <w:szCs w:val="24"/>
              </w:rPr>
              <w:t>中必须加强生态环境保护，采取必要的措施</w:t>
            </w:r>
            <w:r>
              <w:rPr>
                <w:spacing w:val="-1"/>
                <w:sz w:val="24"/>
                <w:szCs w:val="24"/>
              </w:rPr>
              <w:t>开展生态修复和环境保护与治理。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z w:val="24"/>
                <w:szCs w:val="24"/>
              </w:rPr>
            </w:pPr>
            <w:r>
              <w:rPr>
                <w:rFonts w:ascii="Times New Roman" w:hAnsi="Times New Roman" w:eastAsia="Times New Roman" w:cs="Times New Roman"/>
                <w:b/>
                <w:bCs/>
                <w:spacing w:val="-6"/>
                <w:sz w:val="24"/>
                <w:szCs w:val="24"/>
              </w:rPr>
              <w:t>2</w:t>
            </w:r>
            <w:r>
              <w:rPr>
                <w:b/>
                <w:bCs/>
                <w:spacing w:val="-6"/>
                <w:sz w:val="24"/>
                <w:szCs w:val="24"/>
              </w:rPr>
              <w:t>、生态功能区划</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本项目所在地属于《四川省生态功能区划》（</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10</w:t>
            </w:r>
            <w:r>
              <w:rPr>
                <w:spacing w:val="-2"/>
                <w:sz w:val="24"/>
                <w:szCs w:val="24"/>
              </w:rPr>
              <w:t>四川科技）当中的：</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sz w:val="24"/>
                <w:szCs w:val="24"/>
              </w:rPr>
            </w:pPr>
            <w:r>
              <w:rPr>
                <w:rFonts w:ascii="Times New Roman" w:hAnsi="Times New Roman" w:eastAsia="Times New Roman" w:cs="Times New Roman"/>
                <w:spacing w:val="-3"/>
                <w:sz w:val="24"/>
                <w:szCs w:val="24"/>
              </w:rPr>
              <w:t>I</w:t>
            </w:r>
            <w:r>
              <w:rPr>
                <w:rFonts w:ascii="Times New Roman" w:hAnsi="Times New Roman" w:eastAsia="Times New Roman" w:cs="Times New Roman"/>
                <w:spacing w:val="20"/>
                <w:sz w:val="24"/>
                <w:szCs w:val="24"/>
              </w:rPr>
              <w:t xml:space="preserve">  </w:t>
            </w:r>
            <w:r>
              <w:rPr>
                <w:spacing w:val="-3"/>
                <w:sz w:val="24"/>
                <w:szCs w:val="24"/>
              </w:rPr>
              <w:t>四川盆地亚热带湿润气候生态区；</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sz w:val="24"/>
                <w:szCs w:val="24"/>
              </w:rPr>
            </w:pPr>
            <w:r>
              <w:rPr>
                <w:rFonts w:ascii="Times New Roman" w:hAnsi="Times New Roman" w:eastAsia="Times New Roman" w:cs="Times New Roman"/>
                <w:sz w:val="24"/>
                <w:szCs w:val="24"/>
              </w:rPr>
              <w:t xml:space="preserve">I-3  </w:t>
            </w:r>
            <w:r>
              <w:rPr>
                <w:sz w:val="24"/>
                <w:szCs w:val="24"/>
              </w:rPr>
              <w:t>盆北秦巴山地常绿阔叶林</w:t>
            </w:r>
            <w:r>
              <w:rPr>
                <w:rFonts w:ascii="Times New Roman" w:hAnsi="Times New Roman" w:eastAsia="Times New Roman" w:cs="Times New Roman"/>
                <w:sz w:val="24"/>
                <w:szCs w:val="24"/>
              </w:rPr>
              <w:t>-</w:t>
            </w:r>
            <w:r>
              <w:rPr>
                <w:sz w:val="24"/>
                <w:szCs w:val="24"/>
              </w:rPr>
              <w:t>针阔混</w:t>
            </w:r>
            <w:r>
              <w:rPr>
                <w:spacing w:val="-1"/>
                <w:sz w:val="24"/>
                <w:szCs w:val="24"/>
              </w:rPr>
              <w:t>交林生态亚区；</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1440" w:firstLineChars="600"/>
              <w:textAlignment w:val="auto"/>
              <w:rPr>
                <w:sz w:val="24"/>
                <w:szCs w:val="24"/>
              </w:rPr>
            </w:pPr>
            <w:r>
              <w:rPr>
                <w:rFonts w:ascii="Times New Roman" w:hAnsi="Times New Roman" w:eastAsia="Times New Roman" w:cs="Times New Roman"/>
                <w:sz w:val="24"/>
                <w:szCs w:val="24"/>
              </w:rPr>
              <w:t xml:space="preserve">I-3-1  </w:t>
            </w:r>
            <w:r>
              <w:rPr>
                <w:sz w:val="24"/>
                <w:szCs w:val="24"/>
              </w:rPr>
              <w:t>米仓山水源涵养与生物多样性</w:t>
            </w:r>
            <w:r>
              <w:rPr>
                <w:spacing w:val="-1"/>
                <w:sz w:val="24"/>
                <w:szCs w:val="24"/>
              </w:rPr>
              <w:t>保护生态功能区</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sz w:val="24"/>
                <w:szCs w:val="24"/>
              </w:rPr>
            </w:pPr>
            <w:r>
              <w:rPr>
                <w:spacing w:val="6"/>
                <w:sz w:val="24"/>
                <w:szCs w:val="24"/>
              </w:rPr>
              <w:t>米仓山水源涵养与生物多样性保护生态功能区在四川东北部</w:t>
            </w:r>
            <w:r>
              <w:rPr>
                <w:spacing w:val="5"/>
                <w:sz w:val="24"/>
                <w:szCs w:val="24"/>
              </w:rPr>
              <w:t>边缘，涉及广</w:t>
            </w:r>
            <w:r>
              <w:rPr>
                <w:spacing w:val="1"/>
                <w:sz w:val="24"/>
                <w:szCs w:val="24"/>
              </w:rPr>
              <w:t>元、巴中市的</w:t>
            </w:r>
            <w:r>
              <w:rPr>
                <w:rFonts w:ascii="Times New Roman" w:hAnsi="Times New Roman" w:eastAsia="Times New Roman" w:cs="Times New Roman"/>
                <w:spacing w:val="1"/>
                <w:sz w:val="24"/>
                <w:szCs w:val="24"/>
              </w:rPr>
              <w:t>5</w:t>
            </w:r>
            <w:r>
              <w:rPr>
                <w:spacing w:val="1"/>
                <w:sz w:val="24"/>
                <w:szCs w:val="24"/>
              </w:rPr>
              <w:t>个县级行政区。面积</w:t>
            </w:r>
            <w:r>
              <w:rPr>
                <w:spacing w:val="-41"/>
                <w:sz w:val="24"/>
                <w:szCs w:val="24"/>
              </w:rPr>
              <w:t xml:space="preserve"> </w:t>
            </w:r>
            <w:r>
              <w:rPr>
                <w:rFonts w:ascii="Times New Roman" w:hAnsi="Times New Roman" w:eastAsia="Times New Roman" w:cs="Times New Roman"/>
                <w:spacing w:val="1"/>
                <w:sz w:val="24"/>
                <w:szCs w:val="24"/>
              </w:rPr>
              <w:t>0.68</w:t>
            </w:r>
            <w:r>
              <w:rPr>
                <w:spacing w:val="1"/>
                <w:sz w:val="24"/>
                <w:szCs w:val="24"/>
              </w:rPr>
              <w:t>万平方公里。</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sz w:val="24"/>
                <w:szCs w:val="24"/>
              </w:rPr>
            </w:pPr>
            <w:r>
              <w:rPr>
                <w:b/>
                <w:bCs/>
                <w:spacing w:val="-5"/>
                <w:sz w:val="24"/>
                <w:szCs w:val="24"/>
              </w:rPr>
              <w:t>主要生态特征：</w:t>
            </w:r>
            <w:r>
              <w:rPr>
                <w:spacing w:val="-5"/>
                <w:sz w:val="24"/>
                <w:szCs w:val="24"/>
              </w:rPr>
              <w:t>中</w:t>
            </w:r>
            <w:r>
              <w:rPr>
                <w:rFonts w:ascii="Times New Roman" w:hAnsi="Times New Roman" w:eastAsia="Times New Roman" w:cs="Times New Roman"/>
                <w:spacing w:val="-5"/>
                <w:sz w:val="24"/>
                <w:szCs w:val="24"/>
              </w:rPr>
              <w:t>-</w:t>
            </w:r>
            <w:r>
              <w:rPr>
                <w:spacing w:val="-5"/>
                <w:sz w:val="24"/>
                <w:szCs w:val="24"/>
              </w:rPr>
              <w:t>低山地貌。年均气温</w:t>
            </w:r>
            <w:r>
              <w:rPr>
                <w:rFonts w:ascii="Times New Roman" w:hAnsi="Times New Roman" w:eastAsia="Times New Roman" w:cs="Times New Roman"/>
                <w:spacing w:val="-5"/>
                <w:sz w:val="24"/>
                <w:szCs w:val="24"/>
              </w:rPr>
              <w:t>13~16℃</w:t>
            </w:r>
            <w:r>
              <w:rPr>
                <w:spacing w:val="-6"/>
                <w:sz w:val="24"/>
                <w:szCs w:val="24"/>
              </w:rPr>
              <w:t>,</w:t>
            </w:r>
            <w:r>
              <w:rPr>
                <w:rFonts w:ascii="Times New Roman" w:hAnsi="Times New Roman" w:eastAsia="Times New Roman" w:cs="Times New Roman"/>
                <w:spacing w:val="-6"/>
                <w:sz w:val="24"/>
                <w:szCs w:val="24"/>
              </w:rPr>
              <w:t>≥10℃</w:t>
            </w:r>
            <w:r>
              <w:rPr>
                <w:spacing w:val="-6"/>
                <w:sz w:val="24"/>
                <w:szCs w:val="24"/>
              </w:rPr>
              <w:t>活动积温</w:t>
            </w:r>
            <w:r>
              <w:rPr>
                <w:spacing w:val="-48"/>
                <w:sz w:val="24"/>
                <w:szCs w:val="24"/>
              </w:rPr>
              <w:t xml:space="preserve"> </w:t>
            </w:r>
            <w:r>
              <w:rPr>
                <w:rFonts w:ascii="Times New Roman" w:hAnsi="Times New Roman" w:eastAsia="Times New Roman" w:cs="Times New Roman"/>
                <w:spacing w:val="-6"/>
                <w:sz w:val="24"/>
                <w:szCs w:val="24"/>
              </w:rPr>
              <w:t>5100℃</w:t>
            </w:r>
            <w:r>
              <w:rPr>
                <w:spacing w:val="-6"/>
                <w:sz w:val="24"/>
                <w:szCs w:val="24"/>
              </w:rPr>
              <w:t>左</w:t>
            </w:r>
            <w:r>
              <w:rPr>
                <w:sz w:val="24"/>
                <w:szCs w:val="24"/>
              </w:rPr>
              <w:t>右，年均降雨量</w:t>
            </w:r>
            <w:r>
              <w:rPr>
                <w:spacing w:val="-36"/>
                <w:sz w:val="24"/>
                <w:szCs w:val="24"/>
              </w:rPr>
              <w:t xml:space="preserve"> </w:t>
            </w:r>
            <w:r>
              <w:rPr>
                <w:rFonts w:ascii="Times New Roman" w:hAnsi="Times New Roman" w:eastAsia="Times New Roman" w:cs="Times New Roman"/>
                <w:sz w:val="24"/>
                <w:szCs w:val="24"/>
              </w:rPr>
              <w:t>900~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 xml:space="preserve">1200 </w:t>
            </w:r>
            <w:r>
              <w:rPr>
                <w:sz w:val="24"/>
                <w:szCs w:val="24"/>
              </w:rPr>
              <w:t>毫米。河流主要属嘉陵江水系。森林植被主要为常绿</w:t>
            </w:r>
            <w:r>
              <w:rPr>
                <w:spacing w:val="-1"/>
                <w:sz w:val="24"/>
                <w:szCs w:val="24"/>
              </w:rPr>
              <w:t>阔叶林、针</w:t>
            </w:r>
            <w:r>
              <w:rPr>
                <w:rFonts w:ascii="Times New Roman" w:hAnsi="Times New Roman" w:eastAsia="Times New Roman" w:cs="Times New Roman"/>
                <w:spacing w:val="-1"/>
                <w:sz w:val="24"/>
                <w:szCs w:val="24"/>
              </w:rPr>
              <w:t>—</w:t>
            </w:r>
            <w:r>
              <w:rPr>
                <w:spacing w:val="-1"/>
                <w:sz w:val="24"/>
                <w:szCs w:val="24"/>
              </w:rPr>
              <w:t>阔混交林和亚高山常绿针叶林。生物多样性丰富。</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sz w:val="24"/>
                <w:szCs w:val="24"/>
              </w:rPr>
            </w:pPr>
            <w:r>
              <w:rPr>
                <w:b/>
                <w:bCs/>
                <w:spacing w:val="-2"/>
                <w:sz w:val="24"/>
                <w:szCs w:val="24"/>
              </w:rPr>
              <w:t>主要生态问题：</w:t>
            </w:r>
            <w:r>
              <w:rPr>
                <w:spacing w:val="-2"/>
                <w:sz w:val="24"/>
                <w:szCs w:val="24"/>
              </w:rPr>
              <w:t>多洪灾，滑坡崩塌强烈发育。</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sz w:val="24"/>
                <w:szCs w:val="24"/>
              </w:rPr>
            </w:pPr>
            <w:r>
              <w:rPr>
                <w:b/>
                <w:bCs/>
                <w:spacing w:val="-1"/>
                <w:sz w:val="24"/>
                <w:szCs w:val="24"/>
              </w:rPr>
              <w:t>生态环境敏感性：</w:t>
            </w:r>
            <w:r>
              <w:rPr>
                <w:spacing w:val="-1"/>
                <w:sz w:val="24"/>
                <w:szCs w:val="24"/>
              </w:rPr>
              <w:t>土壤侵蚀极敏感，野生动物生境极敏感。</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sz w:val="24"/>
                <w:szCs w:val="24"/>
              </w:rPr>
            </w:pPr>
            <w:r>
              <w:rPr>
                <w:b/>
                <w:bCs/>
                <w:spacing w:val="-1"/>
                <w:sz w:val="24"/>
                <w:szCs w:val="24"/>
              </w:rPr>
              <w:t>主要生态服务功能：</w:t>
            </w:r>
            <w:r>
              <w:rPr>
                <w:spacing w:val="-1"/>
                <w:sz w:val="24"/>
                <w:szCs w:val="24"/>
              </w:rPr>
              <w:t>水源涵养功能，生物多样性保护功能，土壤保持功能。</w:t>
            </w:r>
          </w:p>
          <w:p>
            <w:pPr>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sz w:val="24"/>
                <w:szCs w:val="24"/>
              </w:rPr>
            </w:pPr>
            <w:r>
              <w:rPr>
                <w:b/>
                <w:bCs/>
                <w:spacing w:val="-3"/>
                <w:sz w:val="24"/>
                <w:szCs w:val="24"/>
              </w:rPr>
              <w:t>生态保护与发展方向：</w:t>
            </w:r>
            <w:r>
              <w:rPr>
                <w:spacing w:val="-3"/>
                <w:sz w:val="24"/>
                <w:szCs w:val="24"/>
              </w:rPr>
              <w:t>保护森林植被和生物多样性，巩固长江上游防护林建</w:t>
            </w:r>
            <w:r>
              <w:rPr>
                <w:spacing w:val="-7"/>
                <w:sz w:val="24"/>
                <w:szCs w:val="24"/>
              </w:rPr>
              <w:t>设、天然林保护和退耕还林成果。调整农业产业结构，发挥山区优势，以林为主，</w:t>
            </w:r>
            <w:r>
              <w:rPr>
                <w:spacing w:val="-2"/>
                <w:sz w:val="24"/>
                <w:szCs w:val="24"/>
              </w:rPr>
              <w:t>发展林、农、牧多种经营，发展牛、羊等畜牧产业链。建设优质特色中药材和茶叶生产基地。科学合理开发自然资源，规范和严格管理矿产、水电、生物资源的</w:t>
            </w:r>
            <w:r>
              <w:rPr>
                <w:spacing w:val="-1"/>
                <w:sz w:val="24"/>
                <w:szCs w:val="24"/>
              </w:rPr>
              <w:t>开发，防止对生态环境和生态系统的不利影响。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sz w:val="24"/>
              </w:rPr>
            </w:pPr>
            <w:r>
              <w:rPr>
                <w:spacing w:val="1"/>
                <w:sz w:val="24"/>
                <w:szCs w:val="24"/>
              </w:rPr>
              <w:t>本项目为《四川省重点水源工程近期建设规划（</w:t>
            </w:r>
            <w:r>
              <w:rPr>
                <w:rFonts w:ascii="Times New Roman" w:hAnsi="Times New Roman" w:eastAsia="Times New Roman" w:cs="Times New Roman"/>
                <w:spacing w:val="1"/>
                <w:sz w:val="24"/>
                <w:szCs w:val="24"/>
              </w:rPr>
              <w:t>2010~2020</w:t>
            </w:r>
            <w:r>
              <w:rPr>
                <w:spacing w:val="1"/>
                <w:sz w:val="24"/>
                <w:szCs w:val="24"/>
              </w:rPr>
              <w:t>）》中规划建设</w:t>
            </w:r>
            <w:r>
              <w:rPr>
                <w:spacing w:val="-2"/>
                <w:sz w:val="24"/>
                <w:szCs w:val="24"/>
              </w:rPr>
              <w:t>的水库，是为了保障区域粮食生产安全、支持区域乡村振兴发展、解决灌区场镇发展供水、改善区域生态环境，项目实施不会影响区域的水源涵养功能，生物多样性保护功能，土壤保持功能，依据所处生态功能区划的功能定位及生态保护要求建设过程中需做好区域水源涵养、土壤保持和生物多样性保护工作，总体上说</w:t>
            </w:r>
            <w:r>
              <w:rPr>
                <w:spacing w:val="17"/>
                <w:sz w:val="24"/>
                <w:szCs w:val="24"/>
              </w:rPr>
              <w:t xml:space="preserve"> </w:t>
            </w:r>
            <w:r>
              <w:rPr>
                <w:sz w:val="24"/>
                <w:szCs w:val="24"/>
              </w:rPr>
              <w:t>项目建设符合</w:t>
            </w:r>
            <w:r>
              <w:rPr>
                <w:spacing w:val="-54"/>
                <w:sz w:val="24"/>
                <w:szCs w:val="24"/>
              </w:rPr>
              <w:t xml:space="preserve"> </w:t>
            </w:r>
            <w:r>
              <w:rPr>
                <w:rFonts w:ascii="Times New Roman" w:hAnsi="Times New Roman" w:eastAsia="Times New Roman" w:cs="Times New Roman"/>
                <w:sz w:val="24"/>
                <w:szCs w:val="24"/>
              </w:rPr>
              <w:t>I-3-1</w:t>
            </w:r>
            <w:r>
              <w:rPr>
                <w:sz w:val="24"/>
                <w:szCs w:val="24"/>
              </w:rPr>
              <w:t>米仓山水源涵养与生物</w:t>
            </w:r>
            <w:r>
              <w:rPr>
                <w:spacing w:val="-1"/>
                <w:sz w:val="24"/>
                <w:szCs w:val="24"/>
              </w:rPr>
              <w:t>多样性保护生态功能区的保护要求。</w:t>
            </w:r>
          </w:p>
          <w:p>
            <w:pPr>
              <w:jc w:val="center"/>
              <w:rPr>
                <w:kern w:val="0"/>
                <w:sz w:val="20"/>
                <w:szCs w:val="20"/>
              </w:rPr>
            </w:pPr>
            <w:r>
              <mc:AlternateContent>
                <mc:Choice Requires="wps">
                  <w:drawing>
                    <wp:anchor distT="0" distB="0" distL="114300" distR="114300" simplePos="0" relativeHeight="251660288" behindDoc="0" locked="0" layoutInCell="1" allowOverlap="1">
                      <wp:simplePos x="0" y="0"/>
                      <wp:positionH relativeFrom="column">
                        <wp:posOffset>2643505</wp:posOffset>
                      </wp:positionH>
                      <wp:positionV relativeFrom="paragraph">
                        <wp:posOffset>1416050</wp:posOffset>
                      </wp:positionV>
                      <wp:extent cx="80645" cy="76200"/>
                      <wp:effectExtent l="7620" t="7620" r="26035" b="11430"/>
                      <wp:wrapNone/>
                      <wp:docPr id="81" name="椭圆 8"/>
                      <wp:cNvGraphicFramePr/>
                      <a:graphic xmlns:a="http://schemas.openxmlformats.org/drawingml/2006/main">
                        <a:graphicData uri="http://schemas.microsoft.com/office/word/2010/wordprocessingShape">
                          <wps:wsp>
                            <wps:cNvSpPr/>
                            <wps:spPr>
                              <a:xfrm flipV="1">
                                <a:off x="0" y="0"/>
                                <a:ext cx="80645" cy="76200"/>
                              </a:xfrm>
                              <a:prstGeom prst="ellipse">
                                <a:avLst/>
                              </a:prstGeom>
                              <a:noFill/>
                              <a:ln w="15875" cap="flat" cmpd="sng">
                                <a:solidFill>
                                  <a:srgbClr val="000000"/>
                                </a:solidFill>
                                <a:prstDash val="solid"/>
                                <a:headEnd type="none" w="med" len="med"/>
                                <a:tailEnd type="none" w="med" len="med"/>
                              </a:ln>
                            </wps:spPr>
                            <wps:bodyPr upright="1"/>
                          </wps:wsp>
                        </a:graphicData>
                      </a:graphic>
                    </wp:anchor>
                  </w:drawing>
                </mc:Choice>
                <mc:Fallback>
                  <w:pict>
                    <v:shape id="椭圆 8" o:spid="_x0000_s1026" o:spt="3" type="#_x0000_t3" style="position:absolute;left:0pt;flip:y;margin-left:208.15pt;margin-top:111.5pt;height:6pt;width:6.35pt;z-index:251660288;mso-width-relative:page;mso-height-relative:page;" filled="f" stroked="t" coordsize="21600,21600" o:gfxdata="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ntv6dsAAAALAQAA&#10;DwAAAAAAAAABACAAAAAiAAAAZHJzL2Rvd25yZXYueG1sUEsBAhQAFAAAAAgAh07iQJcYUNbdAQAA&#10;qQMAAA4AAAAAAAAAAQAgAAAAKgEAAGRycy9lMm9Eb2MueG1sUEsFBgAAAAAGAAYAWQEAAHkFAAAA&#10;AA==&#10;">
                      <v:fill on="f" focussize="0,0"/>
                      <v:stroke weight="1.25pt" color="#0000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2789555</wp:posOffset>
                      </wp:positionH>
                      <wp:positionV relativeFrom="paragraph">
                        <wp:posOffset>1240790</wp:posOffset>
                      </wp:positionV>
                      <wp:extent cx="1280160" cy="598170"/>
                      <wp:effectExtent l="0" t="0" r="0" b="0"/>
                      <wp:wrapNone/>
                      <wp:docPr id="80" name="矩形 9"/>
                      <wp:cNvGraphicFramePr/>
                      <a:graphic xmlns:a="http://schemas.openxmlformats.org/drawingml/2006/main">
                        <a:graphicData uri="http://schemas.microsoft.com/office/word/2010/wordprocessingShape">
                          <wps:wsp>
                            <wps:cNvSpPr/>
                            <wps:spPr>
                              <a:xfrm>
                                <a:off x="0" y="0"/>
                                <a:ext cx="1280160" cy="598170"/>
                              </a:xfrm>
                              <a:prstGeom prst="rect">
                                <a:avLst/>
                              </a:prstGeom>
                              <a:gradFill rotWithShape="0">
                                <a:gsLst>
                                  <a:gs pos="0">
                                    <a:srgbClr val="FFFFFF">
                                      <a:alpha val="0"/>
                                    </a:srgbClr>
                                  </a:gs>
                                  <a:gs pos="100000">
                                    <a:srgbClr val="B2B2B2">
                                      <a:alpha val="0"/>
                                    </a:srgbClr>
                                  </a:gs>
                                </a:gsLst>
                                <a:lin ang="5400000" scaled="1"/>
                                <a:tileRect/>
                              </a:gradFill>
                              <a:ln>
                                <a:noFill/>
                              </a:ln>
                            </wps:spPr>
                            <wps:txbx>
                              <w:txbxContent>
                                <w:p>
                                  <w:pPr>
                                    <w:rPr>
                                      <w:rFonts w:ascii="黑体" w:hAnsi="黑体" w:eastAsia="黑体" w:cs="黑体"/>
                                      <w:sz w:val="28"/>
                                      <w:szCs w:val="28"/>
                                    </w:rPr>
                                  </w:pPr>
                                  <w:r>
                                    <w:rPr>
                                      <w:rFonts w:hint="eastAsia" w:ascii="黑体" w:hAnsi="黑体" w:eastAsia="黑体" w:cs="黑体"/>
                                      <w:sz w:val="28"/>
                                      <w:szCs w:val="28"/>
                                    </w:rPr>
                                    <w:t>项目所在地</w:t>
                                  </w:r>
                                </w:p>
                              </w:txbxContent>
                            </wps:txbx>
                            <wps:bodyPr lIns="91439" tIns="45720" rIns="91439" bIns="45720" upright="1"/>
                          </wps:wsp>
                        </a:graphicData>
                      </a:graphic>
                    </wp:anchor>
                  </w:drawing>
                </mc:Choice>
                <mc:Fallback>
                  <w:pict>
                    <v:rect id="矩形 9" o:spid="_x0000_s1026" o:spt="1" style="position:absolute;left:0pt;margin-left:219.65pt;margin-top:97.7pt;height:47.1pt;width:100.8pt;z-index:251659264;mso-width-relative:page;mso-height-relative:page;" fillcolor="#FFFFFF" filled="t" stroked="f" coordsize="21600,21600" o:gfxdata="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aTHITaAAAACwEAAA8AAAAAAAAAAQAgAAAAIgAAAGRy&#10;cy9kb3ducmV2LnhtbFBLAQIUABQAAAAIAIdO4kCRmwSwAwIAACMEAAAOAAAAAAAAAAEAIAAAACkB&#10;AABkcnMvZTJvRG9jLnhtbFBLBQYAAAAABgAGAFkBAACeBQAAAAA=&#10;">
                      <v:fill type="gradient" on="t" color2="#B2B2B2" opacity="0f" o:opacity2="0f" focus="100%" focussize="0,0"/>
                      <v:stroke on="f"/>
                      <v:imagedata o:title=""/>
                      <o:lock v:ext="edit" aspectratio="f"/>
                      <v:textbox inset="7.19992125984252pt,1.27mm,7.19992125984252pt,1.27mm">
                        <w:txbxContent>
                          <w:p>
                            <w:pPr>
                              <w:rPr>
                                <w:rFonts w:ascii="黑体" w:hAnsi="黑体" w:eastAsia="黑体" w:cs="黑体"/>
                                <w:sz w:val="28"/>
                                <w:szCs w:val="28"/>
                              </w:rPr>
                            </w:pPr>
                            <w:r>
                              <w:rPr>
                                <w:rFonts w:hint="eastAsia" w:ascii="黑体" w:hAnsi="黑体" w:eastAsia="黑体" w:cs="黑体"/>
                                <w:sz w:val="28"/>
                                <w:szCs w:val="28"/>
                              </w:rPr>
                              <w:t>项目所在地</w:t>
                            </w:r>
                          </w:p>
                        </w:txbxContent>
                      </v:textbox>
                    </v:rect>
                  </w:pict>
                </mc:Fallback>
              </mc:AlternateContent>
            </w:r>
            <w:r>
              <w:rPr>
                <w:kern w:val="0"/>
                <w:sz w:val="20"/>
                <w:szCs w:val="20"/>
              </w:rPr>
              <w:drawing>
                <wp:inline distT="0" distB="0" distL="0" distR="0">
                  <wp:extent cx="5314950" cy="3317240"/>
                  <wp:effectExtent l="19050" t="0" r="0" b="0"/>
                  <wp:docPr id="18" name="图片 4" descr="四川省生态功能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四川省生态功能分区"/>
                          <pic:cNvPicPr>
                            <a:picLocks noChangeAspect="1" noChangeArrowheads="1"/>
                          </pic:cNvPicPr>
                        </pic:nvPicPr>
                        <pic:blipFill>
                          <a:blip r:embed="rId18"/>
                          <a:srcRect l="4771" t="4765" r="3381" b="4330"/>
                          <a:stretch>
                            <a:fillRect/>
                          </a:stretch>
                        </pic:blipFill>
                        <pic:spPr>
                          <a:xfrm>
                            <a:off x="0" y="0"/>
                            <a:ext cx="5318461" cy="3319576"/>
                          </a:xfrm>
                          <a:prstGeom prst="rect">
                            <a:avLst/>
                          </a:prstGeom>
                          <a:noFill/>
                          <a:ln w="9525">
                            <a:noFill/>
                            <a:miter lim="800000"/>
                            <a:headEnd/>
                            <a:tailEnd/>
                          </a:ln>
                        </pic:spPr>
                      </pic:pic>
                    </a:graphicData>
                  </a:graphic>
                </wp:inline>
              </w:drawing>
            </w:r>
          </w:p>
          <w:p>
            <w:pPr>
              <w:spacing w:line="360" w:lineRule="auto"/>
              <w:ind w:firstLine="482"/>
              <w:jc w:val="center"/>
              <w:rPr>
                <w:b/>
                <w:bCs/>
                <w:kern w:val="0"/>
              </w:rPr>
            </w:pPr>
            <w:r>
              <w:rPr>
                <w:b/>
                <w:bCs/>
                <w:kern w:val="0"/>
              </w:rPr>
              <w:t>图</w:t>
            </w:r>
            <w:r>
              <w:rPr>
                <w:rFonts w:hint="eastAsia"/>
                <w:b/>
                <w:bCs/>
                <w:kern w:val="0"/>
              </w:rPr>
              <w:t>3</w:t>
            </w:r>
            <w:r>
              <w:rPr>
                <w:b/>
                <w:bCs/>
                <w:kern w:val="0"/>
              </w:rPr>
              <w:t>-2  工程区域生态功能区区划图</w:t>
            </w:r>
          </w:p>
          <w:bookmarkEnd w:id="32"/>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ascii="Times New Roman" w:hAnsi="Times New Roman" w:eastAsia="Times New Roman" w:cs="Times New Roman"/>
                <w:b/>
                <w:bCs/>
                <w:spacing w:val="-6"/>
                <w:sz w:val="24"/>
                <w:szCs w:val="24"/>
              </w:rPr>
            </w:pPr>
            <w:r>
              <w:rPr>
                <w:rFonts w:hint="eastAsia" w:ascii="Times New Roman" w:hAnsi="Times New Roman" w:eastAsia="宋体" w:cs="Times New Roman"/>
                <w:b/>
                <w:bCs/>
                <w:spacing w:val="-6"/>
                <w:sz w:val="24"/>
                <w:szCs w:val="24"/>
                <w:lang w:val="en-US" w:eastAsia="zh-CN"/>
              </w:rPr>
              <w:t>3、</w:t>
            </w:r>
            <w:r>
              <w:rPr>
                <w:rFonts w:hint="eastAsia" w:ascii="Times New Roman" w:hAnsi="Times New Roman" w:eastAsia="Times New Roman" w:cs="Times New Roman"/>
                <w:b/>
                <w:bCs/>
                <w:spacing w:val="-6"/>
                <w:sz w:val="24"/>
                <w:szCs w:val="24"/>
              </w:rPr>
              <w:t>生态环境现状</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 xml:space="preserve">⑴ </w:t>
            </w:r>
            <w:r>
              <w:rPr>
                <w:rFonts w:hint="eastAsia" w:ascii="宋体" w:hAnsi="宋体" w:eastAsia="宋体" w:cs="宋体"/>
                <w:b/>
                <w:bCs/>
                <w:spacing w:val="2"/>
                <w:kern w:val="2"/>
                <w:sz w:val="24"/>
                <w:szCs w:val="24"/>
                <w:lang w:val="en-US" w:eastAsia="en-US" w:bidi="ar-SA"/>
              </w:rPr>
              <w:t>陆生生态系统</w:t>
            </w:r>
            <w:r>
              <w:rPr>
                <w:rFonts w:hint="eastAsia" w:ascii="宋体" w:hAnsi="宋体" w:cs="宋体"/>
                <w:b/>
                <w:bCs/>
                <w:spacing w:val="2"/>
                <w:kern w:val="2"/>
                <w:sz w:val="24"/>
                <w:szCs w:val="24"/>
                <w:lang w:val="en-US" w:eastAsia="zh-CN" w:bidi="ar-SA"/>
              </w:rPr>
              <w:t>现状</w:t>
            </w:r>
          </w:p>
          <w:p>
            <w:pPr>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ascii="宋体" w:hAnsi="宋体" w:eastAsia="宋体" w:cs="宋体"/>
                <w:spacing w:val="2"/>
                <w:kern w:val="2"/>
                <w:sz w:val="24"/>
                <w:szCs w:val="24"/>
                <w:lang w:val="en-US" w:eastAsia="en-US" w:bidi="ar-SA"/>
              </w:rPr>
            </w:pPr>
            <w:r>
              <w:rPr>
                <w:rFonts w:ascii="宋体" w:hAnsi="宋体" w:eastAsia="宋体" w:cs="宋体"/>
                <w:spacing w:val="2"/>
                <w:kern w:val="2"/>
                <w:sz w:val="24"/>
                <w:szCs w:val="24"/>
                <w:lang w:val="en-US" w:eastAsia="en-US" w:bidi="ar-SA"/>
              </w:rPr>
              <w:t>评价区由于受人为活动影响，原始植被为次生林、人工林所取代。从工程布置和施工布局上看，水库淹没少量耕地、林地。由以上可见，受工程建设影响和破坏的植被类型以种植类为主，其次为引进的次生林生态系统中的植被灌木林。种植类是受人为作用严重的景观类型。次生林生态系统中的植被灌木林，属人工或自然修复的环境资源类型。</w:t>
            </w:r>
          </w:p>
          <w:p>
            <w:pPr>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ascii="宋体" w:hAnsi="宋体" w:eastAsia="宋体" w:cs="宋体"/>
                <w:spacing w:val="2"/>
                <w:kern w:val="2"/>
                <w:sz w:val="24"/>
                <w:szCs w:val="24"/>
                <w:lang w:val="en-US" w:eastAsia="en-US" w:bidi="ar-SA"/>
              </w:rPr>
            </w:pPr>
            <w:r>
              <w:rPr>
                <w:rFonts w:ascii="宋体" w:hAnsi="宋体" w:eastAsia="宋体" w:cs="宋体"/>
                <w:spacing w:val="2"/>
                <w:kern w:val="2"/>
                <w:sz w:val="24"/>
                <w:szCs w:val="24"/>
                <w:lang w:val="en-US" w:eastAsia="en-US" w:bidi="ar-SA"/>
              </w:rPr>
              <w:t>工程开发建设将直接影响和被破坏的植被类型主要有：柳、杉木、柏木等，人工针阔混交林主要有杉木、柏木为主，灌木林有悬钩子、马桑、黄檀等。以人工栽种的农作物有烟草、水稻、玉米、大豆、红薯、洋芋、南瓜、花生、油菜等。房前屋后主要四旁树种有刺楸、黄柏、巨桉、香樟、桑等。</w:t>
            </w:r>
          </w:p>
          <w:p>
            <w:pPr>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ascii="宋体" w:hAnsi="宋体" w:eastAsia="宋体" w:cs="宋体"/>
                <w:spacing w:val="2"/>
                <w:kern w:val="2"/>
                <w:sz w:val="24"/>
                <w:szCs w:val="24"/>
                <w:lang w:val="en-US" w:eastAsia="en-US" w:bidi="ar-SA"/>
              </w:rPr>
            </w:pPr>
            <w:r>
              <w:rPr>
                <w:rFonts w:ascii="宋体" w:hAnsi="宋体" w:eastAsia="宋体" w:cs="宋体"/>
                <w:spacing w:val="2"/>
                <w:kern w:val="2"/>
                <w:sz w:val="24"/>
                <w:szCs w:val="24"/>
                <w:lang w:val="en-US" w:eastAsia="en-US" w:bidi="ar-SA"/>
              </w:rPr>
              <w:t>植被的破坏仅限于局部，由于工程规模小，施工占地面积较小，不会对工程河段整个植被生态系统的完整性造成威胁。施工临时占地、施工期间施工人员一些无意识活动，也会使施工区附近的植被类型造成破坏，但这些影响在工程结束后随之消失，并可以通过自然演替或人工恢复与重建的方法和措施等，使被破坏的植被得到恢复。工程开发建设直接影响的资源植物种类不多，重要资源植物种类更少，且个体数量十分有限，水库建成后，不会对当地的资源植物造成严重影响。经调查，在调查区域内尚未发现有受保护的国家级珍稀、濒危植物分布，工程建设不会对区域保护植物产生不利影响。</w:t>
            </w:r>
          </w:p>
          <w:p>
            <w:pPr>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宋体" w:hAnsi="宋体" w:eastAsia="宋体" w:cs="宋体"/>
                <w:color w:val="0000FF"/>
                <w:spacing w:val="2"/>
                <w:kern w:val="2"/>
                <w:sz w:val="24"/>
                <w:szCs w:val="24"/>
                <w:lang w:val="en-US" w:eastAsia="zh-CN" w:bidi="ar-SA"/>
              </w:rPr>
            </w:pPr>
            <w:r>
              <w:rPr>
                <w:rFonts w:hint="eastAsia" w:ascii="宋体" w:hAnsi="宋体" w:cs="宋体"/>
                <w:color w:val="0000FF"/>
                <w:spacing w:val="2"/>
                <w:kern w:val="2"/>
                <w:sz w:val="24"/>
                <w:szCs w:val="24"/>
                <w:lang w:val="en-US" w:eastAsia="zh-CN" w:bidi="ar-SA"/>
              </w:rPr>
              <w:t>另外，经现场调查，</w:t>
            </w:r>
            <w:r>
              <w:rPr>
                <w:color w:val="0000FF"/>
                <w:spacing w:val="6"/>
                <w:sz w:val="24"/>
                <w:szCs w:val="24"/>
              </w:rPr>
              <w:t>水库淹没区</w:t>
            </w:r>
            <w:r>
              <w:rPr>
                <w:rFonts w:hint="eastAsia"/>
                <w:color w:val="0000FF"/>
                <w:spacing w:val="6"/>
                <w:sz w:val="24"/>
                <w:szCs w:val="24"/>
                <w:lang w:val="en-US" w:eastAsia="zh-CN"/>
              </w:rPr>
              <w:t>及坝址以上区域目前主要分布有林地和少量的农田，无农户、工业企业等污染源分布。而项目的建设将会对</w:t>
            </w:r>
            <w:r>
              <w:rPr>
                <w:color w:val="0000FF"/>
                <w:spacing w:val="6"/>
                <w:sz w:val="24"/>
                <w:szCs w:val="24"/>
              </w:rPr>
              <w:t>水库淹没范围内的植株将被砍</w:t>
            </w:r>
            <w:r>
              <w:rPr>
                <w:color w:val="0000FF"/>
                <w:spacing w:val="-1"/>
                <w:sz w:val="24"/>
                <w:szCs w:val="24"/>
              </w:rPr>
              <w:t>伐，一些原生植被将受淹没而死亡。水库蓄水后，局部小气候将发生变</w:t>
            </w:r>
            <w:r>
              <w:rPr>
                <w:color w:val="0000FF"/>
                <w:spacing w:val="-2"/>
                <w:sz w:val="24"/>
                <w:szCs w:val="24"/>
              </w:rPr>
              <w:t>化，有利</w:t>
            </w:r>
            <w:r>
              <w:rPr>
                <w:color w:val="0000FF"/>
                <w:spacing w:val="-1"/>
                <w:sz w:val="24"/>
                <w:szCs w:val="24"/>
              </w:rPr>
              <w:t>于库区周边一些喜阴植物的恢复</w:t>
            </w:r>
            <w:r>
              <w:rPr>
                <w:rFonts w:hint="eastAsia"/>
                <w:color w:val="0000FF"/>
                <w:spacing w:val="-1"/>
                <w:sz w:val="24"/>
                <w:szCs w:val="24"/>
                <w:lang w:eastAsia="zh-CN"/>
              </w:rPr>
              <w:t>，</w:t>
            </w:r>
            <w:r>
              <w:rPr>
                <w:color w:val="0000FF"/>
                <w:spacing w:val="-1"/>
                <w:sz w:val="24"/>
                <w:szCs w:val="24"/>
              </w:rPr>
              <w:t>而一些喜阳偏中生的植物，则会因为</w:t>
            </w:r>
            <w:r>
              <w:rPr>
                <w:color w:val="0000FF"/>
                <w:spacing w:val="-2"/>
                <w:sz w:val="24"/>
                <w:szCs w:val="24"/>
              </w:rPr>
              <w:t>环境的不</w:t>
            </w:r>
            <w:r>
              <w:rPr>
                <w:color w:val="0000FF"/>
                <w:sz w:val="24"/>
                <w:szCs w:val="24"/>
              </w:rPr>
              <w:t>适应而减少，原来的针叶林群落适应能力较强，</w:t>
            </w:r>
            <w:r>
              <w:rPr>
                <w:color w:val="0000FF"/>
                <w:spacing w:val="-1"/>
                <w:sz w:val="24"/>
                <w:szCs w:val="24"/>
              </w:rPr>
              <w:t>受水库影响不大。</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bCs/>
                <w:spacing w:val="2"/>
                <w:kern w:val="2"/>
                <w:sz w:val="24"/>
                <w:szCs w:val="24"/>
                <w:lang w:val="en-US" w:eastAsia="zh-CN" w:bidi="ar-SA"/>
              </w:rPr>
            </w:pPr>
            <w:r>
              <w:rPr>
                <w:rFonts w:hint="eastAsia" w:ascii="宋体" w:hAnsi="宋体" w:cs="宋体"/>
                <w:b/>
                <w:bCs/>
                <w:spacing w:val="2"/>
                <w:kern w:val="2"/>
                <w:sz w:val="24"/>
                <w:szCs w:val="24"/>
                <w:lang w:val="en-US" w:eastAsia="zh-CN" w:bidi="ar-SA"/>
              </w:rPr>
              <w:t xml:space="preserve">⑵ </w:t>
            </w:r>
            <w:r>
              <w:rPr>
                <w:rFonts w:hint="eastAsia" w:ascii="宋体" w:hAnsi="宋体" w:eastAsia="宋体" w:cs="宋体"/>
                <w:b/>
                <w:bCs/>
                <w:spacing w:val="2"/>
                <w:kern w:val="2"/>
                <w:sz w:val="24"/>
                <w:szCs w:val="24"/>
                <w:lang w:val="en-US" w:eastAsia="en-US" w:bidi="ar-SA"/>
              </w:rPr>
              <w:t>水生生态系统</w:t>
            </w:r>
            <w:r>
              <w:rPr>
                <w:rFonts w:hint="eastAsia" w:ascii="宋体" w:hAnsi="宋体" w:cs="宋体"/>
                <w:b/>
                <w:bCs/>
                <w:spacing w:val="2"/>
                <w:kern w:val="2"/>
                <w:sz w:val="24"/>
                <w:szCs w:val="24"/>
                <w:lang w:val="en-US" w:eastAsia="zh-CN" w:bidi="ar-SA"/>
              </w:rPr>
              <w:t>现状</w:t>
            </w:r>
          </w:p>
          <w:p>
            <w:pPr>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eastAsia" w:ascii="宋体" w:hAnsi="宋体" w:eastAsia="宋体" w:cs="宋体"/>
                <w:spacing w:val="2"/>
                <w:kern w:val="2"/>
                <w:sz w:val="24"/>
                <w:szCs w:val="24"/>
                <w:lang w:val="en-US" w:eastAsia="en-US" w:bidi="ar-SA"/>
              </w:rPr>
            </w:pPr>
            <w:r>
              <w:rPr>
                <w:rFonts w:hint="eastAsia" w:ascii="宋体" w:hAnsi="宋体" w:eastAsia="宋体" w:cs="宋体"/>
                <w:spacing w:val="2"/>
                <w:kern w:val="2"/>
                <w:sz w:val="24"/>
                <w:szCs w:val="24"/>
                <w:lang w:val="en-US" w:eastAsia="en-US" w:bidi="ar-SA"/>
              </w:rPr>
              <w:t>辜家河中下游河段由于受人类活动影响深远，无国家保护的珍稀鱼类、兽类、两栖爬行动物、鸟类等，无大型洄游鱼类及其产卵场，主要鱼类有鲤鱼、鲫鱼、草鱼、泥鳅等，主要动物有水鸭等野生水禽，水生生物主要有芦苇、禾本科植物等。</w:t>
            </w:r>
            <w:r>
              <w:rPr>
                <w:rFonts w:hint="eastAsia" w:ascii="宋体" w:hAnsi="宋体" w:eastAsia="宋体" w:cs="宋体"/>
                <w:b/>
                <w:bCs/>
                <w:spacing w:val="2"/>
                <w:kern w:val="2"/>
                <w:sz w:val="24"/>
                <w:szCs w:val="24"/>
                <w:u w:val="single"/>
                <w:lang w:val="en-US" w:eastAsia="en-US" w:bidi="ar-SA"/>
              </w:rPr>
              <w:t>不涉及珍稀的水生保护鱼类，不存在鱼类“三场”问题</w:t>
            </w:r>
            <w:r>
              <w:rPr>
                <w:rFonts w:hint="eastAsia" w:ascii="宋体" w:hAnsi="宋体" w:eastAsia="宋体" w:cs="宋体"/>
                <w:spacing w:val="2"/>
                <w:kern w:val="2"/>
                <w:sz w:val="24"/>
                <w:szCs w:val="24"/>
                <w:lang w:val="en-US" w:eastAsia="en-US" w:bidi="ar-SA"/>
              </w:rPr>
              <w:t>。</w:t>
            </w:r>
          </w:p>
          <w:p>
            <w:pPr>
              <w:spacing w:line="360" w:lineRule="auto"/>
              <w:rPr>
                <w:rFonts w:ascii="Arial" w:hAnsi="Arial" w:cs="Arial"/>
                <w:b/>
                <w:color w:val="000000"/>
                <w:sz w:val="24"/>
              </w:rPr>
            </w:pPr>
            <w:r>
              <w:rPr>
                <w:rFonts w:hint="eastAsia" w:ascii="Arial" w:hAnsi="Arial" w:cs="Arial"/>
                <w:sz w:val="24"/>
              </w:rPr>
              <w:t>二、</w:t>
            </w:r>
            <w:r>
              <w:rPr>
                <w:rFonts w:hint="eastAsia" w:ascii="Arial" w:hAnsi="Arial" w:cs="Arial"/>
                <w:b/>
                <w:color w:val="000000"/>
                <w:sz w:val="24"/>
              </w:rPr>
              <w:t>项目所在区生态环境质量现状</w:t>
            </w:r>
          </w:p>
          <w:p>
            <w:pPr>
              <w:widowControl/>
              <w:spacing w:line="360" w:lineRule="auto"/>
              <w:ind w:firstLine="482" w:firstLineChars="200"/>
              <w:jc w:val="left"/>
              <w:rPr>
                <w:rFonts w:ascii="Arial" w:cs="Arial"/>
                <w:b/>
                <w:kern w:val="0"/>
                <w:sz w:val="24"/>
                <w:lang w:val="zh-CN"/>
              </w:rPr>
            </w:pPr>
            <w:r>
              <w:rPr>
                <w:rFonts w:hint="eastAsia" w:ascii="Arial" w:cs="Arial"/>
                <w:b/>
                <w:kern w:val="0"/>
                <w:sz w:val="24"/>
                <w:lang w:val="zh-CN"/>
              </w:rPr>
              <w:t>1</w:t>
            </w:r>
            <w:r>
              <w:rPr>
                <w:rFonts w:ascii="Arial" w:cs="Arial"/>
                <w:b/>
                <w:kern w:val="0"/>
                <w:sz w:val="24"/>
                <w:lang w:val="zh-CN"/>
              </w:rPr>
              <w:t>、大气环境质量现状监测及评价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14:textFill>
                  <w14:solidFill>
                    <w14:schemeClr w14:val="tx1"/>
                  </w14:solidFill>
                </w14:textFill>
              </w:rPr>
            </w:pPr>
            <w:r>
              <w:rPr>
                <w:rFonts w:hint="eastAsia" w:hAnsi="宋体"/>
                <w:b/>
                <w:bCs/>
                <w:color w:val="000000" w:themeColor="text1"/>
                <w:sz w:val="24"/>
                <w:lang w:val="en-US" w:eastAsia="zh-CN"/>
                <w14:textFill>
                  <w14:solidFill>
                    <w14:schemeClr w14:val="tx1"/>
                  </w14:solidFill>
                </w14:textFill>
              </w:rPr>
              <w:t xml:space="preserve">⑴ </w:t>
            </w:r>
            <w:r>
              <w:rPr>
                <w:rFonts w:hAnsi="宋体"/>
                <w:b/>
                <w:bCs/>
                <w:color w:val="000000" w:themeColor="text1"/>
                <w:sz w:val="24"/>
                <w14:textFill>
                  <w14:solidFill>
                    <w14:schemeClr w14:val="tx1"/>
                  </w14:solidFill>
                </w14:textFill>
              </w:rPr>
              <w:t>项目所在地常规因子环境质量</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sz w:val="24"/>
                <w:szCs w:val="24"/>
              </w:rPr>
            </w:pPr>
            <w:r>
              <w:rPr>
                <w:spacing w:val="0"/>
                <w:sz w:val="24"/>
                <w:szCs w:val="24"/>
              </w:rPr>
              <w:t>本项目位于广元市旺苍县东河镇境内，为了解项目所在区域环境空气达标情况，本次评价引用广元市旺苍生态环境局发布的《</w:t>
            </w:r>
            <w:r>
              <w:rPr>
                <w:rFonts w:ascii="Times New Roman" w:hAnsi="Times New Roman" w:eastAsia="Times New Roman" w:cs="Times New Roman"/>
                <w:spacing w:val="0"/>
                <w:sz w:val="24"/>
                <w:szCs w:val="24"/>
              </w:rPr>
              <w:t>2022</w:t>
            </w:r>
            <w:r>
              <w:rPr>
                <w:spacing w:val="0"/>
                <w:sz w:val="24"/>
                <w:szCs w:val="24"/>
              </w:rPr>
              <w:t>年旺苍县环境质量公告》（</w:t>
            </w:r>
            <w:r>
              <w:rPr>
                <w:spacing w:val="0"/>
                <w:sz w:val="24"/>
                <w:szCs w:val="24"/>
              </w:rPr>
              <w:fldChar w:fldCharType="begin"/>
            </w:r>
            <w:r>
              <w:rPr>
                <w:spacing w:val="0"/>
                <w:sz w:val="24"/>
                <w:szCs w:val="24"/>
              </w:rPr>
              <w:instrText xml:space="preserve"> HYPERLINK "https://www.scgw.gov.cn/zfxxgk/GovOpenShow.aspx?id=20230718155141276" </w:instrText>
            </w:r>
            <w:r>
              <w:rPr>
                <w:spacing w:val="0"/>
                <w:sz w:val="24"/>
                <w:szCs w:val="24"/>
              </w:rPr>
              <w:fldChar w:fldCharType="separate"/>
            </w:r>
            <w:r>
              <w:rPr>
                <w:rFonts w:ascii="Times New Roman" w:hAnsi="Times New Roman" w:eastAsia="Times New Roman" w:cs="Times New Roman"/>
                <w:spacing w:val="0"/>
                <w:sz w:val="24"/>
                <w:szCs w:val="24"/>
              </w:rPr>
              <w:t>https://www.scgw.gov.cn/zfxxgk/GovOpenShow.aspx?id=20230718155141276</w:t>
            </w:r>
            <w:r>
              <w:rPr>
                <w:rFonts w:ascii="Times New Roman" w:hAnsi="Times New Roman" w:eastAsia="Times New Roman" w:cs="Times New Roman"/>
                <w:spacing w:val="0"/>
                <w:sz w:val="24"/>
                <w:szCs w:val="24"/>
              </w:rPr>
              <w:fldChar w:fldCharType="end"/>
            </w:r>
            <w:r>
              <w:rPr>
                <w:spacing w:val="0"/>
                <w:sz w:val="24"/>
                <w:szCs w:val="24"/>
              </w:rPr>
              <w:t>）数据对区域环境空气质量进行评价。</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spacing w:val="-1"/>
                <w:sz w:val="24"/>
                <w:szCs w:val="24"/>
              </w:rPr>
            </w:pPr>
            <w:r>
              <w:rPr>
                <w:spacing w:val="2"/>
                <w:sz w:val="24"/>
                <w:szCs w:val="24"/>
              </w:rPr>
              <w:t>根据《</w:t>
            </w:r>
            <w:r>
              <w:rPr>
                <w:rFonts w:ascii="Times New Roman" w:hAnsi="Times New Roman" w:eastAsia="Times New Roman" w:cs="Times New Roman"/>
                <w:spacing w:val="2"/>
                <w:sz w:val="24"/>
                <w:szCs w:val="24"/>
              </w:rPr>
              <w:t>2022</w:t>
            </w:r>
            <w:r>
              <w:rPr>
                <w:spacing w:val="2"/>
                <w:sz w:val="24"/>
                <w:szCs w:val="24"/>
              </w:rPr>
              <w:t>年旺苍县环境质量公告》环境空气质量结</w:t>
            </w:r>
            <w:r>
              <w:rPr>
                <w:spacing w:val="1"/>
                <w:sz w:val="24"/>
                <w:szCs w:val="24"/>
              </w:rPr>
              <w:t>果，</w:t>
            </w:r>
            <w:r>
              <w:rPr>
                <w:rFonts w:ascii="Times New Roman" w:hAnsi="Times New Roman" w:eastAsia="Times New Roman" w:cs="Times New Roman"/>
                <w:spacing w:val="1"/>
                <w:sz w:val="24"/>
                <w:szCs w:val="24"/>
              </w:rPr>
              <w:t>2022</w:t>
            </w:r>
            <w:r>
              <w:rPr>
                <w:spacing w:val="1"/>
                <w:sz w:val="24"/>
                <w:szCs w:val="24"/>
              </w:rPr>
              <w:t>年，旺苍县</w:t>
            </w:r>
            <w:r>
              <w:rPr>
                <w:spacing w:val="-1"/>
                <w:sz w:val="24"/>
                <w:szCs w:val="24"/>
              </w:rPr>
              <w:t>环境空气质量良好，空气质量优、良天数达标</w:t>
            </w:r>
            <w:r>
              <w:rPr>
                <w:spacing w:val="-2"/>
                <w:sz w:val="24"/>
                <w:szCs w:val="24"/>
              </w:rPr>
              <w:t>率为</w:t>
            </w:r>
            <w:r>
              <w:rPr>
                <w:spacing w:val="-51"/>
                <w:sz w:val="24"/>
                <w:szCs w:val="24"/>
              </w:rPr>
              <w:t xml:space="preserve"> </w:t>
            </w:r>
            <w:r>
              <w:rPr>
                <w:rFonts w:ascii="Times New Roman" w:hAnsi="Times New Roman" w:eastAsia="Times New Roman" w:cs="Times New Roman"/>
                <w:spacing w:val="-2"/>
                <w:sz w:val="24"/>
                <w:szCs w:val="24"/>
              </w:rPr>
              <w:t>96.2%</w:t>
            </w:r>
            <w:r>
              <w:rPr>
                <w:spacing w:val="-2"/>
                <w:sz w:val="24"/>
                <w:szCs w:val="24"/>
              </w:rPr>
              <w:t>，首要污染物为臭氧、</w:t>
            </w:r>
            <w:r>
              <w:rPr>
                <w:spacing w:val="-1"/>
                <w:sz w:val="24"/>
                <w:szCs w:val="24"/>
              </w:rPr>
              <w:t>细颗粒物和颗粒物，与上年相比环境空气质量变好。其空气质量指标统计如下。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hAnsi="宋体" w:eastAsia="宋体"/>
                <w:bCs/>
                <w:color w:val="000000"/>
                <w:sz w:val="21"/>
                <w:szCs w:val="21"/>
                <w:lang w:val="en-US" w:eastAsia="zh-CN"/>
              </w:rPr>
            </w:pPr>
            <w:r>
              <w:rPr>
                <w:b/>
                <w:bCs/>
                <w:spacing w:val="5"/>
                <w:sz w:val="21"/>
                <w:szCs w:val="21"/>
              </w:rPr>
              <w:t>表</w:t>
            </w:r>
            <w:r>
              <w:rPr>
                <w:spacing w:val="-30"/>
                <w:sz w:val="21"/>
                <w:szCs w:val="21"/>
              </w:rPr>
              <w:t xml:space="preserve"> </w:t>
            </w:r>
            <w:r>
              <w:rPr>
                <w:rFonts w:ascii="Times New Roman" w:hAnsi="Times New Roman" w:eastAsia="Times New Roman" w:cs="Times New Roman"/>
                <w:b/>
                <w:bCs/>
                <w:spacing w:val="5"/>
                <w:sz w:val="21"/>
                <w:szCs w:val="21"/>
              </w:rPr>
              <w:t xml:space="preserve">3-1  </w:t>
            </w:r>
            <w:r>
              <w:rPr>
                <w:b/>
                <w:bCs/>
                <w:spacing w:val="5"/>
                <w:sz w:val="21"/>
                <w:szCs w:val="21"/>
              </w:rPr>
              <w:t>旺苍县环境空气质量现状评价表</w:t>
            </w:r>
            <w:r>
              <w:rPr>
                <w:spacing w:val="5"/>
                <w:sz w:val="21"/>
                <w:szCs w:val="21"/>
              </w:rPr>
              <w:t xml:space="preserve"> </w:t>
            </w:r>
            <w:r>
              <w:rPr>
                <w:b/>
                <w:bCs/>
                <w:spacing w:val="5"/>
                <w:sz w:val="21"/>
                <w:szCs w:val="21"/>
              </w:rPr>
              <w:t>单位：</w:t>
            </w:r>
            <w:r>
              <w:rPr>
                <w:rFonts w:ascii="Times New Roman" w:hAnsi="Times New Roman" w:eastAsia="Times New Roman" w:cs="Times New Roman"/>
                <w:b/>
                <w:bCs/>
                <w:sz w:val="21"/>
                <w:szCs w:val="21"/>
              </w:rPr>
              <w:t>CO</w:t>
            </w:r>
            <w:r>
              <w:rPr>
                <w:b/>
                <w:bCs/>
                <w:spacing w:val="5"/>
                <w:sz w:val="21"/>
                <w:szCs w:val="21"/>
              </w:rPr>
              <w:t>为</w:t>
            </w:r>
            <w:r>
              <w:rPr>
                <w:spacing w:val="-40"/>
                <w:sz w:val="21"/>
                <w:szCs w:val="21"/>
              </w:rPr>
              <w:t xml:space="preserve"> </w:t>
            </w:r>
            <w:r>
              <w:rPr>
                <w:rFonts w:ascii="Times New Roman" w:hAnsi="Times New Roman" w:eastAsia="Times New Roman" w:cs="Times New Roman"/>
                <w:b/>
                <w:bCs/>
                <w:sz w:val="21"/>
                <w:szCs w:val="21"/>
              </w:rPr>
              <w:t>mg</w:t>
            </w:r>
            <w:r>
              <w:rPr>
                <w:rFonts w:ascii="Times New Roman" w:hAnsi="Times New Roman" w:eastAsia="Times New Roman" w:cs="Times New Roman"/>
                <w:b/>
                <w:bCs/>
                <w:spacing w:val="5"/>
                <w:sz w:val="21"/>
                <w:szCs w:val="21"/>
              </w:rPr>
              <w:t>/m</w:t>
            </w:r>
            <w:r>
              <w:rPr>
                <w:rFonts w:hint="eastAsia" w:eastAsia="宋体" w:cs="Times New Roman"/>
                <w:b/>
                <w:bCs/>
                <w:spacing w:val="5"/>
                <w:sz w:val="21"/>
                <w:szCs w:val="21"/>
                <w:vertAlign w:val="superscript"/>
                <w:lang w:val="en-US" w:eastAsia="zh-CN"/>
              </w:rPr>
              <w:t>3</w:t>
            </w:r>
            <w:r>
              <w:rPr>
                <w:b/>
                <w:bCs/>
                <w:spacing w:val="5"/>
                <w:sz w:val="21"/>
                <w:szCs w:val="21"/>
              </w:rPr>
              <w:t>，其余</w:t>
            </w:r>
            <w:r>
              <w:rPr>
                <w:rFonts w:ascii="Times New Roman" w:hAnsi="Times New Roman" w:eastAsia="Times New Roman" w:cs="Times New Roman"/>
                <w:b/>
                <w:bCs/>
                <w:spacing w:val="5"/>
                <w:sz w:val="21"/>
                <w:szCs w:val="21"/>
              </w:rPr>
              <w:t>μg/m</w:t>
            </w:r>
            <w:r>
              <w:rPr>
                <w:rFonts w:hint="eastAsia" w:ascii="Times New Roman" w:hAnsi="Times New Roman" w:cs="Times New Roman"/>
                <w:b/>
                <w:bCs/>
                <w:spacing w:val="5"/>
                <w:sz w:val="21"/>
                <w:szCs w:val="21"/>
                <w:vertAlign w:val="superscript"/>
                <w:lang w:val="en-US" w:eastAsia="zh-CN"/>
              </w:rPr>
              <w:t>3</w:t>
            </w:r>
          </w:p>
          <w:tbl>
            <w:tblPr>
              <w:tblStyle w:val="76"/>
              <w:tblW w:w="85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2"/>
              <w:gridCol w:w="3252"/>
              <w:gridCol w:w="1178"/>
              <w:gridCol w:w="1000"/>
              <w:gridCol w:w="864"/>
              <w:gridCol w:w="12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b/>
                      <w:bCs/>
                      <w:spacing w:val="5"/>
                      <w:sz w:val="18"/>
                      <w:szCs w:val="18"/>
                    </w:rPr>
                    <w:t>污染物</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b/>
                      <w:bCs/>
                      <w:spacing w:val="6"/>
                      <w:sz w:val="18"/>
                      <w:szCs w:val="18"/>
                    </w:rPr>
                    <w:t>年评价指标</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b/>
                      <w:bCs/>
                      <w:spacing w:val="6"/>
                      <w:sz w:val="18"/>
                      <w:szCs w:val="18"/>
                    </w:rPr>
                    <w:t>现状浓度</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b/>
                      <w:bCs/>
                      <w:spacing w:val="6"/>
                      <w:sz w:val="18"/>
                      <w:szCs w:val="18"/>
                    </w:rPr>
                    <w:t>标准值</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b/>
                      <w:bCs/>
                      <w:spacing w:val="-6"/>
                      <w:sz w:val="18"/>
                      <w:szCs w:val="18"/>
                    </w:rPr>
                    <w:t>占标率</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b/>
                      <w:bCs/>
                      <w:spacing w:val="6"/>
                      <w:sz w:val="18"/>
                      <w:szCs w:val="18"/>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0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kern w:val="2"/>
                      <w:sz w:val="18"/>
                      <w:szCs w:val="18"/>
                      <w:lang w:val="en-US" w:eastAsia="zh-CN" w:bidi="ar-SA"/>
                    </w:rPr>
                  </w:pPr>
                  <w:r>
                    <w:rPr>
                      <w:rFonts w:ascii="Times New Roman" w:hAnsi="Times New Roman" w:eastAsia="Times New Roman" w:cs="Times New Roman"/>
                      <w:sz w:val="18"/>
                      <w:szCs w:val="18"/>
                    </w:rPr>
                    <w:t>SO</w:t>
                  </w:r>
                  <w:r>
                    <w:rPr>
                      <w:rFonts w:ascii="Times New Roman" w:hAnsi="Times New Roman" w:eastAsia="Times New Roman" w:cs="Times New Roman"/>
                      <w:spacing w:val="3"/>
                      <w:position w:val="-1"/>
                      <w:sz w:val="18"/>
                      <w:szCs w:val="18"/>
                      <w:vertAlign w:val="subscript"/>
                    </w:rPr>
                    <w:t>2</w:t>
                  </w:r>
                </w:p>
              </w:tc>
              <w:tc>
                <w:tcPr>
                  <w:tcW w:w="3252" w:type="dxa"/>
                  <w:tcBorders>
                    <w:tl2br w:val="nil"/>
                    <w:tr2bl w:val="nil"/>
                  </w:tcBorders>
                  <w:shd w:val="clear" w:color="auto" w:fill="auto"/>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kern w:val="2"/>
                      <w:sz w:val="18"/>
                      <w:szCs w:val="18"/>
                      <w:lang w:val="en-US" w:eastAsia="en-US" w:bidi="ar-SA"/>
                    </w:rPr>
                  </w:pPr>
                  <w:r>
                    <w:rPr>
                      <w:spacing w:val="8"/>
                      <w:sz w:val="18"/>
                      <w:szCs w:val="18"/>
                    </w:rPr>
                    <w:t>年平均质量浓度</w:t>
                  </w:r>
                </w:p>
              </w:tc>
              <w:tc>
                <w:tcPr>
                  <w:tcW w:w="117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kern w:val="2"/>
                      <w:sz w:val="18"/>
                      <w:szCs w:val="18"/>
                      <w:lang w:val="en-US" w:eastAsia="zh-CN" w:bidi="ar-SA"/>
                    </w:rPr>
                  </w:pPr>
                  <w:r>
                    <w:rPr>
                      <w:rFonts w:ascii="Times New Roman" w:hAnsi="Times New Roman" w:eastAsia="Times New Roman" w:cs="Times New Roman"/>
                      <w:spacing w:val="-8"/>
                      <w:sz w:val="18"/>
                      <w:szCs w:val="18"/>
                    </w:rPr>
                    <w:t>12</w:t>
                  </w:r>
                </w:p>
              </w:tc>
              <w:tc>
                <w:tcPr>
                  <w:tcW w:w="100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kern w:val="2"/>
                      <w:sz w:val="18"/>
                      <w:szCs w:val="18"/>
                      <w:lang w:val="en-US" w:eastAsia="zh-CN" w:bidi="ar-SA"/>
                    </w:rPr>
                  </w:pPr>
                  <w:r>
                    <w:rPr>
                      <w:rFonts w:ascii="Times New Roman" w:hAnsi="Times New Roman" w:eastAsia="Times New Roman" w:cs="Times New Roman"/>
                      <w:sz w:val="18"/>
                      <w:szCs w:val="18"/>
                    </w:rPr>
                    <w:t>60</w:t>
                  </w:r>
                </w:p>
              </w:tc>
              <w:tc>
                <w:tcPr>
                  <w:tcW w:w="86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kern w:val="2"/>
                      <w:sz w:val="18"/>
                      <w:szCs w:val="18"/>
                      <w:lang w:val="en-US" w:eastAsia="zh-CN" w:bidi="ar-SA"/>
                    </w:rPr>
                  </w:pPr>
                  <w:r>
                    <w:rPr>
                      <w:rFonts w:ascii="Times New Roman" w:hAnsi="Times New Roman" w:eastAsia="Times New Roman" w:cs="Times New Roman"/>
                      <w:spacing w:val="3"/>
                      <w:sz w:val="18"/>
                      <w:szCs w:val="18"/>
                    </w:rPr>
                    <w:t>66.67%</w:t>
                  </w:r>
                </w:p>
              </w:tc>
              <w:tc>
                <w:tcPr>
                  <w:tcW w:w="1255" w:type="dxa"/>
                  <w:tcBorders>
                    <w:tl2br w:val="nil"/>
                    <w:tr2bl w:val="nil"/>
                  </w:tcBorders>
                  <w:shd w:val="clear" w:color="auto" w:fill="auto"/>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kern w:val="2"/>
                      <w:sz w:val="18"/>
                      <w:szCs w:val="18"/>
                      <w:lang w:val="en-US" w:eastAsia="en-US" w:bidi="ar-SA"/>
                    </w:rPr>
                  </w:pPr>
                  <w:r>
                    <w:rPr>
                      <w:spacing w:val="5"/>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NO</w:t>
                  </w:r>
                  <w:r>
                    <w:rPr>
                      <w:rFonts w:ascii="Times New Roman" w:hAnsi="Times New Roman" w:eastAsia="Times New Roman" w:cs="Times New Roman"/>
                      <w:spacing w:val="7"/>
                      <w:position w:val="-1"/>
                      <w:sz w:val="18"/>
                      <w:szCs w:val="18"/>
                      <w:vertAlign w:val="subscript"/>
                    </w:rPr>
                    <w:t>2</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8"/>
                      <w:sz w:val="18"/>
                      <w:szCs w:val="18"/>
                    </w:rPr>
                    <w:t>年平均质量浓度</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18</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40</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45.00%</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PM</w:t>
                  </w:r>
                  <w:r>
                    <w:rPr>
                      <w:rFonts w:ascii="Times New Roman" w:hAnsi="Times New Roman" w:eastAsia="Times New Roman" w:cs="Times New Roman"/>
                      <w:spacing w:val="8"/>
                      <w:position w:val="-1"/>
                      <w:sz w:val="18"/>
                      <w:szCs w:val="18"/>
                      <w:vertAlign w:val="subscript"/>
                    </w:rPr>
                    <w:t>10</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8"/>
                      <w:sz w:val="18"/>
                      <w:szCs w:val="18"/>
                    </w:rPr>
                    <w:t>年平均质量浓度</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51</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72.86%</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PM</w:t>
                  </w:r>
                  <w:r>
                    <w:rPr>
                      <w:rFonts w:ascii="Times New Roman" w:hAnsi="Times New Roman" w:eastAsia="Times New Roman" w:cs="Times New Roman"/>
                      <w:spacing w:val="6"/>
                      <w:position w:val="-1"/>
                      <w:sz w:val="18"/>
                      <w:szCs w:val="18"/>
                      <w:vertAlign w:val="subscript"/>
                    </w:rPr>
                    <w:t>2.5</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8"/>
                      <w:sz w:val="18"/>
                      <w:szCs w:val="18"/>
                    </w:rPr>
                    <w:t>年平均质量浓度</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30</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35</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85.71%</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CO</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第</w:t>
                  </w:r>
                  <w:r>
                    <w:rPr>
                      <w:spacing w:val="-32"/>
                      <w:sz w:val="18"/>
                      <w:szCs w:val="18"/>
                    </w:rPr>
                    <w:t xml:space="preserve"> </w:t>
                  </w:r>
                  <w:r>
                    <w:rPr>
                      <w:rFonts w:ascii="Times New Roman" w:hAnsi="Times New Roman" w:eastAsia="Times New Roman" w:cs="Times New Roman"/>
                      <w:spacing w:val="5"/>
                      <w:sz w:val="18"/>
                      <w:szCs w:val="18"/>
                    </w:rPr>
                    <w:t>95</w:t>
                  </w:r>
                  <w:r>
                    <w:rPr>
                      <w:spacing w:val="5"/>
                      <w:sz w:val="18"/>
                      <w:szCs w:val="18"/>
                    </w:rPr>
                    <w:t>百分位数</w:t>
                  </w:r>
                  <w:r>
                    <w:rPr>
                      <w:spacing w:val="-44"/>
                      <w:sz w:val="18"/>
                      <w:szCs w:val="18"/>
                    </w:rPr>
                    <w:t xml:space="preserve"> </w:t>
                  </w:r>
                  <w:r>
                    <w:rPr>
                      <w:rFonts w:ascii="Times New Roman" w:hAnsi="Times New Roman" w:eastAsia="Times New Roman" w:cs="Times New Roman"/>
                      <w:spacing w:val="5"/>
                      <w:sz w:val="18"/>
                      <w:szCs w:val="18"/>
                    </w:rPr>
                    <w:t>24h</w:t>
                  </w:r>
                  <w:r>
                    <w:rPr>
                      <w:spacing w:val="5"/>
                      <w:sz w:val="18"/>
                      <w:szCs w:val="18"/>
                    </w:rPr>
                    <w:t>平均质量浓度</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0.8</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20.00%</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0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O</w:t>
                  </w:r>
                  <w:r>
                    <w:rPr>
                      <w:rFonts w:ascii="Times New Roman" w:hAnsi="Times New Roman" w:eastAsia="Times New Roman" w:cs="Times New Roman"/>
                      <w:spacing w:val="1"/>
                      <w:position w:val="-1"/>
                      <w:sz w:val="18"/>
                      <w:szCs w:val="18"/>
                      <w:vertAlign w:val="subscript"/>
                    </w:rPr>
                    <w:t>3</w:t>
                  </w:r>
                </w:p>
              </w:tc>
              <w:tc>
                <w:tcPr>
                  <w:tcW w:w="325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2"/>
                      <w:sz w:val="18"/>
                      <w:szCs w:val="18"/>
                    </w:rPr>
                    <w:t>日最大</w:t>
                  </w:r>
                  <w:r>
                    <w:rPr>
                      <w:spacing w:val="-30"/>
                      <w:sz w:val="18"/>
                      <w:szCs w:val="18"/>
                    </w:rPr>
                    <w:t xml:space="preserve"> </w:t>
                  </w:r>
                  <w:r>
                    <w:rPr>
                      <w:rFonts w:ascii="Times New Roman" w:hAnsi="Times New Roman" w:eastAsia="Times New Roman" w:cs="Times New Roman"/>
                      <w:spacing w:val="2"/>
                      <w:sz w:val="18"/>
                      <w:szCs w:val="18"/>
                    </w:rPr>
                    <w:t>8</w:t>
                  </w:r>
                  <w:r>
                    <w:rPr>
                      <w:spacing w:val="2"/>
                      <w:sz w:val="18"/>
                      <w:szCs w:val="18"/>
                    </w:rPr>
                    <w:t>小时均值的第</w:t>
                  </w:r>
                  <w:r>
                    <w:rPr>
                      <w:spacing w:val="-39"/>
                      <w:sz w:val="18"/>
                      <w:szCs w:val="18"/>
                    </w:rPr>
                    <w:t xml:space="preserve"> </w:t>
                  </w:r>
                  <w:r>
                    <w:rPr>
                      <w:rFonts w:ascii="Times New Roman" w:hAnsi="Times New Roman" w:eastAsia="Times New Roman" w:cs="Times New Roman"/>
                      <w:spacing w:val="2"/>
                      <w:sz w:val="18"/>
                      <w:szCs w:val="18"/>
                    </w:rPr>
                    <w:t>90</w:t>
                  </w:r>
                  <w:r>
                    <w:rPr>
                      <w:spacing w:val="2"/>
                      <w:sz w:val="18"/>
                      <w:szCs w:val="18"/>
                    </w:rPr>
                    <w:t>百分位</w:t>
                  </w:r>
                </w:p>
              </w:tc>
              <w:tc>
                <w:tcPr>
                  <w:tcW w:w="11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w:t>
                  </w:r>
                </w:p>
              </w:tc>
              <w:tc>
                <w:tcPr>
                  <w:tcW w:w="1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160</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43.75%</w:t>
                  </w:r>
                </w:p>
              </w:tc>
              <w:tc>
                <w:tcPr>
                  <w:tcW w:w="125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sz w:val="18"/>
                      <w:szCs w:val="18"/>
                    </w:rPr>
                  </w:pPr>
                  <w:r>
                    <w:rPr>
                      <w:spacing w:val="5"/>
                      <w:sz w:val="18"/>
                      <w:szCs w:val="18"/>
                    </w:rPr>
                    <w:t>达标</w:t>
                  </w:r>
                </w:p>
              </w:tc>
            </w:tr>
          </w:tbl>
          <w:p>
            <w:pPr>
              <w:spacing w:line="360" w:lineRule="auto"/>
              <w:ind w:firstLine="480" w:firstLineChars="200"/>
              <w:rPr>
                <w:rFonts w:hint="eastAsia"/>
                <w:bCs/>
                <w:sz w:val="24"/>
              </w:rPr>
            </w:pPr>
            <w:r>
              <w:rPr>
                <w:rFonts w:hint="eastAsia"/>
                <w:bCs/>
                <w:sz w:val="24"/>
              </w:rPr>
              <w:t>根据上表，旺苍县SO</w:t>
            </w:r>
            <w:r>
              <w:rPr>
                <w:rFonts w:hint="eastAsia"/>
                <w:bCs/>
                <w:sz w:val="24"/>
                <w:vertAlign w:val="subscript"/>
              </w:rPr>
              <w:t>2</w:t>
            </w:r>
            <w:r>
              <w:rPr>
                <w:rFonts w:hint="eastAsia"/>
                <w:bCs/>
                <w:sz w:val="24"/>
              </w:rPr>
              <w:t>、NO</w:t>
            </w:r>
            <w:r>
              <w:rPr>
                <w:rFonts w:hint="eastAsia"/>
                <w:bCs/>
                <w:sz w:val="24"/>
                <w:vertAlign w:val="subscript"/>
              </w:rPr>
              <w:t>2</w:t>
            </w:r>
            <w:r>
              <w:rPr>
                <w:rFonts w:hint="eastAsia"/>
                <w:bCs/>
                <w:sz w:val="24"/>
              </w:rPr>
              <w:t>、PM</w:t>
            </w:r>
            <w:r>
              <w:rPr>
                <w:rFonts w:hint="eastAsia"/>
                <w:bCs/>
                <w:sz w:val="24"/>
                <w:vertAlign w:val="subscript"/>
              </w:rPr>
              <w:t>2.5</w:t>
            </w:r>
            <w:r>
              <w:rPr>
                <w:rFonts w:hint="eastAsia"/>
                <w:bCs/>
                <w:sz w:val="24"/>
              </w:rPr>
              <w:t>、PM10年均浓度、O</w:t>
            </w:r>
            <w:r>
              <w:rPr>
                <w:rFonts w:hint="eastAsia"/>
                <w:bCs/>
                <w:sz w:val="24"/>
                <w:vertAlign w:val="subscript"/>
              </w:rPr>
              <w:t>3</w:t>
            </w:r>
            <w:r>
              <w:rPr>
                <w:rFonts w:hint="eastAsia"/>
                <w:bCs/>
                <w:sz w:val="24"/>
              </w:rPr>
              <w:t>日最大8小时均值的第90百分位数、CO日均值第95百分位数均达到《环境空气质量标准》 （GB3095-2012）及其修改单二级标准，项目所在区域为达标区。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 xml:space="preserve">⑵ </w:t>
            </w:r>
            <w:r>
              <w:rPr>
                <w:rFonts w:hint="eastAsia" w:hAnsi="宋体"/>
                <w:b/>
                <w:bCs/>
                <w:color w:val="000000" w:themeColor="text1"/>
                <w:sz w:val="24"/>
                <w:lang w:val="en-US" w:eastAsia="zh-CN"/>
                <w14:textFill>
                  <w14:solidFill>
                    <w14:schemeClr w14:val="tx1"/>
                  </w14:solidFill>
                </w14:textFill>
              </w:rPr>
              <w:t>特征</w:t>
            </w:r>
            <w:r>
              <w:rPr>
                <w:rFonts w:hAnsi="宋体"/>
                <w:b/>
                <w:bCs/>
                <w:color w:val="000000" w:themeColor="text1"/>
                <w:sz w:val="24"/>
                <w14:textFill>
                  <w14:solidFill>
                    <w14:schemeClr w14:val="tx1"/>
                  </w14:solidFill>
                </w14:textFill>
              </w:rPr>
              <w:t>因子环境质量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sz w:val="24"/>
                <w:lang w:val="en-US" w:eastAsia="zh-CN"/>
              </w:rPr>
            </w:pPr>
            <w:r>
              <w:rPr>
                <w:rFonts w:hint="eastAsia" w:ascii="Times New Roman" w:hAnsi="Times New Roman" w:eastAsia="宋体" w:cs="Times New Roman"/>
                <w:b/>
                <w:bCs w:val="0"/>
                <w:sz w:val="24"/>
                <w:lang w:val="en-US" w:eastAsia="zh-CN"/>
              </w:rPr>
              <w:t>① 特征因子监测点位及监测结果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cs="Times New Roman"/>
                <w:bCs/>
                <w:sz w:val="24"/>
                <w:lang w:val="en-US" w:eastAsia="zh-CN"/>
              </w:rPr>
              <w:t>为说明</w:t>
            </w:r>
            <w:r>
              <w:rPr>
                <w:rFonts w:hint="eastAsia" w:ascii="Times New Roman" w:hAnsi="Times New Roman" w:eastAsia="宋体" w:cs="Times New Roman"/>
                <w:bCs/>
                <w:sz w:val="24"/>
              </w:rPr>
              <w:t>项目</w:t>
            </w:r>
            <w:r>
              <w:rPr>
                <w:rFonts w:hint="eastAsia" w:cs="Times New Roman"/>
                <w:bCs/>
                <w:sz w:val="24"/>
                <w:lang w:val="en-US" w:eastAsia="zh-CN"/>
              </w:rPr>
              <w:t>所在区域</w:t>
            </w:r>
            <w:r>
              <w:rPr>
                <w:rFonts w:hint="eastAsia" w:ascii="Times New Roman" w:hAnsi="Times New Roman" w:eastAsia="宋体" w:cs="Times New Roman"/>
                <w:bCs/>
                <w:sz w:val="24"/>
              </w:rPr>
              <w:t>TSP</w:t>
            </w:r>
            <w:r>
              <w:rPr>
                <w:rFonts w:hint="eastAsia" w:ascii="Times New Roman" w:hAnsi="Times New Roman" w:eastAsia="宋体" w:cs="Times New Roman"/>
                <w:bCs/>
                <w:sz w:val="24"/>
                <w:lang w:eastAsia="zh-CN"/>
              </w:rPr>
              <w:t>、苯并[a]芘</w:t>
            </w:r>
            <w:r>
              <w:rPr>
                <w:rFonts w:hint="eastAsia" w:cs="Times New Roman"/>
                <w:bCs/>
                <w:sz w:val="24"/>
                <w:lang w:val="en-US" w:eastAsia="zh-CN"/>
              </w:rPr>
              <w:t>环境现状，项目在开展环评时专门</w:t>
            </w:r>
            <w:r>
              <w:rPr>
                <w:rFonts w:hint="eastAsia" w:ascii="Times New Roman" w:hAnsi="Times New Roman" w:eastAsia="宋体" w:cs="Times New Roman"/>
                <w:bCs/>
                <w:sz w:val="24"/>
                <w:lang w:val="en-US" w:eastAsia="zh-CN"/>
              </w:rPr>
              <w:t>委托四川省天平检测技术有限公司于2024年03月24日-03月30日在沥青拌合站所在区域设置了1个点位进行了采样检测，并于2024年03月24日-04月10日进行了分析，监测结果如下：</w:t>
            </w:r>
          </w:p>
          <w:p>
            <w:pPr>
              <w:adjustRightInd w:val="0"/>
              <w:spacing w:line="360" w:lineRule="auto"/>
              <w:jc w:val="center"/>
              <w:outlineLvl w:val="1"/>
              <w:rPr>
                <w:rFonts w:hint="default" w:hAnsi="宋体" w:eastAsia="宋体"/>
                <w:b/>
                <w:szCs w:val="21"/>
                <w:lang w:val="en-US" w:eastAsia="zh-CN"/>
              </w:rPr>
            </w:pPr>
            <w:r>
              <w:rPr>
                <w:rFonts w:hAnsi="宋体"/>
                <w:b/>
                <w:szCs w:val="21"/>
              </w:rPr>
              <w:t>表</w:t>
            </w:r>
            <w:r>
              <w:rPr>
                <w:rFonts w:hint="eastAsia" w:hAnsi="宋体"/>
                <w:b/>
                <w:szCs w:val="21"/>
              </w:rPr>
              <w:t>3-</w:t>
            </w:r>
            <w:r>
              <w:rPr>
                <w:rFonts w:hint="eastAsia" w:hAnsi="宋体"/>
                <w:b/>
                <w:szCs w:val="21"/>
                <w:lang w:val="en-US" w:eastAsia="zh-CN"/>
              </w:rPr>
              <w:t>2</w:t>
            </w:r>
            <w:r>
              <w:rPr>
                <w:rFonts w:hint="eastAsia" w:hAnsi="宋体"/>
                <w:b/>
                <w:szCs w:val="21"/>
              </w:rPr>
              <w:t xml:space="preserve">   </w:t>
            </w:r>
            <w:r>
              <w:rPr>
                <w:rFonts w:hint="eastAsia" w:hAnsi="宋体"/>
                <w:b/>
                <w:szCs w:val="21"/>
                <w:lang w:val="en-US" w:eastAsia="zh-CN"/>
              </w:rPr>
              <w:t>特征污染物监测结果</w:t>
            </w:r>
          </w:p>
          <w:tbl>
            <w:tblPr>
              <w:tblStyle w:val="76"/>
              <w:tblW w:w="89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23"/>
              <w:gridCol w:w="1060"/>
              <w:gridCol w:w="776"/>
              <w:gridCol w:w="948"/>
              <w:gridCol w:w="816"/>
              <w:gridCol w:w="960"/>
              <w:gridCol w:w="934"/>
              <w:gridCol w:w="864"/>
              <w:gridCol w:w="916"/>
              <w:gridCol w:w="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923"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检测点位</w:t>
                  </w:r>
                </w:p>
              </w:tc>
              <w:tc>
                <w:tcPr>
                  <w:tcW w:w="1060"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检测项目</w:t>
                  </w:r>
                </w:p>
              </w:tc>
              <w:tc>
                <w:tcPr>
                  <w:tcW w:w="6214" w:type="dxa"/>
                  <w:gridSpan w:val="7"/>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检测结果</w:t>
                  </w:r>
                </w:p>
              </w:tc>
              <w:tc>
                <w:tcPr>
                  <w:tcW w:w="732"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92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b/>
                      <w:bCs/>
                      <w:spacing w:val="0"/>
                      <w:sz w:val="18"/>
                      <w:szCs w:val="18"/>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b/>
                      <w:bCs/>
                      <w:spacing w:val="0"/>
                      <w:sz w:val="18"/>
                      <w:szCs w:val="18"/>
                    </w:rPr>
                  </w:pPr>
                </w:p>
              </w:tc>
              <w:tc>
                <w:tcPr>
                  <w:tcW w:w="77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第一天</w:t>
                  </w:r>
                </w:p>
              </w:tc>
              <w:tc>
                <w:tcPr>
                  <w:tcW w:w="948"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第二天</w:t>
                  </w:r>
                </w:p>
              </w:tc>
              <w:tc>
                <w:tcPr>
                  <w:tcW w:w="8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第三天</w:t>
                  </w:r>
                </w:p>
              </w:tc>
              <w:tc>
                <w:tcPr>
                  <w:tcW w:w="96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第四天</w:t>
                  </w:r>
                </w:p>
              </w:tc>
              <w:tc>
                <w:tcPr>
                  <w:tcW w:w="93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第五天</w:t>
                  </w:r>
                </w:p>
              </w:tc>
              <w:tc>
                <w:tcPr>
                  <w:tcW w:w="86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第六天</w:t>
                  </w:r>
                </w:p>
              </w:tc>
              <w:tc>
                <w:tcPr>
                  <w:tcW w:w="9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第七天</w:t>
                  </w:r>
                </w:p>
              </w:tc>
              <w:tc>
                <w:tcPr>
                  <w:tcW w:w="7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b/>
                      <w:bCs/>
                      <w:spacing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923"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position w:val="-2"/>
                      <w:sz w:val="18"/>
                      <w:szCs w:val="18"/>
                    </w:rPr>
                    <w:t>1#项目沥</w:t>
                  </w:r>
                  <w:r>
                    <w:rPr>
                      <w:rFonts w:hint="default" w:ascii="Arial" w:hAnsi="Arial" w:cs="Arial"/>
                      <w:spacing w:val="0"/>
                      <w:sz w:val="18"/>
                      <w:szCs w:val="18"/>
                    </w:rPr>
                    <w:t>青拌合站所在区域</w:t>
                  </w:r>
                </w:p>
              </w:tc>
              <w:tc>
                <w:tcPr>
                  <w:tcW w:w="106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苯并[a]芘</w:t>
                  </w:r>
                </w:p>
              </w:tc>
              <w:tc>
                <w:tcPr>
                  <w:tcW w:w="77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948"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8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96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93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86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9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未检出</w:t>
                  </w:r>
                </w:p>
              </w:tc>
              <w:tc>
                <w:tcPr>
                  <w:tcW w:w="73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ng/m³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923" w:type="dxa"/>
                  <w:vMerge w:val="continue"/>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spacing w:val="0"/>
                      <w:sz w:val="18"/>
                      <w:szCs w:val="18"/>
                    </w:rPr>
                  </w:pPr>
                </w:p>
              </w:tc>
              <w:tc>
                <w:tcPr>
                  <w:tcW w:w="106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TSP</w:t>
                  </w:r>
                </w:p>
              </w:tc>
              <w:tc>
                <w:tcPr>
                  <w:tcW w:w="77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0.127</w:t>
                  </w:r>
                </w:p>
              </w:tc>
              <w:tc>
                <w:tcPr>
                  <w:tcW w:w="948"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0.133</w:t>
                  </w:r>
                </w:p>
              </w:tc>
              <w:tc>
                <w:tcPr>
                  <w:tcW w:w="8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0.110</w:t>
                  </w:r>
                </w:p>
              </w:tc>
              <w:tc>
                <w:tcPr>
                  <w:tcW w:w="96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0.121</w:t>
                  </w:r>
                </w:p>
              </w:tc>
              <w:tc>
                <w:tcPr>
                  <w:tcW w:w="93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0.130</w:t>
                  </w:r>
                </w:p>
              </w:tc>
              <w:tc>
                <w:tcPr>
                  <w:tcW w:w="86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0.135</w:t>
                  </w:r>
                </w:p>
              </w:tc>
              <w:tc>
                <w:tcPr>
                  <w:tcW w:w="916"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0.142</w:t>
                  </w:r>
                </w:p>
              </w:tc>
              <w:tc>
                <w:tcPr>
                  <w:tcW w:w="73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mg/m³</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000000"/>
                <w:sz w:val="24"/>
                <w:szCs w:val="24"/>
              </w:rPr>
            </w:pPr>
            <w:r>
              <w:rPr>
                <w:rFonts w:hint="eastAsia" w:ascii="Times New Roman" w:hAnsi="Times New Roman" w:eastAsia="宋体" w:cs="Times New Roman"/>
                <w:b/>
                <w:bCs w:val="0"/>
                <w:sz w:val="24"/>
                <w:lang w:val="en-US" w:eastAsia="zh-CN"/>
              </w:rPr>
              <w:t xml:space="preserve">② </w:t>
            </w:r>
            <w:r>
              <w:rPr>
                <w:rFonts w:ascii="宋体" w:hAnsi="宋体"/>
                <w:b/>
                <w:bCs/>
                <w:color w:val="000000"/>
                <w:sz w:val="24"/>
                <w:szCs w:val="24"/>
              </w:rPr>
              <w:t>大气环境质量现状评价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000000"/>
                <w:sz w:val="24"/>
                <w:szCs w:val="24"/>
              </w:rPr>
            </w:pPr>
            <w:r>
              <w:rPr>
                <w:rFonts w:hint="eastAsia" w:ascii="宋体" w:hAnsi="宋体"/>
                <w:b/>
                <w:bCs/>
                <w:color w:val="000000"/>
                <w:sz w:val="24"/>
                <w:szCs w:val="24"/>
                <w:lang w:val="en-US" w:eastAsia="zh-CN"/>
              </w:rPr>
              <w:t>A、</w:t>
            </w:r>
            <w:r>
              <w:rPr>
                <w:rFonts w:ascii="宋体" w:hAnsi="宋体"/>
                <w:b/>
                <w:bCs/>
                <w:color w:val="000000"/>
                <w:sz w:val="24"/>
                <w:szCs w:val="24"/>
              </w:rPr>
              <w:t>评价标准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Arial" w:hAnsi="Arial" w:cs="Arial"/>
                <w:color w:val="000000"/>
                <w:sz w:val="24"/>
                <w:szCs w:val="24"/>
              </w:rPr>
            </w:pPr>
            <w:r>
              <w:rPr>
                <w:rFonts w:hint="eastAsia" w:ascii="Arial" w:hAnsi="Arial" w:cs="Arial"/>
                <w:color w:val="000000"/>
                <w:sz w:val="24"/>
                <w:szCs w:val="24"/>
              </w:rPr>
              <w:t>《环境空气质量标准》（GB3095-2012）</w:t>
            </w:r>
            <w:r>
              <w:rPr>
                <w:rFonts w:hint="eastAsia" w:ascii="Arial" w:hAnsi="Arial" w:cs="Arial"/>
                <w:color w:val="000000"/>
                <w:sz w:val="24"/>
                <w:szCs w:val="24"/>
                <w:lang w:val="en-US" w:eastAsia="zh-CN"/>
              </w:rPr>
              <w:t>二级标准</w:t>
            </w:r>
            <w:r>
              <w:rPr>
                <w:rFonts w:ascii="Arial" w:hAnsi="Arial" w:cs="Arial"/>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000000"/>
                <w:sz w:val="24"/>
                <w:szCs w:val="24"/>
              </w:rPr>
            </w:pPr>
            <w:r>
              <w:rPr>
                <w:rFonts w:hint="eastAsia" w:ascii="宋体" w:hAnsi="宋体"/>
                <w:b/>
                <w:bCs/>
                <w:color w:val="000000"/>
                <w:sz w:val="24"/>
                <w:szCs w:val="24"/>
                <w:lang w:val="en-US" w:eastAsia="zh-CN"/>
              </w:rPr>
              <w:t>B、</w:t>
            </w:r>
            <w:r>
              <w:rPr>
                <w:rFonts w:ascii="宋体" w:hAnsi="宋体"/>
                <w:b/>
                <w:bCs/>
                <w:color w:val="000000"/>
                <w:sz w:val="24"/>
                <w:szCs w:val="24"/>
              </w:rPr>
              <w:t>评价方法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sz w:val="24"/>
                <w:szCs w:val="24"/>
              </w:rPr>
            </w:pPr>
            <w:r>
              <w:rPr>
                <w:rFonts w:ascii="宋体" w:hAnsi="宋体"/>
                <w:color w:val="000000"/>
                <w:sz w:val="24"/>
                <w:szCs w:val="24"/>
              </w:rPr>
              <w:t>采用单项指数法进行，其数学模式为：</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color w:val="000000"/>
                <w:sz w:val="24"/>
                <w:szCs w:val="24"/>
              </w:rPr>
            </w:pPr>
            <w:r>
              <w:rPr>
                <w:sz w:val="24"/>
                <w:szCs w:val="24"/>
              </w:rPr>
              <w:drawing>
                <wp:inline distT="0" distB="0" distL="0" distR="0">
                  <wp:extent cx="523875" cy="428625"/>
                  <wp:effectExtent l="0" t="0" r="0" b="0"/>
                  <wp:docPr id="79" name="图片 55" descr="E:\2021报告\Lenovo\AppData\Local\Temp\ksohtml137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descr="E:\2021报告\Lenovo\AppData\Local\Temp\ksohtml13752\wps1.png"/>
                          <pic:cNvPicPr>
                            <a:picLocks noChangeAspect="1" noChangeArrowheads="1"/>
                          </pic:cNvPicPr>
                        </pic:nvPicPr>
                        <pic:blipFill>
                          <a:blip r:embed="rId19"/>
                          <a:srcRect/>
                          <a:stretch>
                            <a:fillRect/>
                          </a:stretch>
                        </pic:blipFill>
                        <pic:spPr>
                          <a:xfrm>
                            <a:off x="0" y="0"/>
                            <a:ext cx="523875" cy="42862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sz w:val="24"/>
                <w:szCs w:val="24"/>
              </w:rPr>
            </w:pPr>
            <w:r>
              <w:rPr>
                <w:rFonts w:ascii="宋体" w:hAnsi="宋体"/>
                <w:color w:val="000000"/>
                <w:sz w:val="24"/>
                <w:szCs w:val="24"/>
              </w:rPr>
              <w:t>式中：</w:t>
            </w:r>
            <w:r>
              <w:rPr>
                <w:color w:val="000000"/>
                <w:sz w:val="24"/>
                <w:szCs w:val="24"/>
              </w:rPr>
              <w:t>Pi……I</w:t>
            </w:r>
            <w:r>
              <w:rPr>
                <w:rFonts w:ascii="宋体" w:hAnsi="宋体"/>
                <w:color w:val="000000"/>
                <w:sz w:val="24"/>
                <w:szCs w:val="24"/>
              </w:rPr>
              <w:t>种污染物的单项指数</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color w:val="000000"/>
                <w:sz w:val="24"/>
                <w:szCs w:val="24"/>
              </w:rPr>
            </w:pPr>
            <w:r>
              <w:rPr>
                <w:color w:val="000000"/>
                <w:sz w:val="24"/>
                <w:szCs w:val="24"/>
              </w:rPr>
              <w:t>Ci……I</w:t>
            </w:r>
            <w:r>
              <w:rPr>
                <w:rFonts w:ascii="宋体" w:hAnsi="宋体"/>
                <w:color w:val="000000"/>
                <w:sz w:val="24"/>
                <w:szCs w:val="24"/>
              </w:rPr>
              <w:t>种污染物的实测浓度（</w:t>
            </w:r>
            <w:r>
              <w:rPr>
                <w:color w:val="000000"/>
                <w:sz w:val="24"/>
                <w:szCs w:val="24"/>
              </w:rPr>
              <w:t>mg/m</w:t>
            </w:r>
            <w:r>
              <w:rPr>
                <w:color w:val="000000"/>
                <w:sz w:val="24"/>
                <w:szCs w:val="24"/>
                <w:vertAlign w:val="superscript"/>
              </w:rPr>
              <w:t>3</w:t>
            </w:r>
            <w:r>
              <w:rPr>
                <w:rFonts w:ascii="宋体" w:hAnsi="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ascii="宋体" w:hAnsi="宋体"/>
                <w:b/>
                <w:bCs/>
                <w:color w:val="000000"/>
                <w:sz w:val="24"/>
                <w:szCs w:val="24"/>
              </w:rPr>
            </w:pPr>
            <w:r>
              <w:rPr>
                <w:color w:val="000000"/>
                <w:sz w:val="24"/>
                <w:szCs w:val="24"/>
              </w:rPr>
              <w:t>Si……I</w:t>
            </w:r>
            <w:r>
              <w:rPr>
                <w:rFonts w:ascii="宋体" w:hAnsi="宋体"/>
                <w:color w:val="000000"/>
                <w:sz w:val="24"/>
                <w:szCs w:val="24"/>
              </w:rPr>
              <w:t>种污染物评价标准（</w:t>
            </w:r>
            <w:r>
              <w:rPr>
                <w:color w:val="000000"/>
                <w:sz w:val="24"/>
                <w:szCs w:val="24"/>
              </w:rPr>
              <w:t>mg/m</w:t>
            </w:r>
            <w:r>
              <w:rPr>
                <w:color w:val="000000"/>
                <w:sz w:val="24"/>
                <w:szCs w:val="24"/>
                <w:vertAlign w:val="superscript"/>
              </w:rPr>
              <w:t>3</w:t>
            </w:r>
            <w:r>
              <w:rPr>
                <w:rFonts w:ascii="宋体" w:hAnsi="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000000"/>
                <w:sz w:val="24"/>
                <w:szCs w:val="24"/>
              </w:rPr>
            </w:pPr>
            <w:r>
              <w:rPr>
                <w:rFonts w:hint="eastAsia" w:ascii="宋体" w:hAnsi="宋体"/>
                <w:b/>
                <w:bCs/>
                <w:color w:val="000000"/>
                <w:sz w:val="24"/>
                <w:szCs w:val="24"/>
                <w:lang w:val="en-US" w:eastAsia="zh-CN"/>
              </w:rPr>
              <w:t>C、</w:t>
            </w:r>
            <w:r>
              <w:rPr>
                <w:rFonts w:ascii="宋体" w:hAnsi="宋体"/>
                <w:b/>
                <w:bCs/>
                <w:color w:val="000000"/>
                <w:sz w:val="24"/>
                <w:szCs w:val="24"/>
              </w:rPr>
              <w:t>监测及评价结果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color w:val="000000"/>
                <w:sz w:val="24"/>
                <w:szCs w:val="24"/>
              </w:rPr>
            </w:pPr>
            <w:r>
              <w:rPr>
                <w:rFonts w:ascii="宋体" w:hAnsi="宋体"/>
                <w:color w:val="000000"/>
                <w:sz w:val="24"/>
                <w:szCs w:val="24"/>
              </w:rPr>
              <w:t>监测结果见表</w:t>
            </w:r>
            <w:r>
              <w:rPr>
                <w:color w:val="000000"/>
                <w:sz w:val="24"/>
                <w:szCs w:val="24"/>
              </w:rPr>
              <w:t>3-</w:t>
            </w:r>
            <w:r>
              <w:rPr>
                <w:rFonts w:hint="eastAsia"/>
                <w:color w:val="000000"/>
                <w:sz w:val="24"/>
                <w:szCs w:val="24"/>
                <w:lang w:val="en-US" w:eastAsia="zh-CN"/>
              </w:rPr>
              <w:t>3</w:t>
            </w:r>
            <w:r>
              <w:rPr>
                <w:rFonts w:ascii="宋体" w:hAnsi="宋体"/>
                <w:color w:val="000000"/>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0"/>
              <w:jc w:val="center"/>
              <w:textAlignment w:val="auto"/>
              <w:outlineLvl w:val="1"/>
              <w:rPr>
                <w:rFonts w:ascii="宋体" w:hAnsi="宋体"/>
                <w:b/>
                <w:bCs/>
                <w:color w:val="000000"/>
              </w:rPr>
            </w:pPr>
            <w:r>
              <w:rPr>
                <w:rFonts w:hint="eastAsia" w:ascii="宋体" w:hAnsi="宋体"/>
                <w:b/>
                <w:bCs/>
                <w:color w:val="000000"/>
              </w:rPr>
              <w:t>表3-</w:t>
            </w:r>
            <w:r>
              <w:rPr>
                <w:rFonts w:hint="eastAsia" w:ascii="宋体" w:hAnsi="宋体"/>
                <w:b/>
                <w:bCs/>
                <w:color w:val="000000"/>
                <w:lang w:val="en-US" w:eastAsia="zh-CN"/>
              </w:rPr>
              <w:t>3</w:t>
            </w:r>
            <w:r>
              <w:rPr>
                <w:rFonts w:hint="eastAsia" w:ascii="宋体" w:hAnsi="宋体"/>
                <w:b/>
                <w:bCs/>
                <w:color w:val="000000"/>
              </w:rPr>
              <w:t xml:space="preserve"> </w:t>
            </w:r>
            <w:r>
              <w:rPr>
                <w:rFonts w:ascii="宋体" w:hAnsi="宋体"/>
                <w:b/>
                <w:bCs/>
                <w:color w:val="000000"/>
              </w:rPr>
              <w:t>项目所在地环境空气质量现状</w:t>
            </w:r>
            <w:r>
              <w:rPr>
                <w:rFonts w:hint="eastAsia" w:ascii="宋体" w:hAnsi="宋体"/>
                <w:b/>
                <w:bCs/>
                <w:color w:val="000000"/>
                <w:lang w:val="en-US" w:eastAsia="zh-CN"/>
              </w:rPr>
              <w:t>评价</w:t>
            </w:r>
            <w:r>
              <w:rPr>
                <w:rFonts w:ascii="宋体" w:hAnsi="宋体"/>
                <w:b/>
                <w:bCs/>
                <w:color w:val="000000"/>
              </w:rPr>
              <w:t>结果</w:t>
            </w:r>
            <w:r>
              <w:rPr>
                <w:rFonts w:hint="eastAsia" w:ascii="宋体" w:hAnsi="宋体"/>
                <w:b/>
                <w:bCs/>
                <w:color w:val="000000"/>
                <w:lang w:val="en-US" w:eastAsia="zh-CN"/>
              </w:rPr>
              <w:t>一览</w:t>
            </w:r>
            <w:r>
              <w:rPr>
                <w:rFonts w:ascii="宋体" w:hAnsi="宋体"/>
                <w:b/>
                <w:bCs/>
                <w:color w:val="000000"/>
              </w:rPr>
              <w:t>表</w:t>
            </w:r>
          </w:p>
          <w:tbl>
            <w:tblPr>
              <w:tblStyle w:val="76"/>
              <w:tblW w:w="485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6"/>
              <w:gridCol w:w="1030"/>
              <w:gridCol w:w="836"/>
              <w:gridCol w:w="1025"/>
              <w:gridCol w:w="881"/>
              <w:gridCol w:w="1035"/>
              <w:gridCol w:w="1117"/>
              <w:gridCol w:w="946"/>
              <w:gridCol w:w="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547"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检测点位</w:t>
                  </w:r>
                </w:p>
              </w:tc>
              <w:tc>
                <w:tcPr>
                  <w:tcW w:w="589"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检测项目</w:t>
                  </w:r>
                </w:p>
              </w:tc>
              <w:tc>
                <w:tcPr>
                  <w:tcW w:w="3863" w:type="pct"/>
                  <w:gridSpan w:val="7"/>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54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b/>
                      <w:bCs/>
                      <w:spacing w:val="0"/>
                      <w:sz w:val="18"/>
                      <w:szCs w:val="18"/>
                    </w:rPr>
                  </w:pPr>
                </w:p>
              </w:tc>
              <w:tc>
                <w:tcPr>
                  <w:tcW w:w="5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b/>
                      <w:bCs/>
                      <w:spacing w:val="0"/>
                      <w:sz w:val="18"/>
                      <w:szCs w:val="18"/>
                    </w:rPr>
                  </w:pPr>
                </w:p>
              </w:tc>
              <w:tc>
                <w:tcPr>
                  <w:tcW w:w="478"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第一天</w:t>
                  </w:r>
                </w:p>
              </w:tc>
              <w:tc>
                <w:tcPr>
                  <w:tcW w:w="586"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第二天</w:t>
                  </w:r>
                </w:p>
              </w:tc>
              <w:tc>
                <w:tcPr>
                  <w:tcW w:w="50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第三天</w:t>
                  </w:r>
                </w:p>
              </w:tc>
              <w:tc>
                <w:tcPr>
                  <w:tcW w:w="592"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第四天</w:t>
                  </w:r>
                </w:p>
              </w:tc>
              <w:tc>
                <w:tcPr>
                  <w:tcW w:w="639"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第五天</w:t>
                  </w:r>
                </w:p>
              </w:tc>
              <w:tc>
                <w:tcPr>
                  <w:tcW w:w="541"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第六天</w:t>
                  </w:r>
                </w:p>
              </w:tc>
              <w:tc>
                <w:tcPr>
                  <w:tcW w:w="518"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b/>
                      <w:bCs/>
                      <w:spacing w:val="0"/>
                      <w:sz w:val="18"/>
                      <w:szCs w:val="18"/>
                    </w:rPr>
                  </w:pPr>
                  <w:r>
                    <w:rPr>
                      <w:rFonts w:hint="default" w:ascii="Arial" w:hAnsi="Arial" w:cs="Arial"/>
                      <w:b/>
                      <w:bCs/>
                      <w:spacing w:val="0"/>
                      <w:sz w:val="18"/>
                      <w:szCs w:val="18"/>
                    </w:rPr>
                    <w:t>第七天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547" w:type="pct"/>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position w:val="-2"/>
                      <w:sz w:val="18"/>
                      <w:szCs w:val="18"/>
                    </w:rPr>
                    <w:t>1#项目沥</w:t>
                  </w:r>
                  <w:r>
                    <w:rPr>
                      <w:rFonts w:hint="default" w:ascii="Arial" w:hAnsi="Arial" w:cs="Arial"/>
                      <w:spacing w:val="0"/>
                      <w:sz w:val="18"/>
                      <w:szCs w:val="18"/>
                    </w:rPr>
                    <w:t>青拌合站所在区域</w:t>
                  </w:r>
                </w:p>
              </w:tc>
              <w:tc>
                <w:tcPr>
                  <w:tcW w:w="589"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苯并[a]芘</w:t>
                  </w:r>
                </w:p>
              </w:tc>
              <w:tc>
                <w:tcPr>
                  <w:tcW w:w="478"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w:t>
                  </w:r>
                </w:p>
              </w:tc>
              <w:tc>
                <w:tcPr>
                  <w:tcW w:w="5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c>
                <w:tcPr>
                  <w:tcW w:w="5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c>
                <w:tcPr>
                  <w:tcW w:w="6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547" w:type="pct"/>
                  <w:vMerge w:val="continue"/>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Arial" w:hAnsi="Arial" w:cs="Arial"/>
                      <w:spacing w:val="0"/>
                      <w:sz w:val="18"/>
                      <w:szCs w:val="18"/>
                    </w:rPr>
                  </w:pPr>
                </w:p>
              </w:tc>
              <w:tc>
                <w:tcPr>
                  <w:tcW w:w="589"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cs="Arial"/>
                      <w:spacing w:val="0"/>
                      <w:sz w:val="18"/>
                      <w:szCs w:val="18"/>
                    </w:rPr>
                  </w:pPr>
                  <w:r>
                    <w:rPr>
                      <w:rFonts w:hint="default" w:ascii="Arial" w:hAnsi="Arial" w:cs="Arial"/>
                      <w:spacing w:val="0"/>
                      <w:sz w:val="18"/>
                      <w:szCs w:val="18"/>
                    </w:rPr>
                    <w:t>TSP</w:t>
                  </w:r>
                </w:p>
              </w:tc>
              <w:tc>
                <w:tcPr>
                  <w:tcW w:w="478"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0.42</w:t>
                  </w:r>
                </w:p>
              </w:tc>
              <w:tc>
                <w:tcPr>
                  <w:tcW w:w="586"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0.10</w:t>
                  </w:r>
                </w:p>
              </w:tc>
              <w:tc>
                <w:tcPr>
                  <w:tcW w:w="504"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0.048</w:t>
                  </w:r>
                </w:p>
              </w:tc>
              <w:tc>
                <w:tcPr>
                  <w:tcW w:w="592"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0.037</w:t>
                  </w:r>
                </w:p>
              </w:tc>
              <w:tc>
                <w:tcPr>
                  <w:tcW w:w="639"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0.03</w:t>
                  </w:r>
                </w:p>
              </w:tc>
              <w:tc>
                <w:tcPr>
                  <w:tcW w:w="541"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0.025</w:t>
                  </w:r>
                </w:p>
              </w:tc>
              <w:tc>
                <w:tcPr>
                  <w:tcW w:w="518" w:type="pc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Arial" w:hAnsi="Arial" w:eastAsia="宋体" w:cs="Arial"/>
                      <w:spacing w:val="0"/>
                      <w:sz w:val="18"/>
                      <w:szCs w:val="18"/>
                      <w:lang w:val="en-US" w:eastAsia="zh-CN"/>
                    </w:rPr>
                  </w:pPr>
                  <w:r>
                    <w:rPr>
                      <w:rFonts w:hint="default" w:ascii="Arial" w:hAnsi="Arial" w:cs="Arial"/>
                      <w:spacing w:val="0"/>
                      <w:sz w:val="18"/>
                      <w:szCs w:val="18"/>
                      <w:lang w:val="en-US" w:eastAsia="zh-CN"/>
                    </w:rPr>
                    <w:t>0.023</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Arial" w:hAnsi="Arial" w:cs="Arial"/>
                <w:b/>
                <w:bCs/>
                <w:color w:val="000000"/>
                <w:sz w:val="24"/>
              </w:rPr>
            </w:pPr>
            <w:r>
              <w:rPr>
                <w:rFonts w:hint="default" w:ascii="Arial" w:hAnsi="Arial" w:cs="Arial"/>
                <w:b/>
                <w:bCs/>
                <w:color w:val="000000"/>
                <w:sz w:val="24"/>
                <w:lang w:val="en-US" w:eastAsia="zh-CN"/>
              </w:rPr>
              <w:t>③</w:t>
            </w:r>
            <w:r>
              <w:rPr>
                <w:rFonts w:hint="default" w:ascii="Arial" w:hAnsi="Arial" w:cs="Arial"/>
                <w:b/>
                <w:bCs/>
                <w:color w:val="000000"/>
                <w:sz w:val="24"/>
              </w:rPr>
              <w:t xml:space="preserve"> 环境空气质量现状评价结论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color w:val="000000"/>
                <w:sz w:val="24"/>
                <w:szCs w:val="24"/>
              </w:rPr>
            </w:pPr>
            <w:r>
              <w:rPr>
                <w:rFonts w:hint="default" w:ascii="Arial" w:hAnsi="Arial" w:eastAsia="宋体" w:cs="Arial"/>
                <w:color w:val="000000"/>
                <w:sz w:val="24"/>
                <w:szCs w:val="24"/>
              </w:rPr>
              <w:t>由环境空气质量现状评价结果可以看出，本项目所在区域的特征污染物T</w:t>
            </w:r>
            <w:r>
              <w:rPr>
                <w:rFonts w:hint="default" w:ascii="Arial" w:hAnsi="Arial" w:eastAsia="宋体" w:cs="Arial"/>
                <w:color w:val="000000"/>
                <w:sz w:val="24"/>
                <w:szCs w:val="24"/>
                <w:lang w:val="en-US" w:eastAsia="zh-CN"/>
              </w:rPr>
              <w:t>SP、苯并[a]芘</w:t>
            </w:r>
            <w:r>
              <w:rPr>
                <w:rFonts w:hint="default" w:ascii="Arial" w:hAnsi="Arial" w:eastAsia="宋体" w:cs="Arial"/>
                <w:color w:val="000000"/>
                <w:sz w:val="24"/>
                <w:szCs w:val="24"/>
              </w:rPr>
              <w:t>监测满足</w:t>
            </w:r>
            <w:r>
              <w:rPr>
                <w:rFonts w:hint="default" w:ascii="Arial" w:hAnsi="Arial" w:cs="Arial"/>
                <w:color w:val="000000"/>
                <w:sz w:val="24"/>
                <w:szCs w:val="24"/>
              </w:rPr>
              <w:t>《环境空气质量标准》（GB3095-2012）</w:t>
            </w:r>
            <w:r>
              <w:rPr>
                <w:rFonts w:hint="default" w:ascii="Arial" w:hAnsi="Arial" w:cs="Arial"/>
                <w:color w:val="000000"/>
                <w:sz w:val="24"/>
                <w:szCs w:val="24"/>
                <w:lang w:val="en-US" w:eastAsia="zh-CN"/>
              </w:rPr>
              <w:t>中二级标准</w:t>
            </w:r>
            <w:r>
              <w:rPr>
                <w:rFonts w:hint="default" w:ascii="Arial" w:hAnsi="Arial" w:eastAsia="宋体" w:cs="Arial"/>
                <w:color w:val="000000"/>
                <w:sz w:val="24"/>
                <w:szCs w:val="24"/>
                <w:lang w:val="en-US" w:eastAsia="zh-CN"/>
              </w:rPr>
              <w:t>限值</w:t>
            </w:r>
            <w:r>
              <w:rPr>
                <w:rFonts w:hint="default" w:ascii="Arial" w:hAnsi="Arial" w:eastAsia="宋体" w:cs="Arial"/>
                <w:color w:val="000000"/>
                <w:sz w:val="24"/>
                <w:szCs w:val="24"/>
              </w:rPr>
              <w:t>要求。</w:t>
            </w:r>
          </w:p>
          <w:p>
            <w:pPr>
              <w:keepNext w:val="0"/>
              <w:keepLines w:val="0"/>
              <w:pageBreakBefore w:val="0"/>
              <w:widowControl/>
              <w:kinsoku/>
              <w:wordWrap/>
              <w:overflowPunct/>
              <w:topLinePunct w:val="0"/>
              <w:autoSpaceDE/>
              <w:autoSpaceDN/>
              <w:bidi w:val="0"/>
              <w:adjustRightInd/>
              <w:snapToGrid/>
              <w:spacing w:line="360" w:lineRule="auto"/>
              <w:ind w:left="0" w:right="0" w:firstLine="482" w:firstLineChars="200"/>
              <w:jc w:val="left"/>
              <w:textAlignment w:val="auto"/>
              <w:rPr>
                <w:rFonts w:ascii="Arial" w:cs="Arial"/>
                <w:b/>
                <w:kern w:val="0"/>
                <w:sz w:val="24"/>
                <w:lang w:val="zh-CN"/>
              </w:rPr>
            </w:pPr>
            <w:r>
              <w:rPr>
                <w:rFonts w:hint="eastAsia" w:ascii="Arial" w:cs="Arial"/>
                <w:b/>
                <w:kern w:val="0"/>
                <w:sz w:val="24"/>
                <w:lang w:val="zh-CN"/>
              </w:rPr>
              <w:t>2</w:t>
            </w:r>
            <w:r>
              <w:rPr>
                <w:rFonts w:ascii="Arial" w:cs="Arial"/>
                <w:b/>
                <w:kern w:val="0"/>
                <w:sz w:val="24"/>
                <w:lang w:val="zh-CN"/>
              </w:rPr>
              <w:t>、地表水环境质量现状监测及评价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ascii="宋体" w:hAnsi="宋体" w:eastAsia="宋体" w:cs="宋体"/>
                <w:sz w:val="24"/>
                <w:szCs w:val="24"/>
              </w:rPr>
            </w:pPr>
            <w:r>
              <w:rPr>
                <w:rFonts w:ascii="宋体" w:hAnsi="宋体" w:eastAsia="宋体" w:cs="宋体"/>
                <w:spacing w:val="1"/>
                <w:sz w:val="24"/>
                <w:szCs w:val="24"/>
              </w:rPr>
              <w:t>根据《环境影响评价技术导则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.3-2018</w:t>
            </w:r>
            <w:r>
              <w:rPr>
                <w:rFonts w:ascii="宋体" w:hAnsi="宋体" w:eastAsia="宋体" w:cs="宋体"/>
                <w:sz w:val="24"/>
                <w:szCs w:val="24"/>
              </w:rPr>
              <w:t>）规定的地表水环境</w:t>
            </w:r>
            <w:r>
              <w:rPr>
                <w:rFonts w:ascii="宋体" w:hAnsi="宋体" w:eastAsia="宋体" w:cs="宋体"/>
                <w:spacing w:val="-2"/>
                <w:sz w:val="24"/>
                <w:szCs w:val="24"/>
              </w:rPr>
              <w:t>影响评价级别的判定方法确定项目地表水环境影响评价工作等级。</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ascii="宋体" w:hAnsi="宋体" w:eastAsia="宋体" w:cs="宋体"/>
                <w:sz w:val="24"/>
                <w:szCs w:val="24"/>
              </w:rPr>
            </w:pPr>
            <w:r>
              <w:rPr>
                <w:rFonts w:ascii="宋体" w:hAnsi="宋体" w:eastAsia="宋体" w:cs="宋体"/>
                <w:spacing w:val="-3"/>
                <w:sz w:val="24"/>
                <w:szCs w:val="24"/>
              </w:rPr>
              <w:t>施工期：依据《环境影响评价技术导则 地表水环境》（</w:t>
            </w:r>
            <w:r>
              <w:rPr>
                <w:rFonts w:ascii="Times New Roman" w:hAnsi="Times New Roman" w:eastAsia="Times New Roman" w:cs="Times New Roman"/>
                <w:spacing w:val="-3"/>
                <w:sz w:val="24"/>
                <w:szCs w:val="24"/>
              </w:rPr>
              <w:t>HJ2.3-2018</w:t>
            </w:r>
            <w:r>
              <w:rPr>
                <w:rFonts w:ascii="宋体" w:hAnsi="宋体" w:eastAsia="宋体" w:cs="宋体"/>
                <w:spacing w:val="-49"/>
                <w:sz w:val="24"/>
                <w:szCs w:val="24"/>
              </w:rPr>
              <w:t>），</w:t>
            </w:r>
            <w:r>
              <w:rPr>
                <w:rFonts w:ascii="宋体" w:hAnsi="宋体" w:eastAsia="宋体" w:cs="宋体"/>
                <w:spacing w:val="-3"/>
                <w:sz w:val="24"/>
                <w:szCs w:val="24"/>
              </w:rPr>
              <w:t>本工程施</w:t>
            </w:r>
            <w:r>
              <w:rPr>
                <w:rFonts w:ascii="宋体" w:hAnsi="宋体" w:eastAsia="宋体" w:cs="宋体"/>
                <w:spacing w:val="2"/>
                <w:sz w:val="24"/>
                <w:szCs w:val="24"/>
              </w:rPr>
              <w:t>工期为水污染影响型建设项目，施工期工程各类生产生活废（污）水将综合</w:t>
            </w:r>
            <w:r>
              <w:rPr>
                <w:rFonts w:ascii="宋体" w:hAnsi="宋体" w:eastAsia="宋体" w:cs="宋体"/>
                <w:spacing w:val="1"/>
                <w:sz w:val="24"/>
                <w:szCs w:val="24"/>
              </w:rPr>
              <w:t>利用不</w:t>
            </w:r>
            <w:r>
              <w:rPr>
                <w:rFonts w:ascii="宋体" w:hAnsi="宋体" w:eastAsia="宋体" w:cs="宋体"/>
                <w:spacing w:val="-1"/>
                <w:sz w:val="24"/>
                <w:szCs w:val="24"/>
              </w:rPr>
              <w:t>外排，因此确定施工期地表水评价等级为三级</w:t>
            </w:r>
            <w:r>
              <w:rPr>
                <w:rFonts w:ascii="Times New Roman" w:hAnsi="Times New Roman" w:eastAsia="Times New Roman" w:cs="Times New Roman"/>
                <w:spacing w:val="-1"/>
                <w:sz w:val="24"/>
                <w:szCs w:val="24"/>
              </w:rPr>
              <w:t>B</w:t>
            </w:r>
            <w:r>
              <w:rPr>
                <w:rFonts w:ascii="宋体" w:hAnsi="宋体" w:eastAsia="宋体" w:cs="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eastAsia" w:ascii="宋体" w:hAnsi="宋体" w:cs="宋体"/>
                <w:spacing w:val="-2"/>
                <w:sz w:val="24"/>
                <w:szCs w:val="24"/>
                <w:lang w:val="en-US" w:eastAsia="zh-CN"/>
              </w:rPr>
            </w:pPr>
            <w:r>
              <w:rPr>
                <w:rFonts w:ascii="宋体" w:hAnsi="宋体" w:eastAsia="宋体" w:cs="宋体"/>
                <w:spacing w:val="2"/>
                <w:sz w:val="24"/>
                <w:szCs w:val="24"/>
              </w:rPr>
              <w:t>运营期：本项目三合水库上坝址位于旺苍县东河镇辜家河中游，辜家河为东河左岸一级支流，河流规模属于小型河流，地表水水域功地表水水域功能要求为</w:t>
            </w:r>
            <w:r>
              <w:rPr>
                <w:rFonts w:ascii="Times New Roman" w:hAnsi="Times New Roman" w:eastAsia="Times New Roman" w:cs="Times New Roman"/>
                <w:spacing w:val="2"/>
                <w:sz w:val="24"/>
                <w:szCs w:val="24"/>
              </w:rPr>
              <w:t>Ⅲ</w:t>
            </w:r>
            <w:r>
              <w:rPr>
                <w:rFonts w:ascii="宋体" w:hAnsi="宋体" w:eastAsia="宋体" w:cs="宋体"/>
                <w:spacing w:val="2"/>
                <w:sz w:val="24"/>
                <w:szCs w:val="24"/>
              </w:rPr>
              <w:t>类。按照《环境</w:t>
            </w:r>
            <w:r>
              <w:rPr>
                <w:rFonts w:ascii="宋体" w:hAnsi="宋体" w:eastAsia="宋体" w:cs="宋体"/>
                <w:spacing w:val="7"/>
                <w:sz w:val="24"/>
                <w:szCs w:val="24"/>
              </w:rPr>
              <w:t>影响评价技术导则 地表水环境》（</w:t>
            </w:r>
            <w:r>
              <w:rPr>
                <w:rFonts w:ascii="Times New Roman" w:hAnsi="Times New Roman" w:eastAsia="Times New Roman" w:cs="Times New Roman"/>
                <w:sz w:val="24"/>
                <w:szCs w:val="24"/>
              </w:rPr>
              <w:t>HJ</w:t>
            </w:r>
            <w:r>
              <w:rPr>
                <w:rFonts w:ascii="Times New Roman" w:hAnsi="Times New Roman" w:eastAsia="Times New Roman" w:cs="Times New Roman"/>
                <w:spacing w:val="7"/>
                <w:sz w:val="24"/>
                <w:szCs w:val="24"/>
              </w:rPr>
              <w:t>2.3-2018</w:t>
            </w:r>
            <w:r>
              <w:rPr>
                <w:rFonts w:ascii="宋体" w:hAnsi="宋体" w:eastAsia="宋体" w:cs="宋体"/>
                <w:spacing w:val="6"/>
                <w:sz w:val="24"/>
                <w:szCs w:val="24"/>
              </w:rPr>
              <w:t>）本项目为水文要素影响型建设项</w:t>
            </w:r>
            <w:r>
              <w:rPr>
                <w:rFonts w:ascii="宋体" w:hAnsi="宋体" w:eastAsia="宋体" w:cs="宋体"/>
                <w:spacing w:val="1"/>
                <w:sz w:val="24"/>
                <w:szCs w:val="24"/>
              </w:rPr>
              <w:t>目</w:t>
            </w:r>
            <w:r>
              <w:rPr>
                <w:rFonts w:hint="eastAsia" w:ascii="宋体" w:hAnsi="宋体" w:cs="宋体"/>
                <w:spacing w:val="1"/>
                <w:sz w:val="24"/>
                <w:szCs w:val="24"/>
                <w:lang w:eastAsia="zh-CN"/>
              </w:rPr>
              <w:t>。</w:t>
            </w:r>
            <w:r>
              <w:rPr>
                <w:rFonts w:ascii="宋体" w:hAnsi="宋体" w:eastAsia="宋体" w:cs="宋体"/>
                <w:spacing w:val="-3"/>
                <w:sz w:val="24"/>
                <w:szCs w:val="24"/>
              </w:rPr>
              <w:t>依据水文要素影</w:t>
            </w:r>
            <w:r>
              <w:rPr>
                <w:rFonts w:ascii="宋体" w:hAnsi="宋体" w:eastAsia="宋体" w:cs="宋体"/>
                <w:spacing w:val="-1"/>
                <w:sz w:val="24"/>
                <w:szCs w:val="24"/>
              </w:rPr>
              <w:t>响型建设项目评价等级判定表，本项目地表水环境影响</w:t>
            </w:r>
            <w:r>
              <w:rPr>
                <w:rFonts w:ascii="宋体" w:hAnsi="宋体" w:eastAsia="宋体" w:cs="宋体"/>
                <w:spacing w:val="-2"/>
                <w:sz w:val="24"/>
                <w:szCs w:val="24"/>
              </w:rPr>
              <w:t>评价等级为一级。</w:t>
            </w:r>
            <w:r>
              <w:rPr>
                <w:rFonts w:hint="eastAsia" w:ascii="宋体" w:hAnsi="宋体" w:cs="宋体"/>
                <w:spacing w:val="-2"/>
                <w:sz w:val="24"/>
                <w:szCs w:val="24"/>
                <w:lang w:val="en-US" w:eastAsia="zh-CN"/>
              </w:rPr>
              <w:t>具体判断详见报告地表水专章。</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Times New Roman"/>
                <w:bCs/>
                <w:sz w:val="24"/>
                <w:szCs w:val="24"/>
                <w:lang w:val="en-US" w:eastAsia="zh-CN"/>
              </w:rPr>
            </w:pPr>
            <w:r>
              <w:rPr>
                <w:rFonts w:hint="eastAsia" w:ascii="宋体" w:hAnsi="宋体" w:cs="宋体"/>
                <w:spacing w:val="-2"/>
                <w:sz w:val="24"/>
                <w:szCs w:val="24"/>
                <w:lang w:val="en-US" w:eastAsia="zh-CN"/>
              </w:rPr>
              <w:t>为了说明项目所涉及地表水体水质现状，评价</w:t>
            </w:r>
            <w:r>
              <w:rPr>
                <w:rFonts w:hint="eastAsia" w:ascii="Times New Roman" w:hAnsi="Times New Roman" w:eastAsia="宋体" w:cs="Times New Roman"/>
                <w:bCs/>
                <w:sz w:val="24"/>
                <w:szCs w:val="24"/>
                <w:lang w:val="en-US" w:eastAsia="zh-CN"/>
              </w:rPr>
              <w:t>委托四川省天平检测技术有限公司分别于2024年03月26日-03月28日（枯水期）、</w:t>
            </w:r>
            <w:r>
              <w:rPr>
                <w:spacing w:val="-5"/>
                <w:sz w:val="24"/>
                <w:szCs w:val="24"/>
              </w:rPr>
              <w:t>06月15日-06月17日</w:t>
            </w:r>
            <w:r>
              <w:rPr>
                <w:rFonts w:hint="eastAsia"/>
                <w:spacing w:val="-5"/>
                <w:sz w:val="24"/>
                <w:szCs w:val="24"/>
                <w:lang w:eastAsia="zh-CN"/>
              </w:rPr>
              <w:t>（</w:t>
            </w:r>
            <w:r>
              <w:rPr>
                <w:rFonts w:hint="eastAsia" w:ascii="Times New Roman" w:hAnsi="Times New Roman" w:eastAsia="宋体" w:cs="Times New Roman"/>
                <w:bCs/>
                <w:sz w:val="24"/>
                <w:szCs w:val="24"/>
                <w:lang w:val="en-US" w:eastAsia="zh-CN"/>
              </w:rPr>
              <w:t>丰水期</w:t>
            </w:r>
            <w:r>
              <w:rPr>
                <w:rFonts w:hint="eastAsia"/>
                <w:spacing w:val="-5"/>
                <w:sz w:val="24"/>
                <w:szCs w:val="24"/>
                <w:lang w:eastAsia="zh-CN"/>
              </w:rPr>
              <w:t>）</w:t>
            </w:r>
            <w:r>
              <w:rPr>
                <w:rFonts w:hint="eastAsia" w:ascii="Times New Roman" w:hAnsi="Times New Roman" w:eastAsia="宋体" w:cs="Times New Roman"/>
                <w:bCs/>
                <w:sz w:val="24"/>
                <w:szCs w:val="24"/>
                <w:lang w:val="en-US" w:eastAsia="zh-CN"/>
              </w:rPr>
              <w:t>设置6个断面进行检测，但其中的5#断面辜家河下段吊角楼支管支沟（K3+990.04桩号处）在</w:t>
            </w:r>
            <w:r>
              <w:rPr>
                <w:rFonts w:hint="eastAsia"/>
                <w:spacing w:val="-5"/>
                <w:sz w:val="24"/>
                <w:szCs w:val="24"/>
                <w:lang w:val="en-US" w:eastAsia="zh-CN"/>
              </w:rPr>
              <w:t>监测期间均无水存在，不满足采样条件，故未开展监测，其余断面</w:t>
            </w:r>
            <w:r>
              <w:rPr>
                <w:rFonts w:hint="eastAsia" w:ascii="Times New Roman" w:hAnsi="Times New Roman" w:eastAsia="宋体" w:cs="Times New Roman"/>
                <w:bCs/>
                <w:sz w:val="24"/>
                <w:szCs w:val="24"/>
                <w:lang w:val="en-US" w:eastAsia="zh-CN"/>
              </w:rPr>
              <w:t>监测结果如下：</w:t>
            </w:r>
          </w:p>
          <w:p>
            <w:pPr>
              <w:keepNext w:val="0"/>
              <w:keepLines w:val="0"/>
              <w:pageBreakBefore w:val="0"/>
              <w:widowControl w:val="0"/>
              <w:kinsoku/>
              <w:wordWrap/>
              <w:overflowPunct/>
              <w:topLinePunct w:val="0"/>
              <w:autoSpaceDE/>
              <w:autoSpaceDN/>
              <w:bidi w:val="0"/>
              <w:adjustRightInd w:val="0"/>
              <w:snapToGrid/>
              <w:spacing w:line="360" w:lineRule="auto"/>
              <w:ind w:left="0" w:firstLine="0"/>
              <w:jc w:val="center"/>
              <w:textAlignment w:val="auto"/>
              <w:outlineLvl w:val="1"/>
              <w:rPr>
                <w:rFonts w:hint="eastAsia" w:ascii="宋体" w:hAnsi="宋体" w:eastAsia="宋体" w:cs="Times New Roman"/>
                <w:b/>
                <w:bCs/>
                <w:color w:val="000000"/>
                <w:lang w:eastAsia="zh-CN"/>
              </w:rPr>
            </w:pPr>
            <w:r>
              <w:rPr>
                <w:rFonts w:hint="eastAsia" w:ascii="宋体" w:hAnsi="宋体" w:eastAsia="宋体" w:cs="Times New Roman"/>
                <w:b/>
                <w:bCs/>
                <w:color w:val="000000"/>
              </w:rPr>
              <w:t>表</w:t>
            </w:r>
            <w:r>
              <w:rPr>
                <w:rFonts w:hint="eastAsia" w:ascii="宋体" w:hAnsi="宋体" w:eastAsia="宋体" w:cs="Times New Roman"/>
                <w:b/>
                <w:bCs/>
                <w:color w:val="000000"/>
                <w:lang w:val="en-US" w:eastAsia="zh-CN"/>
              </w:rPr>
              <w:t xml:space="preserve">3-4   </w:t>
            </w:r>
            <w:r>
              <w:rPr>
                <w:rFonts w:hint="eastAsia" w:ascii="宋体" w:hAnsi="宋体" w:eastAsia="宋体" w:cs="Times New Roman"/>
                <w:b/>
                <w:bCs/>
                <w:color w:val="000000"/>
              </w:rPr>
              <w:t xml:space="preserve"> 地表水检测</w:t>
            </w:r>
            <w:r>
              <w:rPr>
                <w:rFonts w:hint="eastAsia" w:ascii="宋体" w:hAnsi="宋体" w:eastAsia="宋体" w:cs="Times New Roman"/>
                <w:b/>
                <w:bCs/>
                <w:color w:val="000000"/>
                <w:lang w:val="en-US" w:eastAsia="zh-CN"/>
              </w:rPr>
              <w:t>及评价</w:t>
            </w:r>
            <w:r>
              <w:rPr>
                <w:rFonts w:hint="eastAsia" w:ascii="宋体" w:hAnsi="宋体" w:eastAsia="宋体" w:cs="Times New Roman"/>
                <w:b/>
                <w:bCs/>
                <w:color w:val="000000"/>
              </w:rPr>
              <w:t>结果</w:t>
            </w:r>
            <w:r>
              <w:rPr>
                <w:rFonts w:hint="eastAsia" w:ascii="宋体" w:hAnsi="宋体" w:eastAsia="宋体" w:cs="Times New Roman"/>
                <w:b/>
                <w:bCs/>
                <w:color w:val="000000"/>
                <w:lang w:eastAsia="zh-CN"/>
              </w:rPr>
              <w:t>（</w:t>
            </w:r>
            <w:r>
              <w:rPr>
                <w:rFonts w:hint="eastAsia" w:ascii="宋体" w:hAnsi="宋体" w:eastAsia="宋体" w:cs="Times New Roman"/>
                <w:b/>
                <w:bCs/>
                <w:color w:val="000000"/>
                <w:lang w:val="en-US" w:eastAsia="zh-CN"/>
              </w:rPr>
              <w:t>枯水期</w:t>
            </w:r>
            <w:r>
              <w:rPr>
                <w:rFonts w:hint="eastAsia" w:ascii="宋体" w:hAnsi="宋体" w:eastAsia="宋体" w:cs="Times New Roman"/>
                <w:b/>
                <w:bCs/>
                <w:color w:val="000000"/>
                <w:lang w:eastAsia="zh-CN"/>
              </w:rPr>
              <w:t>）</w:t>
            </w:r>
          </w:p>
          <w:tbl>
            <w:tblPr>
              <w:tblStyle w:val="76"/>
              <w:tblW w:w="90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8"/>
              <w:gridCol w:w="1204"/>
              <w:gridCol w:w="1120"/>
              <w:gridCol w:w="10"/>
              <w:gridCol w:w="1120"/>
              <w:gridCol w:w="1110"/>
              <w:gridCol w:w="1112"/>
              <w:gridCol w:w="8"/>
              <w:gridCol w:w="1110"/>
              <w:gridCol w:w="880"/>
              <w:gridCol w:w="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8"/>
                      <w:sz w:val="18"/>
                      <w:szCs w:val="18"/>
                    </w:rPr>
                  </w:pPr>
                  <w:r>
                    <w:rPr>
                      <w:rFonts w:hint="default" w:ascii="Arial" w:hAnsi="Arial" w:cs="Arial"/>
                      <w:b/>
                      <w:bCs/>
                      <w:spacing w:val="8"/>
                      <w:sz w:val="18"/>
                      <w:szCs w:val="18"/>
                    </w:rPr>
                    <w:t>采样</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8"/>
                      <w:sz w:val="18"/>
                      <w:szCs w:val="18"/>
                    </w:rPr>
                    <w:t>日</w:t>
                  </w:r>
                  <w:r>
                    <w:rPr>
                      <w:rFonts w:hint="default" w:ascii="Arial" w:hAnsi="Arial" w:cs="Arial"/>
                      <w:b/>
                      <w:bCs/>
                      <w:sz w:val="18"/>
                      <w:szCs w:val="18"/>
                    </w:rPr>
                    <w:t>期</w:t>
                  </w:r>
                </w:p>
              </w:tc>
              <w:tc>
                <w:tcPr>
                  <w:tcW w:w="120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0"/>
                      <w:sz w:val="18"/>
                      <w:szCs w:val="18"/>
                    </w:rPr>
                    <w:t>检测项目</w:t>
                  </w:r>
                </w:p>
              </w:tc>
              <w:tc>
                <w:tcPr>
                  <w:tcW w:w="225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1#监测断面大坝上</w:t>
                  </w:r>
                  <w:r>
                    <w:rPr>
                      <w:rFonts w:hint="default" w:ascii="Arial" w:hAnsi="Arial" w:cs="Arial"/>
                      <w:b/>
                      <w:bCs/>
                      <w:spacing w:val="-1"/>
                      <w:sz w:val="18"/>
                      <w:szCs w:val="18"/>
                    </w:rPr>
                    <w:t>游辜家河主要入库断</w:t>
                  </w:r>
                  <w:r>
                    <w:rPr>
                      <w:rFonts w:hint="default" w:ascii="Arial" w:hAnsi="Arial" w:cs="Arial"/>
                      <w:b/>
                      <w:bCs/>
                      <w:sz w:val="18"/>
                      <w:szCs w:val="18"/>
                    </w:rPr>
                    <w:t>面</w:t>
                  </w:r>
                </w:p>
              </w:tc>
              <w:tc>
                <w:tcPr>
                  <w:tcW w:w="223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z w:val="18"/>
                      <w:szCs w:val="18"/>
                    </w:rPr>
                    <w:t>2#监测断面坝前(取</w:t>
                  </w:r>
                  <w:r>
                    <w:rPr>
                      <w:rFonts w:hint="default" w:ascii="Arial" w:hAnsi="Arial" w:cs="Arial"/>
                      <w:b/>
                      <w:bCs/>
                      <w:spacing w:val="-16"/>
                      <w:sz w:val="18"/>
                      <w:szCs w:val="18"/>
                    </w:rPr>
                    <w:t>水口</w:t>
                  </w:r>
                  <w:r>
                    <w:rPr>
                      <w:rFonts w:hint="default" w:ascii="Arial" w:hAnsi="Arial" w:cs="Arial"/>
                      <w:b/>
                      <w:bCs/>
                      <w:spacing w:val="-45"/>
                      <w:sz w:val="18"/>
                      <w:szCs w:val="18"/>
                    </w:rPr>
                    <w:t xml:space="preserve"> </w:t>
                  </w:r>
                  <w:r>
                    <w:rPr>
                      <w:rFonts w:hint="default" w:ascii="Arial" w:hAnsi="Arial" w:cs="Arial"/>
                      <w:b/>
                      <w:bCs/>
                      <w:spacing w:val="-16"/>
                      <w:sz w:val="18"/>
                      <w:szCs w:val="18"/>
                    </w:rPr>
                    <w:t>)</w:t>
                  </w:r>
                  <w:r>
                    <w:rPr>
                      <w:rFonts w:hint="default" w:ascii="Arial" w:hAnsi="Arial" w:cs="Arial"/>
                      <w:b/>
                      <w:bCs/>
                      <w:spacing w:val="-43"/>
                      <w:sz w:val="18"/>
                      <w:szCs w:val="18"/>
                    </w:rPr>
                    <w:t xml:space="preserve"> </w:t>
                  </w:r>
                  <w:r>
                    <w:rPr>
                      <w:rFonts w:hint="default" w:ascii="Arial" w:hAnsi="Arial" w:cs="Arial"/>
                      <w:b/>
                      <w:bCs/>
                      <w:spacing w:val="-16"/>
                      <w:sz w:val="18"/>
                      <w:szCs w:val="18"/>
                    </w:rPr>
                    <w:t>处</w:t>
                  </w:r>
                </w:p>
              </w:tc>
              <w:tc>
                <w:tcPr>
                  <w:tcW w:w="199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3#监测断面大坝下游辜家河150米处</w:t>
                  </w:r>
                </w:p>
              </w:tc>
              <w:tc>
                <w:tcPr>
                  <w:tcW w:w="74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2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5"/>
                      <w:sz w:val="18"/>
                      <w:szCs w:val="18"/>
                    </w:rPr>
                    <w:t>03月</w:t>
                  </w:r>
                  <w:r>
                    <w:rPr>
                      <w:rFonts w:hint="default" w:ascii="Arial" w:hAnsi="Arial" w:cs="Arial"/>
                      <w:sz w:val="18"/>
                      <w:szCs w:val="18"/>
                    </w:rPr>
                    <w:t xml:space="preserve"> </w:t>
                  </w:r>
                  <w:r>
                    <w:rPr>
                      <w:rFonts w:hint="default" w:ascii="Arial" w:hAnsi="Arial" w:cs="Arial"/>
                      <w:spacing w:val="13"/>
                      <w:sz w:val="18"/>
                      <w:szCs w:val="18"/>
                    </w:rPr>
                    <w:t>26日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7.6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7.9</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7.8</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2.8</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13</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0.60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0.89</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0.03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0.02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0.02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0.219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0.300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0.482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IⅡ类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2.7×10</w:t>
                  </w:r>
                  <w:r>
                    <w:rPr>
                      <w:rFonts w:hint="default" w:ascii="Arial" w:hAnsi="Arial" w:cs="Arial"/>
                      <w:spacing w:val="-2"/>
                      <w:sz w:val="18"/>
                      <w:szCs w:val="18"/>
                      <w:vertAlign w:val="superscript"/>
                    </w:rPr>
                    <w:t>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2.2×10²</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3.3×102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1类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1"/>
                      <w:sz w:val="18"/>
                      <w:szCs w:val="18"/>
                    </w:rPr>
                    <w:t>I</w:t>
                  </w:r>
                  <w:r>
                    <w:rPr>
                      <w:rFonts w:hint="default" w:ascii="Arial" w:hAnsi="Arial" w:cs="Arial"/>
                      <w:spacing w:val="12"/>
                      <w:sz w:val="18"/>
                      <w:szCs w:val="18"/>
                    </w:rPr>
                    <w:t xml:space="preserve">  </w:t>
                  </w:r>
                  <w:r>
                    <w:rPr>
                      <w:rFonts w:hint="default" w:ascii="Arial" w:hAnsi="Arial" w:cs="Arial"/>
                      <w:spacing w:val="-11"/>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0.00004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氰化物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氟化物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0.102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0.103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0.089</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0.259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0.267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0.216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亚氯酸盐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叶绿素a</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13</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15</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11.2</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11.4</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12.1</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5"/>
                      <w:sz w:val="18"/>
                      <w:szCs w:val="18"/>
                    </w:rPr>
                    <w:t>03月</w:t>
                  </w:r>
                  <w:r>
                    <w:rPr>
                      <w:rFonts w:hint="default" w:ascii="Arial" w:hAnsi="Arial" w:cs="Arial"/>
                      <w:sz w:val="18"/>
                      <w:szCs w:val="18"/>
                    </w:rPr>
                    <w:t xml:space="preserve"> </w:t>
                  </w:r>
                  <w:r>
                    <w:rPr>
                      <w:rFonts w:hint="default" w:ascii="Arial" w:hAnsi="Arial" w:cs="Arial"/>
                      <w:spacing w:val="13"/>
                      <w:sz w:val="18"/>
                      <w:szCs w:val="18"/>
                    </w:rPr>
                    <w:t>27日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position w:val="-2"/>
                      <w:sz w:val="18"/>
                      <w:szCs w:val="18"/>
                    </w:rPr>
                    <w:t>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30</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0.66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0.89</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0.03</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0.243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0.321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0.477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3.1×10²</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2.6×10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3.1×10²</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0.00005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氰化物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氟化物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0.106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0.104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0.091</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0.257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0.322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0.261</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亚氯酸盐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叶绿素a</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9</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13</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15</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11.3</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11.6</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position w:val="-2"/>
                      <w:sz w:val="18"/>
                      <w:szCs w:val="18"/>
                    </w:rPr>
                    <w:t>12.2</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5"/>
                      <w:sz w:val="18"/>
                      <w:szCs w:val="18"/>
                    </w:rPr>
                    <w:t>03月</w:t>
                  </w:r>
                  <w:r>
                    <w:rPr>
                      <w:rFonts w:hint="default" w:ascii="Arial" w:hAnsi="Arial" w:cs="Arial"/>
                      <w:sz w:val="18"/>
                      <w:szCs w:val="18"/>
                    </w:rPr>
                    <w:t xml:space="preserve"> </w:t>
                  </w:r>
                  <w:r>
                    <w:rPr>
                      <w:rFonts w:hint="default" w:ascii="Arial" w:hAnsi="Arial" w:cs="Arial"/>
                      <w:spacing w:val="13"/>
                      <w:sz w:val="18"/>
                      <w:szCs w:val="18"/>
                    </w:rPr>
                    <w:t>28日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&lt;5</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2"/>
                      <w:sz w:val="18"/>
                      <w:szCs w:val="18"/>
                    </w:rPr>
                    <w:t>7.5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position w:val="-2"/>
                      <w:sz w:val="18"/>
                      <w:szCs w:val="18"/>
                    </w:rPr>
                    <w:t>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31</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2.5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0.60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0.89</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0.85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0.217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0.297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0.466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2.7×10</w:t>
                  </w:r>
                  <w:r>
                    <w:rPr>
                      <w:rFonts w:hint="default" w:ascii="Arial" w:hAnsi="Arial" w:cs="Arial"/>
                      <w:spacing w:val="-2"/>
                      <w:position w:val="-2"/>
                      <w:sz w:val="18"/>
                      <w:szCs w:val="18"/>
                      <w:vertAlign w:val="superscript"/>
                    </w:rPr>
                    <w:t>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2.1×10²</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3.3×10²</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0.0004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0.00004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0.0004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氰化物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氟化物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0.117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0.108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0.072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0.261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0.314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0.235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亚氯酸盐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氯酸盐</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&gt;30</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叶绿素a</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2"/>
                      <w:sz w:val="18"/>
                      <w:szCs w:val="18"/>
                    </w:rPr>
                    <w:t>11.6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2"/>
                      <w:sz w:val="18"/>
                      <w:szCs w:val="18"/>
                    </w:rPr>
                    <w:t>11.8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2"/>
                      <w:sz w:val="18"/>
                      <w:szCs w:val="18"/>
                    </w:rPr>
                    <w:t>12.6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2"/>
                      <w:sz w:val="18"/>
                      <w:szCs w:val="18"/>
                    </w:rPr>
                  </w:pPr>
                  <w:r>
                    <w:rPr>
                      <w:rFonts w:hint="default" w:ascii="Arial" w:hAnsi="Arial" w:cs="Arial"/>
                      <w:b/>
                      <w:bCs/>
                      <w:spacing w:val="-2"/>
                      <w:sz w:val="18"/>
                      <w:szCs w:val="18"/>
                    </w:rPr>
                    <w:t>采样</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日期</w:t>
                  </w:r>
                </w:p>
              </w:tc>
              <w:tc>
                <w:tcPr>
                  <w:tcW w:w="120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1"/>
                      <w:sz w:val="18"/>
                      <w:szCs w:val="18"/>
                    </w:rPr>
                    <w:t>检测项目</w:t>
                  </w:r>
                </w:p>
              </w:tc>
              <w:tc>
                <w:tcPr>
                  <w:tcW w:w="225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4#监测断面辜家河右岸支流陈家河(K0+420.18桩号</w:t>
                  </w:r>
                  <w:r>
                    <w:rPr>
                      <w:rFonts w:hint="default" w:ascii="Arial" w:hAnsi="Arial" w:cs="Arial"/>
                      <w:b/>
                      <w:bCs/>
                      <w:spacing w:val="-8"/>
                      <w:sz w:val="18"/>
                      <w:szCs w:val="18"/>
                    </w:rPr>
                    <w:t>处</w:t>
                  </w:r>
                  <w:r>
                    <w:rPr>
                      <w:rFonts w:hint="default" w:ascii="Arial" w:hAnsi="Arial" w:cs="Arial"/>
                      <w:b/>
                      <w:bCs/>
                      <w:spacing w:val="-43"/>
                      <w:sz w:val="18"/>
                      <w:szCs w:val="18"/>
                    </w:rPr>
                    <w:t xml:space="preserve"> </w:t>
                  </w:r>
                  <w:r>
                    <w:rPr>
                      <w:rFonts w:hint="default" w:ascii="Arial" w:hAnsi="Arial" w:cs="Arial"/>
                      <w:b/>
                      <w:bCs/>
                      <w:spacing w:val="-8"/>
                      <w:sz w:val="18"/>
                      <w:szCs w:val="18"/>
                    </w:rPr>
                    <w:t>)</w:t>
                  </w:r>
                </w:p>
              </w:tc>
              <w:tc>
                <w:tcPr>
                  <w:tcW w:w="2222"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6#监测断面旺苍东河左岸赵家沟支沟(主管桩号</w:t>
                  </w:r>
                  <w:r>
                    <w:rPr>
                      <w:rFonts w:hint="default" w:ascii="Arial" w:hAnsi="Arial" w:cs="Arial"/>
                      <w:b/>
                      <w:bCs/>
                      <w:spacing w:val="4"/>
                      <w:sz w:val="18"/>
                      <w:szCs w:val="18"/>
                    </w:rPr>
                    <w:t>K9+484.68处)</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pacing w:val="4"/>
                      <w:sz w:val="18"/>
                      <w:szCs w:val="18"/>
                    </w:rPr>
                  </w:pPr>
                </w:p>
              </w:tc>
              <w:tc>
                <w:tcPr>
                  <w:tcW w:w="74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4"/>
                      <w:sz w:val="18"/>
                      <w:szCs w:val="18"/>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2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pacing w:val="2"/>
                      <w:sz w:val="18"/>
                      <w:szCs w:val="18"/>
                    </w:rPr>
                  </w:pPr>
                </w:p>
              </w:tc>
              <w:tc>
                <w:tcPr>
                  <w:tcW w:w="7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default" w:ascii="Arial" w:hAnsi="Arial" w:cs="Arial"/>
                      <w:spacing w:val="2"/>
                      <w:sz w:val="18"/>
                      <w:szCs w:val="18"/>
                    </w:rPr>
                    <w:t>03月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26</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7.4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7.0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1.8</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2.3</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0.93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eastAsia="zh-CN"/>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0.90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0.04</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3"/>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0.417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0.165</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3"/>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3"/>
                      <w:sz w:val="18"/>
                      <w:szCs w:val="18"/>
                    </w:rPr>
                    <w:t>12.4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3"/>
                      <w:sz w:val="18"/>
                      <w:szCs w:val="18"/>
                    </w:rPr>
                    <w:t>13.4</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default" w:ascii="Arial" w:hAnsi="Arial" w:cs="Arial"/>
                      <w:spacing w:val="2"/>
                      <w:sz w:val="18"/>
                      <w:szCs w:val="18"/>
                    </w:rPr>
                    <w:t>03月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27</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3"/>
                      <w:sz w:val="18"/>
                      <w:szCs w:val="18"/>
                    </w:rPr>
                    <w:t>7.3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3"/>
                      <w:sz w:val="18"/>
                      <w:szCs w:val="18"/>
                    </w:rPr>
                    <w:t>7.1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2"/>
                      <w:sz w:val="18"/>
                      <w:szCs w:val="18"/>
                    </w:rPr>
                    <w:t>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position w:val="-3"/>
                      <w:sz w:val="18"/>
                      <w:szCs w:val="18"/>
                    </w:rPr>
                    <w:t>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0.91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0.92</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0.05</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3"/>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0.412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3"/>
                      <w:sz w:val="18"/>
                      <w:szCs w:val="18"/>
                    </w:rPr>
                    <w:t>0.170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3"/>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5"/>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3"/>
                      <w:sz w:val="18"/>
                      <w:szCs w:val="18"/>
                    </w:rPr>
                    <w:t>12.4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3"/>
                      <w:sz w:val="18"/>
                      <w:szCs w:val="18"/>
                    </w:rPr>
                    <w:t>13.1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pacing w:val="2"/>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default" w:ascii="Arial" w:hAnsi="Arial" w:cs="Arial"/>
                      <w:spacing w:val="2"/>
                      <w:sz w:val="18"/>
                      <w:szCs w:val="18"/>
                    </w:rPr>
                    <w:t>03月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28</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3"/>
                      <w:sz w:val="18"/>
                      <w:szCs w:val="18"/>
                    </w:rPr>
                    <w:t>7.2</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4"/>
                      <w:position w:val="-3"/>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4"/>
                      <w:position w:val="-3"/>
                      <w:sz w:val="18"/>
                      <w:szCs w:val="18"/>
                    </w:rPr>
                    <w:t>7.1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position w:val="-3"/>
                      <w:sz w:val="18"/>
                      <w:szCs w:val="18"/>
                    </w:rPr>
                    <w:t>8</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position w:val="-3"/>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position w:val="-3"/>
                      <w:sz w:val="18"/>
                      <w:szCs w:val="18"/>
                    </w:rPr>
                    <w:t>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2.1</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3"/>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3"/>
                      <w:position w:val="-3"/>
                      <w:sz w:val="18"/>
                      <w:szCs w:val="18"/>
                    </w:rPr>
                    <w:t>2.3</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position w:val="-3"/>
                      <w:sz w:val="18"/>
                      <w:szCs w:val="18"/>
                    </w:rPr>
                    <w:t>12</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7"/>
                      <w:position w:val="-3"/>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7"/>
                      <w:position w:val="-3"/>
                      <w:sz w:val="18"/>
                      <w:szCs w:val="18"/>
                    </w:rPr>
                    <w:t>13</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2"/>
                      <w:sz w:val="18"/>
                      <w:szCs w:val="18"/>
                    </w:rPr>
                    <w:t>0.93</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2"/>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3"/>
                      <w:position w:val="-2"/>
                      <w:sz w:val="18"/>
                      <w:szCs w:val="18"/>
                    </w:rPr>
                    <w:t>0.90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position w:val="-3"/>
                      <w:sz w:val="18"/>
                      <w:szCs w:val="18"/>
                    </w:rPr>
                    <w:t>0.04</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3"/>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3"/>
                      <w:position w:val="-3"/>
                      <w:sz w:val="18"/>
                      <w:szCs w:val="18"/>
                    </w:rPr>
                    <w:t>0.05</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3"/>
                      <w:sz w:val="18"/>
                      <w:szCs w:val="18"/>
                    </w:rPr>
                    <w:t>IⅡ类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position w:val="-2"/>
                      <w:sz w:val="18"/>
                      <w:szCs w:val="18"/>
                    </w:rPr>
                    <w:t>0.394</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2"/>
                      <w:position w:val="-2"/>
                      <w:sz w:val="18"/>
                      <w:szCs w:val="18"/>
                    </w:rPr>
                  </w:pPr>
                  <w:r>
                    <w:rPr>
                      <w:rFonts w:hint="default" w:ascii="Arial" w:hAnsi="Arial" w:cs="Arial"/>
                      <w:spacing w:val="3"/>
                      <w:sz w:val="18"/>
                      <w:szCs w:val="18"/>
                    </w:rPr>
                    <w:t>IⅡ类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2"/>
                      <w:position w:val="-2"/>
                      <w:sz w:val="18"/>
                      <w:szCs w:val="18"/>
                    </w:rPr>
                    <w:t>0.157</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z w:val="18"/>
                      <w:szCs w:val="18"/>
                    </w:rPr>
                    <w:t>II</w:t>
                  </w:r>
                  <w:r>
                    <w:rPr>
                      <w:rFonts w:hint="default" w:ascii="Arial" w:hAnsi="Arial" w:cs="Arial"/>
                      <w:spacing w:val="10"/>
                      <w:sz w:val="18"/>
                      <w:szCs w:val="18"/>
                    </w:rPr>
                    <w:t>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9"/>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9"/>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position w:val="-2"/>
                      <w:sz w:val="18"/>
                      <w:szCs w:val="18"/>
                    </w:rPr>
                    <w:t>12.9</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6"/>
                      <w:position w:val="-2"/>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6"/>
                      <w:position w:val="-2"/>
                      <w:sz w:val="18"/>
                      <w:szCs w:val="18"/>
                    </w:rPr>
                    <w:t>12.9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74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firstLine="0"/>
              <w:jc w:val="center"/>
              <w:textAlignment w:val="auto"/>
              <w:outlineLvl w:val="1"/>
              <w:rPr>
                <w:rFonts w:hint="eastAsia" w:ascii="宋体" w:hAnsi="宋体" w:eastAsia="宋体" w:cs="Times New Roman"/>
                <w:b/>
                <w:bCs/>
                <w:color w:val="000000"/>
              </w:rPr>
            </w:pPr>
          </w:p>
          <w:p>
            <w:pPr>
              <w:keepNext w:val="0"/>
              <w:keepLines w:val="0"/>
              <w:pageBreakBefore w:val="0"/>
              <w:widowControl w:val="0"/>
              <w:kinsoku/>
              <w:wordWrap/>
              <w:overflowPunct/>
              <w:topLinePunct w:val="0"/>
              <w:autoSpaceDE/>
              <w:autoSpaceDN/>
              <w:bidi w:val="0"/>
              <w:adjustRightInd w:val="0"/>
              <w:snapToGrid/>
              <w:spacing w:line="360" w:lineRule="auto"/>
              <w:ind w:left="0" w:firstLine="0"/>
              <w:jc w:val="center"/>
              <w:textAlignment w:val="auto"/>
              <w:outlineLvl w:val="1"/>
              <w:rPr>
                <w:rFonts w:hint="eastAsia" w:ascii="宋体" w:hAnsi="宋体" w:eastAsia="宋体" w:cs="Times New Roman"/>
                <w:b/>
                <w:bCs/>
                <w:color w:val="000000"/>
                <w:lang w:eastAsia="zh-CN"/>
              </w:rPr>
            </w:pPr>
            <w:r>
              <w:rPr>
                <w:rFonts w:hint="eastAsia" w:ascii="宋体" w:hAnsi="宋体" w:eastAsia="宋体" w:cs="Times New Roman"/>
                <w:b/>
                <w:bCs/>
                <w:color w:val="000000"/>
              </w:rPr>
              <w:t>表</w:t>
            </w:r>
            <w:r>
              <w:rPr>
                <w:rFonts w:hint="eastAsia" w:ascii="宋体" w:hAnsi="宋体" w:eastAsia="宋体" w:cs="Times New Roman"/>
                <w:b/>
                <w:bCs/>
                <w:color w:val="000000"/>
                <w:lang w:val="en-US" w:eastAsia="zh-CN"/>
              </w:rPr>
              <w:t xml:space="preserve">3-5   </w:t>
            </w:r>
            <w:r>
              <w:rPr>
                <w:rFonts w:hint="eastAsia" w:ascii="宋体" w:hAnsi="宋体" w:eastAsia="宋体" w:cs="Times New Roman"/>
                <w:b/>
                <w:bCs/>
                <w:color w:val="000000"/>
              </w:rPr>
              <w:t xml:space="preserve"> 地表水检测</w:t>
            </w:r>
            <w:r>
              <w:rPr>
                <w:rFonts w:hint="eastAsia" w:ascii="宋体" w:hAnsi="宋体" w:eastAsia="宋体" w:cs="Times New Roman"/>
                <w:b/>
                <w:bCs/>
                <w:color w:val="000000"/>
                <w:lang w:val="en-US" w:eastAsia="zh-CN"/>
              </w:rPr>
              <w:t>及评价</w:t>
            </w:r>
            <w:r>
              <w:rPr>
                <w:rFonts w:hint="eastAsia" w:ascii="宋体" w:hAnsi="宋体" w:eastAsia="宋体" w:cs="Times New Roman"/>
                <w:b/>
                <w:bCs/>
                <w:color w:val="000000"/>
              </w:rPr>
              <w:t>结果</w:t>
            </w:r>
            <w:r>
              <w:rPr>
                <w:rFonts w:hint="eastAsia" w:ascii="宋体" w:hAnsi="宋体" w:eastAsia="宋体" w:cs="Times New Roman"/>
                <w:b/>
                <w:bCs/>
                <w:color w:val="000000"/>
                <w:lang w:eastAsia="zh-CN"/>
              </w:rPr>
              <w:t>（</w:t>
            </w:r>
            <w:r>
              <w:rPr>
                <w:rFonts w:hint="eastAsia" w:ascii="宋体" w:hAnsi="宋体" w:eastAsia="宋体" w:cs="Times New Roman"/>
                <w:b/>
                <w:bCs/>
                <w:color w:val="000000"/>
                <w:lang w:val="en-US" w:eastAsia="zh-CN"/>
              </w:rPr>
              <w:t>丰水期</w:t>
            </w:r>
            <w:r>
              <w:rPr>
                <w:rFonts w:hint="eastAsia" w:ascii="宋体" w:hAnsi="宋体" w:eastAsia="宋体" w:cs="Times New Roman"/>
                <w:b/>
                <w:bCs/>
                <w:color w:val="000000"/>
                <w:lang w:eastAsia="zh-CN"/>
              </w:rPr>
              <w:t>）</w:t>
            </w:r>
          </w:p>
          <w:tbl>
            <w:tblPr>
              <w:tblStyle w:val="76"/>
              <w:tblW w:w="89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8"/>
              <w:gridCol w:w="1204"/>
              <w:gridCol w:w="1120"/>
              <w:gridCol w:w="10"/>
              <w:gridCol w:w="1120"/>
              <w:gridCol w:w="1110"/>
              <w:gridCol w:w="1112"/>
              <w:gridCol w:w="8"/>
              <w:gridCol w:w="1110"/>
              <w:gridCol w:w="880"/>
              <w:gridCol w:w="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8"/>
                      <w:sz w:val="18"/>
                      <w:szCs w:val="18"/>
                    </w:rPr>
                  </w:pPr>
                  <w:r>
                    <w:rPr>
                      <w:rFonts w:hint="default" w:ascii="Arial" w:hAnsi="Arial" w:cs="Arial"/>
                      <w:b/>
                      <w:bCs/>
                      <w:spacing w:val="8"/>
                      <w:sz w:val="18"/>
                      <w:szCs w:val="18"/>
                    </w:rPr>
                    <w:t>采样</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8"/>
                      <w:sz w:val="18"/>
                      <w:szCs w:val="18"/>
                    </w:rPr>
                    <w:t>日</w:t>
                  </w:r>
                  <w:r>
                    <w:rPr>
                      <w:rFonts w:hint="default" w:ascii="Arial" w:hAnsi="Arial" w:cs="Arial"/>
                      <w:b/>
                      <w:bCs/>
                      <w:sz w:val="18"/>
                      <w:szCs w:val="18"/>
                    </w:rPr>
                    <w:t>期</w:t>
                  </w:r>
                </w:p>
              </w:tc>
              <w:tc>
                <w:tcPr>
                  <w:tcW w:w="120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0"/>
                      <w:sz w:val="18"/>
                      <w:szCs w:val="18"/>
                    </w:rPr>
                    <w:t>检测项目</w:t>
                  </w:r>
                </w:p>
              </w:tc>
              <w:tc>
                <w:tcPr>
                  <w:tcW w:w="225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1#监测断面大坝上</w:t>
                  </w:r>
                  <w:r>
                    <w:rPr>
                      <w:rFonts w:hint="default" w:ascii="Arial" w:hAnsi="Arial" w:cs="Arial"/>
                      <w:b/>
                      <w:bCs/>
                      <w:spacing w:val="-1"/>
                      <w:sz w:val="18"/>
                      <w:szCs w:val="18"/>
                    </w:rPr>
                    <w:t>游辜家河主要入库断</w:t>
                  </w:r>
                  <w:r>
                    <w:rPr>
                      <w:rFonts w:hint="default" w:ascii="Arial" w:hAnsi="Arial" w:cs="Arial"/>
                      <w:b/>
                      <w:bCs/>
                      <w:sz w:val="18"/>
                      <w:szCs w:val="18"/>
                    </w:rPr>
                    <w:t>面</w:t>
                  </w:r>
                </w:p>
              </w:tc>
              <w:tc>
                <w:tcPr>
                  <w:tcW w:w="223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z w:val="18"/>
                      <w:szCs w:val="18"/>
                    </w:rPr>
                    <w:t>2#监测断面坝前(取</w:t>
                  </w:r>
                  <w:r>
                    <w:rPr>
                      <w:rFonts w:hint="default" w:ascii="Arial" w:hAnsi="Arial" w:cs="Arial"/>
                      <w:b/>
                      <w:bCs/>
                      <w:spacing w:val="-16"/>
                      <w:sz w:val="18"/>
                      <w:szCs w:val="18"/>
                    </w:rPr>
                    <w:t>水口</w:t>
                  </w:r>
                  <w:r>
                    <w:rPr>
                      <w:rFonts w:hint="default" w:ascii="Arial" w:hAnsi="Arial" w:cs="Arial"/>
                      <w:b/>
                      <w:bCs/>
                      <w:spacing w:val="-45"/>
                      <w:sz w:val="18"/>
                      <w:szCs w:val="18"/>
                    </w:rPr>
                    <w:t xml:space="preserve"> </w:t>
                  </w:r>
                  <w:r>
                    <w:rPr>
                      <w:rFonts w:hint="default" w:ascii="Arial" w:hAnsi="Arial" w:cs="Arial"/>
                      <w:b/>
                      <w:bCs/>
                      <w:spacing w:val="-16"/>
                      <w:sz w:val="18"/>
                      <w:szCs w:val="18"/>
                    </w:rPr>
                    <w:t>)</w:t>
                  </w:r>
                  <w:r>
                    <w:rPr>
                      <w:rFonts w:hint="default" w:ascii="Arial" w:hAnsi="Arial" w:cs="Arial"/>
                      <w:b/>
                      <w:bCs/>
                      <w:spacing w:val="-43"/>
                      <w:sz w:val="18"/>
                      <w:szCs w:val="18"/>
                    </w:rPr>
                    <w:t xml:space="preserve"> </w:t>
                  </w:r>
                  <w:r>
                    <w:rPr>
                      <w:rFonts w:hint="default" w:ascii="Arial" w:hAnsi="Arial" w:cs="Arial"/>
                      <w:b/>
                      <w:bCs/>
                      <w:spacing w:val="-16"/>
                      <w:sz w:val="18"/>
                      <w:szCs w:val="18"/>
                    </w:rPr>
                    <w:t>处</w:t>
                  </w:r>
                </w:p>
              </w:tc>
              <w:tc>
                <w:tcPr>
                  <w:tcW w:w="199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3#监测断面大坝下游辜家河150米处</w:t>
                  </w:r>
                </w:p>
              </w:tc>
              <w:tc>
                <w:tcPr>
                  <w:tcW w:w="66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2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6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rPr>
                  </w:pPr>
                  <w:r>
                    <w:rPr>
                      <w:rFonts w:hint="default" w:ascii="Arial" w:hAnsi="Arial" w:eastAsia="宋体" w:cs="Arial"/>
                      <w:spacing w:val="2"/>
                      <w:sz w:val="18"/>
                      <w:szCs w:val="18"/>
                    </w:rPr>
                    <w:t>06月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eastAsia="宋体" w:cs="Arial"/>
                      <w:spacing w:val="2"/>
                      <w:sz w:val="18"/>
                      <w:szCs w:val="18"/>
                    </w:rPr>
                    <w:t>15日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5</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7.3</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6</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8</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9</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eastAsia" w:ascii="Arial" w:hAnsi="Arial" w:cs="Arial"/>
                      <w:spacing w:val="-48"/>
                      <w:sz w:val="18"/>
                      <w:szCs w:val="18"/>
                      <w:lang w:val="en-US" w:eastAsia="zh-CN"/>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0.81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0.61</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0.089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0.287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0.359</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IⅡ类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7.0×10²</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7.9×10²</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9.4×102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0.0005</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1类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1"/>
                      <w:sz w:val="18"/>
                      <w:szCs w:val="18"/>
                    </w:rPr>
                    <w:t>I</w:t>
                  </w:r>
                  <w:r>
                    <w:rPr>
                      <w:rFonts w:hint="default" w:ascii="Arial" w:hAnsi="Arial" w:cs="Arial"/>
                      <w:spacing w:val="12"/>
                      <w:sz w:val="18"/>
                      <w:szCs w:val="18"/>
                    </w:rPr>
                    <w:t xml:space="preserve">  </w:t>
                  </w:r>
                  <w:r>
                    <w:rPr>
                      <w:rFonts w:hint="default" w:ascii="Arial" w:hAnsi="Arial" w:cs="Arial"/>
                      <w:spacing w:val="-11"/>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氰化物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氟化物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0.460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0.488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0.467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0.346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0.595</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0.595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亚氯酸盐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&gt;30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29</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29</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叶绿素a</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12</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13</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16</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水温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25.1</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25.3</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25.9</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5"/>
                      <w:sz w:val="18"/>
                      <w:szCs w:val="18"/>
                    </w:rPr>
                    <w:t>0</w:t>
                  </w:r>
                  <w:r>
                    <w:rPr>
                      <w:rFonts w:hint="eastAsia" w:ascii="Arial" w:hAnsi="Arial" w:cs="Arial"/>
                      <w:spacing w:val="15"/>
                      <w:sz w:val="18"/>
                      <w:szCs w:val="18"/>
                      <w:lang w:val="en-US" w:eastAsia="zh-CN"/>
                    </w:rPr>
                    <w:t>6</w:t>
                  </w:r>
                  <w:r>
                    <w:rPr>
                      <w:rFonts w:hint="default" w:ascii="Arial" w:hAnsi="Arial" w:cs="Arial"/>
                      <w:spacing w:val="15"/>
                      <w:sz w:val="18"/>
                      <w:szCs w:val="18"/>
                    </w:rPr>
                    <w:t>月</w:t>
                  </w:r>
                  <w:r>
                    <w:rPr>
                      <w:rFonts w:hint="default" w:ascii="Arial" w:hAnsi="Arial" w:cs="Arial"/>
                      <w:sz w:val="18"/>
                      <w:szCs w:val="18"/>
                    </w:rPr>
                    <w:t xml:space="preserve"> </w:t>
                  </w:r>
                  <w:r>
                    <w:rPr>
                      <w:rFonts w:hint="eastAsia" w:ascii="Arial" w:hAnsi="Arial" w:cs="Arial"/>
                      <w:spacing w:val="13"/>
                      <w:sz w:val="18"/>
                      <w:szCs w:val="18"/>
                      <w:lang w:val="en-US" w:eastAsia="zh-CN"/>
                    </w:rPr>
                    <w:t>16</w:t>
                  </w:r>
                  <w:r>
                    <w:rPr>
                      <w:rFonts w:hint="default" w:ascii="Arial" w:hAnsi="Arial" w:cs="Arial"/>
                      <w:spacing w:val="13"/>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spacing w:val="-4"/>
                      <w:sz w:val="18"/>
                      <w:szCs w:val="18"/>
                    </w:rPr>
                    <w:t>50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pacing w:val="-4"/>
                      <w:sz w:val="18"/>
                      <w:szCs w:val="18"/>
                      <w:lang w:val="en-US" w:eastAsia="zh-CN"/>
                    </w:rPr>
                    <w:t>40</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val="en-US" w:eastAsia="zh-CN"/>
                    </w:rPr>
                  </w:pPr>
                  <w:r>
                    <w:rPr>
                      <w:rFonts w:hint="eastAsia" w:ascii="Arial" w:hAnsi="Arial" w:cs="Arial"/>
                      <w:spacing w:val="-4"/>
                      <w:sz w:val="18"/>
                      <w:szCs w:val="18"/>
                      <w:lang w:val="en-US" w:eastAsia="zh-CN"/>
                    </w:rPr>
                    <w:t>50</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16</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13</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0.38</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0.84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0.62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0.06</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0.08</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0.095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0.300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0.351</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7.9×10</w:t>
                  </w:r>
                  <w:r>
                    <w:rPr>
                      <w:rFonts w:hint="eastAsia" w:ascii="Arial" w:hAnsi="Arial" w:eastAsia="宋体" w:cs="Arial"/>
                      <w:spacing w:val="2"/>
                      <w:sz w:val="18"/>
                      <w:szCs w:val="18"/>
                      <w:vertAlign w:val="superscript"/>
                      <w:lang w:val="en-US" w:eastAsia="zh-CN"/>
                    </w:rPr>
                    <w:t>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7.2×10²</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8.1×10</w:t>
                  </w:r>
                  <w:r>
                    <w:rPr>
                      <w:rFonts w:hint="eastAsia" w:ascii="Arial" w:hAnsi="Arial" w:eastAsia="宋体" w:cs="Arial"/>
                      <w:spacing w:val="2"/>
                      <w:sz w:val="18"/>
                      <w:szCs w:val="18"/>
                      <w:vertAlign w:val="superscript"/>
                      <w:lang w:val="en-US" w:eastAsia="zh-CN"/>
                    </w:rPr>
                    <w:t>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氰化物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氟化物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0.574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0.660</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0.643</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0.230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0.582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0.535</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亚氯酸盐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28</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28</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叶绿素a</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11</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14</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17</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水温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20.2</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20.3</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20.9</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5"/>
                      <w:sz w:val="18"/>
                      <w:szCs w:val="18"/>
                    </w:rPr>
                    <w:t>0</w:t>
                  </w:r>
                  <w:r>
                    <w:rPr>
                      <w:rFonts w:hint="eastAsia" w:ascii="Arial" w:hAnsi="Arial" w:cs="Arial"/>
                      <w:spacing w:val="15"/>
                      <w:sz w:val="18"/>
                      <w:szCs w:val="18"/>
                      <w:lang w:val="en-US" w:eastAsia="zh-CN"/>
                    </w:rPr>
                    <w:t>6</w:t>
                  </w:r>
                  <w:r>
                    <w:rPr>
                      <w:rFonts w:hint="default" w:ascii="Arial" w:hAnsi="Arial" w:cs="Arial"/>
                      <w:spacing w:val="15"/>
                      <w:sz w:val="18"/>
                      <w:szCs w:val="18"/>
                    </w:rPr>
                    <w:t>月</w:t>
                  </w:r>
                  <w:r>
                    <w:rPr>
                      <w:rFonts w:hint="default" w:ascii="Arial" w:hAnsi="Arial" w:cs="Arial"/>
                      <w:sz w:val="18"/>
                      <w:szCs w:val="18"/>
                    </w:rPr>
                    <w:t xml:space="preserve"> </w:t>
                  </w:r>
                  <w:r>
                    <w:rPr>
                      <w:rFonts w:hint="eastAsia" w:ascii="Arial" w:hAnsi="Arial" w:cs="Arial"/>
                      <w:spacing w:val="13"/>
                      <w:sz w:val="18"/>
                      <w:szCs w:val="18"/>
                      <w:lang w:val="en-US" w:eastAsia="zh-CN"/>
                    </w:rPr>
                    <w:t>17</w:t>
                  </w:r>
                  <w:r>
                    <w:rPr>
                      <w:rFonts w:hint="default" w:ascii="Arial" w:hAnsi="Arial" w:cs="Arial"/>
                      <w:spacing w:val="13"/>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色度</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40</w:t>
                  </w:r>
                </w:p>
              </w:tc>
              <w:tc>
                <w:tcPr>
                  <w:tcW w:w="113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50</w:t>
                  </w:r>
                </w:p>
              </w:tc>
              <w:tc>
                <w:tcPr>
                  <w:tcW w:w="11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50</w:t>
                  </w:r>
                </w:p>
              </w:tc>
              <w:tc>
                <w:tcPr>
                  <w:tcW w:w="8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7.4</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7.4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悬浮物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16</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3.6</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12</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12</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总氮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0.88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0.67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0.09</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0.113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0.313</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0.367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6"/>
                      <w:sz w:val="18"/>
                      <w:szCs w:val="18"/>
                    </w:rPr>
                    <w:t>动植物油</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z w:val="18"/>
                      <w:szCs w:val="18"/>
                      <w:lang w:eastAsia="zh-CN"/>
                    </w:rPr>
                  </w:pPr>
                  <w:r>
                    <w:rPr>
                      <w:rFonts w:hint="default" w:ascii="Arial" w:hAnsi="Arial" w:cs="Arial"/>
                      <w:spacing w:val="1"/>
                      <w:sz w:val="18"/>
                      <w:szCs w:val="18"/>
                      <w:lang w:val="en-US" w:eastAsia="zh-CN"/>
                    </w:rPr>
                    <w:t>LAS</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粪大肠菌群</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8.0×10²</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Ⅱ类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9.0×10²</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9.0×10²</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5"/>
                      <w:sz w:val="18"/>
                      <w:szCs w:val="18"/>
                    </w:rPr>
                    <w:t>Ⅱ</w:t>
                  </w:r>
                  <w:r>
                    <w:rPr>
                      <w:rFonts w:hint="default" w:ascii="Arial" w:hAnsi="Arial" w:cs="Arial"/>
                      <w:spacing w:val="-48"/>
                      <w:sz w:val="18"/>
                      <w:szCs w:val="18"/>
                    </w:rPr>
                    <w:t xml:space="preserve"> </w:t>
                  </w:r>
                  <w:r>
                    <w:rPr>
                      <w:rFonts w:hint="default" w:ascii="Arial" w:hAnsi="Arial" w:cs="Arial"/>
                      <w:spacing w:val="-25"/>
                      <w:sz w:val="18"/>
                      <w:szCs w:val="18"/>
                    </w:rPr>
                    <w:t>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0.0008</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0.0008</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镉</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7"/>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六价铬</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铅</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汞</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硒</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氰化物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氟化物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0.200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0.341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0.212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硝酸盐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0.294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0.461</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0.362</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达标</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三氯甲烷</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四氯化碳</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亚氯酸盐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氯酸盐</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未检出</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透明度</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29</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27</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position w:val="-1"/>
                      <w:sz w:val="18"/>
                      <w:szCs w:val="18"/>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叶绿素a</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16</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17</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4"/>
                      <w:sz w:val="18"/>
                      <w:szCs w:val="18"/>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24.8</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z w:val="18"/>
                      <w:szCs w:val="18"/>
                      <w:lang w:val="en-US" w:eastAsia="zh-CN"/>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25.8</w:t>
                  </w:r>
                </w:p>
              </w:tc>
              <w:tc>
                <w:tcPr>
                  <w:tcW w:w="112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1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2"/>
                      <w:sz w:val="18"/>
                      <w:szCs w:val="18"/>
                      <w:lang w:val="en-US" w:eastAsia="zh-CN"/>
                    </w:rPr>
                  </w:pPr>
                  <w:r>
                    <w:rPr>
                      <w:rFonts w:hint="eastAsia" w:ascii="Arial" w:hAnsi="Arial" w:eastAsia="宋体" w:cs="Arial"/>
                      <w:spacing w:val="2"/>
                      <w:sz w:val="18"/>
                      <w:szCs w:val="18"/>
                      <w:lang w:val="en-US" w:eastAsia="zh-CN"/>
                    </w:rPr>
                    <w:t>25.4</w:t>
                  </w:r>
                </w:p>
              </w:tc>
              <w:tc>
                <w:tcPr>
                  <w:tcW w:w="88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2"/>
                      <w:sz w:val="18"/>
                      <w:szCs w:val="18"/>
                    </w:rPr>
                  </w:pPr>
                  <w:r>
                    <w:rPr>
                      <w:rFonts w:hint="default" w:ascii="Arial" w:hAnsi="Arial" w:cs="Arial"/>
                      <w:b/>
                      <w:bCs/>
                      <w:spacing w:val="-2"/>
                      <w:sz w:val="18"/>
                      <w:szCs w:val="18"/>
                    </w:rPr>
                    <w:t>采样</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日期</w:t>
                  </w:r>
                </w:p>
              </w:tc>
              <w:tc>
                <w:tcPr>
                  <w:tcW w:w="1204"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1"/>
                      <w:sz w:val="18"/>
                      <w:szCs w:val="18"/>
                    </w:rPr>
                    <w:t>检测项目</w:t>
                  </w:r>
                </w:p>
              </w:tc>
              <w:tc>
                <w:tcPr>
                  <w:tcW w:w="2250"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4#监测断面辜家河右岸支流陈家河(K0+420.18桩号</w:t>
                  </w:r>
                  <w:r>
                    <w:rPr>
                      <w:rFonts w:hint="default" w:ascii="Arial" w:hAnsi="Arial" w:cs="Arial"/>
                      <w:b/>
                      <w:bCs/>
                      <w:spacing w:val="-8"/>
                      <w:sz w:val="18"/>
                      <w:szCs w:val="18"/>
                    </w:rPr>
                    <w:t>处</w:t>
                  </w:r>
                  <w:r>
                    <w:rPr>
                      <w:rFonts w:hint="default" w:ascii="Arial" w:hAnsi="Arial" w:cs="Arial"/>
                      <w:b/>
                      <w:bCs/>
                      <w:spacing w:val="-43"/>
                      <w:sz w:val="18"/>
                      <w:szCs w:val="18"/>
                    </w:rPr>
                    <w:t xml:space="preserve"> </w:t>
                  </w:r>
                  <w:r>
                    <w:rPr>
                      <w:rFonts w:hint="default" w:ascii="Arial" w:hAnsi="Arial" w:cs="Arial"/>
                      <w:b/>
                      <w:bCs/>
                      <w:spacing w:val="-8"/>
                      <w:sz w:val="18"/>
                      <w:szCs w:val="18"/>
                    </w:rPr>
                    <w:t>)</w:t>
                  </w:r>
                </w:p>
              </w:tc>
              <w:tc>
                <w:tcPr>
                  <w:tcW w:w="2222"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1"/>
                      <w:sz w:val="18"/>
                      <w:szCs w:val="18"/>
                    </w:rPr>
                    <w:t>6#监测断面旺苍东河左岸赵家沟支沟(主管桩号</w:t>
                  </w:r>
                  <w:r>
                    <w:rPr>
                      <w:rFonts w:hint="default" w:ascii="Arial" w:hAnsi="Arial" w:cs="Arial"/>
                      <w:b/>
                      <w:bCs/>
                      <w:spacing w:val="4"/>
                      <w:sz w:val="18"/>
                      <w:szCs w:val="18"/>
                    </w:rPr>
                    <w:t>K9+484.68处)</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4"/>
                      <w:sz w:val="18"/>
                      <w:szCs w:val="18"/>
                    </w:rPr>
                  </w:pPr>
                </w:p>
              </w:tc>
              <w:tc>
                <w:tcPr>
                  <w:tcW w:w="665"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4"/>
                      <w:sz w:val="18"/>
                      <w:szCs w:val="18"/>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b/>
                      <w:bCs/>
                      <w:sz w:val="18"/>
                      <w:szCs w:val="18"/>
                    </w:rPr>
                  </w:pPr>
                </w:p>
              </w:tc>
              <w:tc>
                <w:tcPr>
                  <w:tcW w:w="12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3"/>
                      <w:sz w:val="18"/>
                      <w:szCs w:val="18"/>
                    </w:rPr>
                    <w:t>检测结果</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r>
                    <w:rPr>
                      <w:rFonts w:hint="default" w:ascii="Arial" w:hAnsi="Arial" w:cs="Arial"/>
                      <w:b/>
                      <w:bCs/>
                      <w:spacing w:val="2"/>
                      <w:sz w:val="18"/>
                      <w:szCs w:val="18"/>
                    </w:rPr>
                    <w:t>结果评价</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pacing w:val="2"/>
                      <w:sz w:val="18"/>
                      <w:szCs w:val="18"/>
                    </w:rPr>
                  </w:pPr>
                </w:p>
              </w:tc>
              <w:tc>
                <w:tcPr>
                  <w:tcW w:w="6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default" w:ascii="Arial" w:hAnsi="Arial" w:cs="Arial"/>
                      <w:spacing w:val="2"/>
                      <w:sz w:val="18"/>
                      <w:szCs w:val="18"/>
                    </w:rPr>
                    <w:t>0</w:t>
                  </w:r>
                  <w:r>
                    <w:rPr>
                      <w:rFonts w:hint="eastAsia" w:ascii="Arial" w:hAnsi="Arial" w:cs="Arial"/>
                      <w:spacing w:val="2"/>
                      <w:sz w:val="18"/>
                      <w:szCs w:val="18"/>
                      <w:lang w:val="en-US" w:eastAsia="zh-CN"/>
                    </w:rPr>
                    <w:t>6</w:t>
                  </w:r>
                  <w:r>
                    <w:rPr>
                      <w:rFonts w:hint="default" w:ascii="Arial" w:hAnsi="Arial" w:cs="Arial"/>
                      <w:spacing w:val="2"/>
                      <w:sz w:val="18"/>
                      <w:szCs w:val="18"/>
                    </w:rPr>
                    <w:t>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15</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7.4</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3.0</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0.73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Arial" w:hAnsi="Arial" w:eastAsia="宋体" w:cs="Arial"/>
                      <w:spacing w:val="5"/>
                      <w:sz w:val="18"/>
                      <w:szCs w:val="18"/>
                      <w:lang w:eastAsia="zh-CN"/>
                    </w:rPr>
                  </w:pPr>
                  <w:r>
                    <w:rPr>
                      <w:rFonts w:hint="eastAsia" w:ascii="Arial" w:hAnsi="Arial" w:eastAsia="宋体" w:cs="Arial"/>
                      <w:spacing w:val="5"/>
                      <w:sz w:val="18"/>
                      <w:szCs w:val="18"/>
                      <w:lang w:val="en-US" w:eastAsia="zh-CN"/>
                    </w:rPr>
                    <w:t>Ⅲ</w:t>
                  </w:r>
                  <w:r>
                    <w:rPr>
                      <w:rFonts w:hint="default" w:ascii="Arial" w:hAnsi="Arial" w:eastAsia="宋体"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1.27</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lang w:val="en-US"/>
                    </w:rPr>
                  </w:pPr>
                  <w:r>
                    <w:rPr>
                      <w:rFonts w:hint="eastAsia" w:ascii="Arial" w:hAnsi="Arial" w:cs="Arial"/>
                      <w:spacing w:val="2"/>
                      <w:sz w:val="18"/>
                      <w:szCs w:val="18"/>
                      <w:lang w:val="en-US" w:eastAsia="zh-CN"/>
                    </w:rPr>
                    <w:t>Ⅳ类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0.14</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Ⅲ</w:t>
                  </w:r>
                  <w:r>
                    <w:rPr>
                      <w:rFonts w:hint="default" w:ascii="Arial" w:hAnsi="Arial" w:eastAsia="宋体"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0.08</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3"/>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0.463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0.087</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eastAsia="宋体"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3"/>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26.5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27.6</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default" w:ascii="Arial" w:hAnsi="Arial" w:cs="Arial"/>
                      <w:spacing w:val="2"/>
                      <w:sz w:val="18"/>
                      <w:szCs w:val="18"/>
                    </w:rPr>
                    <w:t>0</w:t>
                  </w:r>
                  <w:r>
                    <w:rPr>
                      <w:rFonts w:hint="eastAsia" w:ascii="Arial" w:hAnsi="Arial" w:cs="Arial"/>
                      <w:spacing w:val="2"/>
                      <w:sz w:val="18"/>
                      <w:szCs w:val="18"/>
                      <w:lang w:val="en-US" w:eastAsia="zh-CN"/>
                    </w:rPr>
                    <w:t>6</w:t>
                  </w:r>
                  <w:r>
                    <w:rPr>
                      <w:rFonts w:hint="default" w:ascii="Arial" w:hAnsi="Arial" w:cs="Arial"/>
                      <w:spacing w:val="2"/>
                      <w:sz w:val="18"/>
                      <w:szCs w:val="18"/>
                    </w:rPr>
                    <w:t>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16</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7.3</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66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3.5</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Ⅲ</w:t>
                  </w:r>
                  <w:r>
                    <w:rPr>
                      <w:rFonts w:hint="default" w:ascii="Arial" w:hAnsi="Arial" w:eastAsia="宋体"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1.4</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13</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0.77</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Ⅲ</w:t>
                  </w:r>
                  <w:r>
                    <w:rPr>
                      <w:rFonts w:hint="default" w:ascii="Arial" w:hAnsi="Arial" w:eastAsia="宋体"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Ⅳ类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0.16</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Ⅲ</w:t>
                  </w:r>
                  <w:r>
                    <w:rPr>
                      <w:rFonts w:hint="default" w:ascii="Arial" w:hAnsi="Arial" w:eastAsia="宋体"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0.10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3"/>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0.468</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0.089</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3"/>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5"/>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2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21.1</w:t>
                  </w:r>
                </w:p>
              </w:tc>
              <w:tc>
                <w:tcPr>
                  <w:tcW w:w="1130" w:type="dxa"/>
                  <w:gridSpan w:val="2"/>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eastAsia" w:ascii="Arial" w:hAnsi="Arial" w:eastAsia="宋体" w:cs="Arial"/>
                      <w:spacing w:val="5"/>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21.6</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restart"/>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pacing w:val="2"/>
                      <w:sz w:val="18"/>
                      <w:szCs w:val="18"/>
                    </w:rPr>
                  </w:pPr>
                  <w:r>
                    <w:rPr>
                      <w:rFonts w:hint="eastAsia" w:ascii="Arial" w:hAnsi="Arial" w:cs="Arial"/>
                      <w:spacing w:val="2"/>
                      <w:sz w:val="18"/>
                      <w:szCs w:val="18"/>
                      <w:lang w:val="en-US" w:eastAsia="zh-CN"/>
                    </w:rPr>
                    <w:t>06</w:t>
                  </w:r>
                  <w:r>
                    <w:rPr>
                      <w:rFonts w:hint="default" w:ascii="Arial" w:hAnsi="Arial" w:cs="Arial"/>
                      <w:spacing w:val="2"/>
                      <w:sz w:val="18"/>
                      <w:szCs w:val="18"/>
                    </w:rPr>
                    <w:t>月</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eastAsia" w:ascii="Arial" w:hAnsi="Arial" w:cs="Arial"/>
                      <w:spacing w:val="2"/>
                      <w:sz w:val="18"/>
                      <w:szCs w:val="18"/>
                      <w:lang w:val="en-US" w:eastAsia="zh-CN"/>
                    </w:rPr>
                    <w:t>17</w:t>
                  </w:r>
                  <w:r>
                    <w:rPr>
                      <w:rFonts w:hint="default" w:ascii="Arial" w:hAnsi="Arial" w:cs="Arial"/>
                      <w:sz w:val="18"/>
                      <w:szCs w:val="18"/>
                    </w:rPr>
                    <w:t>日</w:t>
                  </w: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2"/>
                      <w:sz w:val="18"/>
                      <w:szCs w:val="18"/>
                    </w:rPr>
                    <w:t>pH</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7.4</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4"/>
                      <w:position w:val="-3"/>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7.3</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悬浮物</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17</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position w:val="-3"/>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12</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z w:val="18"/>
                      <w:szCs w:val="18"/>
                      <w:lang w:val="en-US" w:eastAsia="zh-CN"/>
                    </w:rPr>
                    <w:t>BOD</w:t>
                  </w:r>
                  <w:r>
                    <w:rPr>
                      <w:rFonts w:hint="eastAsia" w:ascii="Arial" w:hAnsi="Arial" w:cs="Arial"/>
                      <w:sz w:val="18"/>
                      <w:szCs w:val="18"/>
                      <w:vertAlign w:val="subscript"/>
                      <w:lang w:val="en-US" w:eastAsia="zh-CN"/>
                    </w:rPr>
                    <w:t>5</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3.6</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3"/>
                      <w:sz w:val="18"/>
                      <w:szCs w:val="18"/>
                    </w:rPr>
                  </w:pPr>
                  <w:r>
                    <w:rPr>
                      <w:rFonts w:hint="default" w:ascii="Arial" w:hAnsi="Arial" w:eastAsia="宋体" w:cs="Arial"/>
                      <w:spacing w:val="5"/>
                      <w:sz w:val="18"/>
                      <w:szCs w:val="18"/>
                    </w:rPr>
                    <w:t>Ⅱ</w:t>
                  </w:r>
                  <w:r>
                    <w:rPr>
                      <w:rFonts w:hint="default" w:ascii="Arial" w:hAnsi="Arial" w:cs="Arial"/>
                      <w:spacing w:val="5"/>
                      <w:sz w:val="18"/>
                      <w:szCs w:val="18"/>
                    </w:rPr>
                    <w:t>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1.0</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CODcr</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14</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7"/>
                      <w:position w:val="-3"/>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7</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总氮</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0.78</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2"/>
                      <w:sz w:val="18"/>
                      <w:szCs w:val="18"/>
                      <w:lang w:val="en-US"/>
                    </w:rPr>
                  </w:pPr>
                  <w:r>
                    <w:rPr>
                      <w:rFonts w:hint="eastAsia" w:ascii="Arial" w:hAnsi="Arial" w:eastAsia="宋体" w:cs="Arial"/>
                      <w:spacing w:val="5"/>
                      <w:sz w:val="18"/>
                      <w:szCs w:val="18"/>
                      <w:lang w:val="en-US" w:eastAsia="zh-CN"/>
                    </w:rPr>
                    <w:t>Ⅲ类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1.18</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Ⅳ类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5"/>
                      <w:sz w:val="18"/>
                      <w:szCs w:val="18"/>
                    </w:rPr>
                    <w:t>总磷</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0.10</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3"/>
                      <w:position w:val="-3"/>
                      <w:sz w:val="18"/>
                      <w:szCs w:val="18"/>
                    </w:rPr>
                  </w:pPr>
                  <w:r>
                    <w:rPr>
                      <w:rFonts w:hint="default" w:ascii="Arial" w:hAnsi="Arial" w:cs="Arial"/>
                      <w:spacing w:val="3"/>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0.08</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3"/>
                      <w:sz w:val="18"/>
                      <w:szCs w:val="18"/>
                    </w:rPr>
                    <w:t>Ⅱ类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氨氮</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0.471</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2"/>
                      <w:position w:val="-2"/>
                      <w:sz w:val="18"/>
                      <w:szCs w:val="18"/>
                    </w:rPr>
                  </w:pPr>
                  <w:r>
                    <w:rPr>
                      <w:rFonts w:hint="default" w:ascii="Arial" w:hAnsi="Arial" w:cs="Arial"/>
                      <w:spacing w:val="3"/>
                      <w:sz w:val="18"/>
                      <w:szCs w:val="18"/>
                    </w:rPr>
                    <w:t>Ⅱ类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0.111</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z w:val="18"/>
                      <w:szCs w:val="18"/>
                    </w:rPr>
                    <w:t>II</w:t>
                  </w:r>
                  <w:r>
                    <w:rPr>
                      <w:rFonts w:hint="default" w:ascii="Arial" w:hAnsi="Arial" w:cs="Arial"/>
                      <w:spacing w:val="10"/>
                      <w:sz w:val="18"/>
                      <w:szCs w:val="18"/>
                    </w:rPr>
                    <w:t>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3"/>
                      <w:sz w:val="18"/>
                      <w:szCs w:val="18"/>
                    </w:rPr>
                    <w:t>石油类</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9"/>
                      <w:sz w:val="18"/>
                      <w:szCs w:val="18"/>
                    </w:rPr>
                  </w:pPr>
                  <w:r>
                    <w:rPr>
                      <w:rFonts w:hint="default" w:ascii="Arial" w:hAnsi="Arial" w:cs="Arial"/>
                      <w:spacing w:val="5"/>
                      <w:sz w:val="18"/>
                      <w:szCs w:val="18"/>
                    </w:rPr>
                    <w:t>I类</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未检出</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default" w:ascii="Arial" w:hAnsi="Arial" w:cs="Arial"/>
                      <w:spacing w:val="5"/>
                      <w:sz w:val="18"/>
                      <w:szCs w:val="18"/>
                    </w:rPr>
                    <w:t>I类</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1"/>
                      <w:sz w:val="18"/>
                      <w:szCs w:val="18"/>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5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18"/>
                      <w:szCs w:val="18"/>
                    </w:rPr>
                  </w:pPr>
                </w:p>
              </w:tc>
              <w:tc>
                <w:tcPr>
                  <w:tcW w:w="1204"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pacing w:val="4"/>
                      <w:sz w:val="18"/>
                      <w:szCs w:val="18"/>
                    </w:rPr>
                    <w:t>水温</w:t>
                  </w:r>
                </w:p>
              </w:tc>
              <w:tc>
                <w:tcPr>
                  <w:tcW w:w="1130" w:type="dxa"/>
                  <w:gridSpan w:val="2"/>
                  <w:tcBorders>
                    <w:righ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25.9</w:t>
                  </w:r>
                </w:p>
              </w:tc>
              <w:tc>
                <w:tcPr>
                  <w:tcW w:w="1120" w:type="dxa"/>
                  <w:tcBorders>
                    <w:left w:val="single" w:color="auto" w:sz="4" w:space="0"/>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pacing w:val="-6"/>
                      <w:position w:val="-2"/>
                      <w:sz w:val="18"/>
                      <w:szCs w:val="18"/>
                    </w:rPr>
                  </w:pPr>
                  <w:r>
                    <w:rPr>
                      <w:rFonts w:hint="eastAsia" w:ascii="Arial" w:hAnsi="Arial" w:cs="Arial"/>
                      <w:spacing w:val="2"/>
                      <w:sz w:val="18"/>
                      <w:szCs w:val="18"/>
                      <w:lang w:val="en-US" w:eastAsia="zh-CN"/>
                    </w:rPr>
                    <w:t>/</w:t>
                  </w:r>
                </w:p>
              </w:tc>
              <w:tc>
                <w:tcPr>
                  <w:tcW w:w="1110"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宋体" w:cs="Arial"/>
                      <w:spacing w:val="5"/>
                      <w:sz w:val="18"/>
                      <w:szCs w:val="18"/>
                    </w:rPr>
                  </w:pPr>
                  <w:r>
                    <w:rPr>
                      <w:rFonts w:hint="default" w:ascii="Arial" w:hAnsi="Arial" w:eastAsia="宋体" w:cs="Arial"/>
                      <w:spacing w:val="5"/>
                      <w:sz w:val="18"/>
                      <w:szCs w:val="18"/>
                    </w:rPr>
                    <w:t>26.4</w:t>
                  </w:r>
                </w:p>
              </w:tc>
              <w:tc>
                <w:tcPr>
                  <w:tcW w:w="1112"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Arial" w:hAnsi="Arial" w:cs="Arial"/>
                      <w:sz w:val="18"/>
                      <w:szCs w:val="18"/>
                    </w:rPr>
                  </w:pPr>
                  <w:r>
                    <w:rPr>
                      <w:rFonts w:hint="eastAsia" w:ascii="Arial" w:hAnsi="Arial" w:cs="Arial"/>
                      <w:spacing w:val="2"/>
                      <w:sz w:val="18"/>
                      <w:szCs w:val="18"/>
                      <w:lang w:val="en-US" w:eastAsia="zh-CN"/>
                    </w:rPr>
                    <w:t>/</w:t>
                  </w:r>
                </w:p>
              </w:tc>
              <w:tc>
                <w:tcPr>
                  <w:tcW w:w="1998" w:type="dxa"/>
                  <w:gridSpan w:val="3"/>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p>
              </w:tc>
              <w:tc>
                <w:tcPr>
                  <w:tcW w:w="665" w:type="dxa"/>
                  <w:tcBorders>
                    <w:tl2br w:val="nil"/>
                    <w:tr2bl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18"/>
                      <w:szCs w:val="18"/>
                    </w:rPr>
                  </w:pPr>
                  <w:r>
                    <w:rPr>
                      <w:rFonts w:hint="default" w:ascii="Arial" w:hAnsi="Arial" w:cs="Arial"/>
                      <w:sz w:val="18"/>
                      <w:szCs w:val="18"/>
                    </w:rPr>
                    <w:t>℃</w:t>
                  </w:r>
                </w:p>
              </w:tc>
            </w:tr>
          </w:tbl>
          <w:p>
            <w:pPr>
              <w:spacing w:line="360" w:lineRule="auto"/>
              <w:ind w:firstLine="480" w:firstLineChars="200"/>
              <w:rPr>
                <w:bCs/>
                <w:sz w:val="24"/>
              </w:rPr>
            </w:pPr>
            <w:r>
              <w:rPr>
                <w:rFonts w:hint="eastAsia"/>
                <w:bCs/>
                <w:sz w:val="24"/>
              </w:rPr>
              <w:t>由上可以看出，项目所在水系</w:t>
            </w:r>
            <w:r>
              <w:rPr>
                <w:rFonts w:hint="eastAsia"/>
                <w:bCs/>
                <w:sz w:val="24"/>
                <w:lang w:val="en-US" w:eastAsia="zh-CN"/>
              </w:rPr>
              <w:t>辜家河各指标均满足《地表水环境质量标准》（GB3838-2002）Ⅲ类标准的限值要求，说明</w:t>
            </w:r>
            <w:r>
              <w:rPr>
                <w:rFonts w:hint="eastAsia"/>
                <w:bCs/>
                <w:sz w:val="24"/>
              </w:rPr>
              <w:t>水体水质较好。</w:t>
            </w:r>
          </w:p>
          <w:p>
            <w:pPr>
              <w:widowControl/>
              <w:spacing w:line="360" w:lineRule="auto"/>
              <w:ind w:firstLine="482" w:firstLineChars="200"/>
              <w:jc w:val="left"/>
              <w:rPr>
                <w:rFonts w:ascii="Arial" w:cs="Arial"/>
                <w:b/>
                <w:kern w:val="0"/>
                <w:sz w:val="24"/>
                <w:lang w:val="zh-CN"/>
              </w:rPr>
            </w:pPr>
            <w:r>
              <w:rPr>
                <w:rFonts w:hint="eastAsia" w:ascii="Arial" w:cs="Arial"/>
                <w:b/>
                <w:kern w:val="0"/>
                <w:sz w:val="24"/>
                <w:lang w:val="zh-CN"/>
              </w:rPr>
              <w:t>3</w:t>
            </w:r>
            <w:r>
              <w:rPr>
                <w:rFonts w:ascii="Arial" w:cs="Arial"/>
                <w:b/>
                <w:kern w:val="0"/>
                <w:sz w:val="24"/>
                <w:lang w:val="zh-CN"/>
              </w:rPr>
              <w:t>、声学环境质量现状</w:t>
            </w:r>
          </w:p>
          <w:p>
            <w:pPr>
              <w:spacing w:line="360" w:lineRule="auto"/>
              <w:ind w:firstLine="480" w:firstLineChars="200"/>
              <w:rPr>
                <w:rFonts w:hAnsi="宋体"/>
                <w:sz w:val="24"/>
              </w:rPr>
            </w:pPr>
            <w:r>
              <w:rPr>
                <w:rFonts w:hAnsi="宋体"/>
                <w:sz w:val="24"/>
              </w:rPr>
              <w:t>本次评价委托</w:t>
            </w:r>
            <w:r>
              <w:rPr>
                <w:rFonts w:hint="eastAsia" w:hAnsi="宋体"/>
                <w:sz w:val="24"/>
              </w:rPr>
              <w:t>四川省天平检测技术有限公司</w:t>
            </w:r>
            <w:r>
              <w:rPr>
                <w:rFonts w:hAnsi="宋体"/>
                <w:sz w:val="24"/>
              </w:rPr>
              <w:t>在</w:t>
            </w:r>
            <w:r>
              <w:rPr>
                <w:rFonts w:hint="eastAsia" w:hAnsi="宋体"/>
                <w:sz w:val="24"/>
              </w:rPr>
              <w:t>拟</w:t>
            </w:r>
            <w:r>
              <w:rPr>
                <w:rFonts w:hint="eastAsia" w:hAnsi="宋体"/>
                <w:sz w:val="24"/>
                <w:lang w:val="en-US" w:eastAsia="zh-CN"/>
              </w:rPr>
              <w:t>建项目</w:t>
            </w:r>
            <w:r>
              <w:rPr>
                <w:rFonts w:hAnsi="宋体"/>
                <w:sz w:val="24"/>
              </w:rPr>
              <w:t>周围布设</w:t>
            </w:r>
            <w:r>
              <w:rPr>
                <w:rFonts w:hint="eastAsia"/>
                <w:sz w:val="24"/>
                <w:lang w:val="en-US" w:eastAsia="zh-CN"/>
              </w:rPr>
              <w:t>6</w:t>
            </w:r>
            <w:r>
              <w:rPr>
                <w:rFonts w:hAnsi="宋体"/>
                <w:sz w:val="24"/>
              </w:rPr>
              <w:t>个监测点位进行实地监测，具体情况见下表。</w:t>
            </w:r>
          </w:p>
          <w:p>
            <w:pPr>
              <w:spacing w:line="360" w:lineRule="auto"/>
              <w:ind w:firstLine="474" w:firstLineChars="225"/>
              <w:jc w:val="center"/>
              <w:rPr>
                <w:b/>
                <w:bCs/>
                <w:szCs w:val="21"/>
              </w:rPr>
            </w:pPr>
            <w:r>
              <w:rPr>
                <w:rFonts w:hAnsi="宋体"/>
                <w:b/>
                <w:bCs/>
                <w:szCs w:val="21"/>
              </w:rPr>
              <w:t>表</w:t>
            </w:r>
            <w:r>
              <w:rPr>
                <w:b/>
                <w:bCs/>
                <w:szCs w:val="21"/>
              </w:rPr>
              <w:t>3-</w:t>
            </w:r>
            <w:r>
              <w:rPr>
                <w:rFonts w:hint="eastAsia"/>
                <w:b/>
                <w:bCs/>
                <w:szCs w:val="21"/>
                <w:lang w:val="en-US" w:eastAsia="zh-CN"/>
              </w:rPr>
              <w:t>6</w:t>
            </w:r>
            <w:r>
              <w:rPr>
                <w:rFonts w:hint="eastAsia"/>
                <w:b/>
                <w:bCs/>
                <w:szCs w:val="21"/>
              </w:rPr>
              <w:t xml:space="preserve">   </w:t>
            </w:r>
            <w:r>
              <w:rPr>
                <w:rFonts w:hAnsi="宋体"/>
                <w:b/>
                <w:bCs/>
                <w:szCs w:val="21"/>
              </w:rPr>
              <w:t>噪声监测点位情况表</w:t>
            </w:r>
          </w:p>
          <w:tbl>
            <w:tblPr>
              <w:tblStyle w:val="23"/>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58"/>
              <w:gridCol w:w="3504"/>
              <w:gridCol w:w="1224"/>
              <w:gridCol w:w="1176"/>
              <w:gridCol w:w="102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vMerge w:val="restart"/>
                  <w:tcMar>
                    <w:left w:w="28" w:type="dxa"/>
                    <w:right w:w="28" w:type="dxa"/>
                  </w:tcMar>
                  <w:vAlign w:val="center"/>
                </w:tcPr>
                <w:p>
                  <w:pPr>
                    <w:jc w:val="center"/>
                    <w:rPr>
                      <w:b/>
                      <w:szCs w:val="21"/>
                    </w:rPr>
                  </w:pPr>
                  <w:r>
                    <w:rPr>
                      <w:rFonts w:hAnsi="宋体"/>
                      <w:b/>
                      <w:szCs w:val="21"/>
                    </w:rPr>
                    <w:t>序号</w:t>
                  </w:r>
                </w:p>
              </w:tc>
              <w:tc>
                <w:tcPr>
                  <w:tcW w:w="3504" w:type="dxa"/>
                  <w:vMerge w:val="restart"/>
                  <w:tcMar>
                    <w:left w:w="28" w:type="dxa"/>
                    <w:right w:w="28" w:type="dxa"/>
                  </w:tcMar>
                  <w:vAlign w:val="center"/>
                </w:tcPr>
                <w:p>
                  <w:pPr>
                    <w:jc w:val="center"/>
                    <w:rPr>
                      <w:b/>
                      <w:szCs w:val="21"/>
                    </w:rPr>
                  </w:pPr>
                  <w:r>
                    <w:rPr>
                      <w:rFonts w:hAnsi="宋体"/>
                      <w:b/>
                      <w:szCs w:val="21"/>
                    </w:rPr>
                    <w:t>监测点位</w:t>
                  </w:r>
                </w:p>
              </w:tc>
              <w:tc>
                <w:tcPr>
                  <w:tcW w:w="2400" w:type="dxa"/>
                  <w:gridSpan w:val="2"/>
                  <w:vAlign w:val="center"/>
                </w:tcPr>
                <w:p>
                  <w:pPr>
                    <w:jc w:val="center"/>
                    <w:rPr>
                      <w:b/>
                      <w:szCs w:val="21"/>
                    </w:rPr>
                  </w:pPr>
                  <w:r>
                    <w:rPr>
                      <w:b/>
                      <w:szCs w:val="21"/>
                    </w:rPr>
                    <w:t>20</w:t>
                  </w:r>
                  <w:r>
                    <w:rPr>
                      <w:rFonts w:hint="eastAsia"/>
                      <w:b/>
                      <w:szCs w:val="21"/>
                      <w:lang w:val="en-US" w:eastAsia="zh-CN"/>
                    </w:rPr>
                    <w:t>24</w:t>
                  </w:r>
                  <w:r>
                    <w:rPr>
                      <w:rFonts w:hAnsi="宋体"/>
                      <w:b/>
                      <w:szCs w:val="21"/>
                    </w:rPr>
                    <w:t>年</w:t>
                  </w:r>
                  <w:r>
                    <w:rPr>
                      <w:rFonts w:hint="eastAsia"/>
                      <w:b/>
                      <w:szCs w:val="21"/>
                      <w:lang w:val="en-US" w:eastAsia="zh-CN"/>
                    </w:rPr>
                    <w:t>03</w:t>
                  </w:r>
                  <w:r>
                    <w:rPr>
                      <w:rFonts w:hAnsi="宋体"/>
                      <w:b/>
                      <w:szCs w:val="21"/>
                    </w:rPr>
                    <w:t>月</w:t>
                  </w:r>
                  <w:r>
                    <w:rPr>
                      <w:rFonts w:hint="eastAsia" w:hAnsi="宋体"/>
                      <w:b/>
                      <w:szCs w:val="21"/>
                      <w:lang w:val="en-US" w:eastAsia="zh-CN"/>
                    </w:rPr>
                    <w:t>26</w:t>
                  </w:r>
                  <w:r>
                    <w:rPr>
                      <w:rFonts w:hAnsi="宋体"/>
                      <w:b/>
                      <w:szCs w:val="21"/>
                    </w:rPr>
                    <w:t>日</w:t>
                  </w:r>
                </w:p>
              </w:tc>
              <w:tc>
                <w:tcPr>
                  <w:tcW w:w="2018" w:type="dxa"/>
                  <w:gridSpan w:val="2"/>
                  <w:vAlign w:val="center"/>
                </w:tcPr>
                <w:p>
                  <w:pPr>
                    <w:jc w:val="center"/>
                    <w:rPr>
                      <w:b/>
                      <w:szCs w:val="21"/>
                    </w:rPr>
                  </w:pPr>
                  <w:r>
                    <w:rPr>
                      <w:b/>
                      <w:szCs w:val="21"/>
                    </w:rPr>
                    <w:t>20</w:t>
                  </w:r>
                  <w:r>
                    <w:rPr>
                      <w:rFonts w:hint="eastAsia"/>
                      <w:b/>
                      <w:szCs w:val="21"/>
                      <w:lang w:val="en-US" w:eastAsia="zh-CN"/>
                    </w:rPr>
                    <w:t>24</w:t>
                  </w:r>
                  <w:r>
                    <w:rPr>
                      <w:rFonts w:hAnsi="宋体"/>
                      <w:b/>
                      <w:szCs w:val="21"/>
                    </w:rPr>
                    <w:t>年</w:t>
                  </w:r>
                  <w:r>
                    <w:rPr>
                      <w:rFonts w:hint="eastAsia"/>
                      <w:b/>
                      <w:szCs w:val="21"/>
                      <w:lang w:val="en-US" w:eastAsia="zh-CN"/>
                    </w:rPr>
                    <w:t>03</w:t>
                  </w:r>
                  <w:r>
                    <w:rPr>
                      <w:rFonts w:hAnsi="宋体"/>
                      <w:b/>
                      <w:szCs w:val="21"/>
                    </w:rPr>
                    <w:t>月</w:t>
                  </w:r>
                  <w:r>
                    <w:rPr>
                      <w:rFonts w:hint="eastAsia" w:hAnsi="宋体"/>
                      <w:b/>
                      <w:szCs w:val="21"/>
                      <w:lang w:val="en-US" w:eastAsia="zh-CN"/>
                    </w:rPr>
                    <w:t>27</w:t>
                  </w:r>
                  <w:r>
                    <w:rPr>
                      <w:rFonts w:hAnsi="宋体"/>
                      <w:b/>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vMerge w:val="continue"/>
                  <w:tcMar>
                    <w:left w:w="28" w:type="dxa"/>
                    <w:right w:w="28" w:type="dxa"/>
                  </w:tcMar>
                  <w:vAlign w:val="center"/>
                </w:tcPr>
                <w:p>
                  <w:pPr>
                    <w:jc w:val="center"/>
                    <w:rPr>
                      <w:b/>
                      <w:szCs w:val="21"/>
                    </w:rPr>
                  </w:pPr>
                </w:p>
              </w:tc>
              <w:tc>
                <w:tcPr>
                  <w:tcW w:w="3504" w:type="dxa"/>
                  <w:vMerge w:val="continue"/>
                  <w:tcMar>
                    <w:left w:w="28" w:type="dxa"/>
                    <w:right w:w="28" w:type="dxa"/>
                  </w:tcMar>
                  <w:vAlign w:val="center"/>
                </w:tcPr>
                <w:p>
                  <w:pPr>
                    <w:jc w:val="center"/>
                    <w:rPr>
                      <w:b/>
                      <w:szCs w:val="21"/>
                    </w:rPr>
                  </w:pPr>
                </w:p>
              </w:tc>
              <w:tc>
                <w:tcPr>
                  <w:tcW w:w="1224" w:type="dxa"/>
                  <w:vAlign w:val="center"/>
                </w:tcPr>
                <w:p>
                  <w:pPr>
                    <w:jc w:val="center"/>
                    <w:rPr>
                      <w:b/>
                      <w:szCs w:val="21"/>
                    </w:rPr>
                  </w:pPr>
                  <w:r>
                    <w:rPr>
                      <w:rFonts w:hAnsi="宋体"/>
                      <w:b/>
                      <w:szCs w:val="21"/>
                    </w:rPr>
                    <w:t>昼间</w:t>
                  </w:r>
                </w:p>
              </w:tc>
              <w:tc>
                <w:tcPr>
                  <w:tcW w:w="1176" w:type="dxa"/>
                  <w:vAlign w:val="center"/>
                </w:tcPr>
                <w:p>
                  <w:pPr>
                    <w:jc w:val="center"/>
                    <w:rPr>
                      <w:b/>
                      <w:szCs w:val="21"/>
                    </w:rPr>
                  </w:pPr>
                  <w:r>
                    <w:rPr>
                      <w:rFonts w:hAnsi="宋体"/>
                      <w:b/>
                      <w:szCs w:val="21"/>
                    </w:rPr>
                    <w:t>夜间</w:t>
                  </w:r>
                </w:p>
              </w:tc>
              <w:tc>
                <w:tcPr>
                  <w:tcW w:w="1025" w:type="dxa"/>
                  <w:vAlign w:val="center"/>
                </w:tcPr>
                <w:p>
                  <w:pPr>
                    <w:jc w:val="center"/>
                    <w:rPr>
                      <w:rFonts w:hAnsi="宋体"/>
                      <w:b/>
                      <w:szCs w:val="21"/>
                    </w:rPr>
                  </w:pPr>
                  <w:r>
                    <w:rPr>
                      <w:rFonts w:hAnsi="宋体"/>
                      <w:b/>
                      <w:szCs w:val="21"/>
                    </w:rPr>
                    <w:t>昼间</w:t>
                  </w:r>
                </w:p>
              </w:tc>
              <w:tc>
                <w:tcPr>
                  <w:tcW w:w="993" w:type="dxa"/>
                  <w:vAlign w:val="center"/>
                </w:tcPr>
                <w:p>
                  <w:pPr>
                    <w:jc w:val="center"/>
                    <w:rPr>
                      <w:rFonts w:hAnsi="宋体"/>
                      <w:b/>
                      <w:szCs w:val="21"/>
                    </w:rPr>
                  </w:pPr>
                  <w:r>
                    <w:rPr>
                      <w:rFonts w:hAnsi="宋体"/>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pPr>
                  <w:r>
                    <w:t>1</w:t>
                  </w:r>
                  <w:r>
                    <w:rPr>
                      <w:rFonts w:hint="eastAsia"/>
                    </w:rPr>
                    <w:t>#</w:t>
                  </w:r>
                </w:p>
              </w:tc>
              <w:tc>
                <w:tcPr>
                  <w:tcW w:w="3504" w:type="dxa"/>
                  <w:tcMar>
                    <w:left w:w="28" w:type="dxa"/>
                    <w:right w:w="28" w:type="dxa"/>
                  </w:tcMar>
                  <w:vAlign w:val="center"/>
                </w:tcPr>
                <w:p>
                  <w:pPr>
                    <w:adjustRightInd w:val="0"/>
                    <w:snapToGrid w:val="0"/>
                    <w:ind w:firstLine="420"/>
                    <w:jc w:val="center"/>
                    <w:rPr>
                      <w:sz w:val="21"/>
                      <w:szCs w:val="21"/>
                    </w:rPr>
                  </w:pPr>
                  <w:r>
                    <w:rPr>
                      <w:spacing w:val="-1"/>
                      <w:sz w:val="21"/>
                      <w:szCs w:val="21"/>
                    </w:rPr>
                    <w:t>大坝</w:t>
                  </w:r>
                  <w:r>
                    <w:rPr>
                      <w:spacing w:val="1"/>
                      <w:sz w:val="21"/>
                      <w:szCs w:val="21"/>
                    </w:rPr>
                    <w:t>下游右岸乡道</w:t>
                  </w:r>
                </w:p>
              </w:tc>
              <w:tc>
                <w:tcPr>
                  <w:tcW w:w="1224" w:type="dxa"/>
                  <w:vAlign w:val="center"/>
                </w:tcPr>
                <w:p>
                  <w:pPr>
                    <w:jc w:val="center"/>
                    <w:rPr>
                      <w:rFonts w:hint="default" w:eastAsia="宋体"/>
                      <w:szCs w:val="21"/>
                      <w:lang w:val="en-US" w:eastAsia="zh-CN"/>
                    </w:rPr>
                  </w:pPr>
                  <w:r>
                    <w:rPr>
                      <w:rFonts w:hint="eastAsia"/>
                      <w:szCs w:val="21"/>
                      <w:lang w:val="en-US" w:eastAsia="zh-CN"/>
                    </w:rPr>
                    <w:t>49</w:t>
                  </w:r>
                </w:p>
              </w:tc>
              <w:tc>
                <w:tcPr>
                  <w:tcW w:w="1176" w:type="dxa"/>
                  <w:vAlign w:val="center"/>
                </w:tcPr>
                <w:p>
                  <w:pPr>
                    <w:tabs>
                      <w:tab w:val="left" w:pos="322"/>
                    </w:tabs>
                    <w:jc w:val="center"/>
                    <w:rPr>
                      <w:rFonts w:hint="default" w:eastAsia="宋体"/>
                      <w:szCs w:val="21"/>
                      <w:lang w:val="en-US" w:eastAsia="zh-CN"/>
                    </w:rPr>
                  </w:pPr>
                  <w:r>
                    <w:rPr>
                      <w:rFonts w:hint="eastAsia"/>
                      <w:szCs w:val="21"/>
                      <w:lang w:val="en-US" w:eastAsia="zh-CN"/>
                    </w:rPr>
                    <w:t>46</w:t>
                  </w:r>
                </w:p>
              </w:tc>
              <w:tc>
                <w:tcPr>
                  <w:tcW w:w="1025" w:type="dxa"/>
                  <w:vAlign w:val="center"/>
                </w:tcPr>
                <w:p>
                  <w:pPr>
                    <w:tabs>
                      <w:tab w:val="left" w:pos="322"/>
                    </w:tabs>
                    <w:jc w:val="center"/>
                    <w:rPr>
                      <w:rFonts w:hint="default" w:eastAsia="宋体"/>
                      <w:szCs w:val="21"/>
                      <w:lang w:val="en-US" w:eastAsia="zh-CN"/>
                    </w:rPr>
                  </w:pPr>
                  <w:r>
                    <w:rPr>
                      <w:rFonts w:hint="eastAsia"/>
                      <w:szCs w:val="21"/>
                      <w:lang w:val="en-US" w:eastAsia="zh-CN"/>
                    </w:rPr>
                    <w:t>50</w:t>
                  </w:r>
                </w:p>
              </w:tc>
              <w:tc>
                <w:tcPr>
                  <w:tcW w:w="993" w:type="dxa"/>
                  <w:vAlign w:val="center"/>
                </w:tcPr>
                <w:p>
                  <w:pPr>
                    <w:tabs>
                      <w:tab w:val="left" w:pos="322"/>
                    </w:tabs>
                    <w:jc w:val="center"/>
                    <w:rPr>
                      <w:rFonts w:hint="default" w:eastAsia="宋体"/>
                      <w:szCs w:val="21"/>
                      <w:lang w:val="en-US" w:eastAsia="zh-CN"/>
                    </w:rPr>
                  </w:pPr>
                  <w:r>
                    <w:rPr>
                      <w:rFonts w:hint="eastAsia"/>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pPr>
                  <w:r>
                    <w:t>2</w:t>
                  </w:r>
                  <w:r>
                    <w:rPr>
                      <w:rFonts w:hint="eastAsia"/>
                    </w:rPr>
                    <w:t>#</w:t>
                  </w:r>
                </w:p>
              </w:tc>
              <w:tc>
                <w:tcPr>
                  <w:tcW w:w="3504" w:type="dxa"/>
                  <w:tcMar>
                    <w:left w:w="28" w:type="dxa"/>
                    <w:right w:w="28" w:type="dxa"/>
                  </w:tcMar>
                  <w:vAlign w:val="center"/>
                </w:tcPr>
                <w:p>
                  <w:pPr>
                    <w:adjustRightInd w:val="0"/>
                    <w:snapToGrid w:val="0"/>
                    <w:jc w:val="center"/>
                    <w:rPr>
                      <w:sz w:val="21"/>
                      <w:szCs w:val="21"/>
                    </w:rPr>
                  </w:pPr>
                  <w:r>
                    <w:rPr>
                      <w:spacing w:val="2"/>
                      <w:sz w:val="21"/>
                      <w:szCs w:val="21"/>
                    </w:rPr>
                    <w:t>大坝右岸坝肩居民区</w:t>
                  </w:r>
                </w:p>
              </w:tc>
              <w:tc>
                <w:tcPr>
                  <w:tcW w:w="1224" w:type="dxa"/>
                  <w:vAlign w:val="center"/>
                </w:tcPr>
                <w:p>
                  <w:pPr>
                    <w:jc w:val="center"/>
                    <w:rPr>
                      <w:rFonts w:hint="default" w:eastAsia="宋体"/>
                      <w:szCs w:val="21"/>
                      <w:lang w:val="en-US" w:eastAsia="zh-CN"/>
                    </w:rPr>
                  </w:pPr>
                  <w:r>
                    <w:rPr>
                      <w:rFonts w:hint="eastAsia"/>
                      <w:szCs w:val="21"/>
                      <w:lang w:val="en-US" w:eastAsia="zh-CN"/>
                    </w:rPr>
                    <w:t>50</w:t>
                  </w:r>
                </w:p>
              </w:tc>
              <w:tc>
                <w:tcPr>
                  <w:tcW w:w="1176" w:type="dxa"/>
                  <w:vAlign w:val="center"/>
                </w:tcPr>
                <w:p>
                  <w:pPr>
                    <w:jc w:val="center"/>
                    <w:rPr>
                      <w:rFonts w:hint="default" w:eastAsia="宋体"/>
                      <w:szCs w:val="21"/>
                      <w:lang w:val="en-US" w:eastAsia="zh-CN"/>
                    </w:rPr>
                  </w:pPr>
                  <w:r>
                    <w:rPr>
                      <w:rFonts w:hint="eastAsia"/>
                      <w:szCs w:val="21"/>
                      <w:lang w:val="en-US" w:eastAsia="zh-CN"/>
                    </w:rPr>
                    <w:t>45</w:t>
                  </w:r>
                </w:p>
              </w:tc>
              <w:tc>
                <w:tcPr>
                  <w:tcW w:w="1025" w:type="dxa"/>
                  <w:vAlign w:val="center"/>
                </w:tcPr>
                <w:p>
                  <w:pPr>
                    <w:jc w:val="center"/>
                    <w:rPr>
                      <w:rFonts w:hint="default" w:eastAsia="宋体"/>
                      <w:szCs w:val="21"/>
                      <w:lang w:val="en-US" w:eastAsia="zh-CN"/>
                    </w:rPr>
                  </w:pPr>
                  <w:r>
                    <w:rPr>
                      <w:rFonts w:hint="eastAsia"/>
                      <w:szCs w:val="21"/>
                      <w:lang w:val="en-US" w:eastAsia="zh-CN"/>
                    </w:rPr>
                    <w:t>53</w:t>
                  </w:r>
                </w:p>
              </w:tc>
              <w:tc>
                <w:tcPr>
                  <w:tcW w:w="993" w:type="dxa"/>
                  <w:vAlign w:val="center"/>
                </w:tcPr>
                <w:p>
                  <w:pPr>
                    <w:jc w:val="center"/>
                    <w:rPr>
                      <w:rFonts w:hint="default" w:eastAsia="宋体"/>
                      <w:szCs w:val="21"/>
                      <w:lang w:val="en-US" w:eastAsia="zh-CN"/>
                    </w:rPr>
                  </w:pPr>
                  <w:r>
                    <w:rPr>
                      <w:rFonts w:hint="eastAsia"/>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pPr>
                  <w:r>
                    <w:t>3</w:t>
                  </w:r>
                  <w:r>
                    <w:rPr>
                      <w:rFonts w:hint="eastAsia"/>
                    </w:rPr>
                    <w:t>#</w:t>
                  </w:r>
                </w:p>
              </w:tc>
              <w:tc>
                <w:tcPr>
                  <w:tcW w:w="3504" w:type="dxa"/>
                  <w:tcMar>
                    <w:left w:w="28" w:type="dxa"/>
                    <w:right w:w="28" w:type="dxa"/>
                  </w:tcMar>
                  <w:vAlign w:val="center"/>
                </w:tcPr>
                <w:p>
                  <w:pPr>
                    <w:spacing w:line="320" w:lineRule="atLeast"/>
                    <w:jc w:val="center"/>
                    <w:rPr>
                      <w:rFonts w:hint="eastAsia" w:eastAsia="宋体"/>
                      <w:sz w:val="21"/>
                      <w:szCs w:val="21"/>
                      <w:lang w:eastAsia="zh-CN"/>
                    </w:rPr>
                  </w:pPr>
                  <w:r>
                    <w:rPr>
                      <w:spacing w:val="-2"/>
                      <w:sz w:val="21"/>
                      <w:szCs w:val="21"/>
                    </w:rPr>
                    <w:t>主管</w:t>
                  </w:r>
                  <w:r>
                    <w:rPr>
                      <w:spacing w:val="3"/>
                      <w:sz w:val="21"/>
                      <w:szCs w:val="21"/>
                    </w:rPr>
                    <w:t>桩号K0+334.46处(北侧居民区</w:t>
                  </w:r>
                  <w:r>
                    <w:rPr>
                      <w:rFonts w:hint="eastAsia"/>
                      <w:spacing w:val="3"/>
                      <w:sz w:val="21"/>
                      <w:szCs w:val="21"/>
                      <w:lang w:eastAsia="zh-CN"/>
                    </w:rPr>
                    <w:t>）</w:t>
                  </w:r>
                </w:p>
              </w:tc>
              <w:tc>
                <w:tcPr>
                  <w:tcW w:w="1224" w:type="dxa"/>
                  <w:vAlign w:val="center"/>
                </w:tcPr>
                <w:p>
                  <w:pPr>
                    <w:jc w:val="center"/>
                    <w:rPr>
                      <w:rFonts w:hint="default" w:eastAsia="宋体"/>
                      <w:szCs w:val="21"/>
                      <w:lang w:val="en-US" w:eastAsia="zh-CN"/>
                    </w:rPr>
                  </w:pPr>
                  <w:r>
                    <w:rPr>
                      <w:rFonts w:hint="eastAsia"/>
                      <w:szCs w:val="21"/>
                      <w:lang w:val="en-US" w:eastAsia="zh-CN"/>
                    </w:rPr>
                    <w:t>50</w:t>
                  </w:r>
                </w:p>
              </w:tc>
              <w:tc>
                <w:tcPr>
                  <w:tcW w:w="1176" w:type="dxa"/>
                  <w:vAlign w:val="center"/>
                </w:tcPr>
                <w:p>
                  <w:pPr>
                    <w:jc w:val="center"/>
                    <w:rPr>
                      <w:rFonts w:hint="default" w:eastAsia="宋体"/>
                      <w:szCs w:val="21"/>
                      <w:lang w:val="en-US" w:eastAsia="zh-CN"/>
                    </w:rPr>
                  </w:pPr>
                  <w:r>
                    <w:rPr>
                      <w:rFonts w:hint="eastAsia"/>
                      <w:szCs w:val="21"/>
                      <w:lang w:val="en-US" w:eastAsia="zh-CN"/>
                    </w:rPr>
                    <w:t>45</w:t>
                  </w:r>
                </w:p>
              </w:tc>
              <w:tc>
                <w:tcPr>
                  <w:tcW w:w="1025" w:type="dxa"/>
                  <w:vAlign w:val="center"/>
                </w:tcPr>
                <w:p>
                  <w:pPr>
                    <w:jc w:val="center"/>
                    <w:rPr>
                      <w:rFonts w:hint="default" w:eastAsia="宋体"/>
                      <w:szCs w:val="21"/>
                      <w:lang w:val="en-US" w:eastAsia="zh-CN"/>
                    </w:rPr>
                  </w:pPr>
                  <w:r>
                    <w:rPr>
                      <w:rFonts w:hint="eastAsia"/>
                      <w:szCs w:val="21"/>
                      <w:lang w:val="en-US" w:eastAsia="zh-CN"/>
                    </w:rPr>
                    <w:t>50</w:t>
                  </w:r>
                </w:p>
              </w:tc>
              <w:tc>
                <w:tcPr>
                  <w:tcW w:w="993" w:type="dxa"/>
                  <w:vAlign w:val="center"/>
                </w:tcPr>
                <w:p>
                  <w:pPr>
                    <w:jc w:val="center"/>
                    <w:rPr>
                      <w:rFonts w:hint="default" w:eastAsia="宋体"/>
                      <w:szCs w:val="21"/>
                      <w:lang w:val="en-US" w:eastAsia="zh-CN"/>
                    </w:rPr>
                  </w:pPr>
                  <w:r>
                    <w:rPr>
                      <w:rFonts w:hint="eastAsia"/>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pPr>
                  <w:r>
                    <w:rPr>
                      <w:rFonts w:hint="eastAsia"/>
                    </w:rPr>
                    <w:t>4#</w:t>
                  </w:r>
                </w:p>
              </w:tc>
              <w:tc>
                <w:tcPr>
                  <w:tcW w:w="3504" w:type="dxa"/>
                  <w:tcMar>
                    <w:left w:w="28" w:type="dxa"/>
                    <w:right w:w="28" w:type="dxa"/>
                  </w:tcMar>
                  <w:vAlign w:val="center"/>
                </w:tcPr>
                <w:p>
                  <w:pPr>
                    <w:pStyle w:val="75"/>
                    <w:spacing w:before="51" w:line="219" w:lineRule="auto"/>
                    <w:ind w:left="139"/>
                    <w:jc w:val="center"/>
                    <w:rPr>
                      <w:sz w:val="21"/>
                      <w:szCs w:val="21"/>
                    </w:rPr>
                  </w:pPr>
                  <w:r>
                    <w:rPr>
                      <w:spacing w:val="2"/>
                      <w:sz w:val="21"/>
                      <w:szCs w:val="21"/>
                    </w:rPr>
                    <w:t>桩号K3+049.64两侧</w:t>
                  </w:r>
                </w:p>
                <w:p>
                  <w:pPr>
                    <w:pStyle w:val="75"/>
                    <w:spacing w:before="37" w:line="220" w:lineRule="auto"/>
                    <w:ind w:left="80"/>
                    <w:jc w:val="center"/>
                    <w:rPr>
                      <w:sz w:val="21"/>
                      <w:szCs w:val="21"/>
                    </w:rPr>
                  </w:pPr>
                  <w:r>
                    <w:rPr>
                      <w:spacing w:val="2"/>
                      <w:sz w:val="21"/>
                      <w:szCs w:val="21"/>
                    </w:rPr>
                    <w:t>居民区(甘家坡</w:t>
                  </w:r>
                  <w:r>
                    <w:rPr>
                      <w:spacing w:val="11"/>
                      <w:sz w:val="21"/>
                      <w:szCs w:val="21"/>
                    </w:rPr>
                    <w:t>居民区)</w:t>
                  </w:r>
                </w:p>
              </w:tc>
              <w:tc>
                <w:tcPr>
                  <w:tcW w:w="1224" w:type="dxa"/>
                  <w:vAlign w:val="center"/>
                </w:tcPr>
                <w:p>
                  <w:pPr>
                    <w:jc w:val="center"/>
                    <w:rPr>
                      <w:rFonts w:hint="default" w:eastAsia="宋体"/>
                      <w:szCs w:val="21"/>
                      <w:highlight w:val="yellow"/>
                      <w:lang w:val="en-US" w:eastAsia="zh-CN"/>
                    </w:rPr>
                  </w:pPr>
                  <w:r>
                    <w:rPr>
                      <w:rFonts w:hint="eastAsia"/>
                      <w:szCs w:val="21"/>
                      <w:highlight w:val="none"/>
                      <w:lang w:val="en-US" w:eastAsia="zh-CN"/>
                    </w:rPr>
                    <w:t>46</w:t>
                  </w:r>
                </w:p>
              </w:tc>
              <w:tc>
                <w:tcPr>
                  <w:tcW w:w="1176" w:type="dxa"/>
                  <w:vAlign w:val="center"/>
                </w:tcPr>
                <w:p>
                  <w:pPr>
                    <w:jc w:val="center"/>
                    <w:rPr>
                      <w:rFonts w:hint="default" w:eastAsia="宋体"/>
                      <w:szCs w:val="21"/>
                      <w:highlight w:val="yellow"/>
                      <w:lang w:val="en-US" w:eastAsia="zh-CN"/>
                    </w:rPr>
                  </w:pPr>
                  <w:r>
                    <w:rPr>
                      <w:rFonts w:hint="eastAsia"/>
                      <w:szCs w:val="21"/>
                      <w:highlight w:val="none"/>
                      <w:lang w:val="en-US" w:eastAsia="zh-CN"/>
                    </w:rPr>
                    <w:t>45</w:t>
                  </w:r>
                </w:p>
              </w:tc>
              <w:tc>
                <w:tcPr>
                  <w:tcW w:w="1025" w:type="dxa"/>
                  <w:vAlign w:val="center"/>
                </w:tcPr>
                <w:p>
                  <w:pPr>
                    <w:jc w:val="center"/>
                    <w:rPr>
                      <w:rFonts w:hint="default" w:eastAsia="宋体"/>
                      <w:szCs w:val="21"/>
                      <w:lang w:val="en-US" w:eastAsia="zh-CN"/>
                    </w:rPr>
                  </w:pPr>
                  <w:r>
                    <w:rPr>
                      <w:rFonts w:hint="eastAsia"/>
                      <w:szCs w:val="21"/>
                      <w:lang w:val="en-US" w:eastAsia="zh-CN"/>
                    </w:rPr>
                    <w:t>51</w:t>
                  </w:r>
                </w:p>
              </w:tc>
              <w:tc>
                <w:tcPr>
                  <w:tcW w:w="993" w:type="dxa"/>
                  <w:vAlign w:val="center"/>
                </w:tcPr>
                <w:p>
                  <w:pPr>
                    <w:jc w:val="center"/>
                    <w:rPr>
                      <w:rFonts w:hint="default" w:eastAsia="宋体"/>
                      <w:szCs w:val="21"/>
                      <w:lang w:val="en-US" w:eastAsia="zh-CN"/>
                    </w:rPr>
                  </w:pPr>
                  <w:r>
                    <w:rPr>
                      <w:rFonts w:hint="eastAsia"/>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rPr>
                      <w:rFonts w:hint="default" w:eastAsia="宋体"/>
                      <w:lang w:val="en-US" w:eastAsia="zh-CN"/>
                    </w:rPr>
                  </w:pPr>
                  <w:r>
                    <w:rPr>
                      <w:rFonts w:hint="eastAsia"/>
                      <w:lang w:val="en-US" w:eastAsia="zh-CN"/>
                    </w:rPr>
                    <w:t>5#</w:t>
                  </w:r>
                </w:p>
              </w:tc>
              <w:tc>
                <w:tcPr>
                  <w:tcW w:w="3504" w:type="dxa"/>
                  <w:tcMar>
                    <w:left w:w="28" w:type="dxa"/>
                    <w:right w:w="28" w:type="dxa"/>
                  </w:tcMar>
                  <w:vAlign w:val="center"/>
                </w:tcPr>
                <w:p>
                  <w:pPr>
                    <w:pStyle w:val="75"/>
                    <w:spacing w:before="37" w:line="220" w:lineRule="auto"/>
                    <w:ind w:left="80"/>
                    <w:jc w:val="center"/>
                    <w:rPr>
                      <w:spacing w:val="2"/>
                      <w:sz w:val="21"/>
                      <w:szCs w:val="21"/>
                    </w:rPr>
                  </w:pPr>
                  <w:r>
                    <w:rPr>
                      <w:spacing w:val="1"/>
                      <w:sz w:val="21"/>
                      <w:szCs w:val="21"/>
                    </w:rPr>
                    <w:t>主管</w:t>
                  </w:r>
                  <w:r>
                    <w:rPr>
                      <w:spacing w:val="2"/>
                      <w:sz w:val="21"/>
                      <w:szCs w:val="21"/>
                    </w:rPr>
                    <w:t>桩号K4+401.91</w:t>
                  </w:r>
                  <w:r>
                    <w:rPr>
                      <w:spacing w:val="13"/>
                      <w:sz w:val="21"/>
                      <w:szCs w:val="21"/>
                    </w:rPr>
                    <w:t>处两侧居民区</w:t>
                  </w:r>
                  <w:r>
                    <w:rPr>
                      <w:spacing w:val="15"/>
                      <w:sz w:val="21"/>
                      <w:szCs w:val="21"/>
                    </w:rPr>
                    <w:t>(岩湾居民区)</w:t>
                  </w:r>
                </w:p>
              </w:tc>
              <w:tc>
                <w:tcPr>
                  <w:tcW w:w="1224" w:type="dxa"/>
                  <w:vAlign w:val="center"/>
                </w:tcPr>
                <w:p>
                  <w:pPr>
                    <w:jc w:val="center"/>
                    <w:rPr>
                      <w:rFonts w:hint="default" w:eastAsia="宋体"/>
                      <w:szCs w:val="21"/>
                      <w:lang w:val="en-US" w:eastAsia="zh-CN"/>
                    </w:rPr>
                  </w:pPr>
                  <w:r>
                    <w:rPr>
                      <w:rFonts w:hint="eastAsia"/>
                      <w:szCs w:val="21"/>
                      <w:lang w:val="en-US" w:eastAsia="zh-CN"/>
                    </w:rPr>
                    <w:t>46</w:t>
                  </w:r>
                </w:p>
              </w:tc>
              <w:tc>
                <w:tcPr>
                  <w:tcW w:w="1176" w:type="dxa"/>
                  <w:vAlign w:val="center"/>
                </w:tcPr>
                <w:p>
                  <w:pPr>
                    <w:jc w:val="center"/>
                    <w:rPr>
                      <w:rFonts w:hint="default" w:eastAsia="宋体"/>
                      <w:szCs w:val="21"/>
                      <w:lang w:val="en-US" w:eastAsia="zh-CN"/>
                    </w:rPr>
                  </w:pPr>
                  <w:r>
                    <w:rPr>
                      <w:rFonts w:hint="eastAsia"/>
                      <w:szCs w:val="21"/>
                      <w:lang w:val="en-US" w:eastAsia="zh-CN"/>
                    </w:rPr>
                    <w:t>44</w:t>
                  </w:r>
                </w:p>
              </w:tc>
              <w:tc>
                <w:tcPr>
                  <w:tcW w:w="1025" w:type="dxa"/>
                  <w:vAlign w:val="center"/>
                </w:tcPr>
                <w:p>
                  <w:pPr>
                    <w:jc w:val="center"/>
                    <w:rPr>
                      <w:rFonts w:hint="default" w:eastAsia="宋体"/>
                      <w:szCs w:val="21"/>
                      <w:lang w:val="en-US" w:eastAsia="zh-CN"/>
                    </w:rPr>
                  </w:pPr>
                  <w:r>
                    <w:rPr>
                      <w:rFonts w:hint="eastAsia"/>
                      <w:szCs w:val="21"/>
                      <w:lang w:val="en-US" w:eastAsia="zh-CN"/>
                    </w:rPr>
                    <w:t>51</w:t>
                  </w:r>
                </w:p>
              </w:tc>
              <w:tc>
                <w:tcPr>
                  <w:tcW w:w="993" w:type="dxa"/>
                  <w:vAlign w:val="center"/>
                </w:tcPr>
                <w:p>
                  <w:pPr>
                    <w:jc w:val="center"/>
                    <w:rPr>
                      <w:rFonts w:hint="default" w:eastAsia="宋体"/>
                      <w:szCs w:val="21"/>
                      <w:lang w:val="en-US" w:eastAsia="zh-CN"/>
                    </w:rPr>
                  </w:pPr>
                  <w:r>
                    <w:rPr>
                      <w:rFonts w:hint="eastAsia"/>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9" w:type="dxa"/>
                  <w:tcMar>
                    <w:left w:w="28" w:type="dxa"/>
                    <w:right w:w="28" w:type="dxa"/>
                  </w:tcMar>
                  <w:vAlign w:val="center"/>
                </w:tcPr>
                <w:p>
                  <w:pPr>
                    <w:adjustRightInd w:val="0"/>
                    <w:snapToGrid w:val="0"/>
                    <w:jc w:val="center"/>
                    <w:rPr>
                      <w:rFonts w:hint="default" w:eastAsia="宋体"/>
                      <w:lang w:val="en-US" w:eastAsia="zh-CN"/>
                    </w:rPr>
                  </w:pPr>
                  <w:r>
                    <w:rPr>
                      <w:rFonts w:hint="eastAsia"/>
                      <w:lang w:val="en-US" w:eastAsia="zh-CN"/>
                    </w:rPr>
                    <w:t>6#</w:t>
                  </w:r>
                </w:p>
              </w:tc>
              <w:tc>
                <w:tcPr>
                  <w:tcW w:w="3504" w:type="dxa"/>
                  <w:tcMar>
                    <w:left w:w="28" w:type="dxa"/>
                    <w:right w:w="28" w:type="dxa"/>
                  </w:tcMar>
                  <w:vAlign w:val="center"/>
                </w:tcPr>
                <w:p>
                  <w:pPr>
                    <w:pStyle w:val="75"/>
                    <w:spacing w:before="37" w:line="220" w:lineRule="auto"/>
                    <w:ind w:left="80"/>
                    <w:jc w:val="center"/>
                    <w:rPr>
                      <w:spacing w:val="2"/>
                      <w:sz w:val="21"/>
                      <w:szCs w:val="21"/>
                    </w:rPr>
                  </w:pPr>
                  <w:r>
                    <w:rPr>
                      <w:spacing w:val="1"/>
                      <w:sz w:val="21"/>
                      <w:szCs w:val="21"/>
                    </w:rPr>
                    <w:t>主管桩号K9+484.68</w:t>
                  </w:r>
                  <w:r>
                    <w:rPr>
                      <w:spacing w:val="13"/>
                      <w:sz w:val="21"/>
                      <w:szCs w:val="21"/>
                    </w:rPr>
                    <w:t>处两侧居民区</w:t>
                  </w:r>
                  <w:r>
                    <w:rPr>
                      <w:spacing w:val="15"/>
                      <w:sz w:val="21"/>
                      <w:szCs w:val="21"/>
                    </w:rPr>
                    <w:t>(曹家沟沟口)</w:t>
                  </w:r>
                </w:p>
              </w:tc>
              <w:tc>
                <w:tcPr>
                  <w:tcW w:w="1224" w:type="dxa"/>
                  <w:vAlign w:val="center"/>
                </w:tcPr>
                <w:p>
                  <w:pPr>
                    <w:jc w:val="center"/>
                    <w:rPr>
                      <w:rFonts w:hint="default" w:eastAsia="宋体"/>
                      <w:szCs w:val="21"/>
                      <w:lang w:val="en-US" w:eastAsia="zh-CN"/>
                    </w:rPr>
                  </w:pPr>
                  <w:r>
                    <w:rPr>
                      <w:rFonts w:hint="eastAsia"/>
                      <w:szCs w:val="21"/>
                      <w:lang w:val="en-US" w:eastAsia="zh-CN"/>
                    </w:rPr>
                    <w:t>56</w:t>
                  </w:r>
                </w:p>
              </w:tc>
              <w:tc>
                <w:tcPr>
                  <w:tcW w:w="1176" w:type="dxa"/>
                  <w:vAlign w:val="center"/>
                </w:tcPr>
                <w:p>
                  <w:pPr>
                    <w:jc w:val="center"/>
                    <w:rPr>
                      <w:rFonts w:hint="default" w:eastAsia="宋体"/>
                      <w:szCs w:val="21"/>
                      <w:lang w:val="en-US" w:eastAsia="zh-CN"/>
                    </w:rPr>
                  </w:pPr>
                  <w:r>
                    <w:rPr>
                      <w:rFonts w:hint="eastAsia"/>
                      <w:szCs w:val="21"/>
                      <w:lang w:val="en-US" w:eastAsia="zh-CN"/>
                    </w:rPr>
                    <w:t>49</w:t>
                  </w:r>
                </w:p>
              </w:tc>
              <w:tc>
                <w:tcPr>
                  <w:tcW w:w="1025" w:type="dxa"/>
                  <w:vAlign w:val="center"/>
                </w:tcPr>
                <w:p>
                  <w:pPr>
                    <w:jc w:val="center"/>
                    <w:rPr>
                      <w:rFonts w:hint="default" w:eastAsia="宋体"/>
                      <w:szCs w:val="21"/>
                      <w:lang w:val="en-US" w:eastAsia="zh-CN"/>
                    </w:rPr>
                  </w:pPr>
                  <w:r>
                    <w:rPr>
                      <w:rFonts w:hint="eastAsia"/>
                      <w:szCs w:val="21"/>
                      <w:lang w:val="en-US" w:eastAsia="zh-CN"/>
                    </w:rPr>
                    <w:t>55</w:t>
                  </w:r>
                </w:p>
              </w:tc>
              <w:tc>
                <w:tcPr>
                  <w:tcW w:w="993" w:type="dxa"/>
                  <w:vAlign w:val="center"/>
                </w:tcPr>
                <w:p>
                  <w:pPr>
                    <w:jc w:val="center"/>
                    <w:rPr>
                      <w:rFonts w:hint="default" w:eastAsia="宋体"/>
                      <w:szCs w:val="21"/>
                      <w:lang w:val="en-US" w:eastAsia="zh-CN"/>
                    </w:rPr>
                  </w:pPr>
                  <w:r>
                    <w:rPr>
                      <w:rFonts w:hint="eastAsia"/>
                      <w:szCs w:val="21"/>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4263" w:type="dxa"/>
                  <w:gridSpan w:val="2"/>
                  <w:tcMar>
                    <w:left w:w="28" w:type="dxa"/>
                    <w:right w:w="28" w:type="dxa"/>
                  </w:tcMar>
                  <w:vAlign w:val="center"/>
                </w:tcPr>
                <w:p>
                  <w:pPr>
                    <w:jc w:val="center"/>
                    <w:rPr>
                      <w:szCs w:val="21"/>
                    </w:rPr>
                  </w:pPr>
                  <w:r>
                    <w:rPr>
                      <w:rFonts w:hAnsi="宋体"/>
                      <w:szCs w:val="21"/>
                    </w:rPr>
                    <w:t>执行标准：《声环境质量标准》中</w:t>
                  </w:r>
                  <w:r>
                    <w:rPr>
                      <w:rFonts w:hint="eastAsia"/>
                      <w:szCs w:val="21"/>
                    </w:rPr>
                    <w:t>2</w:t>
                  </w:r>
                  <w:r>
                    <w:rPr>
                      <w:rFonts w:hAnsi="宋体"/>
                      <w:szCs w:val="21"/>
                    </w:rPr>
                    <w:t>类标准</w:t>
                  </w:r>
                </w:p>
              </w:tc>
              <w:tc>
                <w:tcPr>
                  <w:tcW w:w="4418" w:type="dxa"/>
                  <w:gridSpan w:val="4"/>
                  <w:vAlign w:val="center"/>
                </w:tcPr>
                <w:p>
                  <w:pPr>
                    <w:jc w:val="center"/>
                    <w:rPr>
                      <w:szCs w:val="21"/>
                    </w:rPr>
                  </w:pPr>
                  <w:r>
                    <w:rPr>
                      <w:rFonts w:hAnsi="宋体"/>
                      <w:szCs w:val="21"/>
                    </w:rPr>
                    <w:t>昼间</w:t>
                  </w:r>
                  <w:r>
                    <w:rPr>
                      <w:szCs w:val="21"/>
                    </w:rPr>
                    <w:t>≤6</w:t>
                  </w:r>
                  <w:r>
                    <w:rPr>
                      <w:rFonts w:hint="eastAsia"/>
                      <w:szCs w:val="21"/>
                    </w:rPr>
                    <w:t>0</w:t>
                  </w:r>
                  <w:r>
                    <w:rPr>
                      <w:szCs w:val="21"/>
                    </w:rPr>
                    <w:t>dB(A)</w:t>
                  </w:r>
                  <w:r>
                    <w:rPr>
                      <w:rFonts w:hAnsi="宋体"/>
                      <w:szCs w:val="21"/>
                    </w:rPr>
                    <w:t>，夜间</w:t>
                  </w:r>
                  <w:r>
                    <w:rPr>
                      <w:szCs w:val="21"/>
                    </w:rPr>
                    <w:t>≤5</w:t>
                  </w:r>
                  <w:r>
                    <w:rPr>
                      <w:rFonts w:hint="eastAsia"/>
                      <w:szCs w:val="21"/>
                    </w:rPr>
                    <w:t>0</w:t>
                  </w:r>
                  <w:r>
                    <w:rPr>
                      <w:szCs w:val="21"/>
                    </w:rPr>
                    <w:t>dB(A)</w:t>
                  </w:r>
                </w:p>
              </w:tc>
            </w:tr>
          </w:tbl>
          <w:p>
            <w:pPr>
              <w:spacing w:line="360" w:lineRule="auto"/>
              <w:ind w:firstLine="480" w:firstLineChars="200"/>
              <w:textAlignment w:val="baseline"/>
              <w:rPr>
                <w:sz w:val="24"/>
              </w:rPr>
            </w:pPr>
            <w:r>
              <w:rPr>
                <w:rFonts w:hAnsi="宋体"/>
                <w:sz w:val="24"/>
              </w:rPr>
              <w:t>对照《声环境质量标准》（</w:t>
            </w:r>
            <w:r>
              <w:rPr>
                <w:sz w:val="24"/>
              </w:rPr>
              <w:t>GB3096-2008</w:t>
            </w:r>
            <w:r>
              <w:rPr>
                <w:rFonts w:hAnsi="宋体"/>
                <w:sz w:val="24"/>
              </w:rPr>
              <w:t>）标准，各监测点昼、夜间等效连续</w:t>
            </w:r>
            <w:r>
              <w:rPr>
                <w:sz w:val="24"/>
              </w:rPr>
              <w:t>A</w:t>
            </w:r>
            <w:r>
              <w:rPr>
                <w:rFonts w:hAnsi="宋体"/>
                <w:sz w:val="24"/>
              </w:rPr>
              <w:t>声级值均</w:t>
            </w:r>
            <w:r>
              <w:rPr>
                <w:rFonts w:hAnsi="宋体"/>
                <w:kern w:val="0"/>
                <w:sz w:val="24"/>
              </w:rPr>
              <w:t>低于《声环境质量标准》（</w:t>
            </w:r>
            <w:r>
              <w:rPr>
                <w:kern w:val="0"/>
                <w:sz w:val="24"/>
              </w:rPr>
              <w:t>GB3096-2008</w:t>
            </w:r>
            <w:r>
              <w:rPr>
                <w:rFonts w:hAnsi="宋体"/>
                <w:kern w:val="0"/>
                <w:sz w:val="24"/>
              </w:rPr>
              <w:t>）中</w:t>
            </w:r>
            <w:r>
              <w:rPr>
                <w:rFonts w:hint="eastAsia"/>
                <w:kern w:val="0"/>
                <w:sz w:val="24"/>
              </w:rPr>
              <w:t>2</w:t>
            </w:r>
            <w:r>
              <w:rPr>
                <w:rFonts w:hAnsi="宋体"/>
                <w:kern w:val="0"/>
                <w:sz w:val="24"/>
              </w:rPr>
              <w:t>类标准要求，表明项目所在地声环境质量</w:t>
            </w:r>
            <w:r>
              <w:rPr>
                <w:rFonts w:hAnsi="宋体"/>
                <w:sz w:val="24"/>
              </w:rPr>
              <w:t>较好。</w:t>
            </w:r>
          </w:p>
          <w:p>
            <w:pPr>
              <w:widowControl/>
              <w:spacing w:line="360" w:lineRule="auto"/>
              <w:ind w:firstLine="482" w:firstLineChars="200"/>
              <w:jc w:val="left"/>
              <w:rPr>
                <w:rFonts w:ascii="Arial" w:cs="Arial"/>
                <w:b/>
                <w:kern w:val="0"/>
                <w:sz w:val="24"/>
                <w:lang w:val="zh-CN"/>
              </w:rPr>
            </w:pPr>
            <w:r>
              <w:rPr>
                <w:rFonts w:hint="eastAsia" w:ascii="Arial" w:cs="Arial"/>
                <w:b/>
                <w:kern w:val="0"/>
                <w:sz w:val="24"/>
                <w:lang w:val="zh-CN"/>
              </w:rPr>
              <w:t>4、土壤环境质量</w:t>
            </w:r>
          </w:p>
          <w:p>
            <w:pPr>
              <w:spacing w:line="360" w:lineRule="auto"/>
              <w:ind w:firstLine="480" w:firstLineChars="200"/>
              <w:rPr>
                <w:color w:val="000000"/>
                <w:sz w:val="24"/>
              </w:rPr>
            </w:pPr>
            <w:r>
              <w:rPr>
                <w:rFonts w:ascii="Arial" w:hAnsi="Arial" w:cs="Arial"/>
                <w:sz w:val="24"/>
              </w:rPr>
              <w:t>为</w:t>
            </w:r>
            <w:r>
              <w:rPr>
                <w:rFonts w:hint="eastAsia" w:ascii="Arial" w:hAnsi="Arial" w:cs="Arial"/>
                <w:sz w:val="24"/>
              </w:rPr>
              <w:t>了解</w:t>
            </w:r>
            <w:r>
              <w:rPr>
                <w:rFonts w:ascii="Arial" w:hAnsi="Arial" w:cs="Arial"/>
                <w:sz w:val="24"/>
              </w:rPr>
              <w:t>项目地土壤环境现状，</w:t>
            </w:r>
            <w:r>
              <w:rPr>
                <w:rFonts w:hint="eastAsia" w:ascii="Arial" w:hAnsi="Arial" w:cs="Arial"/>
                <w:sz w:val="24"/>
              </w:rPr>
              <w:t>本次评价委托</w:t>
            </w:r>
            <w:r>
              <w:rPr>
                <w:rFonts w:hint="eastAsia" w:hAnsi="宋体"/>
                <w:sz w:val="24"/>
              </w:rPr>
              <w:t>四川省天平检测技术有限公司</w:t>
            </w:r>
            <w:r>
              <w:rPr>
                <w:rFonts w:hint="eastAsia" w:ascii="Arial" w:hAnsi="Arial" w:cs="Arial"/>
                <w:sz w:val="24"/>
              </w:rPr>
              <w:t>对</w:t>
            </w:r>
            <w:r>
              <w:rPr>
                <w:rFonts w:hint="eastAsia" w:ascii="Arial" w:hAnsi="Arial" w:cs="Arial"/>
                <w:sz w:val="24"/>
                <w:lang w:val="en-US" w:eastAsia="zh-CN"/>
              </w:rPr>
              <w:t>项目</w:t>
            </w:r>
            <w:r>
              <w:rPr>
                <w:rFonts w:hint="eastAsia" w:ascii="Arial" w:hAnsi="Arial" w:cs="Arial"/>
                <w:sz w:val="24"/>
              </w:rPr>
              <w:t>所在区域设置3个监测点位进行现状检测，</w:t>
            </w:r>
            <w:r>
              <w:rPr>
                <w:rFonts w:hAnsi="宋体"/>
                <w:color w:val="000000"/>
                <w:sz w:val="24"/>
              </w:rPr>
              <w:t>具体监测结果如下：</w:t>
            </w:r>
          </w:p>
          <w:p>
            <w:pPr>
              <w:spacing w:line="360" w:lineRule="auto"/>
              <w:ind w:firstLine="482" w:firstLineChars="200"/>
              <w:rPr>
                <w:rFonts w:hAnsi="宋体"/>
                <w:b/>
                <w:color w:val="000000"/>
                <w:sz w:val="24"/>
              </w:rPr>
            </w:pPr>
            <w:r>
              <w:rPr>
                <w:rFonts w:hint="eastAsia"/>
                <w:b/>
                <w:color w:val="000000"/>
                <w:sz w:val="24"/>
                <w:lang w:val="en-US" w:eastAsia="zh-CN"/>
              </w:rPr>
              <w:t xml:space="preserve">⑴ </w:t>
            </w:r>
            <w:r>
              <w:rPr>
                <w:rFonts w:hAnsi="宋体"/>
                <w:b/>
                <w:color w:val="000000"/>
                <w:sz w:val="24"/>
              </w:rPr>
              <w:t>监测布点及监测因子</w:t>
            </w:r>
          </w:p>
          <w:p>
            <w:pPr>
              <w:adjustRightInd w:val="0"/>
              <w:spacing w:line="360" w:lineRule="auto"/>
              <w:ind w:left="420"/>
              <w:jc w:val="center"/>
              <w:outlineLvl w:val="1"/>
              <w:rPr>
                <w:b/>
                <w:color w:val="000000"/>
                <w:szCs w:val="21"/>
              </w:rPr>
            </w:pPr>
            <w:r>
              <w:rPr>
                <w:rFonts w:hint="eastAsia"/>
                <w:b/>
                <w:color w:val="000000"/>
                <w:szCs w:val="21"/>
              </w:rPr>
              <w:t>表3-</w:t>
            </w:r>
            <w:r>
              <w:rPr>
                <w:rFonts w:hint="eastAsia"/>
                <w:b/>
                <w:color w:val="000000"/>
                <w:szCs w:val="21"/>
                <w:lang w:val="en-US" w:eastAsia="zh-CN"/>
              </w:rPr>
              <w:t>7</w:t>
            </w:r>
            <w:r>
              <w:rPr>
                <w:rFonts w:hint="eastAsia"/>
                <w:b/>
                <w:color w:val="000000"/>
                <w:szCs w:val="21"/>
              </w:rPr>
              <w:t xml:space="preserve">   </w:t>
            </w:r>
            <w:r>
              <w:rPr>
                <w:rFonts w:hAnsi="宋体"/>
                <w:b/>
                <w:color w:val="000000"/>
                <w:szCs w:val="21"/>
              </w:rPr>
              <w:t>土壤环境监测布点</w:t>
            </w:r>
          </w:p>
          <w:tbl>
            <w:tblPr>
              <w:tblStyle w:val="23"/>
              <w:tblW w:w="48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3234"/>
              <w:gridCol w:w="1584"/>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3" w:type="dxa"/>
                  <w:vAlign w:val="center"/>
                </w:tcPr>
                <w:p>
                  <w:pPr>
                    <w:pStyle w:val="57"/>
                    <w:adjustRightInd/>
                    <w:spacing w:line="240" w:lineRule="auto"/>
                    <w:ind w:firstLine="0" w:firstLineChars="0"/>
                    <w:rPr>
                      <w:rFonts w:eastAsia="宋体"/>
                      <w:b/>
                      <w:color w:val="000000"/>
                      <w:kern w:val="2"/>
                      <w:sz w:val="21"/>
                      <w:szCs w:val="21"/>
                    </w:rPr>
                  </w:pPr>
                  <w:r>
                    <w:rPr>
                      <w:rFonts w:hAnsi="宋体" w:eastAsia="宋体"/>
                      <w:b/>
                      <w:color w:val="000000"/>
                      <w:kern w:val="2"/>
                      <w:sz w:val="21"/>
                      <w:szCs w:val="21"/>
                    </w:rPr>
                    <w:t>序号</w:t>
                  </w:r>
                </w:p>
              </w:tc>
              <w:tc>
                <w:tcPr>
                  <w:tcW w:w="3234" w:type="dxa"/>
                  <w:vAlign w:val="center"/>
                </w:tcPr>
                <w:p>
                  <w:pPr>
                    <w:jc w:val="center"/>
                    <w:rPr>
                      <w:b/>
                      <w:bCs/>
                      <w:color w:val="000000"/>
                      <w:szCs w:val="21"/>
                    </w:rPr>
                  </w:pPr>
                  <w:r>
                    <w:rPr>
                      <w:rFonts w:hAnsi="宋体"/>
                      <w:b/>
                      <w:bCs/>
                      <w:color w:val="000000"/>
                      <w:szCs w:val="21"/>
                    </w:rPr>
                    <w:t>监测点位置</w:t>
                  </w:r>
                </w:p>
              </w:tc>
              <w:tc>
                <w:tcPr>
                  <w:tcW w:w="1584" w:type="dxa"/>
                  <w:vAlign w:val="center"/>
                </w:tcPr>
                <w:p>
                  <w:pPr>
                    <w:jc w:val="center"/>
                    <w:rPr>
                      <w:b/>
                      <w:bCs/>
                      <w:color w:val="000000"/>
                      <w:szCs w:val="21"/>
                    </w:rPr>
                  </w:pPr>
                  <w:r>
                    <w:rPr>
                      <w:rFonts w:hAnsi="宋体"/>
                      <w:b/>
                      <w:bCs/>
                      <w:color w:val="000000"/>
                      <w:szCs w:val="21"/>
                    </w:rPr>
                    <w:t>采样</w:t>
                  </w:r>
                </w:p>
              </w:tc>
              <w:tc>
                <w:tcPr>
                  <w:tcW w:w="3206" w:type="dxa"/>
                  <w:vAlign w:val="center"/>
                </w:tcPr>
                <w:p>
                  <w:pPr>
                    <w:jc w:val="center"/>
                    <w:rPr>
                      <w:b/>
                      <w:bCs/>
                      <w:color w:val="000000"/>
                      <w:szCs w:val="21"/>
                    </w:rPr>
                  </w:pPr>
                  <w:r>
                    <w:rPr>
                      <w:rFonts w:hAnsi="宋体"/>
                      <w:b/>
                      <w:bCs/>
                      <w:color w:val="000000"/>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pStyle w:val="57"/>
                    <w:adjustRightInd/>
                    <w:spacing w:line="240" w:lineRule="auto"/>
                    <w:ind w:firstLine="0" w:firstLineChars="0"/>
                    <w:rPr>
                      <w:rFonts w:eastAsia="宋体"/>
                      <w:color w:val="000000"/>
                      <w:kern w:val="2"/>
                      <w:sz w:val="21"/>
                      <w:szCs w:val="21"/>
                    </w:rPr>
                  </w:pPr>
                  <w:r>
                    <w:rPr>
                      <w:rFonts w:eastAsia="宋体"/>
                      <w:color w:val="000000"/>
                      <w:kern w:val="2"/>
                      <w:sz w:val="21"/>
                      <w:szCs w:val="21"/>
                    </w:rPr>
                    <w:t>1#</w:t>
                  </w:r>
                </w:p>
              </w:tc>
              <w:tc>
                <w:tcPr>
                  <w:tcW w:w="3234" w:type="dxa"/>
                  <w:vAlign w:val="center"/>
                </w:tcPr>
                <w:p>
                  <w:pPr>
                    <w:pStyle w:val="57"/>
                    <w:adjustRightInd/>
                    <w:spacing w:line="240" w:lineRule="auto"/>
                    <w:ind w:firstLine="0" w:firstLineChars="0"/>
                    <w:rPr>
                      <w:rFonts w:eastAsiaTheme="minorEastAsia"/>
                      <w:kern w:val="2"/>
                      <w:sz w:val="21"/>
                      <w:szCs w:val="21"/>
                    </w:rPr>
                  </w:pPr>
                  <w:r>
                    <w:rPr>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大坝东南侧</w:t>
                  </w:r>
                  <w:r>
                    <w:rPr>
                      <w:color w:val="000000" w:themeColor="text1"/>
                      <w:sz w:val="21"/>
                      <w:szCs w:val="21"/>
                      <w14:textFill>
                        <w14:solidFill>
                          <w14:schemeClr w14:val="tx1"/>
                        </w14:solidFill>
                      </w14:textFill>
                    </w:rPr>
                    <w:t>空地处</w:t>
                  </w:r>
                </w:p>
              </w:tc>
              <w:tc>
                <w:tcPr>
                  <w:tcW w:w="1584" w:type="dxa"/>
                  <w:vAlign w:val="center"/>
                </w:tcPr>
                <w:p>
                  <w:pPr>
                    <w:pStyle w:val="57"/>
                    <w:adjustRightInd/>
                    <w:spacing w:line="240" w:lineRule="auto"/>
                    <w:ind w:firstLine="0" w:firstLineChars="0"/>
                    <w:rPr>
                      <w:rFonts w:eastAsia="宋体"/>
                      <w:color w:val="000000"/>
                      <w:kern w:val="2"/>
                      <w:sz w:val="21"/>
                      <w:szCs w:val="21"/>
                    </w:rPr>
                  </w:pPr>
                  <w:r>
                    <w:rPr>
                      <w:rFonts w:hint="eastAsia" w:eastAsia="宋体"/>
                      <w:color w:val="000000"/>
                      <w:kern w:val="2"/>
                      <w:sz w:val="21"/>
                      <w:szCs w:val="21"/>
                    </w:rPr>
                    <w:t>表层样点（0~0.2m）</w:t>
                  </w:r>
                </w:p>
              </w:tc>
              <w:tc>
                <w:tcPr>
                  <w:tcW w:w="3206" w:type="dxa"/>
                  <w:vMerge w:val="restart"/>
                  <w:vAlign w:val="center"/>
                </w:tcPr>
                <w:p>
                  <w:pPr>
                    <w:pStyle w:val="57"/>
                    <w:adjustRightInd/>
                    <w:spacing w:line="240" w:lineRule="auto"/>
                    <w:ind w:firstLine="0" w:firstLineChars="0"/>
                    <w:rPr>
                      <w:rFonts w:eastAsiaTheme="minorEastAsia"/>
                      <w:kern w:val="2"/>
                      <w:sz w:val="21"/>
                      <w:szCs w:val="21"/>
                    </w:rPr>
                  </w:pPr>
                  <w:r>
                    <w:rPr>
                      <w:rFonts w:hint="eastAsia" w:eastAsia="宋体"/>
                      <w:kern w:val="2"/>
                      <w:sz w:val="21"/>
                      <w:szCs w:val="21"/>
                      <w:lang w:val="en-US" w:eastAsia="zh-CN"/>
                    </w:rPr>
                    <w:t>pH、</w:t>
                  </w:r>
                  <w:r>
                    <w:rPr>
                      <w:rFonts w:hint="eastAsia"/>
                      <w:kern w:val="2"/>
                      <w:sz w:val="21"/>
                      <w:szCs w:val="21"/>
                    </w:rPr>
                    <w:t>Cd、Hg、As、Pb、Cr、Cu、</w:t>
                  </w:r>
                </w:p>
                <w:p>
                  <w:pPr>
                    <w:pStyle w:val="57"/>
                    <w:adjustRightInd/>
                    <w:spacing w:line="240" w:lineRule="auto"/>
                    <w:ind w:firstLine="0" w:firstLineChars="0"/>
                    <w:rPr>
                      <w:rFonts w:eastAsia="宋体"/>
                      <w:color w:val="000000"/>
                      <w:kern w:val="2"/>
                      <w:sz w:val="21"/>
                      <w:szCs w:val="21"/>
                    </w:rPr>
                  </w:pPr>
                  <w:r>
                    <w:rPr>
                      <w:rFonts w:hint="eastAsia"/>
                      <w:kern w:val="2"/>
                      <w:sz w:val="21"/>
                      <w:szCs w:val="21"/>
                    </w:rPr>
                    <w:t>Ni、Zn、六六六总量、滴滴涕总量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pStyle w:val="57"/>
                    <w:adjustRightInd/>
                    <w:spacing w:line="240" w:lineRule="auto"/>
                    <w:ind w:firstLine="0" w:firstLineChars="0"/>
                    <w:rPr>
                      <w:rFonts w:eastAsia="宋体"/>
                      <w:color w:val="000000"/>
                      <w:kern w:val="2"/>
                      <w:sz w:val="21"/>
                      <w:szCs w:val="21"/>
                    </w:rPr>
                  </w:pPr>
                  <w:r>
                    <w:rPr>
                      <w:rFonts w:eastAsia="宋体"/>
                      <w:color w:val="000000"/>
                      <w:kern w:val="2"/>
                      <w:sz w:val="21"/>
                      <w:szCs w:val="21"/>
                    </w:rPr>
                    <w:t>2#</w:t>
                  </w:r>
                </w:p>
              </w:tc>
              <w:tc>
                <w:tcPr>
                  <w:tcW w:w="3234" w:type="dxa"/>
                  <w:vAlign w:val="center"/>
                </w:tcPr>
                <w:p>
                  <w:pPr>
                    <w:pStyle w:val="57"/>
                    <w:adjustRightInd/>
                    <w:spacing w:line="240" w:lineRule="auto"/>
                    <w:ind w:firstLine="0" w:firstLineChars="0"/>
                    <w:rPr>
                      <w:kern w:val="2"/>
                      <w:sz w:val="21"/>
                      <w:szCs w:val="21"/>
                    </w:rPr>
                  </w:pPr>
                  <w:r>
                    <w:rPr>
                      <w:color w:val="000000" w:themeColor="text1"/>
                      <w:sz w:val="21"/>
                      <w:szCs w:val="21"/>
                      <w14:textFill>
                        <w14:solidFill>
                          <w14:schemeClr w14:val="tx1"/>
                        </w14:solidFill>
                      </w14:textFill>
                    </w:rPr>
                    <w:t>项目</w:t>
                  </w:r>
                  <w:r>
                    <w:rPr>
                      <w:rFonts w:hint="eastAsia"/>
                      <w:color w:val="000000" w:themeColor="text1"/>
                      <w:sz w:val="21"/>
                      <w:szCs w:val="21"/>
                      <w14:textFill>
                        <w14:solidFill>
                          <w14:schemeClr w14:val="tx1"/>
                        </w14:solidFill>
                      </w14:textFill>
                    </w:rPr>
                    <w:t>大坝西北侧</w:t>
                  </w:r>
                  <w:r>
                    <w:rPr>
                      <w:color w:val="000000" w:themeColor="text1"/>
                      <w:sz w:val="21"/>
                      <w:szCs w:val="21"/>
                      <w14:textFill>
                        <w14:solidFill>
                          <w14:schemeClr w14:val="tx1"/>
                        </w14:solidFill>
                      </w14:textFill>
                    </w:rPr>
                    <w:t>空地处</w:t>
                  </w:r>
                  <w:r>
                    <w:rPr>
                      <w:rFonts w:hint="eastAsia"/>
                      <w:color w:val="000000" w:themeColor="text1"/>
                      <w:sz w:val="21"/>
                      <w:szCs w:val="21"/>
                      <w14:textFill>
                        <w14:solidFill>
                          <w14:schemeClr w14:val="tx1"/>
                        </w14:solidFill>
                      </w14:textFill>
                    </w:rPr>
                    <w:t>（距大坝直线距离约为600m）</w:t>
                  </w:r>
                </w:p>
              </w:tc>
              <w:tc>
                <w:tcPr>
                  <w:tcW w:w="1584" w:type="dxa"/>
                  <w:vAlign w:val="center"/>
                </w:tcPr>
                <w:p>
                  <w:pPr>
                    <w:pStyle w:val="57"/>
                    <w:adjustRightInd/>
                    <w:spacing w:line="240" w:lineRule="auto"/>
                    <w:ind w:firstLine="0" w:firstLineChars="0"/>
                    <w:rPr>
                      <w:rFonts w:eastAsia="宋体"/>
                      <w:color w:val="000000"/>
                      <w:kern w:val="2"/>
                      <w:sz w:val="21"/>
                      <w:szCs w:val="21"/>
                    </w:rPr>
                  </w:pPr>
                  <w:r>
                    <w:rPr>
                      <w:rFonts w:hint="eastAsia" w:eastAsia="宋体"/>
                      <w:color w:val="000000"/>
                      <w:kern w:val="2"/>
                      <w:sz w:val="21"/>
                      <w:szCs w:val="21"/>
                    </w:rPr>
                    <w:t>表层样点（0~0.2m）</w:t>
                  </w:r>
                </w:p>
              </w:tc>
              <w:tc>
                <w:tcPr>
                  <w:tcW w:w="3206" w:type="dxa"/>
                  <w:vMerge w:val="continue"/>
                  <w:vAlign w:val="center"/>
                </w:tcPr>
                <w:p>
                  <w:pPr>
                    <w:pStyle w:val="57"/>
                    <w:spacing w:line="240" w:lineRule="auto"/>
                    <w:ind w:firstLine="420"/>
                    <w:rPr>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pStyle w:val="57"/>
                    <w:adjustRightInd/>
                    <w:spacing w:line="240" w:lineRule="auto"/>
                    <w:ind w:firstLine="0" w:firstLineChars="0"/>
                    <w:rPr>
                      <w:rFonts w:eastAsia="宋体"/>
                      <w:color w:val="000000"/>
                      <w:kern w:val="2"/>
                      <w:sz w:val="21"/>
                      <w:szCs w:val="21"/>
                    </w:rPr>
                  </w:pPr>
                  <w:r>
                    <w:rPr>
                      <w:rFonts w:eastAsia="宋体"/>
                      <w:color w:val="000000"/>
                      <w:kern w:val="2"/>
                      <w:sz w:val="21"/>
                      <w:szCs w:val="21"/>
                    </w:rPr>
                    <w:t>3#</w:t>
                  </w:r>
                </w:p>
              </w:tc>
              <w:tc>
                <w:tcPr>
                  <w:tcW w:w="3234" w:type="dxa"/>
                  <w:vAlign w:val="center"/>
                </w:tcPr>
                <w:p>
                  <w:pPr>
                    <w:pStyle w:val="57"/>
                    <w:adjustRightInd/>
                    <w:spacing w:line="240" w:lineRule="auto"/>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主管桩号K10+506.77外侧</w:t>
                  </w:r>
                </w:p>
                <w:p>
                  <w:pPr>
                    <w:pStyle w:val="57"/>
                    <w:adjustRightInd/>
                    <w:spacing w:line="240" w:lineRule="auto"/>
                    <w:ind w:firstLine="0" w:firstLineChars="0"/>
                    <w:rPr>
                      <w:rFonts w:eastAsiaTheme="minorEastAsia"/>
                      <w:kern w:val="2"/>
                      <w:sz w:val="21"/>
                      <w:szCs w:val="21"/>
                    </w:rPr>
                  </w:pPr>
                  <w:r>
                    <w:rPr>
                      <w:rFonts w:hint="eastAsia"/>
                      <w:color w:val="000000" w:themeColor="text1"/>
                      <w:sz w:val="21"/>
                      <w:szCs w:val="21"/>
                      <w14:textFill>
                        <w14:solidFill>
                          <w14:schemeClr w14:val="tx1"/>
                        </w14:solidFill>
                      </w14:textFill>
                    </w:rPr>
                    <w:t>（环城北路居民区）</w:t>
                  </w:r>
                </w:p>
              </w:tc>
              <w:tc>
                <w:tcPr>
                  <w:tcW w:w="1584" w:type="dxa"/>
                  <w:vAlign w:val="center"/>
                </w:tcPr>
                <w:p>
                  <w:pPr>
                    <w:pStyle w:val="57"/>
                    <w:adjustRightInd/>
                    <w:spacing w:line="240" w:lineRule="auto"/>
                    <w:ind w:firstLine="0" w:firstLineChars="0"/>
                    <w:rPr>
                      <w:rFonts w:eastAsia="宋体"/>
                      <w:color w:val="000000"/>
                      <w:kern w:val="2"/>
                      <w:sz w:val="21"/>
                      <w:szCs w:val="21"/>
                    </w:rPr>
                  </w:pPr>
                  <w:r>
                    <w:rPr>
                      <w:rFonts w:hint="eastAsia" w:eastAsia="宋体"/>
                      <w:color w:val="000000"/>
                      <w:kern w:val="2"/>
                      <w:sz w:val="21"/>
                      <w:szCs w:val="21"/>
                    </w:rPr>
                    <w:t>表层样点（0~0.2m）</w:t>
                  </w:r>
                </w:p>
              </w:tc>
              <w:tc>
                <w:tcPr>
                  <w:tcW w:w="3206" w:type="dxa"/>
                  <w:vMerge w:val="continue"/>
                  <w:vAlign w:val="center"/>
                </w:tcPr>
                <w:p>
                  <w:pPr>
                    <w:pStyle w:val="57"/>
                    <w:spacing w:line="240" w:lineRule="auto"/>
                    <w:ind w:firstLine="420"/>
                    <w:rPr>
                      <w:color w:val="000000"/>
                      <w:kern w:val="2"/>
                      <w:sz w:val="21"/>
                      <w:szCs w:val="21"/>
                    </w:rPr>
                  </w:pPr>
                </w:p>
              </w:tc>
            </w:tr>
          </w:tbl>
          <w:p>
            <w:pPr>
              <w:spacing w:line="360" w:lineRule="auto"/>
              <w:ind w:firstLine="482" w:firstLineChars="200"/>
              <w:rPr>
                <w:b/>
                <w:color w:val="000000"/>
                <w:sz w:val="24"/>
              </w:rPr>
            </w:pPr>
            <w:r>
              <w:rPr>
                <w:rFonts w:hint="eastAsia"/>
                <w:b/>
                <w:color w:val="000000"/>
                <w:sz w:val="24"/>
                <w:lang w:val="en-US" w:eastAsia="zh-CN"/>
              </w:rPr>
              <w:t xml:space="preserve">⑵ </w:t>
            </w:r>
            <w:r>
              <w:rPr>
                <w:b/>
                <w:color w:val="000000"/>
                <w:sz w:val="24"/>
              </w:rPr>
              <w:t>监测时间及要求</w:t>
            </w:r>
          </w:p>
          <w:p>
            <w:pPr>
              <w:pStyle w:val="6"/>
              <w:spacing w:line="360" w:lineRule="auto"/>
              <w:ind w:firstLine="480" w:firstLineChars="200"/>
              <w:rPr>
                <w:color w:val="000000"/>
                <w:sz w:val="24"/>
                <w:szCs w:val="24"/>
              </w:rPr>
            </w:pPr>
            <w:r>
              <w:rPr>
                <w:rFonts w:hAnsi="宋体"/>
                <w:color w:val="000000"/>
                <w:sz w:val="24"/>
                <w:szCs w:val="24"/>
              </w:rPr>
              <w:t>监测</w:t>
            </w:r>
            <w:r>
              <w:rPr>
                <w:color w:val="000000"/>
                <w:sz w:val="24"/>
                <w:szCs w:val="24"/>
              </w:rPr>
              <w:t>1</w:t>
            </w:r>
            <w:r>
              <w:rPr>
                <w:rFonts w:hAnsi="宋体"/>
                <w:color w:val="000000"/>
                <w:sz w:val="24"/>
                <w:szCs w:val="24"/>
              </w:rPr>
              <w:t>天，监测一次值。</w:t>
            </w:r>
          </w:p>
          <w:p>
            <w:pPr>
              <w:pStyle w:val="6"/>
              <w:spacing w:line="360" w:lineRule="auto"/>
              <w:ind w:firstLine="482" w:firstLineChars="200"/>
              <w:rPr>
                <w:b/>
                <w:color w:val="000000"/>
                <w:sz w:val="24"/>
                <w:szCs w:val="24"/>
              </w:rPr>
            </w:pPr>
            <w:r>
              <w:rPr>
                <w:rFonts w:hint="eastAsia"/>
                <w:b/>
                <w:color w:val="000000"/>
                <w:sz w:val="24"/>
                <w:szCs w:val="24"/>
                <w:lang w:val="en-US" w:eastAsia="zh-CN"/>
              </w:rPr>
              <w:t xml:space="preserve">⑶ </w:t>
            </w:r>
            <w:r>
              <w:rPr>
                <w:b/>
                <w:color w:val="000000"/>
                <w:sz w:val="24"/>
                <w:szCs w:val="24"/>
              </w:rPr>
              <w:t>监测及分析方法</w:t>
            </w:r>
          </w:p>
          <w:p>
            <w:pPr>
              <w:pStyle w:val="6"/>
              <w:spacing w:line="360" w:lineRule="auto"/>
              <w:ind w:firstLine="480" w:firstLineChars="200"/>
              <w:rPr>
                <w:color w:val="000000"/>
                <w:sz w:val="24"/>
                <w:szCs w:val="24"/>
              </w:rPr>
            </w:pPr>
            <w:r>
              <w:rPr>
                <w:rFonts w:hAnsi="宋体"/>
                <w:color w:val="000000"/>
                <w:sz w:val="24"/>
                <w:szCs w:val="24"/>
              </w:rPr>
              <w:t>按照</w:t>
            </w:r>
            <w:r>
              <w:rPr>
                <w:rFonts w:hint="eastAsia" w:hAnsi="宋体"/>
                <w:color w:val="000000"/>
                <w:sz w:val="24"/>
                <w:szCs w:val="24"/>
              </w:rPr>
              <w:t>《土壤环境质量 农用地土壤污染风险管控标准（试行）》（GB 15618-2018）</w:t>
            </w:r>
            <w:r>
              <w:rPr>
                <w:rFonts w:hAnsi="宋体"/>
                <w:color w:val="000000"/>
                <w:sz w:val="24"/>
                <w:szCs w:val="24"/>
              </w:rPr>
              <w:t>中规定的原则和方法进行。</w:t>
            </w:r>
          </w:p>
          <w:p>
            <w:pPr>
              <w:spacing w:line="360" w:lineRule="auto"/>
              <w:ind w:firstLine="482" w:firstLineChars="200"/>
              <w:jc w:val="left"/>
              <w:rPr>
                <w:b/>
                <w:color w:val="000000"/>
                <w:sz w:val="24"/>
              </w:rPr>
            </w:pPr>
            <w:r>
              <w:rPr>
                <w:rFonts w:hint="eastAsia"/>
                <w:b/>
                <w:color w:val="000000"/>
                <w:sz w:val="24"/>
                <w:lang w:val="en-US" w:eastAsia="zh-CN"/>
              </w:rPr>
              <w:t xml:space="preserve">⑷ </w:t>
            </w:r>
            <w:r>
              <w:rPr>
                <w:rFonts w:hAnsi="宋体"/>
                <w:b/>
                <w:color w:val="000000"/>
                <w:sz w:val="24"/>
              </w:rPr>
              <w:t>分析方法</w:t>
            </w:r>
          </w:p>
          <w:p>
            <w:pPr>
              <w:spacing w:line="360" w:lineRule="auto"/>
              <w:ind w:firstLine="480" w:firstLineChars="200"/>
              <w:rPr>
                <w:color w:val="000000"/>
                <w:sz w:val="24"/>
              </w:rPr>
            </w:pPr>
            <w:r>
              <w:rPr>
                <w:rFonts w:hAnsi="宋体"/>
                <w:color w:val="000000"/>
                <w:sz w:val="24"/>
              </w:rPr>
              <w:t>按国家标准方法和推荐方法进行：</w:t>
            </w:r>
          </w:p>
          <w:p>
            <w:pPr>
              <w:spacing w:line="360" w:lineRule="auto"/>
              <w:ind w:firstLine="480" w:firstLineChars="200"/>
              <w:jc w:val="center"/>
              <w:rPr>
                <w:color w:val="000000"/>
                <w:sz w:val="24"/>
              </w:rPr>
            </w:pPr>
            <w:r>
              <w:rPr>
                <w:color w:val="000000"/>
                <w:sz w:val="24"/>
              </w:rPr>
              <w:t>Pi=Ci/Si</w:t>
            </w:r>
          </w:p>
          <w:p>
            <w:pPr>
              <w:spacing w:line="360" w:lineRule="auto"/>
              <w:ind w:firstLine="480" w:firstLineChars="200"/>
              <w:jc w:val="left"/>
              <w:rPr>
                <w:color w:val="000000"/>
                <w:sz w:val="24"/>
              </w:rPr>
            </w:pPr>
            <w:r>
              <w:rPr>
                <w:rFonts w:hAnsi="宋体"/>
                <w:color w:val="000000"/>
                <w:sz w:val="24"/>
              </w:rPr>
              <w:t>式中：</w:t>
            </w:r>
            <w:r>
              <w:rPr>
                <w:color w:val="000000"/>
                <w:sz w:val="24"/>
              </w:rPr>
              <w:t>Pi——</w:t>
            </w:r>
            <w:r>
              <w:rPr>
                <w:rFonts w:hAnsi="宋体"/>
                <w:color w:val="000000"/>
                <w:sz w:val="24"/>
              </w:rPr>
              <w:t>第</w:t>
            </w:r>
            <w:r>
              <w:rPr>
                <w:color w:val="000000"/>
                <w:sz w:val="24"/>
              </w:rPr>
              <w:t>i</w:t>
            </w:r>
            <w:r>
              <w:rPr>
                <w:rFonts w:hAnsi="宋体"/>
                <w:color w:val="000000"/>
                <w:sz w:val="24"/>
              </w:rPr>
              <w:t>种污染物的实测浓度值（</w:t>
            </w:r>
            <w:r>
              <w:rPr>
                <w:color w:val="000000"/>
                <w:sz w:val="24"/>
              </w:rPr>
              <w:t>mg/kg</w:t>
            </w:r>
            <w:r>
              <w:rPr>
                <w:rFonts w:hAnsi="宋体"/>
                <w:color w:val="000000"/>
                <w:sz w:val="24"/>
              </w:rPr>
              <w:t>）；</w:t>
            </w:r>
          </w:p>
          <w:p>
            <w:pPr>
              <w:spacing w:line="360" w:lineRule="auto"/>
              <w:ind w:firstLine="1200" w:firstLineChars="500"/>
              <w:jc w:val="left"/>
              <w:rPr>
                <w:color w:val="000000"/>
                <w:sz w:val="24"/>
              </w:rPr>
            </w:pPr>
            <w:r>
              <w:rPr>
                <w:color w:val="000000"/>
                <w:sz w:val="24"/>
              </w:rPr>
              <w:t>Ci——</w:t>
            </w:r>
            <w:r>
              <w:rPr>
                <w:rFonts w:hAnsi="宋体"/>
                <w:color w:val="000000"/>
                <w:sz w:val="24"/>
              </w:rPr>
              <w:t>第</w:t>
            </w:r>
            <w:r>
              <w:rPr>
                <w:color w:val="000000"/>
                <w:sz w:val="24"/>
              </w:rPr>
              <w:t>i</w:t>
            </w:r>
            <w:r>
              <w:rPr>
                <w:rFonts w:hAnsi="宋体"/>
                <w:color w:val="000000"/>
                <w:sz w:val="24"/>
              </w:rPr>
              <w:t>种污染物的环境质量标准值（</w:t>
            </w:r>
            <w:r>
              <w:rPr>
                <w:color w:val="000000"/>
                <w:sz w:val="24"/>
              </w:rPr>
              <w:t>mg/kg</w:t>
            </w:r>
            <w:r>
              <w:rPr>
                <w:rFonts w:hAnsi="宋体"/>
                <w:color w:val="000000"/>
                <w:sz w:val="24"/>
              </w:rPr>
              <w:t>）；</w:t>
            </w:r>
          </w:p>
          <w:p>
            <w:pPr>
              <w:spacing w:line="360" w:lineRule="auto"/>
              <w:ind w:firstLine="1200" w:firstLineChars="500"/>
              <w:jc w:val="left"/>
              <w:rPr>
                <w:color w:val="000000"/>
                <w:sz w:val="24"/>
              </w:rPr>
            </w:pPr>
            <w:r>
              <w:rPr>
                <w:color w:val="000000"/>
                <w:sz w:val="24"/>
              </w:rPr>
              <w:t>Si——</w:t>
            </w:r>
            <w:r>
              <w:rPr>
                <w:rFonts w:hAnsi="宋体"/>
                <w:color w:val="000000"/>
                <w:sz w:val="24"/>
              </w:rPr>
              <w:t>第</w:t>
            </w:r>
            <w:r>
              <w:rPr>
                <w:color w:val="000000"/>
                <w:sz w:val="24"/>
              </w:rPr>
              <w:t>i</w:t>
            </w:r>
            <w:r>
              <w:rPr>
                <w:rFonts w:hAnsi="宋体"/>
                <w:color w:val="000000"/>
                <w:sz w:val="24"/>
              </w:rPr>
              <w:t>种污染物的评价标准指标。</w:t>
            </w:r>
          </w:p>
          <w:p>
            <w:pPr>
              <w:spacing w:line="360" w:lineRule="auto"/>
              <w:ind w:firstLine="480" w:firstLineChars="200"/>
              <w:jc w:val="left"/>
              <w:rPr>
                <w:rFonts w:hAnsi="宋体"/>
                <w:color w:val="000000"/>
                <w:sz w:val="24"/>
              </w:rPr>
            </w:pPr>
            <w:r>
              <w:rPr>
                <w:rFonts w:hAnsi="宋体"/>
                <w:color w:val="000000"/>
                <w:sz w:val="24"/>
              </w:rPr>
              <w:t>根据以上计算模式，结合监测结果和评价标准，土壤环境质量现状评价结果见下表。</w:t>
            </w:r>
          </w:p>
          <w:p>
            <w:pPr>
              <w:adjustRightInd w:val="0"/>
              <w:spacing w:line="360" w:lineRule="auto"/>
              <w:jc w:val="center"/>
              <w:outlineLvl w:val="1"/>
              <w:rPr>
                <w:b/>
                <w:color w:val="000000"/>
                <w:szCs w:val="21"/>
              </w:rPr>
            </w:pPr>
            <w:r>
              <w:rPr>
                <w:rFonts w:hAnsi="宋体"/>
                <w:b/>
                <w:color w:val="000000"/>
                <w:szCs w:val="21"/>
              </w:rPr>
              <w:t>表</w:t>
            </w:r>
            <w:r>
              <w:rPr>
                <w:rFonts w:hint="eastAsia" w:hAnsi="宋体"/>
                <w:b/>
                <w:color w:val="000000"/>
                <w:szCs w:val="21"/>
              </w:rPr>
              <w:t>3-</w:t>
            </w:r>
            <w:r>
              <w:rPr>
                <w:rFonts w:hint="eastAsia" w:hAnsi="宋体"/>
                <w:b/>
                <w:color w:val="000000"/>
                <w:szCs w:val="21"/>
                <w:lang w:val="en-US" w:eastAsia="zh-CN"/>
              </w:rPr>
              <w:t>8</w:t>
            </w:r>
            <w:r>
              <w:rPr>
                <w:rFonts w:hint="eastAsia" w:hAnsi="宋体"/>
                <w:b/>
                <w:color w:val="000000"/>
                <w:szCs w:val="21"/>
              </w:rPr>
              <w:t xml:space="preserve">   </w:t>
            </w:r>
            <w:r>
              <w:rPr>
                <w:rFonts w:hAnsi="宋体"/>
                <w:b/>
                <w:color w:val="000000"/>
                <w:szCs w:val="21"/>
              </w:rPr>
              <w:t>土壤环境质量本底监测结果</w:t>
            </w:r>
          </w:p>
          <w:tbl>
            <w:tblPr>
              <w:tblStyle w:val="23"/>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407"/>
              <w:gridCol w:w="1411"/>
              <w:gridCol w:w="1411"/>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pStyle w:val="53"/>
                    <w:spacing w:line="240" w:lineRule="auto"/>
                    <w:ind w:firstLine="1136" w:firstLineChars="539"/>
                    <w:rPr>
                      <w:rFonts w:ascii="Times New Roman" w:eastAsia="宋体"/>
                      <w:b/>
                      <w:color w:val="000000"/>
                      <w:sz w:val="21"/>
                      <w:szCs w:val="21"/>
                    </w:rPr>
                  </w:pPr>
                  <w:r>
                    <w:rPr>
                      <w:rFonts w:hint="eastAsia" w:ascii="Times New Roman" w:hAnsi="Times New Roman" w:eastAsia="宋体"/>
                      <w:b/>
                      <w:color w:val="000000"/>
                      <w:sz w:val="21"/>
                      <w:szCs w:val="21"/>
                    </w:rPr>
                    <w:t>监测</w:t>
                  </w:r>
                  <w:r>
                    <w:rPr>
                      <w:rFonts w:ascii="Times New Roman" w:eastAsia="宋体"/>
                      <w:b/>
                      <w:color w:val="000000"/>
                      <w:sz w:val="21"/>
                      <w:szCs w:val="21"/>
                    </w:rPr>
                    <w:t>点位</w:t>
                  </w:r>
                </w:p>
                <w:p>
                  <w:pPr>
                    <w:pStyle w:val="53"/>
                    <w:spacing w:line="240" w:lineRule="auto"/>
                    <w:rPr>
                      <w:rFonts w:ascii="Times New Roman" w:hAnsi="Times New Roman" w:eastAsia="宋体"/>
                      <w:b/>
                      <w:color w:val="000000"/>
                      <w:sz w:val="21"/>
                      <w:szCs w:val="21"/>
                    </w:rPr>
                  </w:pPr>
                  <w:r>
                    <w:rPr>
                      <w:rFonts w:ascii="Times New Roman" w:eastAsia="宋体"/>
                      <w:b/>
                      <w:color w:val="000000"/>
                      <w:sz w:val="21"/>
                      <w:szCs w:val="21"/>
                    </w:rPr>
                    <w:t>监测因子</w:t>
                  </w:r>
                </w:p>
              </w:tc>
              <w:tc>
                <w:tcPr>
                  <w:tcW w:w="1407" w:type="dxa"/>
                  <w:vAlign w:val="center"/>
                </w:tcPr>
                <w:p>
                  <w:pPr>
                    <w:pStyle w:val="53"/>
                    <w:spacing w:line="240" w:lineRule="auto"/>
                    <w:jc w:val="center"/>
                    <w:rPr>
                      <w:rFonts w:eastAsia="宋体"/>
                      <w:b/>
                      <w:color w:val="000000"/>
                      <w:sz w:val="21"/>
                      <w:szCs w:val="21"/>
                    </w:rPr>
                  </w:pPr>
                  <w:r>
                    <w:rPr>
                      <w:rFonts w:ascii="Times New Roman" w:hAnsi="Times New Roman" w:eastAsia="宋体"/>
                      <w:b/>
                      <w:color w:val="000000"/>
                      <w:sz w:val="21"/>
                      <w:szCs w:val="21"/>
                    </w:rPr>
                    <w:t>1#</w:t>
                  </w:r>
                </w:p>
              </w:tc>
              <w:tc>
                <w:tcPr>
                  <w:tcW w:w="1411" w:type="dxa"/>
                  <w:vAlign w:val="center"/>
                </w:tcPr>
                <w:p>
                  <w:pPr>
                    <w:pStyle w:val="53"/>
                    <w:spacing w:line="240" w:lineRule="auto"/>
                    <w:jc w:val="center"/>
                    <w:rPr>
                      <w:rFonts w:eastAsia="宋体"/>
                      <w:b/>
                      <w:color w:val="000000"/>
                      <w:sz w:val="21"/>
                      <w:szCs w:val="21"/>
                    </w:rPr>
                  </w:pPr>
                  <w:r>
                    <w:rPr>
                      <w:rFonts w:ascii="Times New Roman" w:hAnsi="Times New Roman" w:eastAsia="宋体"/>
                      <w:b/>
                      <w:color w:val="000000"/>
                      <w:sz w:val="21"/>
                      <w:szCs w:val="21"/>
                    </w:rPr>
                    <w:t>2#</w:t>
                  </w:r>
                </w:p>
              </w:tc>
              <w:tc>
                <w:tcPr>
                  <w:tcW w:w="1411" w:type="dxa"/>
                  <w:vAlign w:val="center"/>
                </w:tcPr>
                <w:p>
                  <w:pPr>
                    <w:pStyle w:val="53"/>
                    <w:jc w:val="center"/>
                    <w:rPr>
                      <w:rFonts w:eastAsia="宋体"/>
                      <w:b/>
                      <w:color w:val="000000"/>
                      <w:sz w:val="21"/>
                      <w:szCs w:val="21"/>
                    </w:rPr>
                  </w:pPr>
                  <w:r>
                    <w:rPr>
                      <w:rFonts w:hint="eastAsia" w:eastAsia="宋体"/>
                      <w:b/>
                      <w:color w:val="000000"/>
                      <w:sz w:val="21"/>
                      <w:szCs w:val="21"/>
                    </w:rPr>
                    <w:t>3#</w:t>
                  </w:r>
                </w:p>
              </w:tc>
              <w:tc>
                <w:tcPr>
                  <w:tcW w:w="1250" w:type="pct"/>
                  <w:vAlign w:val="center"/>
                </w:tcPr>
                <w:p>
                  <w:pPr>
                    <w:adjustRightInd w:val="0"/>
                    <w:spacing w:line="360" w:lineRule="auto"/>
                    <w:jc w:val="center"/>
                    <w:outlineLvl w:val="1"/>
                    <w:rPr>
                      <w:rFonts w:hint="default" w:ascii="Times New Roman" w:hAnsi="Times New Roman" w:eastAsia="宋体"/>
                      <w:b/>
                      <w:color w:val="000000"/>
                      <w:sz w:val="21"/>
                      <w:szCs w:val="21"/>
                      <w:lang w:val="en-US" w:eastAsia="zh-CN"/>
                    </w:rPr>
                  </w:pPr>
                  <w:r>
                    <w:rPr>
                      <w:rFonts w:hAnsi="宋体"/>
                      <w:b/>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4" w:type="pct"/>
                  <w:vAlign w:val="center"/>
                </w:tcPr>
                <w:p>
                  <w:pPr>
                    <w:pStyle w:val="53"/>
                    <w:spacing w:line="240" w:lineRule="auto"/>
                    <w:jc w:val="center"/>
                    <w:rPr>
                      <w:rFonts w:hint="eastAsia" w:ascii="Times New Roman" w:eastAsia="宋体"/>
                      <w:b/>
                      <w:color w:val="000000"/>
                      <w:sz w:val="21"/>
                      <w:szCs w:val="21"/>
                      <w:lang w:val="en-US" w:eastAsia="zh-CN"/>
                    </w:rPr>
                  </w:pPr>
                  <w:r>
                    <w:rPr>
                      <w:rFonts w:hint="eastAsia" w:ascii="Times New Roman" w:eastAsia="宋体"/>
                      <w:b w:val="0"/>
                      <w:bCs/>
                      <w:color w:val="000000"/>
                      <w:sz w:val="21"/>
                      <w:szCs w:val="21"/>
                      <w:lang w:val="en-US" w:eastAsia="zh-CN"/>
                    </w:rPr>
                    <w:t>pH</w:t>
                  </w:r>
                </w:p>
              </w:tc>
              <w:tc>
                <w:tcPr>
                  <w:tcW w:w="810" w:type="pct"/>
                  <w:vAlign w:val="center"/>
                </w:tcPr>
                <w:p>
                  <w:pPr>
                    <w:widowControl/>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7.24</w:t>
                  </w:r>
                </w:p>
              </w:tc>
              <w:tc>
                <w:tcPr>
                  <w:tcW w:w="812" w:type="pct"/>
                  <w:vAlign w:val="center"/>
                </w:tcPr>
                <w:p>
                  <w:pPr>
                    <w:widowControl/>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7.57</w:t>
                  </w:r>
                </w:p>
              </w:tc>
              <w:tc>
                <w:tcPr>
                  <w:tcW w:w="812" w:type="pct"/>
                  <w:vAlign w:val="center"/>
                </w:tcPr>
                <w:p>
                  <w:pPr>
                    <w:widowControl/>
                    <w:jc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7.61</w:t>
                  </w:r>
                </w:p>
              </w:tc>
              <w:tc>
                <w:tcPr>
                  <w:tcW w:w="1250" w:type="pct"/>
                  <w:vMerge w:val="restart"/>
                  <w:vAlign w:val="center"/>
                </w:tcPr>
                <w:p>
                  <w:pPr>
                    <w:adjustRightInd w:val="0"/>
                    <w:spacing w:line="360" w:lineRule="auto"/>
                    <w:jc w:val="center"/>
                    <w:outlineLvl w:val="1"/>
                    <w:rPr>
                      <w:rFonts w:hint="default" w:ascii="Times New Roman" w:eastAsia="宋体"/>
                      <w:b/>
                      <w:color w:val="000000"/>
                      <w:sz w:val="21"/>
                      <w:szCs w:val="21"/>
                      <w:lang w:val="en-US" w:eastAsia="zh-CN"/>
                    </w:rPr>
                  </w:pPr>
                  <w:r>
                    <w:rPr>
                      <w:b w:val="0"/>
                      <w:bCs/>
                      <w:color w:val="000000"/>
                      <w:sz w:val="21"/>
                      <w:szCs w:val="21"/>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4"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镉</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0.20</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0.39</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0.51</w:t>
                  </w:r>
                </w:p>
              </w:tc>
              <w:tc>
                <w:tcPr>
                  <w:tcW w:w="1250" w:type="pct"/>
                  <w:vMerge w:val="continue"/>
                  <w:vAlign w:val="center"/>
                </w:tcPr>
                <w:p>
                  <w:pPr>
                    <w:jc w:val="center"/>
                    <w:rPr>
                      <w:rFonts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4"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汞</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0.089</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0.096</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0.103</w:t>
                  </w:r>
                </w:p>
              </w:tc>
              <w:tc>
                <w:tcPr>
                  <w:tcW w:w="1250" w:type="pct"/>
                  <w:vMerge w:val="continue"/>
                  <w:vAlign w:val="center"/>
                </w:tcPr>
                <w:p>
                  <w:pPr>
                    <w:jc w:val="center"/>
                    <w:rPr>
                      <w:rFonts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4"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砷</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9.37</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12.5</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10.2</w:t>
                  </w:r>
                </w:p>
              </w:tc>
              <w:tc>
                <w:tcPr>
                  <w:tcW w:w="1250" w:type="pct"/>
                  <w:vMerge w:val="continue"/>
                  <w:vAlign w:val="center"/>
                </w:tcPr>
                <w:p>
                  <w:pPr>
                    <w:jc w:val="center"/>
                    <w:rPr>
                      <w:rFonts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铅</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61</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53</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51</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pStyle w:val="19"/>
                    <w:bidi w:val="0"/>
                    <w:jc w:val="center"/>
                    <w:rPr>
                      <w:bCs/>
                      <w:color w:val="000000"/>
                      <w:sz w:val="21"/>
                      <w:szCs w:val="21"/>
                    </w:rPr>
                  </w:pPr>
                  <w:r>
                    <w:rPr>
                      <w:rFonts w:hint="eastAsia"/>
                      <w:color w:val="000000" w:themeColor="text1"/>
                      <w:sz w:val="21"/>
                      <w:szCs w:val="21"/>
                      <w:lang w:val="en-US" w:eastAsia="zh-CN"/>
                      <w14:textFill>
                        <w14:solidFill>
                          <w14:schemeClr w14:val="tx1"/>
                        </w14:solidFill>
                      </w14:textFill>
                    </w:rPr>
                    <w:t>铬</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74</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65</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65</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铜</w:t>
                  </w:r>
                </w:p>
              </w:tc>
              <w:tc>
                <w:tcPr>
                  <w:tcW w:w="810"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33</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32</w:t>
                  </w:r>
                </w:p>
              </w:tc>
              <w:tc>
                <w:tcPr>
                  <w:tcW w:w="812" w:type="pct"/>
                  <w:shd w:val="clear" w:color="auto" w:fill="auto"/>
                  <w:vAlign w:val="center"/>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33</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pStyle w:val="19"/>
                    <w:bidi w:val="0"/>
                    <w:jc w:val="center"/>
                    <w:rPr>
                      <w:bCs/>
                      <w:color w:val="000000"/>
                      <w:sz w:val="21"/>
                      <w:szCs w:val="21"/>
                    </w:rPr>
                  </w:pPr>
                  <w:r>
                    <w:rPr>
                      <w:rFonts w:hint="eastAsia"/>
                      <w:color w:val="000000" w:themeColor="text1"/>
                      <w:sz w:val="21"/>
                      <w:szCs w:val="21"/>
                      <w:lang w:eastAsia="zh-CN"/>
                      <w14:textFill>
                        <w14:solidFill>
                          <w14:schemeClr w14:val="tx1"/>
                        </w14:solidFill>
                      </w14:textFill>
                    </w:rPr>
                    <w:t>镍</w:t>
                  </w:r>
                </w:p>
              </w:tc>
              <w:tc>
                <w:tcPr>
                  <w:tcW w:w="810" w:type="pct"/>
                  <w:shd w:val="clear" w:color="auto" w:fill="auto"/>
                  <w:vAlign w:val="top"/>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33</w:t>
                  </w:r>
                </w:p>
              </w:tc>
              <w:tc>
                <w:tcPr>
                  <w:tcW w:w="812" w:type="pct"/>
                  <w:shd w:val="clear" w:color="auto" w:fill="auto"/>
                  <w:vAlign w:val="top"/>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34</w:t>
                  </w:r>
                </w:p>
              </w:tc>
              <w:tc>
                <w:tcPr>
                  <w:tcW w:w="812" w:type="pct"/>
                  <w:shd w:val="clear" w:color="auto" w:fill="auto"/>
                  <w:vAlign w:val="top"/>
                </w:tcPr>
                <w:p>
                  <w:pPr>
                    <w:widowControl/>
                    <w:jc w:val="center"/>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44</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314" w:type="pct"/>
                  <w:vAlign w:val="center"/>
                </w:tcPr>
                <w:p>
                  <w:pPr>
                    <w:pStyle w:val="19"/>
                    <w:bidi w:val="0"/>
                    <w:jc w:val="center"/>
                    <w:rPr>
                      <w:bCs/>
                      <w:color w:val="000000"/>
                      <w:sz w:val="21"/>
                      <w:szCs w:val="21"/>
                    </w:rPr>
                  </w:pPr>
                  <w:r>
                    <w:rPr>
                      <w:rFonts w:hint="eastAsia"/>
                      <w:color w:val="000000" w:themeColor="text1"/>
                      <w:sz w:val="21"/>
                      <w:szCs w:val="21"/>
                      <w:lang w:val="en-US" w:eastAsia="zh-CN"/>
                      <w14:textFill>
                        <w14:solidFill>
                          <w14:schemeClr w14:val="tx1"/>
                        </w14:solidFill>
                      </w14:textFill>
                    </w:rPr>
                    <w:t>锌</w:t>
                  </w:r>
                </w:p>
              </w:tc>
              <w:tc>
                <w:tcPr>
                  <w:tcW w:w="810" w:type="pct"/>
                  <w:shd w:val="clear" w:color="auto" w:fill="auto"/>
                  <w:vAlign w:val="top"/>
                </w:tcPr>
                <w:p>
                  <w:pPr>
                    <w:widowControl/>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113</w:t>
                  </w:r>
                </w:p>
              </w:tc>
              <w:tc>
                <w:tcPr>
                  <w:tcW w:w="812" w:type="pct"/>
                  <w:shd w:val="clear" w:color="auto" w:fill="auto"/>
                  <w:vAlign w:val="top"/>
                </w:tcPr>
                <w:p>
                  <w:pPr>
                    <w:widowControl/>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94</w:t>
                  </w:r>
                </w:p>
              </w:tc>
              <w:tc>
                <w:tcPr>
                  <w:tcW w:w="812" w:type="pct"/>
                  <w:shd w:val="clear" w:color="auto" w:fill="auto"/>
                  <w:vAlign w:val="top"/>
                </w:tcPr>
                <w:p>
                  <w:pPr>
                    <w:widowControl/>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lang w:val="en-US" w:eastAsia="zh-CN"/>
                    </w:rPr>
                    <w:t>88</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widowControl/>
                    <w:jc w:val="center"/>
                    <w:rPr>
                      <w:bCs/>
                      <w:color w:val="000000"/>
                      <w:sz w:val="21"/>
                      <w:szCs w:val="21"/>
                    </w:rPr>
                  </w:pPr>
                  <w:r>
                    <w:rPr>
                      <w:bCs/>
                      <w:color w:val="000000"/>
                      <w:sz w:val="21"/>
                      <w:szCs w:val="21"/>
                    </w:rPr>
                    <w:t>六六六</w:t>
                  </w:r>
                </w:p>
              </w:tc>
              <w:tc>
                <w:tcPr>
                  <w:tcW w:w="810"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812"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812"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1250"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14" w:type="pct"/>
                  <w:vAlign w:val="center"/>
                </w:tcPr>
                <w:p>
                  <w:pPr>
                    <w:widowControl/>
                    <w:jc w:val="center"/>
                    <w:rPr>
                      <w:bCs/>
                      <w:color w:val="000000"/>
                      <w:sz w:val="21"/>
                      <w:szCs w:val="21"/>
                    </w:rPr>
                  </w:pPr>
                  <w:r>
                    <w:rPr>
                      <w:bCs/>
                      <w:color w:val="000000"/>
                      <w:sz w:val="21"/>
                      <w:szCs w:val="21"/>
                    </w:rPr>
                    <w:t>滴滴涕</w:t>
                  </w:r>
                </w:p>
              </w:tc>
              <w:tc>
                <w:tcPr>
                  <w:tcW w:w="810"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812"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812"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未检出</w:t>
                  </w:r>
                </w:p>
              </w:tc>
              <w:tc>
                <w:tcPr>
                  <w:tcW w:w="1250" w:type="pct"/>
                  <w:vMerge w:val="continue"/>
                  <w:vAlign w:val="center"/>
                </w:tcPr>
                <w:p>
                  <w:pPr>
                    <w:jc w:val="center"/>
                    <w:rPr>
                      <w:rFonts w:hAnsi="宋体"/>
                      <w:color w:val="000000"/>
                      <w:sz w:val="21"/>
                      <w:szCs w:val="21"/>
                    </w:rPr>
                  </w:pPr>
                </w:p>
              </w:tc>
            </w:tr>
          </w:tbl>
          <w:p>
            <w:pPr>
              <w:spacing w:line="360" w:lineRule="auto"/>
              <w:ind w:firstLine="482" w:firstLineChars="200"/>
              <w:rPr>
                <w:rFonts w:hint="default" w:hAnsi="宋体" w:eastAsia="宋体"/>
                <w:b/>
                <w:bCs/>
                <w:color w:val="000000"/>
                <w:sz w:val="24"/>
                <w:lang w:val="en-US" w:eastAsia="zh-CN"/>
              </w:rPr>
            </w:pPr>
            <w:r>
              <w:rPr>
                <w:rFonts w:hint="eastAsia" w:hAnsi="宋体"/>
                <w:b/>
                <w:bCs/>
                <w:color w:val="000000"/>
                <w:sz w:val="24"/>
                <w:lang w:val="en-US" w:eastAsia="zh-CN"/>
              </w:rPr>
              <w:t>⑸ 评价结果</w:t>
            </w:r>
          </w:p>
          <w:p>
            <w:pPr>
              <w:adjustRightInd w:val="0"/>
              <w:spacing w:line="360" w:lineRule="auto"/>
              <w:jc w:val="center"/>
              <w:outlineLvl w:val="1"/>
              <w:rPr>
                <w:b/>
                <w:color w:val="000000"/>
                <w:szCs w:val="21"/>
              </w:rPr>
            </w:pPr>
            <w:r>
              <w:rPr>
                <w:rFonts w:hAnsi="宋体"/>
                <w:b/>
                <w:color w:val="000000"/>
                <w:szCs w:val="21"/>
              </w:rPr>
              <w:t>表</w:t>
            </w:r>
            <w:r>
              <w:rPr>
                <w:rFonts w:hint="eastAsia" w:hAnsi="宋体"/>
                <w:b/>
                <w:color w:val="000000"/>
                <w:szCs w:val="21"/>
              </w:rPr>
              <w:t>3-</w:t>
            </w:r>
            <w:r>
              <w:rPr>
                <w:rFonts w:hint="eastAsia" w:hAnsi="宋体"/>
                <w:b/>
                <w:color w:val="000000"/>
                <w:szCs w:val="21"/>
                <w:lang w:val="en-US" w:eastAsia="zh-CN"/>
              </w:rPr>
              <w:t>9</w:t>
            </w:r>
            <w:r>
              <w:rPr>
                <w:rFonts w:hint="eastAsia" w:hAnsi="宋体"/>
                <w:b/>
                <w:color w:val="000000"/>
                <w:szCs w:val="21"/>
              </w:rPr>
              <w:t xml:space="preserve">   </w:t>
            </w:r>
            <w:r>
              <w:rPr>
                <w:rFonts w:hAnsi="宋体"/>
                <w:b/>
                <w:color w:val="000000"/>
                <w:szCs w:val="21"/>
              </w:rPr>
              <w:t>土壤环境质量本底评价结果</w:t>
            </w:r>
          </w:p>
          <w:tbl>
            <w:tblPr>
              <w:tblStyle w:val="23"/>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1408"/>
              <w:gridCol w:w="1410"/>
              <w:gridCol w:w="1410"/>
              <w:gridCol w:w="2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53"/>
                    <w:spacing w:line="240" w:lineRule="auto"/>
                    <w:ind w:firstLine="1136" w:firstLineChars="539"/>
                    <w:rPr>
                      <w:rFonts w:ascii="Times New Roman" w:eastAsia="宋体"/>
                      <w:b/>
                      <w:color w:val="000000"/>
                      <w:sz w:val="21"/>
                      <w:szCs w:val="21"/>
                    </w:rPr>
                  </w:pPr>
                  <w:r>
                    <w:rPr>
                      <w:rFonts w:hint="eastAsia" w:ascii="Times New Roman" w:hAnsi="Times New Roman" w:eastAsia="宋体"/>
                      <w:b/>
                      <w:color w:val="000000"/>
                      <w:sz w:val="21"/>
                      <w:szCs w:val="21"/>
                    </w:rPr>
                    <w:t>监测</w:t>
                  </w:r>
                  <w:r>
                    <w:rPr>
                      <w:rFonts w:ascii="Times New Roman" w:eastAsia="宋体"/>
                      <w:b/>
                      <w:color w:val="000000"/>
                      <w:sz w:val="21"/>
                      <w:szCs w:val="21"/>
                    </w:rPr>
                    <w:t>点位</w:t>
                  </w:r>
                </w:p>
                <w:p>
                  <w:pPr>
                    <w:pStyle w:val="53"/>
                    <w:spacing w:line="240" w:lineRule="auto"/>
                    <w:rPr>
                      <w:rFonts w:ascii="Times New Roman" w:hAnsi="Times New Roman" w:eastAsia="宋体"/>
                      <w:b/>
                      <w:color w:val="000000"/>
                      <w:sz w:val="21"/>
                      <w:szCs w:val="21"/>
                    </w:rPr>
                  </w:pPr>
                  <w:r>
                    <w:rPr>
                      <w:rFonts w:ascii="Times New Roman" w:eastAsia="宋体"/>
                      <w:b/>
                      <w:color w:val="000000"/>
                      <w:sz w:val="21"/>
                      <w:szCs w:val="21"/>
                    </w:rPr>
                    <w:t>监测因子</w:t>
                  </w:r>
                </w:p>
              </w:tc>
              <w:tc>
                <w:tcPr>
                  <w:tcW w:w="796" w:type="pct"/>
                  <w:shd w:val="clear" w:color="auto" w:fill="auto"/>
                  <w:vAlign w:val="center"/>
                </w:tcPr>
                <w:p>
                  <w:pPr>
                    <w:pStyle w:val="53"/>
                    <w:spacing w:line="240" w:lineRule="auto"/>
                    <w:jc w:val="center"/>
                    <w:rPr>
                      <w:rFonts w:ascii="Times New Roman" w:hAnsi="Times New Roman" w:eastAsia="宋体" w:cs="Times New Roman"/>
                      <w:b/>
                      <w:color w:val="000000"/>
                      <w:kern w:val="2"/>
                      <w:sz w:val="21"/>
                      <w:szCs w:val="21"/>
                      <w:lang w:val="en-US" w:eastAsia="zh-CN" w:bidi="ar-SA"/>
                    </w:rPr>
                  </w:pPr>
                  <w:r>
                    <w:rPr>
                      <w:b/>
                      <w:bCs/>
                      <w:color w:val="000000"/>
                      <w:sz w:val="21"/>
                      <w:szCs w:val="21"/>
                    </w:rPr>
                    <w:t>Pi</w:t>
                  </w:r>
                  <w:r>
                    <w:rPr>
                      <w:rFonts w:ascii="Times New Roman" w:hAnsi="Times New Roman" w:eastAsia="宋体"/>
                      <w:b/>
                      <w:color w:val="000000"/>
                      <w:sz w:val="21"/>
                      <w:szCs w:val="21"/>
                      <w:vertAlign w:val="subscript"/>
                    </w:rPr>
                    <w:t>1#</w:t>
                  </w:r>
                </w:p>
              </w:tc>
              <w:tc>
                <w:tcPr>
                  <w:tcW w:w="797" w:type="pct"/>
                  <w:shd w:val="clear" w:color="auto" w:fill="auto"/>
                  <w:vAlign w:val="center"/>
                </w:tcPr>
                <w:p>
                  <w:pPr>
                    <w:pStyle w:val="53"/>
                    <w:spacing w:line="240" w:lineRule="auto"/>
                    <w:jc w:val="center"/>
                    <w:rPr>
                      <w:rFonts w:ascii="Times New Roman" w:hAnsi="Times New Roman" w:eastAsia="宋体" w:cs="Times New Roman"/>
                      <w:b/>
                      <w:color w:val="000000"/>
                      <w:kern w:val="2"/>
                      <w:sz w:val="21"/>
                      <w:szCs w:val="21"/>
                      <w:lang w:val="en-US" w:eastAsia="zh-CN" w:bidi="ar-SA"/>
                    </w:rPr>
                  </w:pPr>
                  <w:r>
                    <w:rPr>
                      <w:b/>
                      <w:bCs/>
                      <w:color w:val="000000"/>
                      <w:sz w:val="21"/>
                      <w:szCs w:val="21"/>
                    </w:rPr>
                    <w:t>Pi</w:t>
                  </w:r>
                  <w:r>
                    <w:rPr>
                      <w:rFonts w:ascii="Times New Roman" w:hAnsi="Times New Roman" w:eastAsia="宋体"/>
                      <w:b/>
                      <w:color w:val="000000"/>
                      <w:sz w:val="21"/>
                      <w:szCs w:val="21"/>
                      <w:vertAlign w:val="subscript"/>
                    </w:rPr>
                    <w:t>2#</w:t>
                  </w:r>
                </w:p>
              </w:tc>
              <w:tc>
                <w:tcPr>
                  <w:tcW w:w="797" w:type="pct"/>
                  <w:shd w:val="clear" w:color="auto" w:fill="auto"/>
                  <w:vAlign w:val="center"/>
                </w:tcPr>
                <w:p>
                  <w:pPr>
                    <w:pStyle w:val="53"/>
                    <w:jc w:val="center"/>
                    <w:rPr>
                      <w:rFonts w:hint="eastAsia" w:ascii="仿宋_GB2312" w:hAnsi="宋体" w:eastAsia="宋体" w:cs="Times New Roman"/>
                      <w:b/>
                      <w:color w:val="000000"/>
                      <w:kern w:val="2"/>
                      <w:sz w:val="21"/>
                      <w:szCs w:val="21"/>
                      <w:lang w:val="en-US" w:eastAsia="zh-CN" w:bidi="ar-SA"/>
                    </w:rPr>
                  </w:pPr>
                  <w:r>
                    <w:rPr>
                      <w:b/>
                      <w:bCs/>
                      <w:color w:val="000000"/>
                      <w:sz w:val="21"/>
                      <w:szCs w:val="21"/>
                    </w:rPr>
                    <w:t>Pi</w:t>
                  </w:r>
                  <w:r>
                    <w:rPr>
                      <w:rFonts w:hint="eastAsia" w:eastAsia="宋体"/>
                      <w:b/>
                      <w:color w:val="000000"/>
                      <w:sz w:val="21"/>
                      <w:szCs w:val="21"/>
                      <w:vertAlign w:val="subscript"/>
                    </w:rPr>
                    <w:t>3#</w:t>
                  </w:r>
                </w:p>
              </w:tc>
              <w:tc>
                <w:tcPr>
                  <w:tcW w:w="1317" w:type="pct"/>
                  <w:vAlign w:val="center"/>
                </w:tcPr>
                <w:p>
                  <w:pPr>
                    <w:adjustRightInd w:val="0"/>
                    <w:spacing w:line="360" w:lineRule="auto"/>
                    <w:jc w:val="center"/>
                    <w:outlineLvl w:val="1"/>
                    <w:rPr>
                      <w:rFonts w:hint="default" w:ascii="Times New Roman" w:hAnsi="Times New Roman" w:eastAsia="宋体"/>
                      <w:b/>
                      <w:color w:val="000000"/>
                      <w:sz w:val="21"/>
                      <w:szCs w:val="21"/>
                      <w:lang w:val="en-US" w:eastAsia="zh-CN"/>
                    </w:rPr>
                  </w:pPr>
                  <w:r>
                    <w:rPr>
                      <w:rFonts w:hint="default" w:ascii="Times New Roman" w:hAnsi="Times New Roman" w:eastAsia="宋体"/>
                      <w:b/>
                      <w:color w:val="000000"/>
                      <w:sz w:val="21"/>
                      <w:szCs w:val="21"/>
                      <w:lang w:val="en-US" w:eastAsia="zh-CN"/>
                    </w:rPr>
                    <w:t>标准名称及编号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镉</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0.67</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0.65</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0.85</w:t>
                  </w:r>
                </w:p>
              </w:tc>
              <w:tc>
                <w:tcPr>
                  <w:tcW w:w="1317" w:type="pct"/>
                  <w:vMerge w:val="restart"/>
                  <w:vAlign w:val="center"/>
                </w:tcPr>
                <w:p>
                  <w:pPr>
                    <w:jc w:val="center"/>
                    <w:rPr>
                      <w:rFonts w:hAnsi="宋体"/>
                      <w:color w:val="000000"/>
                      <w:sz w:val="21"/>
                      <w:szCs w:val="21"/>
                    </w:rPr>
                  </w:pPr>
                  <w:r>
                    <w:rPr>
                      <w:rFonts w:hint="eastAsia"/>
                      <w:color w:val="000000" w:themeColor="text1"/>
                      <w:sz w:val="21"/>
                      <w:szCs w:val="21"/>
                      <w:highlight w:val="none"/>
                      <w:lang w:eastAsia="zh-CN"/>
                      <w14:textFill>
                        <w14:solidFill>
                          <w14:schemeClr w14:val="tx1"/>
                        </w14:solidFill>
                      </w14:textFill>
                    </w:rPr>
                    <w:t>《土壤环境质量 农用地土壤污染风险管控标准（试行）》（GB 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汞</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0.037</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0.028</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0.0003</w:t>
                  </w:r>
                </w:p>
              </w:tc>
              <w:tc>
                <w:tcPr>
                  <w:tcW w:w="1317" w:type="pct"/>
                  <w:vMerge w:val="continue"/>
                  <w:vAlign w:val="center"/>
                </w:tcPr>
                <w:p>
                  <w:pPr>
                    <w:jc w:val="center"/>
                    <w:rPr>
                      <w:rFonts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砷</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0.31</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0.50</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0.41</w:t>
                  </w:r>
                </w:p>
              </w:tc>
              <w:tc>
                <w:tcPr>
                  <w:tcW w:w="1317" w:type="pct"/>
                  <w:vMerge w:val="continue"/>
                  <w:vAlign w:val="center"/>
                </w:tcPr>
                <w:p>
                  <w:pPr>
                    <w:jc w:val="center"/>
                    <w:rPr>
                      <w:rFonts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铅</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0.51</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0.31</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0.23</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rFonts w:hint="eastAsia"/>
                      <w:color w:val="000000" w:themeColor="text1"/>
                      <w:sz w:val="21"/>
                      <w:szCs w:val="21"/>
                      <w:lang w:val="en-US" w:eastAsia="zh-CN"/>
                      <w14:textFill>
                        <w14:solidFill>
                          <w14:schemeClr w14:val="tx1"/>
                        </w14:solidFill>
                      </w14:textFill>
                    </w:rPr>
                    <w:t>铬</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0.37</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0.26</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0.22</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color w:val="000000" w:themeColor="text1"/>
                      <w:sz w:val="21"/>
                      <w:szCs w:val="21"/>
                      <w14:textFill>
                        <w14:solidFill>
                          <w14:schemeClr w14:val="tx1"/>
                        </w14:solidFill>
                      </w14:textFill>
                    </w:rPr>
                    <w:t>铜</w:t>
                  </w:r>
                </w:p>
              </w:tc>
              <w:tc>
                <w:tcPr>
                  <w:tcW w:w="796"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0.33</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0.32</w:t>
                  </w:r>
                </w:p>
              </w:tc>
              <w:tc>
                <w:tcPr>
                  <w:tcW w:w="797" w:type="pct"/>
                  <w:shd w:val="clear" w:color="auto" w:fill="auto"/>
                  <w:vAlign w:val="center"/>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0.33</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rFonts w:hint="eastAsia"/>
                      <w:color w:val="000000" w:themeColor="text1"/>
                      <w:sz w:val="21"/>
                      <w:szCs w:val="21"/>
                      <w:lang w:eastAsia="zh-CN"/>
                      <w14:textFill>
                        <w14:solidFill>
                          <w14:schemeClr w14:val="tx1"/>
                        </w14:solidFill>
                      </w14:textFill>
                    </w:rPr>
                    <w:t>镍</w:t>
                  </w:r>
                </w:p>
              </w:tc>
              <w:tc>
                <w:tcPr>
                  <w:tcW w:w="796"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0.33</w:t>
                  </w:r>
                </w:p>
              </w:tc>
              <w:tc>
                <w:tcPr>
                  <w:tcW w:w="797"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0.18</w:t>
                  </w:r>
                </w:p>
              </w:tc>
              <w:tc>
                <w:tcPr>
                  <w:tcW w:w="797"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0.23</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pStyle w:val="19"/>
                    <w:bidi w:val="0"/>
                    <w:jc w:val="center"/>
                    <w:rPr>
                      <w:bCs/>
                      <w:color w:val="000000"/>
                      <w:sz w:val="21"/>
                      <w:szCs w:val="21"/>
                    </w:rPr>
                  </w:pPr>
                  <w:r>
                    <w:rPr>
                      <w:rFonts w:hint="eastAsia"/>
                      <w:color w:val="000000" w:themeColor="text1"/>
                      <w:sz w:val="21"/>
                      <w:szCs w:val="21"/>
                      <w:lang w:val="en-US" w:eastAsia="zh-CN"/>
                      <w14:textFill>
                        <w14:solidFill>
                          <w14:schemeClr w14:val="tx1"/>
                        </w14:solidFill>
                      </w14:textFill>
                    </w:rPr>
                    <w:t>锌</w:t>
                  </w:r>
                </w:p>
              </w:tc>
              <w:tc>
                <w:tcPr>
                  <w:tcW w:w="796"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0.45</w:t>
                  </w:r>
                </w:p>
              </w:tc>
              <w:tc>
                <w:tcPr>
                  <w:tcW w:w="797"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0.31</w:t>
                  </w:r>
                </w:p>
              </w:tc>
              <w:tc>
                <w:tcPr>
                  <w:tcW w:w="797" w:type="pct"/>
                  <w:shd w:val="clear" w:color="auto" w:fill="auto"/>
                  <w:vAlign w:val="top"/>
                </w:tcPr>
                <w:p>
                  <w:pPr>
                    <w:widowControl/>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0.29</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widowControl/>
                    <w:jc w:val="center"/>
                    <w:rPr>
                      <w:bCs/>
                      <w:color w:val="000000"/>
                      <w:sz w:val="21"/>
                      <w:szCs w:val="21"/>
                    </w:rPr>
                  </w:pPr>
                  <w:r>
                    <w:rPr>
                      <w:bCs/>
                      <w:color w:val="000000"/>
                      <w:sz w:val="21"/>
                      <w:szCs w:val="21"/>
                    </w:rPr>
                    <w:t>六六六</w:t>
                  </w:r>
                </w:p>
              </w:tc>
              <w:tc>
                <w:tcPr>
                  <w:tcW w:w="796" w:type="pct"/>
                  <w:vAlign w:val="top"/>
                </w:tcPr>
                <w:p>
                  <w:pPr>
                    <w:widowControl/>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797" w:type="pct"/>
                  <w:vAlign w:val="top"/>
                </w:tcPr>
                <w:p>
                  <w:pPr>
                    <w:widowControl/>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797" w:type="pct"/>
                  <w:vAlign w:val="top"/>
                </w:tcPr>
                <w:p>
                  <w:pPr>
                    <w:widowControl/>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1317" w:type="pct"/>
                  <w:vMerge w:val="continue"/>
                  <w:vAlign w:val="center"/>
                </w:tcPr>
                <w:p>
                  <w:pPr>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0" w:type="pct"/>
                  <w:vAlign w:val="center"/>
                </w:tcPr>
                <w:p>
                  <w:pPr>
                    <w:widowControl/>
                    <w:jc w:val="center"/>
                    <w:rPr>
                      <w:bCs/>
                      <w:color w:val="000000"/>
                      <w:sz w:val="21"/>
                      <w:szCs w:val="21"/>
                    </w:rPr>
                  </w:pPr>
                  <w:r>
                    <w:rPr>
                      <w:bCs/>
                      <w:color w:val="000000"/>
                      <w:sz w:val="21"/>
                      <w:szCs w:val="21"/>
                    </w:rPr>
                    <w:t>滴滴涕</w:t>
                  </w:r>
                </w:p>
              </w:tc>
              <w:tc>
                <w:tcPr>
                  <w:tcW w:w="796"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797"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797" w:type="pct"/>
                  <w:vAlign w:val="top"/>
                </w:tcPr>
                <w:p>
                  <w:pPr>
                    <w:widowControl/>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w:t>
                  </w:r>
                </w:p>
              </w:tc>
              <w:tc>
                <w:tcPr>
                  <w:tcW w:w="1317" w:type="pct"/>
                  <w:vMerge w:val="continue"/>
                  <w:vAlign w:val="center"/>
                </w:tcPr>
                <w:p>
                  <w:pPr>
                    <w:jc w:val="center"/>
                    <w:rPr>
                      <w:rFonts w:hAnsi="宋体"/>
                      <w:color w:val="000000"/>
                      <w:sz w:val="21"/>
                      <w:szCs w:val="21"/>
                    </w:rPr>
                  </w:pPr>
                </w:p>
              </w:tc>
            </w:tr>
          </w:tbl>
          <w:p>
            <w:pPr>
              <w:spacing w:line="360" w:lineRule="auto"/>
              <w:ind w:firstLine="480" w:firstLineChars="200"/>
              <w:rPr>
                <w:rFonts w:ascii="宋体" w:hAnsi="宋体" w:cs="宋体"/>
                <w:kern w:val="0"/>
                <w:szCs w:val="21"/>
              </w:rPr>
            </w:pPr>
            <w:r>
              <w:rPr>
                <w:rFonts w:hAnsi="宋体"/>
                <w:color w:val="000000"/>
                <w:sz w:val="24"/>
              </w:rPr>
              <w:t>由上表可见，监测点位的各项监测指标均满足《土壤环境质量</w:t>
            </w:r>
            <w:r>
              <w:rPr>
                <w:rFonts w:hint="eastAsia" w:hAnsi="宋体"/>
                <w:color w:val="000000"/>
                <w:sz w:val="24"/>
                <w:lang w:val="en-US" w:eastAsia="zh-CN"/>
              </w:rPr>
              <w:t xml:space="preserve">  </w:t>
            </w:r>
            <w:r>
              <w:rPr>
                <w:rFonts w:hint="eastAsia" w:hAnsi="宋体"/>
                <w:color w:val="000000"/>
                <w:sz w:val="24"/>
              </w:rPr>
              <w:t>农</w:t>
            </w:r>
            <w:r>
              <w:rPr>
                <w:rFonts w:hAnsi="宋体"/>
                <w:color w:val="000000"/>
                <w:sz w:val="24"/>
              </w:rPr>
              <w:t>用地土壤污染风险管控标准（试行）》（</w:t>
            </w:r>
            <w:r>
              <w:rPr>
                <w:color w:val="000000"/>
                <w:sz w:val="24"/>
              </w:rPr>
              <w:t>GB 15618-2018</w:t>
            </w:r>
            <w:r>
              <w:rPr>
                <w:rFonts w:hAnsi="宋体"/>
                <w:color w:val="000000"/>
                <w:sz w:val="24"/>
              </w:rPr>
              <w:t>）中相关限值要求。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702" w:type="dxa"/>
            <w:gridSpan w:val="2"/>
            <w:vAlign w:val="center"/>
          </w:tcPr>
          <w:p>
            <w:pPr>
              <w:spacing w:line="360" w:lineRule="auto"/>
              <w:rPr>
                <w:rFonts w:ascii="宋体" w:hAnsi="宋体"/>
                <w:b/>
                <w:sz w:val="24"/>
              </w:rPr>
            </w:pPr>
            <w:r>
              <w:rPr>
                <w:rFonts w:hint="eastAsia" w:ascii="宋体" w:hAnsi="宋体"/>
                <w:b/>
                <w:sz w:val="24"/>
              </w:rPr>
              <w:t>与项目有关的原有环境污染和生态破坏问题</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eastAsia"/>
                <w:b/>
                <w:bCs/>
                <w:color w:val="000000"/>
                <w:sz w:val="24"/>
                <w:szCs w:val="24"/>
              </w:rPr>
            </w:pPr>
            <w:r>
              <w:rPr>
                <w:rFonts w:hint="eastAsia"/>
                <w:b/>
                <w:bCs/>
                <w:color w:val="000000"/>
                <w:sz w:val="24"/>
                <w:szCs w:val="24"/>
              </w:rPr>
              <w:t>一、环境污染问题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hint="eastAsia"/>
                <w:color w:val="000000"/>
                <w:sz w:val="24"/>
                <w:szCs w:val="24"/>
              </w:rPr>
              <w:t>本项目所在地原本用地为</w:t>
            </w:r>
            <w:r>
              <w:rPr>
                <w:rFonts w:hint="eastAsia"/>
                <w:color w:val="000000"/>
                <w:sz w:val="24"/>
                <w:szCs w:val="24"/>
                <w:lang w:val="en-US" w:eastAsia="zh-CN"/>
              </w:rPr>
              <w:t>农田、</w:t>
            </w:r>
            <w:r>
              <w:rPr>
                <w:rFonts w:hint="eastAsia"/>
                <w:color w:val="000000"/>
                <w:sz w:val="24"/>
                <w:szCs w:val="24"/>
              </w:rPr>
              <w:t>林地</w:t>
            </w:r>
            <w:r>
              <w:rPr>
                <w:rFonts w:hint="eastAsia"/>
                <w:color w:val="000000"/>
                <w:sz w:val="24"/>
                <w:szCs w:val="24"/>
                <w:lang w:val="en-US" w:eastAsia="zh-CN"/>
              </w:rPr>
              <w:t>等</w:t>
            </w:r>
            <w:r>
              <w:rPr>
                <w:rFonts w:hint="eastAsia"/>
                <w:color w:val="000000"/>
                <w:sz w:val="24"/>
                <w:szCs w:val="24"/>
              </w:rPr>
              <w:t>，项目建设区人烟稀少，生态环境较好，不存</w:t>
            </w:r>
            <w:r>
              <w:rPr>
                <w:spacing w:val="-2"/>
                <w:sz w:val="24"/>
                <w:szCs w:val="24"/>
              </w:rPr>
              <w:t>在原有污染情况。</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sz w:val="24"/>
                <w:szCs w:val="24"/>
              </w:rPr>
            </w:pPr>
            <w:r>
              <w:rPr>
                <w:b/>
                <w:bCs/>
                <w:spacing w:val="-4"/>
                <w:sz w:val="24"/>
                <w:szCs w:val="24"/>
              </w:rPr>
              <w:t>二、生态破坏问题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sz w:val="24"/>
                <w:szCs w:val="24"/>
              </w:rPr>
            </w:pPr>
            <w:r>
              <w:rPr>
                <w:spacing w:val="-2"/>
                <w:sz w:val="24"/>
                <w:szCs w:val="24"/>
              </w:rPr>
              <w:t>本项目建设地点人烟稀少，生态环境较好，未发现明显的水土流失、生物入</w:t>
            </w:r>
            <w:r>
              <w:rPr>
                <w:spacing w:val="-1"/>
                <w:sz w:val="24"/>
                <w:szCs w:val="24"/>
              </w:rPr>
              <w:t>侵、地质灾害、植被破坏等生态环境问题。</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cs="宋体"/>
                <w:kern w:val="0"/>
                <w:szCs w:val="21"/>
              </w:rPr>
            </w:pPr>
            <w:r>
              <w:rPr>
                <w:spacing w:val="-2"/>
                <w:sz w:val="24"/>
                <w:szCs w:val="24"/>
              </w:rPr>
              <w:t>本次评价要求建设单位在建设期间注意水土保持，尽量做好排水设施，减少</w:t>
            </w:r>
            <w:r>
              <w:rPr>
                <w:sz w:val="24"/>
                <w:szCs w:val="24"/>
              </w:rPr>
              <w:t>水土流失，项目完成后应对施工区域采取相</w:t>
            </w:r>
            <w:r>
              <w:rPr>
                <w:spacing w:val="-1"/>
                <w:sz w:val="24"/>
                <w:szCs w:val="24"/>
              </w:rPr>
              <w:t>应的复耕和林地植被恢复措施。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02" w:type="dxa"/>
            <w:gridSpan w:val="2"/>
            <w:vAlign w:val="center"/>
          </w:tcPr>
          <w:p>
            <w:pPr>
              <w:spacing w:line="360" w:lineRule="auto"/>
              <w:rPr>
                <w:rFonts w:ascii="宋体" w:hAnsi="宋体"/>
                <w:b/>
                <w:sz w:val="24"/>
              </w:rPr>
            </w:pPr>
            <w:r>
              <w:rPr>
                <w:rFonts w:hint="eastAsia" w:ascii="宋体" w:hAnsi="宋体"/>
                <w:b/>
                <w:sz w:val="24"/>
              </w:rPr>
              <w:t>生态环境保护目标</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宋体" w:cs="Times New Roman"/>
                <w:spacing w:val="-2"/>
                <w:sz w:val="24"/>
                <w:szCs w:val="24"/>
              </w:rPr>
            </w:pPr>
            <w:r>
              <w:rPr>
                <w:rFonts w:hint="eastAsia" w:ascii="Times New Roman" w:hAnsi="Times New Roman" w:eastAsia="宋体" w:cs="Times New Roman"/>
                <w:spacing w:val="-2"/>
                <w:sz w:val="24"/>
                <w:szCs w:val="24"/>
              </w:rPr>
              <w:t>三合水库坝址</w:t>
            </w:r>
            <w:r>
              <w:rPr>
                <w:rFonts w:ascii="Times New Roman" w:hAnsi="Times New Roman" w:eastAsia="宋体" w:cs="Times New Roman"/>
                <w:spacing w:val="-2"/>
                <w:sz w:val="24"/>
                <w:szCs w:val="24"/>
              </w:rPr>
              <w:t>位于</w:t>
            </w:r>
            <w:r>
              <w:rPr>
                <w:rFonts w:hint="eastAsia" w:ascii="Times New Roman" w:hAnsi="Times New Roman" w:eastAsia="宋体" w:cs="Times New Roman"/>
                <w:spacing w:val="-2"/>
                <w:sz w:val="24"/>
                <w:szCs w:val="24"/>
              </w:rPr>
              <w:t>旺苍县</w:t>
            </w:r>
            <w:r>
              <w:rPr>
                <w:rFonts w:ascii="Times New Roman" w:hAnsi="Times New Roman" w:eastAsia="宋体" w:cs="Times New Roman"/>
                <w:spacing w:val="-2"/>
                <w:sz w:val="24"/>
                <w:szCs w:val="24"/>
              </w:rPr>
              <w:t>东河镇南峰村与凤阳村交际处，</w:t>
            </w:r>
            <w:r>
              <w:rPr>
                <w:rFonts w:hint="eastAsia" w:ascii="Times New Roman" w:hAnsi="Times New Roman" w:eastAsia="宋体" w:cs="Times New Roman"/>
                <w:spacing w:val="-2"/>
                <w:sz w:val="24"/>
                <w:szCs w:val="24"/>
              </w:rPr>
              <w:t>经调查</w:t>
            </w:r>
            <w:r>
              <w:rPr>
                <w:rFonts w:ascii="Times New Roman" w:hAnsi="Times New Roman" w:eastAsia="宋体" w:cs="Times New Roman"/>
                <w:spacing w:val="-2"/>
                <w:sz w:val="24"/>
                <w:szCs w:val="24"/>
              </w:rPr>
              <w:t>，</w:t>
            </w:r>
            <w:r>
              <w:rPr>
                <w:rFonts w:hint="eastAsia" w:ascii="Times New Roman" w:hAnsi="Times New Roman" w:eastAsia="宋体" w:cs="Times New Roman"/>
                <w:spacing w:val="-2"/>
                <w:sz w:val="24"/>
                <w:szCs w:val="24"/>
              </w:rPr>
              <w:t>本工程评价范围内不涉及自然保护区、风景名胜区等环境敏感区</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另外，</w:t>
            </w:r>
            <w:r>
              <w:rPr>
                <w:rFonts w:hint="eastAsia" w:ascii="Times New Roman" w:hAnsi="Times New Roman" w:eastAsia="宋体" w:cs="Times New Roman"/>
                <w:spacing w:val="-2"/>
                <w:sz w:val="24"/>
                <w:szCs w:val="24"/>
              </w:rPr>
              <w:t>本工程所在辜家河河段不涉及国家级、省级水产种质资源保护区，</w:t>
            </w:r>
            <w:r>
              <w:rPr>
                <w:rFonts w:ascii="Times New Roman" w:hAnsi="Times New Roman" w:eastAsia="宋体" w:cs="Times New Roman"/>
                <w:spacing w:val="-2"/>
                <w:sz w:val="24"/>
                <w:szCs w:val="24"/>
              </w:rPr>
              <w:t>未发现</w:t>
            </w:r>
            <w:r>
              <w:rPr>
                <w:rFonts w:hint="eastAsia" w:ascii="Times New Roman" w:hAnsi="Times New Roman" w:eastAsia="宋体" w:cs="Times New Roman"/>
                <w:spacing w:val="-2"/>
                <w:sz w:val="24"/>
                <w:szCs w:val="24"/>
              </w:rPr>
              <w:t>重要水生生物的自然“三场”和洄游通道、天然渔场、饮用水水源保护区等敏感区；</w:t>
            </w:r>
            <w:r>
              <w:rPr>
                <w:rFonts w:ascii="Times New Roman" w:hAnsi="Times New Roman" w:eastAsia="宋体" w:cs="Times New Roman"/>
                <w:spacing w:val="-2"/>
                <w:sz w:val="24"/>
                <w:szCs w:val="24"/>
              </w:rPr>
              <w:t>所在地动植物、流域内水生生物均为普通种类，故对生态影响较小</w:t>
            </w:r>
            <w:r>
              <w:rPr>
                <w:rFonts w:hint="eastAsia" w:ascii="Times New Roman" w:hAnsi="Times New Roman" w:eastAsia="宋体" w:cs="Times New Roman"/>
                <w:spacing w:val="-2"/>
                <w:sz w:val="24"/>
                <w:szCs w:val="24"/>
              </w:rPr>
              <w:t>，</w:t>
            </w:r>
            <w:r>
              <w:rPr>
                <w:rFonts w:hint="eastAsia" w:ascii="Times New Roman" w:hAnsi="Times New Roman" w:eastAsia="宋体" w:cs="Times New Roman"/>
                <w:spacing w:val="-2"/>
                <w:sz w:val="24"/>
                <w:szCs w:val="24"/>
                <w:lang w:eastAsia="zh-CN"/>
              </w:rPr>
              <w:t>同时经现场调查，水库集雨范围内无污染源。</w:t>
            </w:r>
            <w:r>
              <w:rPr>
                <w:rFonts w:ascii="Times New Roman" w:hAnsi="Times New Roman" w:eastAsia="宋体" w:cs="Times New Roman"/>
                <w:spacing w:val="-2"/>
                <w:sz w:val="24"/>
                <w:szCs w:val="24"/>
              </w:rPr>
              <w:t>主要</w:t>
            </w:r>
            <w:r>
              <w:rPr>
                <w:rFonts w:hint="eastAsia" w:ascii="Times New Roman" w:hAnsi="Times New Roman" w:eastAsia="宋体" w:cs="Times New Roman"/>
                <w:spacing w:val="-2"/>
                <w:sz w:val="24"/>
                <w:szCs w:val="24"/>
              </w:rPr>
              <w:t>外环境</w:t>
            </w:r>
            <w:r>
              <w:rPr>
                <w:rFonts w:ascii="Times New Roman" w:hAnsi="Times New Roman" w:eastAsia="宋体" w:cs="Times New Roman"/>
                <w:spacing w:val="-2"/>
                <w:sz w:val="24"/>
                <w:szCs w:val="24"/>
              </w:rPr>
              <w:t>关系见表</w:t>
            </w:r>
            <w:r>
              <w:rPr>
                <w:rFonts w:hint="eastAsia" w:ascii="Times New Roman" w:hAnsi="Times New Roman" w:eastAsia="宋体" w:cs="Times New Roman"/>
                <w:spacing w:val="-2"/>
                <w:sz w:val="24"/>
                <w:szCs w:val="24"/>
                <w:lang w:val="en-US" w:eastAsia="zh-CN"/>
              </w:rPr>
              <w:t>3</w:t>
            </w:r>
            <w:r>
              <w:rPr>
                <w:rFonts w:hint="eastAsia" w:ascii="Times New Roman" w:hAnsi="Times New Roman" w:eastAsia="宋体" w:cs="Times New Roman"/>
                <w:spacing w:val="-2"/>
                <w:sz w:val="24"/>
                <w:szCs w:val="24"/>
              </w:rPr>
              <w:t>-</w:t>
            </w:r>
            <w:r>
              <w:rPr>
                <w:rFonts w:hint="eastAsia" w:ascii="Times New Roman" w:hAnsi="Times New Roman" w:eastAsia="宋体" w:cs="Times New Roman"/>
                <w:spacing w:val="-2"/>
                <w:sz w:val="24"/>
                <w:szCs w:val="24"/>
                <w:lang w:val="en-US" w:eastAsia="zh-CN"/>
              </w:rPr>
              <w:t>9、3-10所示</w:t>
            </w:r>
            <w:r>
              <w:rPr>
                <w:rFonts w:hint="eastAsia" w:ascii="Times New Roman" w:hAnsi="Times New Roman" w:eastAsia="宋体" w:cs="Times New Roman"/>
                <w:spacing w:val="-2"/>
                <w:sz w:val="24"/>
                <w:szCs w:val="24"/>
              </w:rPr>
              <w:t>。</w:t>
            </w:r>
          </w:p>
          <w:p>
            <w:pPr>
              <w:pStyle w:val="7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right="0" w:firstLine="466" w:firstLineChars="200"/>
              <w:textAlignment w:val="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枢纽工程</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b/>
                <w:color w:val="0000FF"/>
                <w:szCs w:val="21"/>
              </w:rPr>
            </w:pPr>
            <w:r>
              <w:rPr>
                <w:rFonts w:hAnsi="宋体"/>
                <w:b/>
                <w:szCs w:val="21"/>
              </w:rPr>
              <w:t>表</w:t>
            </w:r>
            <w:r>
              <w:rPr>
                <w:b/>
                <w:szCs w:val="21"/>
              </w:rPr>
              <w:t>3-</w:t>
            </w:r>
            <w:r>
              <w:rPr>
                <w:rFonts w:hint="eastAsia"/>
                <w:b/>
                <w:szCs w:val="21"/>
                <w:lang w:val="en-US" w:eastAsia="zh-CN"/>
              </w:rPr>
              <w:t>9</w:t>
            </w:r>
            <w:r>
              <w:rPr>
                <w:rFonts w:hint="eastAsia"/>
                <w:b/>
                <w:szCs w:val="21"/>
              </w:rPr>
              <w:t xml:space="preserve">   </w:t>
            </w:r>
            <w:r>
              <w:rPr>
                <w:rFonts w:hint="eastAsia" w:hAnsi="宋体"/>
                <w:b/>
                <w:color w:val="0000FF"/>
                <w:szCs w:val="21"/>
                <w:lang w:val="en-US" w:eastAsia="zh-CN"/>
              </w:rPr>
              <w:t>枢纽工程</w:t>
            </w:r>
            <w:r>
              <w:rPr>
                <w:rFonts w:hint="eastAsia" w:hAnsi="宋体"/>
                <w:b/>
                <w:color w:val="0000FF"/>
                <w:szCs w:val="21"/>
              </w:rPr>
              <w:t>环境保护</w:t>
            </w:r>
            <w:r>
              <w:rPr>
                <w:rFonts w:hAnsi="宋体"/>
                <w:b/>
                <w:color w:val="0000FF"/>
                <w:szCs w:val="21"/>
              </w:rPr>
              <w:t>目标一览表</w:t>
            </w:r>
          </w:p>
          <w:tbl>
            <w:tblPr>
              <w:tblStyle w:val="23"/>
              <w:tblW w:w="485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17"/>
              <w:gridCol w:w="1741"/>
              <w:gridCol w:w="1110"/>
              <w:gridCol w:w="1406"/>
              <w:gridCol w:w="1110"/>
              <w:gridCol w:w="27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jc w:val="center"/>
              </w:trPr>
              <w:tc>
                <w:tcPr>
                  <w:tcW w:w="608" w:type="pct"/>
                  <w:shd w:val="clear" w:color="auto" w:fill="auto"/>
                  <w:vAlign w:val="center"/>
                </w:tcPr>
                <w:p>
                  <w:pPr>
                    <w:jc w:val="center"/>
                    <w:rPr>
                      <w:b/>
                      <w:szCs w:val="21"/>
                    </w:rPr>
                  </w:pPr>
                  <w:r>
                    <w:rPr>
                      <w:rFonts w:hint="eastAsia"/>
                      <w:b/>
                      <w:szCs w:val="21"/>
                    </w:rPr>
                    <w:t>环境</w:t>
                  </w:r>
                  <w:r>
                    <w:rPr>
                      <w:b/>
                      <w:szCs w:val="21"/>
                    </w:rPr>
                    <w:t>要素</w:t>
                  </w:r>
                </w:p>
              </w:tc>
              <w:tc>
                <w:tcPr>
                  <w:tcW w:w="947" w:type="pct"/>
                  <w:shd w:val="clear" w:color="auto" w:fill="auto"/>
                  <w:vAlign w:val="center"/>
                </w:tcPr>
                <w:p>
                  <w:pPr>
                    <w:jc w:val="center"/>
                    <w:rPr>
                      <w:b/>
                      <w:szCs w:val="21"/>
                    </w:rPr>
                  </w:pPr>
                  <w:r>
                    <w:rPr>
                      <w:b/>
                      <w:szCs w:val="21"/>
                    </w:rPr>
                    <w:t>环境保护目标</w:t>
                  </w:r>
                </w:p>
              </w:tc>
              <w:tc>
                <w:tcPr>
                  <w:tcW w:w="604" w:type="pct"/>
                  <w:shd w:val="clear" w:color="auto" w:fill="auto"/>
                  <w:vAlign w:val="center"/>
                </w:tcPr>
                <w:p>
                  <w:pPr>
                    <w:jc w:val="center"/>
                    <w:rPr>
                      <w:b/>
                      <w:szCs w:val="21"/>
                    </w:rPr>
                  </w:pPr>
                  <w:r>
                    <w:rPr>
                      <w:b/>
                      <w:szCs w:val="21"/>
                    </w:rPr>
                    <w:t>方位</w:t>
                  </w:r>
                </w:p>
              </w:tc>
              <w:tc>
                <w:tcPr>
                  <w:tcW w:w="764" w:type="pct"/>
                  <w:shd w:val="clear" w:color="auto" w:fill="auto"/>
                  <w:vAlign w:val="center"/>
                </w:tcPr>
                <w:p>
                  <w:pPr>
                    <w:jc w:val="center"/>
                    <w:rPr>
                      <w:b/>
                      <w:szCs w:val="21"/>
                    </w:rPr>
                  </w:pPr>
                  <w:r>
                    <w:rPr>
                      <w:b/>
                      <w:szCs w:val="21"/>
                    </w:rPr>
                    <w:t>与</w:t>
                  </w:r>
                  <w:r>
                    <w:rPr>
                      <w:rFonts w:hint="eastAsia"/>
                      <w:b/>
                      <w:szCs w:val="21"/>
                      <w:lang w:val="en-US" w:eastAsia="zh-CN"/>
                    </w:rPr>
                    <w:t>坝址</w:t>
                  </w:r>
                  <w:r>
                    <w:rPr>
                      <w:b/>
                      <w:szCs w:val="21"/>
                    </w:rPr>
                    <w:t>距离</w:t>
                  </w:r>
                </w:p>
              </w:tc>
              <w:tc>
                <w:tcPr>
                  <w:tcW w:w="604" w:type="pct"/>
                  <w:shd w:val="clear" w:color="auto" w:fill="auto"/>
                  <w:vAlign w:val="center"/>
                </w:tcPr>
                <w:p>
                  <w:pPr>
                    <w:jc w:val="center"/>
                    <w:rPr>
                      <w:b/>
                      <w:szCs w:val="21"/>
                    </w:rPr>
                  </w:pPr>
                  <w:r>
                    <w:rPr>
                      <w:b/>
                      <w:szCs w:val="21"/>
                    </w:rPr>
                    <w:t>影响人数</w:t>
                  </w:r>
                </w:p>
              </w:tc>
              <w:tc>
                <w:tcPr>
                  <w:tcW w:w="1469" w:type="pct"/>
                  <w:shd w:val="clear" w:color="auto" w:fill="auto"/>
                  <w:vAlign w:val="center"/>
                </w:tcPr>
                <w:p>
                  <w:pPr>
                    <w:jc w:val="center"/>
                    <w:rPr>
                      <w:b/>
                      <w:szCs w:val="21"/>
                    </w:rPr>
                  </w:pPr>
                  <w:r>
                    <w:rPr>
                      <w:b/>
                      <w:szCs w:val="21"/>
                    </w:rPr>
                    <w:t>环境功能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5" w:hRule="atLeast"/>
                <w:jc w:val="center"/>
              </w:trPr>
              <w:tc>
                <w:tcPr>
                  <w:tcW w:w="608" w:type="pct"/>
                  <w:vMerge w:val="restart"/>
                  <w:shd w:val="clear" w:color="auto" w:fill="auto"/>
                  <w:vAlign w:val="center"/>
                </w:tcPr>
                <w:p>
                  <w:pPr>
                    <w:jc w:val="center"/>
                    <w:rPr>
                      <w:rFonts w:hint="default" w:eastAsia="宋体"/>
                      <w:szCs w:val="21"/>
                      <w:lang w:val="en-US" w:eastAsia="zh-CN"/>
                    </w:rPr>
                  </w:pPr>
                  <w:r>
                    <w:rPr>
                      <w:szCs w:val="21"/>
                    </w:rPr>
                    <w:t>环境空气</w:t>
                  </w:r>
                  <w:r>
                    <w:rPr>
                      <w:rFonts w:hint="eastAsia"/>
                      <w:szCs w:val="21"/>
                      <w:lang w:eastAsia="zh-CN"/>
                    </w:rPr>
                    <w:t>、</w:t>
                  </w:r>
                  <w:r>
                    <w:rPr>
                      <w:rFonts w:hint="eastAsia"/>
                      <w:szCs w:val="21"/>
                      <w:lang w:val="en-US" w:eastAsia="zh-CN"/>
                    </w:rPr>
                    <w:t>声环境</w:t>
                  </w:r>
                </w:p>
              </w:tc>
              <w:tc>
                <w:tcPr>
                  <w:tcW w:w="947" w:type="pct"/>
                  <w:shd w:val="clear" w:color="auto" w:fill="auto"/>
                  <w:vAlign w:val="center"/>
                </w:tcPr>
                <w:p>
                  <w:pPr>
                    <w:widowControl/>
                    <w:spacing w:line="240" w:lineRule="auto"/>
                    <w:ind w:firstLine="0" w:firstLineChars="0"/>
                    <w:jc w:val="center"/>
                    <w:rPr>
                      <w:szCs w:val="21"/>
                    </w:rPr>
                  </w:pPr>
                  <w:r>
                    <w:rPr>
                      <w:rFonts w:hint="eastAsia" w:cs="宋体"/>
                      <w:color w:val="auto"/>
                      <w:kern w:val="0"/>
                      <w:sz w:val="21"/>
                      <w:szCs w:val="21"/>
                      <w:lang w:eastAsia="zh-CN"/>
                    </w:rPr>
                    <w:t>6户村民住户</w:t>
                  </w:r>
                </w:p>
              </w:tc>
              <w:tc>
                <w:tcPr>
                  <w:tcW w:w="604" w:type="pct"/>
                  <w:shd w:val="clear" w:color="auto" w:fill="auto"/>
                  <w:vAlign w:val="center"/>
                </w:tcPr>
                <w:p>
                  <w:pPr>
                    <w:jc w:val="center"/>
                    <w:rPr>
                      <w:szCs w:val="21"/>
                    </w:rPr>
                  </w:pPr>
                  <w:r>
                    <w:rPr>
                      <w:rFonts w:hint="eastAsia" w:cs="宋体"/>
                      <w:color w:val="auto"/>
                      <w:kern w:val="0"/>
                      <w:sz w:val="21"/>
                      <w:szCs w:val="21"/>
                      <w:lang w:eastAsia="zh-CN"/>
                    </w:rPr>
                    <w:t>坝址下游西北侧</w:t>
                  </w:r>
                </w:p>
              </w:tc>
              <w:tc>
                <w:tcPr>
                  <w:tcW w:w="764" w:type="pct"/>
                  <w:shd w:val="clear" w:color="auto" w:fill="auto"/>
                  <w:vAlign w:val="center"/>
                </w:tcPr>
                <w:p>
                  <w:pPr>
                    <w:jc w:val="center"/>
                    <w:rPr>
                      <w:szCs w:val="21"/>
                    </w:rPr>
                  </w:pPr>
                  <w:r>
                    <w:rPr>
                      <w:rFonts w:hint="eastAsia"/>
                      <w:szCs w:val="21"/>
                      <w:lang w:val="en-US" w:eastAsia="zh-CN"/>
                    </w:rPr>
                    <w:t>330</w:t>
                  </w:r>
                  <w:r>
                    <w:rPr>
                      <w:szCs w:val="21"/>
                    </w:rPr>
                    <w:t>m</w:t>
                  </w:r>
                </w:p>
              </w:tc>
              <w:tc>
                <w:tcPr>
                  <w:tcW w:w="604" w:type="pct"/>
                  <w:shd w:val="clear" w:color="auto" w:fill="auto"/>
                  <w:vAlign w:val="center"/>
                </w:tcPr>
                <w:p>
                  <w:pPr>
                    <w:jc w:val="center"/>
                    <w:rPr>
                      <w:szCs w:val="21"/>
                    </w:rPr>
                  </w:pPr>
                  <w:r>
                    <w:rPr>
                      <w:rFonts w:hint="eastAsia"/>
                      <w:szCs w:val="21"/>
                      <w:lang w:val="en-US" w:eastAsia="zh-CN"/>
                    </w:rPr>
                    <w:t>25</w:t>
                  </w:r>
                  <w:r>
                    <w:rPr>
                      <w:szCs w:val="21"/>
                    </w:rPr>
                    <w:t>人</w:t>
                  </w:r>
                </w:p>
              </w:tc>
              <w:tc>
                <w:tcPr>
                  <w:tcW w:w="1469" w:type="pct"/>
                  <w:vMerge w:val="restart"/>
                  <w:shd w:val="clear" w:color="auto" w:fill="auto"/>
                  <w:vAlign w:val="center"/>
                </w:tcPr>
                <w:p>
                  <w:pPr>
                    <w:jc w:val="center"/>
                    <w:rPr>
                      <w:rFonts w:hint="eastAsia"/>
                      <w:szCs w:val="21"/>
                    </w:rPr>
                  </w:pPr>
                  <w:r>
                    <w:rPr>
                      <w:szCs w:val="21"/>
                    </w:rPr>
                    <w:t>《环境空气质量标准》（GB 3095-2012）二级标准</w:t>
                  </w:r>
                  <w:r>
                    <w:rPr>
                      <w:rFonts w:hint="eastAsia"/>
                      <w:szCs w:val="21"/>
                    </w:rPr>
                    <w:t>，</w:t>
                  </w:r>
                </w:p>
                <w:p>
                  <w:pPr>
                    <w:jc w:val="center"/>
                    <w:rPr>
                      <w:szCs w:val="21"/>
                    </w:rPr>
                  </w:pPr>
                  <w:r>
                    <w:rPr>
                      <w:color w:val="000000" w:themeColor="text1"/>
                      <w:szCs w:val="21"/>
                      <w14:textFill>
                        <w14:solidFill>
                          <w14:schemeClr w14:val="tx1"/>
                        </w14:solidFill>
                      </w14:textFill>
                    </w:rPr>
                    <w:t xml:space="preserve">《声环境质量标准》（GB3096-2008）中2类标准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02" w:hRule="atLeast"/>
                <w:jc w:val="center"/>
              </w:trPr>
              <w:tc>
                <w:tcPr>
                  <w:tcW w:w="608" w:type="pct"/>
                  <w:vMerge w:val="continue"/>
                  <w:shd w:val="clear" w:color="auto" w:fill="auto"/>
                  <w:vAlign w:val="center"/>
                </w:tcPr>
                <w:p>
                  <w:pPr>
                    <w:jc w:val="center"/>
                    <w:rPr>
                      <w:szCs w:val="21"/>
                    </w:rPr>
                  </w:pPr>
                </w:p>
              </w:tc>
              <w:tc>
                <w:tcPr>
                  <w:tcW w:w="947" w:type="pct"/>
                  <w:shd w:val="clear" w:color="auto" w:fill="auto"/>
                  <w:vAlign w:val="center"/>
                </w:tcPr>
                <w:p>
                  <w:pPr>
                    <w:jc w:val="center"/>
                    <w:rPr>
                      <w:szCs w:val="21"/>
                    </w:rPr>
                  </w:pPr>
                  <w:r>
                    <w:rPr>
                      <w:rFonts w:hint="eastAsia" w:cs="宋体"/>
                      <w:color w:val="auto"/>
                      <w:kern w:val="0"/>
                      <w:sz w:val="21"/>
                      <w:szCs w:val="21"/>
                      <w:lang w:eastAsia="zh-CN"/>
                    </w:rPr>
                    <w:t>5户村民住户</w:t>
                  </w:r>
                </w:p>
              </w:tc>
              <w:tc>
                <w:tcPr>
                  <w:tcW w:w="604" w:type="pct"/>
                  <w:shd w:val="clear" w:color="auto" w:fill="auto"/>
                  <w:vAlign w:val="center"/>
                </w:tcPr>
                <w:p>
                  <w:pPr>
                    <w:jc w:val="center"/>
                    <w:rPr>
                      <w:szCs w:val="21"/>
                    </w:rPr>
                  </w:pPr>
                  <w:r>
                    <w:rPr>
                      <w:rFonts w:hint="eastAsia" w:cs="宋体"/>
                      <w:color w:val="auto"/>
                      <w:kern w:val="0"/>
                      <w:sz w:val="21"/>
                      <w:szCs w:val="21"/>
                      <w:lang w:eastAsia="zh-CN"/>
                    </w:rPr>
                    <w:t>坝址西</w:t>
                  </w:r>
                  <w:r>
                    <w:rPr>
                      <w:rFonts w:hint="eastAsia" w:cs="宋体"/>
                      <w:color w:val="auto"/>
                      <w:kern w:val="0"/>
                      <w:sz w:val="21"/>
                      <w:szCs w:val="21"/>
                    </w:rPr>
                    <w:t>北侧</w:t>
                  </w:r>
                </w:p>
              </w:tc>
              <w:tc>
                <w:tcPr>
                  <w:tcW w:w="764" w:type="pct"/>
                  <w:shd w:val="clear" w:color="auto" w:fill="auto"/>
                  <w:vAlign w:val="center"/>
                </w:tcPr>
                <w:p>
                  <w:pPr>
                    <w:jc w:val="center"/>
                    <w:rPr>
                      <w:szCs w:val="21"/>
                    </w:rPr>
                  </w:pPr>
                  <w:r>
                    <w:rPr>
                      <w:rFonts w:hint="eastAsia"/>
                      <w:szCs w:val="21"/>
                      <w:lang w:val="en-US" w:eastAsia="zh-CN"/>
                    </w:rPr>
                    <w:t>300</w:t>
                  </w:r>
                  <w:r>
                    <w:rPr>
                      <w:rFonts w:hint="eastAsia"/>
                      <w:szCs w:val="21"/>
                    </w:rPr>
                    <w:t>m</w:t>
                  </w:r>
                </w:p>
              </w:tc>
              <w:tc>
                <w:tcPr>
                  <w:tcW w:w="604" w:type="pct"/>
                  <w:shd w:val="clear" w:color="auto" w:fill="auto"/>
                  <w:vAlign w:val="center"/>
                </w:tcPr>
                <w:p>
                  <w:pPr>
                    <w:jc w:val="center"/>
                    <w:rPr>
                      <w:szCs w:val="21"/>
                    </w:rPr>
                  </w:pPr>
                  <w:r>
                    <w:rPr>
                      <w:rFonts w:hint="eastAsia"/>
                      <w:szCs w:val="21"/>
                      <w:lang w:val="en-US" w:eastAsia="zh-CN"/>
                    </w:rPr>
                    <w:t>20</w:t>
                  </w:r>
                  <w:r>
                    <w:rPr>
                      <w:rFonts w:hint="eastAsia"/>
                      <w:szCs w:val="21"/>
                    </w:rPr>
                    <w:t>人</w:t>
                  </w:r>
                </w:p>
              </w:tc>
              <w:tc>
                <w:tcPr>
                  <w:tcW w:w="146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74" w:hRule="atLeast"/>
                <w:jc w:val="center"/>
              </w:trPr>
              <w:tc>
                <w:tcPr>
                  <w:tcW w:w="608" w:type="pct"/>
                  <w:vMerge w:val="continue"/>
                  <w:shd w:val="clear" w:color="auto" w:fill="auto"/>
                  <w:vAlign w:val="center"/>
                </w:tcPr>
                <w:p>
                  <w:pPr>
                    <w:jc w:val="center"/>
                    <w:rPr>
                      <w:szCs w:val="21"/>
                    </w:rPr>
                  </w:pPr>
                </w:p>
              </w:tc>
              <w:tc>
                <w:tcPr>
                  <w:tcW w:w="947" w:type="pct"/>
                  <w:shd w:val="clear" w:color="auto" w:fill="auto"/>
                  <w:vAlign w:val="center"/>
                </w:tcPr>
                <w:p>
                  <w:pPr>
                    <w:jc w:val="center"/>
                    <w:rPr>
                      <w:szCs w:val="21"/>
                    </w:rPr>
                  </w:pPr>
                  <w:r>
                    <w:rPr>
                      <w:rFonts w:hint="eastAsia" w:cs="宋体"/>
                      <w:color w:val="auto"/>
                      <w:kern w:val="0"/>
                      <w:sz w:val="21"/>
                      <w:szCs w:val="21"/>
                      <w:lang w:eastAsia="zh-CN"/>
                    </w:rPr>
                    <w:t>8户村民住户</w:t>
                  </w:r>
                </w:p>
              </w:tc>
              <w:tc>
                <w:tcPr>
                  <w:tcW w:w="604" w:type="pct"/>
                  <w:shd w:val="clear" w:color="auto" w:fill="auto"/>
                  <w:vAlign w:val="center"/>
                </w:tcPr>
                <w:p>
                  <w:pPr>
                    <w:jc w:val="center"/>
                    <w:rPr>
                      <w:szCs w:val="21"/>
                    </w:rPr>
                  </w:pPr>
                  <w:r>
                    <w:rPr>
                      <w:rFonts w:hint="eastAsia" w:cs="宋体"/>
                      <w:color w:val="auto"/>
                      <w:kern w:val="0"/>
                      <w:sz w:val="21"/>
                      <w:szCs w:val="21"/>
                      <w:lang w:eastAsia="zh-CN"/>
                    </w:rPr>
                    <w:t>坝址</w:t>
                  </w:r>
                  <w:r>
                    <w:rPr>
                      <w:rFonts w:hint="eastAsia" w:cs="宋体"/>
                      <w:color w:val="auto"/>
                      <w:kern w:val="0"/>
                      <w:sz w:val="21"/>
                      <w:szCs w:val="21"/>
                    </w:rPr>
                    <w:t>北侧</w:t>
                  </w:r>
                </w:p>
              </w:tc>
              <w:tc>
                <w:tcPr>
                  <w:tcW w:w="764" w:type="pct"/>
                  <w:shd w:val="clear" w:color="auto" w:fill="auto"/>
                  <w:vAlign w:val="center"/>
                </w:tcPr>
                <w:p>
                  <w:pPr>
                    <w:jc w:val="center"/>
                    <w:rPr>
                      <w:szCs w:val="21"/>
                    </w:rPr>
                  </w:pPr>
                  <w:r>
                    <w:rPr>
                      <w:rFonts w:hint="eastAsia"/>
                      <w:szCs w:val="21"/>
                      <w:lang w:val="en-US" w:eastAsia="zh-CN"/>
                    </w:rPr>
                    <w:t>120</w:t>
                  </w:r>
                  <w:r>
                    <w:rPr>
                      <w:rFonts w:hint="eastAsia"/>
                      <w:szCs w:val="21"/>
                    </w:rPr>
                    <w:t>m</w:t>
                  </w:r>
                </w:p>
              </w:tc>
              <w:tc>
                <w:tcPr>
                  <w:tcW w:w="604" w:type="pct"/>
                  <w:shd w:val="clear" w:color="auto" w:fill="auto"/>
                  <w:vAlign w:val="center"/>
                </w:tcPr>
                <w:p>
                  <w:pPr>
                    <w:jc w:val="center"/>
                    <w:rPr>
                      <w:szCs w:val="21"/>
                    </w:rPr>
                  </w:pPr>
                  <w:r>
                    <w:rPr>
                      <w:rFonts w:hint="eastAsia"/>
                      <w:szCs w:val="21"/>
                      <w:lang w:val="en-US" w:eastAsia="zh-CN"/>
                    </w:rPr>
                    <w:t>3</w:t>
                  </w:r>
                  <w:r>
                    <w:rPr>
                      <w:rFonts w:hint="eastAsia"/>
                      <w:szCs w:val="21"/>
                    </w:rPr>
                    <w:t>0人</w:t>
                  </w:r>
                </w:p>
              </w:tc>
              <w:tc>
                <w:tcPr>
                  <w:tcW w:w="146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37" w:hRule="atLeast"/>
                <w:jc w:val="center"/>
              </w:trPr>
              <w:tc>
                <w:tcPr>
                  <w:tcW w:w="608" w:type="pct"/>
                  <w:vMerge w:val="continue"/>
                  <w:shd w:val="clear" w:color="auto" w:fill="auto"/>
                  <w:vAlign w:val="center"/>
                </w:tcPr>
                <w:p>
                  <w:pPr>
                    <w:jc w:val="center"/>
                    <w:rPr>
                      <w:szCs w:val="21"/>
                    </w:rPr>
                  </w:pPr>
                </w:p>
              </w:tc>
              <w:tc>
                <w:tcPr>
                  <w:tcW w:w="947" w:type="pct"/>
                  <w:shd w:val="clear" w:color="auto" w:fill="auto"/>
                  <w:vAlign w:val="center"/>
                </w:tcPr>
                <w:p>
                  <w:pPr>
                    <w:jc w:val="center"/>
                    <w:rPr>
                      <w:szCs w:val="21"/>
                    </w:rPr>
                  </w:pPr>
                  <w:r>
                    <w:rPr>
                      <w:rFonts w:hint="eastAsia" w:cs="宋体"/>
                      <w:color w:val="auto"/>
                      <w:kern w:val="0"/>
                      <w:sz w:val="21"/>
                      <w:szCs w:val="21"/>
                    </w:rPr>
                    <w:t>4户村民住户</w:t>
                  </w:r>
                </w:p>
              </w:tc>
              <w:tc>
                <w:tcPr>
                  <w:tcW w:w="604" w:type="pct"/>
                  <w:shd w:val="clear" w:color="auto" w:fill="auto"/>
                  <w:vAlign w:val="center"/>
                </w:tcPr>
                <w:p>
                  <w:pPr>
                    <w:jc w:val="center"/>
                    <w:rPr>
                      <w:szCs w:val="21"/>
                    </w:rPr>
                  </w:pPr>
                  <w:r>
                    <w:rPr>
                      <w:rFonts w:hint="eastAsia" w:cs="宋体"/>
                      <w:color w:val="auto"/>
                      <w:kern w:val="0"/>
                      <w:sz w:val="21"/>
                      <w:szCs w:val="21"/>
                      <w:lang w:eastAsia="zh-CN"/>
                    </w:rPr>
                    <w:t>坝址上游东</w:t>
                  </w:r>
                  <w:r>
                    <w:rPr>
                      <w:rFonts w:hint="eastAsia" w:cs="宋体"/>
                      <w:color w:val="auto"/>
                      <w:kern w:val="0"/>
                      <w:sz w:val="21"/>
                      <w:szCs w:val="21"/>
                    </w:rPr>
                    <w:t>北侧</w:t>
                  </w:r>
                </w:p>
              </w:tc>
              <w:tc>
                <w:tcPr>
                  <w:tcW w:w="764" w:type="pct"/>
                  <w:shd w:val="clear" w:color="auto" w:fill="auto"/>
                  <w:vAlign w:val="center"/>
                </w:tcPr>
                <w:p>
                  <w:pPr>
                    <w:jc w:val="center"/>
                    <w:rPr>
                      <w:szCs w:val="21"/>
                    </w:rPr>
                  </w:pPr>
                  <w:r>
                    <w:rPr>
                      <w:rFonts w:hint="eastAsia"/>
                      <w:szCs w:val="21"/>
                      <w:lang w:val="en-US" w:eastAsia="zh-CN"/>
                    </w:rPr>
                    <w:t>520</w:t>
                  </w:r>
                  <w:r>
                    <w:rPr>
                      <w:rFonts w:hint="eastAsia"/>
                      <w:szCs w:val="21"/>
                    </w:rPr>
                    <w:t>m</w:t>
                  </w:r>
                </w:p>
              </w:tc>
              <w:tc>
                <w:tcPr>
                  <w:tcW w:w="604" w:type="pct"/>
                  <w:shd w:val="clear" w:color="auto" w:fill="auto"/>
                  <w:vAlign w:val="center"/>
                </w:tcPr>
                <w:p>
                  <w:pPr>
                    <w:jc w:val="center"/>
                    <w:rPr>
                      <w:szCs w:val="21"/>
                    </w:rPr>
                  </w:pPr>
                  <w:r>
                    <w:rPr>
                      <w:rFonts w:hint="eastAsia"/>
                      <w:szCs w:val="21"/>
                      <w:lang w:val="en-US" w:eastAsia="zh-CN"/>
                    </w:rPr>
                    <w:t>15</w:t>
                  </w:r>
                  <w:r>
                    <w:rPr>
                      <w:rFonts w:hint="eastAsia"/>
                      <w:szCs w:val="21"/>
                    </w:rPr>
                    <w:t>人</w:t>
                  </w:r>
                </w:p>
              </w:tc>
              <w:tc>
                <w:tcPr>
                  <w:tcW w:w="1469"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57" w:hRule="atLeast"/>
                <w:jc w:val="center"/>
              </w:trPr>
              <w:tc>
                <w:tcPr>
                  <w:tcW w:w="608" w:type="pct"/>
                  <w:shd w:val="clear" w:color="auto" w:fill="auto"/>
                  <w:vAlign w:val="center"/>
                </w:tcPr>
                <w:p>
                  <w:pPr>
                    <w:jc w:val="center"/>
                    <w:rPr>
                      <w:szCs w:val="21"/>
                    </w:rPr>
                  </w:pPr>
                  <w:r>
                    <w:rPr>
                      <w:szCs w:val="21"/>
                    </w:rPr>
                    <w:t>地表水环境</w:t>
                  </w:r>
                </w:p>
              </w:tc>
              <w:tc>
                <w:tcPr>
                  <w:tcW w:w="947" w:type="pct"/>
                  <w:shd w:val="clear" w:color="auto" w:fill="auto"/>
                  <w:vAlign w:val="center"/>
                </w:tcPr>
                <w:p>
                  <w:pPr>
                    <w:jc w:val="center"/>
                    <w:rPr>
                      <w:szCs w:val="21"/>
                    </w:rPr>
                  </w:pPr>
                  <w:r>
                    <w:rPr>
                      <w:rFonts w:hint="eastAsia" w:cs="宋体"/>
                      <w:color w:val="auto"/>
                      <w:kern w:val="0"/>
                      <w:sz w:val="21"/>
                      <w:szCs w:val="21"/>
                      <w:lang w:eastAsia="zh-CN"/>
                    </w:rPr>
                    <w:t>辜家河</w:t>
                  </w:r>
                </w:p>
              </w:tc>
              <w:tc>
                <w:tcPr>
                  <w:tcW w:w="604" w:type="pct"/>
                  <w:shd w:val="clear" w:color="auto" w:fill="auto"/>
                  <w:vAlign w:val="center"/>
                </w:tcPr>
                <w:p>
                  <w:pPr>
                    <w:jc w:val="center"/>
                    <w:rPr>
                      <w:szCs w:val="21"/>
                    </w:rPr>
                  </w:pPr>
                  <w:r>
                    <w:rPr>
                      <w:rFonts w:hint="eastAsia" w:cs="宋体"/>
                      <w:color w:val="auto"/>
                      <w:kern w:val="0"/>
                      <w:sz w:val="21"/>
                      <w:szCs w:val="21"/>
                      <w:lang w:eastAsia="zh-CN"/>
                    </w:rPr>
                    <w:t>坝址上下游</w:t>
                  </w:r>
                </w:p>
              </w:tc>
              <w:tc>
                <w:tcPr>
                  <w:tcW w:w="764" w:type="pct"/>
                  <w:shd w:val="clear" w:color="auto" w:fill="auto"/>
                  <w:vAlign w:val="center"/>
                </w:tcPr>
                <w:p>
                  <w:pPr>
                    <w:jc w:val="center"/>
                    <w:rPr>
                      <w:rFonts w:hint="eastAsia" w:eastAsia="宋体"/>
                      <w:szCs w:val="21"/>
                      <w:lang w:eastAsia="zh-CN"/>
                    </w:rPr>
                  </w:pPr>
                  <w:r>
                    <w:rPr>
                      <w:rFonts w:hint="eastAsia"/>
                      <w:szCs w:val="21"/>
                      <w:lang w:val="en-US" w:eastAsia="zh-CN"/>
                    </w:rPr>
                    <w:t>涉及</w:t>
                  </w:r>
                </w:p>
              </w:tc>
              <w:tc>
                <w:tcPr>
                  <w:tcW w:w="604" w:type="pct"/>
                  <w:shd w:val="clear" w:color="auto" w:fill="auto"/>
                  <w:vAlign w:val="center"/>
                </w:tcPr>
                <w:p>
                  <w:pPr>
                    <w:jc w:val="center"/>
                    <w:rPr>
                      <w:szCs w:val="21"/>
                    </w:rPr>
                  </w:pPr>
                  <w:r>
                    <w:rPr>
                      <w:rFonts w:hint="eastAsia"/>
                      <w:szCs w:val="21"/>
                    </w:rPr>
                    <w:t>/</w:t>
                  </w:r>
                </w:p>
              </w:tc>
              <w:tc>
                <w:tcPr>
                  <w:tcW w:w="1469" w:type="pct"/>
                  <w:shd w:val="clear" w:color="auto" w:fill="auto"/>
                  <w:vAlign w:val="center"/>
                </w:tcPr>
                <w:p>
                  <w:pPr>
                    <w:jc w:val="center"/>
                    <w:rPr>
                      <w:szCs w:val="21"/>
                    </w:rPr>
                  </w:pPr>
                  <w:r>
                    <w:rPr>
                      <w:szCs w:val="21"/>
                    </w:rPr>
                    <w:t>《地表水环境质量标准》（GB 3838-2002）</w:t>
                  </w: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84" w:hRule="atLeast"/>
                <w:jc w:val="center"/>
              </w:trPr>
              <w:tc>
                <w:tcPr>
                  <w:tcW w:w="608"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947" w:type="pct"/>
                  <w:shd w:val="clear" w:color="auto" w:fill="auto"/>
                  <w:vAlign w:val="center"/>
                </w:tcPr>
                <w:p>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地下水</w:t>
                  </w:r>
                </w:p>
              </w:tc>
              <w:tc>
                <w:tcPr>
                  <w:tcW w:w="1369" w:type="pct"/>
                  <w:gridSpan w:val="2"/>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项目</w:t>
                  </w:r>
                  <w:r>
                    <w:rPr>
                      <w:rFonts w:hint="eastAsia"/>
                      <w:color w:val="000000" w:themeColor="text1"/>
                      <w:szCs w:val="21"/>
                      <w14:textFill>
                        <w14:solidFill>
                          <w14:schemeClr w14:val="tx1"/>
                        </w14:solidFill>
                      </w14:textFill>
                    </w:rPr>
                    <w:t>所在区域的潜水含水层</w:t>
                  </w:r>
                </w:p>
              </w:tc>
              <w:tc>
                <w:tcPr>
                  <w:tcW w:w="604" w:type="pct"/>
                  <w:shd w:val="clear" w:color="auto" w:fill="auto"/>
                  <w:vAlign w:val="center"/>
                </w:tcPr>
                <w:p>
                  <w:pPr>
                    <w:jc w:val="center"/>
                    <w:rPr>
                      <w:szCs w:val="21"/>
                    </w:rPr>
                  </w:pPr>
                  <w:r>
                    <w:rPr>
                      <w:szCs w:val="21"/>
                    </w:rPr>
                    <w:t>/</w:t>
                  </w:r>
                </w:p>
              </w:tc>
              <w:tc>
                <w:tcPr>
                  <w:tcW w:w="1469" w:type="pct"/>
                  <w:shd w:val="clear" w:color="auto" w:fill="auto"/>
                  <w:vAlign w:val="center"/>
                </w:tcPr>
                <w:p>
                  <w:pPr>
                    <w:jc w:val="center"/>
                    <w:rPr>
                      <w:szCs w:val="21"/>
                    </w:rPr>
                  </w:pPr>
                  <w:r>
                    <w:rPr>
                      <w:szCs w:val="21"/>
                    </w:rPr>
                    <w:t>《地下水质量标准》（GB/T 14848-</w:t>
                  </w:r>
                  <w:r>
                    <w:rPr>
                      <w:rFonts w:hint="eastAsia"/>
                      <w:szCs w:val="21"/>
                    </w:rPr>
                    <w:t>2017</w:t>
                  </w:r>
                  <w:r>
                    <w:rPr>
                      <w:szCs w:val="21"/>
                    </w:rPr>
                    <w:t>） III类标准</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b/>
                <w:bCs/>
                <w:spacing w:val="-4"/>
                <w:sz w:val="24"/>
                <w:szCs w:val="24"/>
                <w:lang w:val="en-US" w:eastAsia="zh-CN"/>
              </w:rPr>
            </w:pPr>
            <w:r>
              <w:rPr>
                <w:rFonts w:hint="default" w:ascii="Arial" w:hAnsi="Arial" w:eastAsia="宋体" w:cs="Arial"/>
                <w:b/>
                <w:bCs/>
                <w:spacing w:val="-4"/>
                <w:sz w:val="24"/>
                <w:szCs w:val="24"/>
                <w:lang w:val="en-US" w:eastAsia="zh-CN"/>
              </w:rPr>
              <w:t>2、灌区管线外环境关系</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Arial" w:hAnsi="Arial" w:eastAsia="宋体" w:cs="Arial"/>
                <w:b w:val="0"/>
                <w:bCs w:val="0"/>
                <w:spacing w:val="-4"/>
                <w:sz w:val="24"/>
                <w:szCs w:val="24"/>
                <w:lang w:val="en-US" w:eastAsia="zh-CN"/>
              </w:rPr>
            </w:pPr>
            <w:r>
              <w:rPr>
                <w:rFonts w:hint="default" w:ascii="Arial" w:hAnsi="Arial" w:eastAsia="宋体" w:cs="Arial"/>
                <w:b w:val="0"/>
                <w:bCs w:val="0"/>
                <w:spacing w:val="-4"/>
                <w:sz w:val="24"/>
                <w:szCs w:val="24"/>
                <w:lang w:val="en-US" w:eastAsia="zh-CN"/>
              </w:rPr>
              <w:t>三合水库拟定灌区范围为：东以灌区高程控制，向西以东河为界，向北至东河镇谢家碥，向南至嘉川镇五四村石板沟，涉及旺苍县东河镇、嘉川镇2个镇13个村，灌溉面积为2.14万亩。主要外环境关系见表</w:t>
            </w:r>
            <w:r>
              <w:rPr>
                <w:rFonts w:hint="eastAsia" w:ascii="Arial" w:hAnsi="Arial" w:eastAsia="宋体" w:cs="Arial"/>
                <w:b w:val="0"/>
                <w:bCs w:val="0"/>
                <w:spacing w:val="-4"/>
                <w:sz w:val="24"/>
                <w:szCs w:val="24"/>
                <w:lang w:val="en-US" w:eastAsia="zh-CN"/>
              </w:rPr>
              <w:t>3</w:t>
            </w:r>
            <w:r>
              <w:rPr>
                <w:rFonts w:hint="default" w:ascii="Arial" w:hAnsi="Arial" w:eastAsia="宋体" w:cs="Arial"/>
                <w:b w:val="0"/>
                <w:bCs w:val="0"/>
                <w:spacing w:val="-4"/>
                <w:sz w:val="24"/>
                <w:szCs w:val="24"/>
                <w:lang w:val="en-US" w:eastAsia="zh-CN"/>
              </w:rPr>
              <w:t>-</w:t>
            </w:r>
            <w:r>
              <w:rPr>
                <w:rFonts w:hint="eastAsia" w:ascii="Arial" w:hAnsi="Arial" w:eastAsia="宋体" w:cs="Arial"/>
                <w:b w:val="0"/>
                <w:bCs w:val="0"/>
                <w:spacing w:val="-4"/>
                <w:sz w:val="24"/>
                <w:szCs w:val="24"/>
                <w:lang w:val="en-US" w:eastAsia="zh-CN"/>
              </w:rPr>
              <w:t>10</w:t>
            </w:r>
            <w:r>
              <w:rPr>
                <w:rFonts w:hint="default" w:ascii="Arial" w:hAnsi="Arial" w:eastAsia="宋体" w:cs="Arial"/>
                <w:b w:val="0"/>
                <w:bCs w:val="0"/>
                <w:spacing w:val="-4"/>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ascii="Times New Roman" w:hAnsi="宋体" w:eastAsia="宋体" w:cs="Times New Roman"/>
                <w:b/>
                <w:color w:val="0000FF"/>
                <w:szCs w:val="21"/>
              </w:rPr>
            </w:pPr>
            <w:r>
              <w:rPr>
                <w:rFonts w:hint="eastAsia" w:ascii="Times New Roman" w:hAnsi="宋体" w:eastAsia="宋体" w:cs="Times New Roman"/>
                <w:b/>
                <w:szCs w:val="21"/>
              </w:rPr>
              <w:t>表</w:t>
            </w:r>
            <w:r>
              <w:rPr>
                <w:rFonts w:hint="eastAsia" w:ascii="Times New Roman" w:hAnsi="宋体" w:eastAsia="宋体" w:cs="Times New Roman"/>
                <w:b/>
                <w:szCs w:val="21"/>
                <w:lang w:val="en-US" w:eastAsia="zh-CN"/>
              </w:rPr>
              <w:t>3</w:t>
            </w:r>
            <w:r>
              <w:rPr>
                <w:rFonts w:hint="eastAsia" w:ascii="Times New Roman" w:hAnsi="宋体" w:eastAsia="宋体" w:cs="Times New Roman"/>
                <w:b/>
                <w:szCs w:val="21"/>
              </w:rPr>
              <w:t>-</w:t>
            </w:r>
            <w:r>
              <w:rPr>
                <w:rFonts w:hint="eastAsia" w:ascii="Times New Roman" w:hAnsi="宋体" w:eastAsia="宋体" w:cs="Times New Roman"/>
                <w:b/>
                <w:szCs w:val="21"/>
                <w:lang w:val="en-US" w:eastAsia="zh-CN"/>
              </w:rPr>
              <w:t xml:space="preserve">10   </w:t>
            </w:r>
            <w:r>
              <w:rPr>
                <w:rFonts w:hint="eastAsia" w:ascii="Times New Roman" w:hAnsi="宋体" w:eastAsia="宋体" w:cs="Times New Roman"/>
                <w:b/>
                <w:szCs w:val="21"/>
              </w:rPr>
              <w:t>三</w:t>
            </w:r>
            <w:r>
              <w:rPr>
                <w:rFonts w:hint="eastAsia" w:ascii="Times New Roman" w:hAnsi="宋体" w:eastAsia="宋体" w:cs="Times New Roman"/>
                <w:b/>
                <w:color w:val="0000FF"/>
                <w:szCs w:val="21"/>
              </w:rPr>
              <w:t>合</w:t>
            </w:r>
            <w:r>
              <w:rPr>
                <w:rFonts w:ascii="Times New Roman" w:hAnsi="宋体" w:eastAsia="宋体" w:cs="Times New Roman"/>
                <w:b/>
                <w:color w:val="0000FF"/>
                <w:szCs w:val="21"/>
              </w:rPr>
              <w:t>水库</w:t>
            </w:r>
            <w:r>
              <w:rPr>
                <w:rFonts w:hint="eastAsia" w:ascii="Times New Roman" w:hAnsi="宋体" w:eastAsia="宋体" w:cs="Times New Roman"/>
                <w:b/>
                <w:color w:val="0000FF"/>
                <w:szCs w:val="21"/>
                <w:lang w:eastAsia="zh-CN"/>
              </w:rPr>
              <w:t>灌区管线</w:t>
            </w:r>
            <w:r>
              <w:rPr>
                <w:rFonts w:ascii="Times New Roman" w:hAnsi="宋体" w:eastAsia="宋体" w:cs="Times New Roman"/>
                <w:b/>
                <w:color w:val="0000FF"/>
                <w:szCs w:val="21"/>
              </w:rPr>
              <w:t>外环境关系表</w:t>
            </w:r>
          </w:p>
          <w:tbl>
            <w:tblPr>
              <w:tblStyle w:val="23"/>
              <w:tblW w:w="487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591"/>
              <w:gridCol w:w="1477"/>
              <w:gridCol w:w="1073"/>
              <w:gridCol w:w="1252"/>
              <w:gridCol w:w="27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blHeader/>
                <w:jc w:val="center"/>
              </w:trPr>
              <w:tc>
                <w:tcPr>
                  <w:tcW w:w="597" w:type="pct"/>
                  <w:shd w:val="clear" w:color="auto" w:fill="auto"/>
                  <w:vAlign w:val="center"/>
                </w:tcPr>
                <w:p>
                  <w:pPr>
                    <w:jc w:val="center"/>
                    <w:rPr>
                      <w:b/>
                      <w:szCs w:val="21"/>
                    </w:rPr>
                  </w:pPr>
                  <w:r>
                    <w:rPr>
                      <w:rFonts w:hint="eastAsia"/>
                      <w:b/>
                      <w:szCs w:val="21"/>
                    </w:rPr>
                    <w:t>环境</w:t>
                  </w:r>
                  <w:r>
                    <w:rPr>
                      <w:b/>
                      <w:szCs w:val="21"/>
                    </w:rPr>
                    <w:t>要素</w:t>
                  </w:r>
                </w:p>
              </w:tc>
              <w:tc>
                <w:tcPr>
                  <w:tcW w:w="863" w:type="pct"/>
                  <w:shd w:val="clear" w:color="auto" w:fill="auto"/>
                  <w:vAlign w:val="center"/>
                </w:tcPr>
                <w:p>
                  <w:pPr>
                    <w:jc w:val="center"/>
                    <w:rPr>
                      <w:b/>
                      <w:szCs w:val="21"/>
                    </w:rPr>
                  </w:pPr>
                  <w:r>
                    <w:rPr>
                      <w:b/>
                      <w:szCs w:val="21"/>
                    </w:rPr>
                    <w:t>环境保护目标</w:t>
                  </w:r>
                </w:p>
              </w:tc>
              <w:tc>
                <w:tcPr>
                  <w:tcW w:w="801" w:type="pct"/>
                  <w:shd w:val="clear" w:color="auto" w:fill="auto"/>
                  <w:vAlign w:val="center"/>
                </w:tcPr>
                <w:p>
                  <w:pPr>
                    <w:jc w:val="center"/>
                    <w:rPr>
                      <w:b/>
                      <w:szCs w:val="21"/>
                    </w:rPr>
                  </w:pPr>
                  <w:r>
                    <w:rPr>
                      <w:b/>
                      <w:szCs w:val="21"/>
                    </w:rPr>
                    <w:t>方位</w:t>
                  </w:r>
                </w:p>
              </w:tc>
              <w:tc>
                <w:tcPr>
                  <w:tcW w:w="582" w:type="pct"/>
                  <w:shd w:val="clear" w:color="auto" w:fill="auto"/>
                  <w:vAlign w:val="center"/>
                </w:tcPr>
                <w:p>
                  <w:pPr>
                    <w:jc w:val="center"/>
                    <w:rPr>
                      <w:b/>
                      <w:szCs w:val="21"/>
                    </w:rPr>
                  </w:pPr>
                  <w:r>
                    <w:rPr>
                      <w:b/>
                      <w:szCs w:val="21"/>
                    </w:rPr>
                    <w:t>与</w:t>
                  </w:r>
                  <w:r>
                    <w:rPr>
                      <w:rFonts w:hint="eastAsia"/>
                      <w:b/>
                      <w:szCs w:val="21"/>
                      <w:lang w:val="en-US" w:eastAsia="zh-CN"/>
                    </w:rPr>
                    <w:t>坝址</w:t>
                  </w:r>
                  <w:r>
                    <w:rPr>
                      <w:b/>
                      <w:szCs w:val="21"/>
                    </w:rPr>
                    <w:t>距离</w:t>
                  </w:r>
                </w:p>
              </w:tc>
              <w:tc>
                <w:tcPr>
                  <w:tcW w:w="679" w:type="pct"/>
                  <w:shd w:val="clear" w:color="auto" w:fill="auto"/>
                  <w:vAlign w:val="center"/>
                </w:tcPr>
                <w:p>
                  <w:pPr>
                    <w:jc w:val="center"/>
                    <w:rPr>
                      <w:b/>
                      <w:szCs w:val="21"/>
                    </w:rPr>
                  </w:pPr>
                  <w:r>
                    <w:rPr>
                      <w:b/>
                      <w:szCs w:val="21"/>
                    </w:rPr>
                    <w:t>影响人数</w:t>
                  </w:r>
                </w:p>
              </w:tc>
              <w:tc>
                <w:tcPr>
                  <w:tcW w:w="1476" w:type="pct"/>
                  <w:shd w:val="clear" w:color="auto" w:fill="auto"/>
                  <w:vAlign w:val="center"/>
                </w:tcPr>
                <w:p>
                  <w:pPr>
                    <w:jc w:val="center"/>
                    <w:rPr>
                      <w:b/>
                      <w:szCs w:val="21"/>
                    </w:rPr>
                  </w:pPr>
                  <w:r>
                    <w:rPr>
                      <w:b/>
                      <w:szCs w:val="21"/>
                    </w:rPr>
                    <w:t>环境功能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5" w:hRule="atLeast"/>
                <w:jc w:val="center"/>
              </w:trPr>
              <w:tc>
                <w:tcPr>
                  <w:tcW w:w="597" w:type="pct"/>
                  <w:vMerge w:val="restart"/>
                  <w:shd w:val="clear" w:color="auto" w:fill="auto"/>
                  <w:vAlign w:val="center"/>
                </w:tcPr>
                <w:p>
                  <w:pPr>
                    <w:jc w:val="center"/>
                    <w:rPr>
                      <w:szCs w:val="21"/>
                    </w:rPr>
                  </w:pPr>
                  <w:r>
                    <w:rPr>
                      <w:szCs w:val="21"/>
                    </w:rPr>
                    <w:t>环境空气</w:t>
                  </w:r>
                </w:p>
              </w:tc>
              <w:tc>
                <w:tcPr>
                  <w:tcW w:w="863" w:type="pct"/>
                  <w:shd w:val="clear" w:color="auto" w:fill="auto"/>
                  <w:vAlign w:val="center"/>
                </w:tcPr>
                <w:p>
                  <w:pPr>
                    <w:widowControl/>
                    <w:spacing w:line="240" w:lineRule="auto"/>
                    <w:ind w:firstLine="0" w:firstLineChars="0"/>
                    <w:jc w:val="center"/>
                    <w:rPr>
                      <w:szCs w:val="21"/>
                    </w:rPr>
                  </w:pPr>
                  <w:r>
                    <w:rPr>
                      <w:rFonts w:hint="eastAsia" w:cs="宋体"/>
                      <w:color w:val="auto"/>
                      <w:kern w:val="0"/>
                      <w:sz w:val="21"/>
                      <w:szCs w:val="21"/>
                      <w:lang w:val="en-US" w:eastAsia="zh-CN"/>
                    </w:rPr>
                    <w:t>12</w:t>
                  </w:r>
                  <w:r>
                    <w:rPr>
                      <w:rFonts w:hint="eastAsia" w:cs="宋体"/>
                      <w:color w:val="auto"/>
                      <w:kern w:val="0"/>
                      <w:sz w:val="21"/>
                      <w:szCs w:val="21"/>
                      <w:lang w:eastAsia="zh-CN"/>
                    </w:rPr>
                    <w:t>户村民住户</w:t>
                  </w:r>
                </w:p>
              </w:tc>
              <w:tc>
                <w:tcPr>
                  <w:tcW w:w="801" w:type="pct"/>
                  <w:shd w:val="clear" w:color="auto" w:fill="auto"/>
                  <w:vAlign w:val="center"/>
                </w:tcPr>
                <w:p>
                  <w:pPr>
                    <w:jc w:val="center"/>
                    <w:rPr>
                      <w:szCs w:val="21"/>
                    </w:rPr>
                  </w:pPr>
                  <w:r>
                    <w:rPr>
                      <w:rFonts w:hint="eastAsia" w:cs="宋体"/>
                      <w:color w:val="auto"/>
                      <w:kern w:val="0"/>
                      <w:sz w:val="21"/>
                      <w:szCs w:val="21"/>
                      <w:lang w:eastAsia="zh-CN"/>
                    </w:rPr>
                    <w:t>K0+530.21至K1+059.10管线右侧</w:t>
                  </w:r>
                </w:p>
              </w:tc>
              <w:tc>
                <w:tcPr>
                  <w:tcW w:w="582" w:type="pct"/>
                  <w:shd w:val="clear" w:color="auto" w:fill="auto"/>
                  <w:vAlign w:val="center"/>
                </w:tcPr>
                <w:p>
                  <w:pPr>
                    <w:jc w:val="center"/>
                    <w:rPr>
                      <w:szCs w:val="21"/>
                    </w:rPr>
                  </w:pPr>
                  <w:r>
                    <w:rPr>
                      <w:rFonts w:hint="eastAsia"/>
                      <w:szCs w:val="21"/>
                      <w:lang w:val="en-US" w:eastAsia="zh-CN"/>
                    </w:rPr>
                    <w:t>100</w:t>
                  </w:r>
                  <w:r>
                    <w:rPr>
                      <w:szCs w:val="21"/>
                    </w:rPr>
                    <w:t>m</w:t>
                  </w:r>
                </w:p>
              </w:tc>
              <w:tc>
                <w:tcPr>
                  <w:tcW w:w="679" w:type="pct"/>
                  <w:shd w:val="clear" w:color="auto" w:fill="auto"/>
                  <w:vAlign w:val="center"/>
                </w:tcPr>
                <w:p>
                  <w:pPr>
                    <w:jc w:val="center"/>
                    <w:rPr>
                      <w:szCs w:val="21"/>
                    </w:rPr>
                  </w:pPr>
                  <w:r>
                    <w:rPr>
                      <w:rFonts w:hint="eastAsia"/>
                      <w:szCs w:val="21"/>
                      <w:lang w:val="en-US" w:eastAsia="zh-CN"/>
                    </w:rPr>
                    <w:t>50</w:t>
                  </w:r>
                  <w:r>
                    <w:rPr>
                      <w:szCs w:val="21"/>
                    </w:rPr>
                    <w:t>人</w:t>
                  </w:r>
                </w:p>
              </w:tc>
              <w:tc>
                <w:tcPr>
                  <w:tcW w:w="1476" w:type="pct"/>
                  <w:vMerge w:val="restart"/>
                  <w:shd w:val="clear" w:color="auto" w:fill="auto"/>
                  <w:vAlign w:val="center"/>
                </w:tcPr>
                <w:p>
                  <w:pPr>
                    <w:jc w:val="center"/>
                    <w:rPr>
                      <w:rFonts w:hint="eastAsia"/>
                      <w:szCs w:val="21"/>
                    </w:rPr>
                  </w:pPr>
                  <w:r>
                    <w:rPr>
                      <w:szCs w:val="21"/>
                    </w:rPr>
                    <w:t>《环境空气质量标准》（GB 3095-2012）二级标准</w:t>
                  </w:r>
                  <w:r>
                    <w:rPr>
                      <w:rFonts w:hint="eastAsia"/>
                      <w:szCs w:val="21"/>
                    </w:rPr>
                    <w:t>，</w:t>
                  </w:r>
                </w:p>
                <w:p>
                  <w:pPr>
                    <w:jc w:val="center"/>
                    <w:rPr>
                      <w:szCs w:val="21"/>
                    </w:rPr>
                  </w:pPr>
                  <w:r>
                    <w:rPr>
                      <w:color w:val="000000" w:themeColor="text1"/>
                      <w:szCs w:val="21"/>
                      <w14:textFill>
                        <w14:solidFill>
                          <w14:schemeClr w14:val="tx1"/>
                        </w14:solidFill>
                      </w14:textFill>
                    </w:rPr>
                    <w:t xml:space="preserve">《声环境质量标准》（GB3096-2008）中2类标准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02" w:hRule="atLeast"/>
                <w:jc w:val="center"/>
              </w:trPr>
              <w:tc>
                <w:tcPr>
                  <w:tcW w:w="597" w:type="pct"/>
                  <w:vMerge w:val="continue"/>
                  <w:shd w:val="clear" w:color="auto" w:fill="auto"/>
                  <w:vAlign w:val="center"/>
                </w:tcPr>
                <w:p>
                  <w:pPr>
                    <w:jc w:val="center"/>
                    <w:rPr>
                      <w:szCs w:val="21"/>
                    </w:rPr>
                  </w:pPr>
                </w:p>
              </w:tc>
              <w:tc>
                <w:tcPr>
                  <w:tcW w:w="863" w:type="pct"/>
                  <w:shd w:val="clear" w:color="auto" w:fill="auto"/>
                  <w:vAlign w:val="center"/>
                </w:tcPr>
                <w:p>
                  <w:pPr>
                    <w:widowControl/>
                    <w:spacing w:line="240" w:lineRule="auto"/>
                    <w:ind w:firstLine="0" w:firstLineChars="0"/>
                    <w:jc w:val="center"/>
                    <w:rPr>
                      <w:szCs w:val="21"/>
                    </w:rPr>
                  </w:pPr>
                  <w:r>
                    <w:rPr>
                      <w:rFonts w:hint="eastAsia" w:cs="宋体"/>
                      <w:color w:val="auto"/>
                      <w:kern w:val="0"/>
                      <w:sz w:val="21"/>
                      <w:szCs w:val="21"/>
                      <w:lang w:val="en-US" w:eastAsia="zh-CN"/>
                    </w:rPr>
                    <w:t>15</w:t>
                  </w:r>
                  <w:r>
                    <w:rPr>
                      <w:rFonts w:hint="eastAsia" w:cs="宋体"/>
                      <w:color w:val="auto"/>
                      <w:kern w:val="0"/>
                      <w:sz w:val="21"/>
                      <w:szCs w:val="21"/>
                      <w:lang w:eastAsia="zh-CN"/>
                    </w:rPr>
                    <w:t>户村民住户</w:t>
                  </w:r>
                </w:p>
              </w:tc>
              <w:tc>
                <w:tcPr>
                  <w:tcW w:w="801" w:type="pct"/>
                  <w:shd w:val="clear" w:color="auto" w:fill="auto"/>
                  <w:vAlign w:val="center"/>
                </w:tcPr>
                <w:p>
                  <w:pPr>
                    <w:jc w:val="center"/>
                    <w:rPr>
                      <w:rFonts w:hint="default"/>
                      <w:szCs w:val="21"/>
                      <w:lang w:val="en-US"/>
                    </w:rPr>
                  </w:pPr>
                  <w:r>
                    <w:rPr>
                      <w:rFonts w:hint="eastAsia" w:cs="宋体"/>
                      <w:color w:val="auto"/>
                      <w:kern w:val="0"/>
                      <w:sz w:val="21"/>
                      <w:szCs w:val="21"/>
                      <w:lang w:eastAsia="zh-CN"/>
                    </w:rPr>
                    <w:t>K3+000.00</w:t>
                  </w:r>
                  <w:r>
                    <w:rPr>
                      <w:rFonts w:hint="eastAsia" w:cs="宋体"/>
                      <w:color w:val="auto"/>
                      <w:kern w:val="0"/>
                      <w:sz w:val="21"/>
                      <w:szCs w:val="21"/>
                      <w:lang w:val="en-US" w:eastAsia="zh-CN"/>
                    </w:rPr>
                    <w:t>管线两侧</w:t>
                  </w:r>
                </w:p>
              </w:tc>
              <w:tc>
                <w:tcPr>
                  <w:tcW w:w="582" w:type="pct"/>
                  <w:shd w:val="clear" w:color="auto" w:fill="auto"/>
                  <w:vAlign w:val="center"/>
                </w:tcPr>
                <w:p>
                  <w:pPr>
                    <w:jc w:val="center"/>
                    <w:rPr>
                      <w:szCs w:val="21"/>
                    </w:rPr>
                  </w:pPr>
                  <w:r>
                    <w:rPr>
                      <w:rFonts w:hint="eastAsia"/>
                      <w:szCs w:val="21"/>
                      <w:lang w:val="en-US" w:eastAsia="zh-CN"/>
                    </w:rPr>
                    <w:t>140</w:t>
                  </w:r>
                  <w:r>
                    <w:rPr>
                      <w:rFonts w:hint="eastAsia"/>
                      <w:szCs w:val="21"/>
                    </w:rPr>
                    <w:t>m</w:t>
                  </w:r>
                </w:p>
              </w:tc>
              <w:tc>
                <w:tcPr>
                  <w:tcW w:w="679" w:type="pct"/>
                  <w:shd w:val="clear" w:color="auto" w:fill="auto"/>
                  <w:vAlign w:val="center"/>
                </w:tcPr>
                <w:p>
                  <w:pPr>
                    <w:jc w:val="center"/>
                    <w:rPr>
                      <w:szCs w:val="21"/>
                    </w:rPr>
                  </w:pPr>
                  <w:r>
                    <w:rPr>
                      <w:rFonts w:hint="eastAsia"/>
                      <w:szCs w:val="21"/>
                      <w:lang w:val="en-US" w:eastAsia="zh-CN"/>
                    </w:rPr>
                    <w:t>60</w:t>
                  </w:r>
                  <w:r>
                    <w:rPr>
                      <w:rFonts w:hint="eastAsia"/>
                      <w:szCs w:val="21"/>
                    </w:rPr>
                    <w:t>人</w:t>
                  </w:r>
                </w:p>
              </w:tc>
              <w:tc>
                <w:tcPr>
                  <w:tcW w:w="1476"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74" w:hRule="atLeast"/>
                <w:jc w:val="center"/>
              </w:trPr>
              <w:tc>
                <w:tcPr>
                  <w:tcW w:w="597" w:type="pct"/>
                  <w:vMerge w:val="continue"/>
                  <w:shd w:val="clear" w:color="auto" w:fill="auto"/>
                  <w:vAlign w:val="center"/>
                </w:tcPr>
                <w:p>
                  <w:pPr>
                    <w:jc w:val="center"/>
                    <w:rPr>
                      <w:szCs w:val="21"/>
                    </w:rPr>
                  </w:pPr>
                </w:p>
              </w:tc>
              <w:tc>
                <w:tcPr>
                  <w:tcW w:w="863" w:type="pct"/>
                  <w:shd w:val="clear" w:color="auto" w:fill="auto"/>
                  <w:vAlign w:val="center"/>
                </w:tcPr>
                <w:p>
                  <w:pPr>
                    <w:widowControl/>
                    <w:spacing w:line="240" w:lineRule="auto"/>
                    <w:ind w:firstLine="0" w:firstLineChars="0"/>
                    <w:jc w:val="center"/>
                    <w:rPr>
                      <w:szCs w:val="21"/>
                    </w:rPr>
                  </w:pPr>
                  <w:r>
                    <w:rPr>
                      <w:rFonts w:hint="eastAsia" w:cs="宋体"/>
                      <w:color w:val="auto"/>
                      <w:kern w:val="0"/>
                      <w:sz w:val="21"/>
                      <w:szCs w:val="21"/>
                      <w:lang w:val="en-US" w:eastAsia="zh-CN"/>
                    </w:rPr>
                    <w:t>28</w:t>
                  </w:r>
                  <w:r>
                    <w:rPr>
                      <w:rFonts w:hint="eastAsia" w:cs="宋体"/>
                      <w:color w:val="auto"/>
                      <w:kern w:val="0"/>
                      <w:sz w:val="21"/>
                      <w:szCs w:val="21"/>
                      <w:lang w:eastAsia="zh-CN"/>
                    </w:rPr>
                    <w:t>户村民住户</w:t>
                  </w:r>
                </w:p>
              </w:tc>
              <w:tc>
                <w:tcPr>
                  <w:tcW w:w="801" w:type="pct"/>
                  <w:shd w:val="clear" w:color="auto" w:fill="auto"/>
                  <w:vAlign w:val="center"/>
                </w:tcPr>
                <w:p>
                  <w:pPr>
                    <w:jc w:val="center"/>
                    <w:rPr>
                      <w:szCs w:val="21"/>
                    </w:rPr>
                  </w:pPr>
                  <w:r>
                    <w:rPr>
                      <w:rFonts w:hint="eastAsia" w:cs="宋体"/>
                      <w:color w:val="auto"/>
                      <w:kern w:val="0"/>
                      <w:sz w:val="21"/>
                      <w:szCs w:val="21"/>
                    </w:rPr>
                    <w:t>K4+260.00</w:t>
                  </w:r>
                  <w:r>
                    <w:rPr>
                      <w:rFonts w:hint="eastAsia" w:cs="宋体"/>
                      <w:color w:val="auto"/>
                      <w:kern w:val="0"/>
                      <w:sz w:val="21"/>
                      <w:szCs w:val="21"/>
                      <w:lang w:val="en-US" w:eastAsia="zh-CN"/>
                    </w:rPr>
                    <w:t>管线两侧</w:t>
                  </w:r>
                </w:p>
              </w:tc>
              <w:tc>
                <w:tcPr>
                  <w:tcW w:w="582" w:type="pct"/>
                  <w:shd w:val="clear" w:color="auto" w:fill="auto"/>
                  <w:vAlign w:val="center"/>
                </w:tcPr>
                <w:p>
                  <w:pPr>
                    <w:jc w:val="center"/>
                    <w:rPr>
                      <w:szCs w:val="21"/>
                    </w:rPr>
                  </w:pPr>
                  <w:r>
                    <w:rPr>
                      <w:rFonts w:hint="eastAsia"/>
                      <w:szCs w:val="21"/>
                      <w:lang w:val="en-US" w:eastAsia="zh-CN"/>
                    </w:rPr>
                    <w:t>50</w:t>
                  </w:r>
                  <w:r>
                    <w:rPr>
                      <w:rFonts w:hint="eastAsia"/>
                      <w:szCs w:val="21"/>
                    </w:rPr>
                    <w:t>m</w:t>
                  </w:r>
                </w:p>
              </w:tc>
              <w:tc>
                <w:tcPr>
                  <w:tcW w:w="679" w:type="pct"/>
                  <w:shd w:val="clear" w:color="auto" w:fill="auto"/>
                  <w:vAlign w:val="center"/>
                </w:tcPr>
                <w:p>
                  <w:pPr>
                    <w:jc w:val="center"/>
                    <w:rPr>
                      <w:szCs w:val="21"/>
                    </w:rPr>
                  </w:pPr>
                  <w:r>
                    <w:rPr>
                      <w:rFonts w:hint="eastAsia"/>
                      <w:szCs w:val="21"/>
                      <w:lang w:val="en-US" w:eastAsia="zh-CN"/>
                    </w:rPr>
                    <w:t>6</w:t>
                  </w:r>
                  <w:r>
                    <w:rPr>
                      <w:rFonts w:hint="eastAsia"/>
                      <w:szCs w:val="21"/>
                    </w:rPr>
                    <w:t>0人</w:t>
                  </w:r>
                </w:p>
              </w:tc>
              <w:tc>
                <w:tcPr>
                  <w:tcW w:w="1476"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37" w:hRule="atLeast"/>
                <w:jc w:val="center"/>
              </w:trPr>
              <w:tc>
                <w:tcPr>
                  <w:tcW w:w="597" w:type="pct"/>
                  <w:vMerge w:val="continue"/>
                  <w:shd w:val="clear" w:color="auto" w:fill="auto"/>
                  <w:vAlign w:val="center"/>
                </w:tcPr>
                <w:p>
                  <w:pPr>
                    <w:jc w:val="center"/>
                    <w:rPr>
                      <w:szCs w:val="21"/>
                    </w:rPr>
                  </w:pPr>
                </w:p>
              </w:tc>
              <w:tc>
                <w:tcPr>
                  <w:tcW w:w="863" w:type="pct"/>
                  <w:shd w:val="clear" w:color="auto" w:fill="auto"/>
                  <w:vAlign w:val="center"/>
                </w:tcPr>
                <w:p>
                  <w:pPr>
                    <w:widowControl/>
                    <w:spacing w:line="240" w:lineRule="auto"/>
                    <w:ind w:firstLine="0" w:firstLineChars="0"/>
                    <w:jc w:val="center"/>
                    <w:rPr>
                      <w:rFonts w:hint="eastAsia" w:cs="宋体"/>
                      <w:color w:val="auto"/>
                      <w:kern w:val="0"/>
                      <w:sz w:val="21"/>
                      <w:szCs w:val="21"/>
                      <w:lang w:val="en-US" w:eastAsia="zh-CN" w:bidi="ar-SA"/>
                    </w:rPr>
                  </w:pPr>
                  <w:r>
                    <w:rPr>
                      <w:rFonts w:hint="eastAsia" w:cs="宋体"/>
                      <w:color w:val="auto"/>
                      <w:kern w:val="0"/>
                      <w:sz w:val="21"/>
                      <w:szCs w:val="21"/>
                      <w:lang w:val="en-US" w:eastAsia="zh-CN" w:bidi="ar-SA"/>
                    </w:rPr>
                    <w:t>旺苍县城</w:t>
                  </w:r>
                </w:p>
                <w:p>
                  <w:pPr>
                    <w:jc w:val="center"/>
                    <w:rPr>
                      <w:szCs w:val="21"/>
                    </w:rPr>
                  </w:pPr>
                  <w:r>
                    <w:rPr>
                      <w:rFonts w:hint="eastAsia" w:cs="宋体"/>
                      <w:color w:val="auto"/>
                      <w:kern w:val="0"/>
                      <w:sz w:val="21"/>
                      <w:szCs w:val="21"/>
                      <w:lang w:val="en-US" w:eastAsia="zh-CN" w:bidi="ar-SA"/>
                    </w:rPr>
                    <w:t>居民区</w:t>
                  </w:r>
                </w:p>
              </w:tc>
              <w:tc>
                <w:tcPr>
                  <w:tcW w:w="801" w:type="pct"/>
                  <w:shd w:val="clear" w:color="auto" w:fill="auto"/>
                  <w:vAlign w:val="center"/>
                </w:tcPr>
                <w:p>
                  <w:pPr>
                    <w:widowControl/>
                    <w:spacing w:line="240" w:lineRule="auto"/>
                    <w:ind w:firstLine="0" w:firstLineChars="0"/>
                    <w:jc w:val="center"/>
                    <w:rPr>
                      <w:rFonts w:hint="eastAsia" w:cs="宋体"/>
                      <w:color w:val="auto"/>
                      <w:kern w:val="0"/>
                      <w:sz w:val="21"/>
                      <w:szCs w:val="21"/>
                      <w:lang w:val="en-US" w:eastAsia="zh-CN" w:bidi="ar-SA"/>
                    </w:rPr>
                  </w:pPr>
                  <w:r>
                    <w:rPr>
                      <w:rFonts w:hint="eastAsia" w:ascii="Times New Roman" w:hAnsi="Times New Roman" w:eastAsia="华文中宋" w:cs="宋体"/>
                      <w:color w:val="auto"/>
                      <w:kern w:val="0"/>
                      <w:sz w:val="21"/>
                      <w:szCs w:val="21"/>
                      <w:lang w:val="en-US" w:eastAsia="zh-CN" w:bidi="ar-SA"/>
                    </w:rPr>
                    <w:t>K6+600.00</w:t>
                  </w:r>
                  <w:r>
                    <w:rPr>
                      <w:rFonts w:hint="eastAsia" w:cs="宋体"/>
                      <w:color w:val="auto"/>
                      <w:kern w:val="0"/>
                      <w:sz w:val="21"/>
                      <w:szCs w:val="21"/>
                      <w:lang w:val="en-US" w:eastAsia="zh-CN" w:bidi="ar-SA"/>
                    </w:rPr>
                    <w:t>至</w:t>
                  </w:r>
                </w:p>
                <w:p>
                  <w:pPr>
                    <w:jc w:val="center"/>
                    <w:rPr>
                      <w:rFonts w:hint="default"/>
                      <w:szCs w:val="21"/>
                      <w:lang w:val="en-US"/>
                    </w:rPr>
                  </w:pPr>
                  <w:r>
                    <w:rPr>
                      <w:rFonts w:hint="eastAsia" w:cs="宋体"/>
                      <w:color w:val="auto"/>
                      <w:kern w:val="0"/>
                      <w:sz w:val="21"/>
                      <w:szCs w:val="21"/>
                      <w:lang w:val="en-US" w:eastAsia="zh-CN" w:bidi="ar-SA"/>
                    </w:rPr>
                    <w:t>K8+600.00管线两侧</w:t>
                  </w:r>
                </w:p>
              </w:tc>
              <w:tc>
                <w:tcPr>
                  <w:tcW w:w="582" w:type="pct"/>
                  <w:shd w:val="clear" w:color="auto" w:fill="auto"/>
                  <w:vAlign w:val="center"/>
                </w:tcPr>
                <w:p>
                  <w:pPr>
                    <w:jc w:val="center"/>
                    <w:rPr>
                      <w:szCs w:val="21"/>
                    </w:rPr>
                  </w:pPr>
                  <w:r>
                    <w:rPr>
                      <w:rFonts w:hint="eastAsia"/>
                      <w:szCs w:val="21"/>
                      <w:lang w:val="en-US" w:eastAsia="zh-CN"/>
                    </w:rPr>
                    <w:t>50</w:t>
                  </w:r>
                  <w:r>
                    <w:rPr>
                      <w:rFonts w:hint="eastAsia"/>
                      <w:szCs w:val="21"/>
                    </w:rPr>
                    <w:t>m</w:t>
                  </w:r>
                </w:p>
              </w:tc>
              <w:tc>
                <w:tcPr>
                  <w:tcW w:w="679" w:type="pct"/>
                  <w:shd w:val="clear" w:color="auto" w:fill="auto"/>
                  <w:vAlign w:val="center"/>
                </w:tcPr>
                <w:p>
                  <w:pPr>
                    <w:jc w:val="center"/>
                    <w:rPr>
                      <w:rFonts w:hint="default"/>
                      <w:szCs w:val="21"/>
                      <w:lang w:val="en-US"/>
                    </w:rPr>
                  </w:pPr>
                  <w:r>
                    <w:rPr>
                      <w:rFonts w:hint="eastAsia"/>
                      <w:szCs w:val="21"/>
                      <w:lang w:val="en-US" w:eastAsia="zh-CN"/>
                    </w:rPr>
                    <w:t>集中居住区</w:t>
                  </w:r>
                </w:p>
              </w:tc>
              <w:tc>
                <w:tcPr>
                  <w:tcW w:w="1476"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37" w:hRule="atLeast"/>
                <w:jc w:val="center"/>
              </w:trPr>
              <w:tc>
                <w:tcPr>
                  <w:tcW w:w="597" w:type="pct"/>
                  <w:vMerge w:val="continue"/>
                  <w:shd w:val="clear" w:color="auto" w:fill="auto"/>
                  <w:vAlign w:val="center"/>
                </w:tcPr>
                <w:p>
                  <w:pPr>
                    <w:jc w:val="center"/>
                    <w:rPr>
                      <w:szCs w:val="21"/>
                    </w:rPr>
                  </w:pPr>
                </w:p>
              </w:tc>
              <w:tc>
                <w:tcPr>
                  <w:tcW w:w="863" w:type="pct"/>
                  <w:shd w:val="clear" w:color="auto" w:fill="auto"/>
                  <w:vAlign w:val="center"/>
                </w:tcPr>
                <w:p>
                  <w:pPr>
                    <w:widowControl/>
                    <w:spacing w:line="240" w:lineRule="auto"/>
                    <w:ind w:firstLine="0" w:firstLineChars="0"/>
                    <w:jc w:val="center"/>
                    <w:rPr>
                      <w:rFonts w:hint="eastAsia" w:cs="宋体"/>
                      <w:color w:val="auto"/>
                      <w:kern w:val="0"/>
                      <w:sz w:val="21"/>
                      <w:szCs w:val="21"/>
                      <w:lang w:val="en-US" w:eastAsia="zh-CN" w:bidi="ar-SA"/>
                    </w:rPr>
                  </w:pPr>
                  <w:r>
                    <w:rPr>
                      <w:rFonts w:hint="eastAsia" w:cs="宋体"/>
                      <w:color w:val="auto"/>
                      <w:kern w:val="0"/>
                      <w:sz w:val="21"/>
                      <w:szCs w:val="21"/>
                      <w:lang w:val="en-US" w:eastAsia="zh-CN" w:bidi="ar-SA"/>
                    </w:rPr>
                    <w:t>旺苍县城</w:t>
                  </w:r>
                </w:p>
                <w:p>
                  <w:pPr>
                    <w:jc w:val="center"/>
                    <w:rPr>
                      <w:rFonts w:hint="eastAsia" w:cs="宋体"/>
                      <w:color w:val="auto"/>
                      <w:kern w:val="0"/>
                      <w:sz w:val="21"/>
                      <w:szCs w:val="21"/>
                      <w:lang w:val="en-US" w:eastAsia="zh-CN" w:bidi="ar-SA"/>
                    </w:rPr>
                  </w:pPr>
                  <w:r>
                    <w:rPr>
                      <w:rFonts w:hint="eastAsia" w:cs="宋体"/>
                      <w:color w:val="auto"/>
                      <w:kern w:val="0"/>
                      <w:sz w:val="21"/>
                      <w:szCs w:val="21"/>
                      <w:lang w:val="en-US" w:eastAsia="zh-CN" w:bidi="ar-SA"/>
                    </w:rPr>
                    <w:t>居民区</w:t>
                  </w:r>
                </w:p>
              </w:tc>
              <w:tc>
                <w:tcPr>
                  <w:tcW w:w="801" w:type="pct"/>
                  <w:shd w:val="clear" w:color="auto" w:fill="auto"/>
                  <w:vAlign w:val="center"/>
                </w:tcPr>
                <w:p>
                  <w:pPr>
                    <w:widowControl/>
                    <w:spacing w:line="240" w:lineRule="auto"/>
                    <w:ind w:firstLine="0" w:firstLineChars="0"/>
                    <w:jc w:val="center"/>
                    <w:rPr>
                      <w:rFonts w:hint="eastAsia" w:cs="宋体"/>
                      <w:color w:val="auto"/>
                      <w:kern w:val="0"/>
                      <w:sz w:val="21"/>
                      <w:szCs w:val="21"/>
                      <w:lang w:eastAsia="zh-CN"/>
                    </w:rPr>
                  </w:pPr>
                  <w:r>
                    <w:rPr>
                      <w:rFonts w:hint="eastAsia" w:cs="宋体"/>
                      <w:color w:val="auto"/>
                      <w:kern w:val="0"/>
                      <w:sz w:val="21"/>
                      <w:szCs w:val="21"/>
                      <w:lang w:eastAsia="zh-CN"/>
                    </w:rPr>
                    <w:t>K8+800.00至</w:t>
                  </w:r>
                </w:p>
                <w:p>
                  <w:pPr>
                    <w:jc w:val="center"/>
                    <w:rPr>
                      <w:rFonts w:hint="eastAsia" w:cs="宋体"/>
                      <w:color w:val="auto"/>
                      <w:kern w:val="0"/>
                      <w:sz w:val="21"/>
                      <w:szCs w:val="21"/>
                      <w:lang w:val="en-US" w:eastAsia="zh-CN" w:bidi="ar-SA"/>
                    </w:rPr>
                  </w:pPr>
                  <w:r>
                    <w:rPr>
                      <w:rFonts w:hint="eastAsia" w:cs="宋体"/>
                      <w:color w:val="auto"/>
                      <w:kern w:val="0"/>
                      <w:sz w:val="21"/>
                      <w:szCs w:val="21"/>
                      <w:lang w:eastAsia="zh-CN"/>
                    </w:rPr>
                    <w:t>K11+232.78</w:t>
                  </w:r>
                  <w:r>
                    <w:rPr>
                      <w:rFonts w:hint="eastAsia" w:cs="宋体"/>
                      <w:color w:val="auto"/>
                      <w:kern w:val="0"/>
                      <w:sz w:val="21"/>
                      <w:szCs w:val="21"/>
                      <w:lang w:val="en-US" w:eastAsia="zh-CN" w:bidi="ar-SA"/>
                    </w:rPr>
                    <w:t>管线两侧</w:t>
                  </w:r>
                </w:p>
              </w:tc>
              <w:tc>
                <w:tcPr>
                  <w:tcW w:w="582" w:type="pct"/>
                  <w:shd w:val="clear" w:color="auto" w:fill="auto"/>
                  <w:vAlign w:val="center"/>
                </w:tcPr>
                <w:p>
                  <w:pPr>
                    <w:jc w:val="center"/>
                    <w:rPr>
                      <w:rFonts w:hint="eastAsia"/>
                      <w:szCs w:val="21"/>
                      <w:lang w:val="en-US" w:eastAsia="zh-CN"/>
                    </w:rPr>
                  </w:pPr>
                  <w:r>
                    <w:rPr>
                      <w:rFonts w:hint="eastAsia"/>
                      <w:szCs w:val="21"/>
                      <w:lang w:val="en-US" w:eastAsia="zh-CN"/>
                    </w:rPr>
                    <w:t>50</w:t>
                  </w:r>
                  <w:r>
                    <w:rPr>
                      <w:rFonts w:hint="eastAsia"/>
                      <w:szCs w:val="21"/>
                    </w:rPr>
                    <w:t>m</w:t>
                  </w:r>
                </w:p>
              </w:tc>
              <w:tc>
                <w:tcPr>
                  <w:tcW w:w="679" w:type="pct"/>
                  <w:shd w:val="clear" w:color="auto" w:fill="auto"/>
                  <w:vAlign w:val="center"/>
                </w:tcPr>
                <w:p>
                  <w:pPr>
                    <w:jc w:val="center"/>
                    <w:rPr>
                      <w:rFonts w:hint="eastAsia"/>
                      <w:szCs w:val="21"/>
                      <w:lang w:val="en-US" w:eastAsia="zh-CN"/>
                    </w:rPr>
                  </w:pPr>
                  <w:r>
                    <w:rPr>
                      <w:rFonts w:hint="eastAsia"/>
                      <w:szCs w:val="21"/>
                      <w:lang w:val="en-US" w:eastAsia="zh-CN"/>
                    </w:rPr>
                    <w:t>集中居住区</w:t>
                  </w:r>
                </w:p>
              </w:tc>
              <w:tc>
                <w:tcPr>
                  <w:tcW w:w="1476" w:type="pct"/>
                  <w:vMerge w:val="continue"/>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57" w:hRule="atLeast"/>
                <w:jc w:val="center"/>
              </w:trPr>
              <w:tc>
                <w:tcPr>
                  <w:tcW w:w="597" w:type="pct"/>
                  <w:shd w:val="clear" w:color="auto" w:fill="auto"/>
                  <w:vAlign w:val="center"/>
                </w:tcPr>
                <w:p>
                  <w:pPr>
                    <w:jc w:val="center"/>
                    <w:rPr>
                      <w:szCs w:val="21"/>
                    </w:rPr>
                  </w:pPr>
                  <w:r>
                    <w:rPr>
                      <w:szCs w:val="21"/>
                    </w:rPr>
                    <w:t>地表水环境</w:t>
                  </w:r>
                </w:p>
              </w:tc>
              <w:tc>
                <w:tcPr>
                  <w:tcW w:w="863" w:type="pct"/>
                  <w:shd w:val="clear" w:color="auto" w:fill="auto"/>
                  <w:vAlign w:val="center"/>
                </w:tcPr>
                <w:p>
                  <w:pPr>
                    <w:jc w:val="center"/>
                    <w:rPr>
                      <w:rFonts w:hint="eastAsia" w:eastAsia="宋体"/>
                      <w:szCs w:val="21"/>
                      <w:lang w:val="en-US" w:eastAsia="zh-CN"/>
                    </w:rPr>
                  </w:pPr>
                  <w:r>
                    <w:rPr>
                      <w:rFonts w:hint="eastAsia"/>
                      <w:szCs w:val="21"/>
                      <w:lang w:val="en-US" w:eastAsia="zh-CN"/>
                    </w:rPr>
                    <w:t>赵家沟</w:t>
                  </w:r>
                </w:p>
              </w:tc>
              <w:tc>
                <w:tcPr>
                  <w:tcW w:w="801" w:type="pct"/>
                  <w:shd w:val="clear" w:color="auto" w:fill="auto"/>
                  <w:vAlign w:val="center"/>
                </w:tcPr>
                <w:p>
                  <w:pPr>
                    <w:jc w:val="center"/>
                    <w:rPr>
                      <w:szCs w:val="21"/>
                    </w:rPr>
                  </w:pPr>
                  <w:r>
                    <w:rPr>
                      <w:rFonts w:hint="eastAsia" w:cs="宋体"/>
                      <w:color w:val="auto"/>
                      <w:kern w:val="0"/>
                      <w:sz w:val="21"/>
                      <w:szCs w:val="21"/>
                      <w:lang w:val="en-US" w:eastAsia="zh-CN"/>
                    </w:rPr>
                    <w:t>/</w:t>
                  </w:r>
                </w:p>
              </w:tc>
              <w:tc>
                <w:tcPr>
                  <w:tcW w:w="582" w:type="pct"/>
                  <w:shd w:val="clear" w:color="auto" w:fill="auto"/>
                  <w:vAlign w:val="center"/>
                </w:tcPr>
                <w:p>
                  <w:pPr>
                    <w:jc w:val="center"/>
                    <w:rPr>
                      <w:rFonts w:hint="default" w:eastAsia="宋体"/>
                      <w:szCs w:val="21"/>
                      <w:lang w:val="en-US" w:eastAsia="zh-CN"/>
                    </w:rPr>
                  </w:pPr>
                  <w:r>
                    <w:rPr>
                      <w:rFonts w:hint="eastAsia" w:eastAsia="宋体"/>
                      <w:szCs w:val="21"/>
                      <w:lang w:val="en-US" w:eastAsia="zh-CN"/>
                    </w:rPr>
                    <w:t>穿越</w:t>
                  </w:r>
                </w:p>
              </w:tc>
              <w:tc>
                <w:tcPr>
                  <w:tcW w:w="679" w:type="pct"/>
                  <w:shd w:val="clear" w:color="auto" w:fill="auto"/>
                  <w:vAlign w:val="center"/>
                </w:tcPr>
                <w:p>
                  <w:pPr>
                    <w:jc w:val="center"/>
                    <w:rPr>
                      <w:szCs w:val="21"/>
                    </w:rPr>
                  </w:pPr>
                  <w:r>
                    <w:rPr>
                      <w:rFonts w:hint="eastAsia"/>
                      <w:szCs w:val="21"/>
                    </w:rPr>
                    <w:t>/</w:t>
                  </w:r>
                </w:p>
              </w:tc>
              <w:tc>
                <w:tcPr>
                  <w:tcW w:w="1476" w:type="pct"/>
                  <w:shd w:val="clear" w:color="auto" w:fill="auto"/>
                  <w:vAlign w:val="center"/>
                </w:tcPr>
                <w:p>
                  <w:pPr>
                    <w:jc w:val="center"/>
                    <w:rPr>
                      <w:szCs w:val="21"/>
                    </w:rPr>
                  </w:pPr>
                  <w:r>
                    <w:rPr>
                      <w:szCs w:val="21"/>
                    </w:rPr>
                    <w:t>《地表水环境质量标准》（GB 3838-2002）</w:t>
                  </w:r>
                  <w:r>
                    <w:rPr>
                      <w:szCs w:val="21"/>
                    </w:rPr>
                    <w:fldChar w:fldCharType="begin"/>
                  </w:r>
                  <w:r>
                    <w:rPr>
                      <w:szCs w:val="21"/>
                    </w:rPr>
                    <w:instrText xml:space="preserve"> = 3 \* ROMAN </w:instrText>
                  </w:r>
                  <w:r>
                    <w:rPr>
                      <w:szCs w:val="21"/>
                    </w:rPr>
                    <w:fldChar w:fldCharType="separate"/>
                  </w:r>
                  <w:r>
                    <w:rPr>
                      <w:szCs w:val="21"/>
                    </w:rPr>
                    <w:t>III</w:t>
                  </w:r>
                  <w:r>
                    <w:rPr>
                      <w:szCs w:val="21"/>
                    </w:rPr>
                    <w:fldChar w:fldCharType="end"/>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84" w:hRule="atLeast"/>
                <w:jc w:val="center"/>
              </w:trPr>
              <w:tc>
                <w:tcPr>
                  <w:tcW w:w="597" w:type="pct"/>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863" w:type="pct"/>
                  <w:shd w:val="clear" w:color="auto" w:fill="auto"/>
                  <w:vAlign w:val="center"/>
                </w:tcPr>
                <w:p>
                  <w:pPr>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地下水</w:t>
                  </w:r>
                </w:p>
              </w:tc>
              <w:tc>
                <w:tcPr>
                  <w:tcW w:w="1383" w:type="pct"/>
                  <w:gridSpan w:val="2"/>
                  <w:shd w:val="clear" w:color="auto" w:fill="auto"/>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项目</w:t>
                  </w:r>
                  <w:r>
                    <w:rPr>
                      <w:rFonts w:hint="eastAsia"/>
                      <w:color w:val="000000" w:themeColor="text1"/>
                      <w:szCs w:val="21"/>
                      <w14:textFill>
                        <w14:solidFill>
                          <w14:schemeClr w14:val="tx1"/>
                        </w14:solidFill>
                      </w14:textFill>
                    </w:rPr>
                    <w:t>所在区域的潜水</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含水层</w:t>
                  </w:r>
                </w:p>
              </w:tc>
              <w:tc>
                <w:tcPr>
                  <w:tcW w:w="679" w:type="pct"/>
                  <w:shd w:val="clear" w:color="auto" w:fill="auto"/>
                  <w:vAlign w:val="center"/>
                </w:tcPr>
                <w:p>
                  <w:pPr>
                    <w:jc w:val="center"/>
                    <w:rPr>
                      <w:szCs w:val="21"/>
                    </w:rPr>
                  </w:pPr>
                  <w:r>
                    <w:rPr>
                      <w:szCs w:val="21"/>
                    </w:rPr>
                    <w:t>/</w:t>
                  </w:r>
                </w:p>
              </w:tc>
              <w:tc>
                <w:tcPr>
                  <w:tcW w:w="1476" w:type="pct"/>
                  <w:shd w:val="clear" w:color="auto" w:fill="auto"/>
                  <w:vAlign w:val="center"/>
                </w:tcPr>
                <w:p>
                  <w:pPr>
                    <w:jc w:val="center"/>
                    <w:rPr>
                      <w:szCs w:val="21"/>
                    </w:rPr>
                  </w:pPr>
                  <w:r>
                    <w:rPr>
                      <w:szCs w:val="21"/>
                    </w:rPr>
                    <w:t>《地下水质量标准》（GB/T 14848-</w:t>
                  </w:r>
                  <w:r>
                    <w:rPr>
                      <w:rFonts w:hint="eastAsia"/>
                      <w:szCs w:val="21"/>
                    </w:rPr>
                    <w:t>2017</w:t>
                  </w:r>
                  <w:r>
                    <w:rPr>
                      <w:szCs w:val="21"/>
                    </w:rPr>
                    <w:t>）III类标准</w:t>
                  </w:r>
                </w:p>
              </w:tc>
            </w:tr>
          </w:tbl>
          <w:p>
            <w:pPr>
              <w:keepNext w:val="0"/>
              <w:keepLines w:val="0"/>
              <w:pageBreakBefore w:val="0"/>
              <w:widowControl w:val="0"/>
              <w:tabs>
                <w:tab w:val="left" w:pos="1898"/>
              </w:tabs>
              <w:kinsoku/>
              <w:wordWrap/>
              <w:overflowPunct/>
              <w:topLinePunct w:val="0"/>
              <w:autoSpaceDE/>
              <w:autoSpaceDN/>
              <w:bidi w:val="0"/>
              <w:adjustRightInd/>
              <w:snapToGrid/>
              <w:spacing w:line="360" w:lineRule="auto"/>
              <w:ind w:firstLine="0"/>
              <w:jc w:val="center"/>
              <w:textAlignment w:val="auto"/>
              <w:rPr>
                <w:b/>
              </w:rPr>
            </w:pPr>
            <w:r>
              <w:rPr>
                <w:b/>
              </w:rPr>
              <w:t>表</w:t>
            </w:r>
            <w:r>
              <w:rPr>
                <w:rFonts w:hint="eastAsia"/>
                <w:b/>
              </w:rPr>
              <w:t>3</w:t>
            </w:r>
            <w:r>
              <w:rPr>
                <w:b/>
              </w:rPr>
              <w:t>-</w:t>
            </w:r>
            <w:r>
              <w:rPr>
                <w:rFonts w:hint="eastAsia"/>
                <w:b/>
                <w:lang w:val="en-US" w:eastAsia="zh-CN"/>
              </w:rPr>
              <w:t>11</w:t>
            </w:r>
            <w:r>
              <w:rPr>
                <w:rFonts w:hint="eastAsia"/>
                <w:b/>
              </w:rPr>
              <w:t xml:space="preserve">  </w:t>
            </w:r>
            <w:r>
              <w:rPr>
                <w:b/>
              </w:rPr>
              <w:t xml:space="preserve"> 项目生态环境保护</w:t>
            </w:r>
            <w:r>
              <w:rPr>
                <w:rFonts w:hint="eastAsia"/>
                <w:b/>
              </w:rPr>
              <w:t>目标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515"/>
              <w:gridCol w:w="3959"/>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blHeader/>
                <w:jc w:val="center"/>
              </w:trPr>
              <w:tc>
                <w:tcPr>
                  <w:tcW w:w="717" w:type="dxa"/>
                  <w:shd w:val="clear" w:color="auto" w:fill="auto"/>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515" w:type="dxa"/>
                  <w:shd w:val="clear" w:color="auto" w:fill="auto"/>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保护对象</w:t>
                  </w:r>
                </w:p>
              </w:tc>
              <w:tc>
                <w:tcPr>
                  <w:tcW w:w="3959" w:type="dxa"/>
                  <w:shd w:val="clear" w:color="auto" w:fill="auto"/>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主要内容</w:t>
                  </w:r>
                </w:p>
              </w:tc>
              <w:tc>
                <w:tcPr>
                  <w:tcW w:w="2725" w:type="dxa"/>
                  <w:shd w:val="clear" w:color="auto" w:fill="auto"/>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土地资源</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运输公路、</w:t>
                  </w:r>
                  <w:r>
                    <w:rPr>
                      <w:rFonts w:hint="eastAsia"/>
                      <w:color w:val="000000" w:themeColor="text1"/>
                      <w:szCs w:val="21"/>
                      <w:lang w:val="en-US" w:eastAsia="zh-CN"/>
                      <w14:textFill>
                        <w14:solidFill>
                          <w14:schemeClr w14:val="tx1"/>
                        </w14:solidFill>
                      </w14:textFill>
                    </w:rPr>
                    <w:t>施工营地</w:t>
                  </w:r>
                  <w:r>
                    <w:rPr>
                      <w:color w:val="000000" w:themeColor="text1"/>
                      <w:szCs w:val="21"/>
                      <w14:textFill>
                        <w14:solidFill>
                          <w14:schemeClr w14:val="tx1"/>
                        </w14:solidFill>
                      </w14:textFill>
                    </w:rPr>
                    <w:t>及其附属设施等。</w:t>
                  </w:r>
                </w:p>
              </w:tc>
              <w:tc>
                <w:tcPr>
                  <w:tcW w:w="2725" w:type="dxa"/>
                  <w:shd w:val="clear" w:color="auto" w:fill="auto"/>
                  <w:vAlign w:val="center"/>
                </w:tcPr>
                <w:p>
                  <w:pPr>
                    <w:tabs>
                      <w:tab w:val="left" w:pos="851"/>
                    </w:tabs>
                    <w:jc w:val="left"/>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严格按照征地范围用地，节约用地</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对占用基本农田做到占补平衡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生物多样性</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评价区内的植物多样性、陆生动物多样性</w:t>
                  </w:r>
                </w:p>
              </w:tc>
              <w:tc>
                <w:tcPr>
                  <w:tcW w:w="2725" w:type="dxa"/>
                  <w:shd w:val="clear" w:color="auto" w:fill="auto"/>
                  <w:vAlign w:val="center"/>
                </w:tcPr>
                <w:p>
                  <w:pPr>
                    <w:tabs>
                      <w:tab w:val="left" w:pos="851"/>
                    </w:tabs>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生物多样性不减少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自然植被</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评价区域主要是植被类型、面积及分布</w:t>
                  </w:r>
                </w:p>
              </w:tc>
              <w:tc>
                <w:tcPr>
                  <w:tcW w:w="2725" w:type="dxa"/>
                  <w:shd w:val="clear" w:color="auto" w:fill="auto"/>
                  <w:vAlign w:val="center"/>
                </w:tcPr>
                <w:p>
                  <w:pPr>
                    <w:tabs>
                      <w:tab w:val="left" w:pos="851"/>
                    </w:tabs>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降低自然植被破坏面积，对破坏较大的植被进行补偿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资源植物名木古树</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直接占地范围未发现国家保护野生植物和古树名木；无开发利用突出资源优势和潜在开发价值的野生资源植物。</w:t>
                  </w:r>
                </w:p>
              </w:tc>
              <w:tc>
                <w:tcPr>
                  <w:tcW w:w="2725" w:type="dxa"/>
                  <w:shd w:val="clear" w:color="auto" w:fill="auto"/>
                  <w:vAlign w:val="center"/>
                </w:tcPr>
                <w:p>
                  <w:pPr>
                    <w:tabs>
                      <w:tab w:val="left" w:pos="851"/>
                    </w:tabs>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保护植物及其生境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野生保护动物</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直接占地范围未发现国家保护野生动物；</w:t>
                  </w:r>
                </w:p>
              </w:tc>
              <w:tc>
                <w:tcPr>
                  <w:tcW w:w="2725" w:type="dxa"/>
                  <w:shd w:val="clear" w:color="auto" w:fill="auto"/>
                  <w:vAlign w:val="center"/>
                </w:tcPr>
                <w:p>
                  <w:pPr>
                    <w:tabs>
                      <w:tab w:val="left" w:pos="851"/>
                    </w:tabs>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野生动物及栖息地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景观格局</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评价范围内的景观要素与景观格局。</w:t>
                  </w:r>
                </w:p>
              </w:tc>
              <w:tc>
                <w:tcPr>
                  <w:tcW w:w="2725"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增强与周边自然景观协调性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施工临时占地</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临时占地合理性及占地植被破坏</w:t>
                  </w:r>
                </w:p>
              </w:tc>
              <w:tc>
                <w:tcPr>
                  <w:tcW w:w="2725"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减少水土流失和植被破坏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tabs>
                      <w:tab w:val="left" w:pos="851"/>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515" w:type="dxa"/>
                  <w:shd w:val="clear" w:color="auto" w:fill="auto"/>
                  <w:vAlign w:val="center"/>
                </w:tcPr>
                <w:p>
                  <w:pPr>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生态系统服务</w:t>
                  </w:r>
                </w:p>
              </w:tc>
              <w:tc>
                <w:tcPr>
                  <w:tcW w:w="3959" w:type="dxa"/>
                  <w:shd w:val="clear" w:color="auto" w:fill="auto"/>
                  <w:vAlign w:val="center"/>
                </w:tcPr>
                <w:p>
                  <w:pPr>
                    <w:autoSpaceDE w:val="0"/>
                    <w:autoSpaceDN w:val="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施工</w:t>
                  </w:r>
                  <w:r>
                    <w:rPr>
                      <w:color w:val="000000" w:themeColor="text1"/>
                      <w:szCs w:val="21"/>
                      <w14:textFill>
                        <w14:solidFill>
                          <w14:schemeClr w14:val="tx1"/>
                        </w14:solidFill>
                      </w14:textFill>
                    </w:rPr>
                    <w:t>期粉尘覆盖在植物、农作物叶表面，阻挡光透性，降低光合效率，堵塞叶片气孔，造成蒸腾作用下降。</w:t>
                  </w:r>
                </w:p>
              </w:tc>
              <w:tc>
                <w:tcPr>
                  <w:tcW w:w="2725" w:type="dxa"/>
                  <w:shd w:val="clear" w:color="auto" w:fill="auto"/>
                  <w:vAlign w:val="center"/>
                </w:tcPr>
                <w:p>
                  <w:pPr>
                    <w:autoSpaceDE w:val="0"/>
                    <w:autoSpaceDN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生态系统完整性和稳定性</w:t>
                  </w:r>
                </w:p>
              </w:tc>
            </w:tr>
          </w:tbl>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9702" w:type="dxa"/>
            <w:gridSpan w:val="2"/>
            <w:vAlign w:val="center"/>
          </w:tcPr>
          <w:p>
            <w:pPr>
              <w:spacing w:line="360" w:lineRule="auto"/>
              <w:rPr>
                <w:rFonts w:ascii="宋体" w:hAnsi="宋体"/>
                <w:b/>
                <w:sz w:val="24"/>
              </w:rPr>
            </w:pPr>
            <w:r>
              <w:rPr>
                <w:rFonts w:hint="eastAsia" w:ascii="宋体" w:hAnsi="宋体"/>
                <w:b/>
                <w:sz w:val="24"/>
              </w:rPr>
              <w:t>评价标准</w:t>
            </w:r>
          </w:p>
          <w:p>
            <w:pPr>
              <w:spacing w:line="360" w:lineRule="auto"/>
              <w:rPr>
                <w:rFonts w:ascii="宋体" w:hAnsi="宋体"/>
                <w:b/>
                <w:sz w:val="24"/>
              </w:rPr>
            </w:pPr>
            <w:r>
              <w:rPr>
                <w:rFonts w:hint="eastAsia" w:ascii="宋体" w:hAnsi="宋体"/>
                <w:b/>
                <w:sz w:val="24"/>
              </w:rPr>
              <w:t>一、环境质量标准</w:t>
            </w:r>
          </w:p>
          <w:p>
            <w:pPr>
              <w:adjustRightInd w:val="0"/>
              <w:spacing w:line="360" w:lineRule="auto"/>
              <w:ind w:firstLine="482" w:firstLineChars="200"/>
              <w:rPr>
                <w:b/>
                <w:sz w:val="24"/>
              </w:rPr>
            </w:pPr>
            <w:r>
              <w:rPr>
                <w:b/>
                <w:sz w:val="24"/>
              </w:rPr>
              <mc:AlternateContent>
                <mc:Choice Requires="wps">
                  <w:drawing>
                    <wp:anchor distT="0" distB="0" distL="114300" distR="114300" simplePos="0" relativeHeight="251662336" behindDoc="0" locked="0" layoutInCell="0" allowOverlap="1">
                      <wp:simplePos x="0" y="0"/>
                      <wp:positionH relativeFrom="column">
                        <wp:posOffset>2000250</wp:posOffset>
                      </wp:positionH>
                      <wp:positionV relativeFrom="paragraph">
                        <wp:posOffset>891540</wp:posOffset>
                      </wp:positionV>
                      <wp:extent cx="635" cy="0"/>
                      <wp:effectExtent l="0" t="4445" r="0" b="5080"/>
                      <wp:wrapNone/>
                      <wp:docPr id="83" name="直线 2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 o:spid="_x0000_s1026" o:spt="20" style="position:absolute;left:0pt;margin-left:157.5pt;margin-top:70.2pt;height:0pt;width:0.05pt;z-index:251662336;mso-width-relative:page;mso-height-relative:page;" filled="f" stroked="t" coordsize="21600,21600" o:allowincell="f" o:gfxdata="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pAq9dYAAAALAQAADwAAAAAAAAABACAAAAAiAAAAZHJzL2Rv&#10;d25yZXYueG1sUEsBAhQAFAAAAAgAh07iQEk1qF/KAQAAiwMAAA4AAAAAAAAAAQAgAAAAJQEAAGRy&#10;cy9lMm9Eb2MueG1sUEsFBgAAAAAGAAYAWQEAAGEFAAAAAA==&#10;">
                      <v:fill on="f" focussize="0,0"/>
                      <v:stroke color="#000000" joinstyle="round"/>
                      <v:imagedata o:title=""/>
                      <o:lock v:ext="edit" aspectratio="f"/>
                    </v:line>
                  </w:pict>
                </mc:Fallback>
              </mc:AlternateContent>
            </w:r>
            <w:r>
              <w:rPr>
                <w:b/>
                <w:sz w:val="24"/>
              </w:rPr>
              <mc:AlternateContent>
                <mc:Choice Requires="wps">
                  <w:drawing>
                    <wp:anchor distT="0" distB="0" distL="114300" distR="114300" simplePos="0" relativeHeight="251661312" behindDoc="0" locked="0" layoutInCell="0" allowOverlap="1">
                      <wp:simplePos x="0" y="0"/>
                      <wp:positionH relativeFrom="column">
                        <wp:posOffset>1733550</wp:posOffset>
                      </wp:positionH>
                      <wp:positionV relativeFrom="paragraph">
                        <wp:posOffset>693420</wp:posOffset>
                      </wp:positionV>
                      <wp:extent cx="635" cy="0"/>
                      <wp:effectExtent l="0" t="4445" r="0" b="5080"/>
                      <wp:wrapNone/>
                      <wp:docPr id="82" name="直线 19"/>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136.5pt;margin-top:54.6pt;height:0pt;width:0.05pt;z-index:251661312;mso-width-relative:page;mso-height-relative:page;" filled="f" stroked="t" coordsize="21600,21600" o:allowincell="f" o:gfxdata="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KZJV1gAAAAsBAAAPAAAAAAAAAAEAIAAAACIAAABkcnMv&#10;ZG93bnJldi54bWxQSwECFAAUAAAACACHTuJAvX6CqMwBAACLAwAADgAAAAAAAAABACAAAAAlAQAA&#10;ZHJzL2Uyb0RvYy54bWxQSwUGAAAAAAYABgBZAQAAYwUAAAAA&#10;">
                      <v:fill on="f" focussize="0,0"/>
                      <v:stroke color="#000000" joinstyle="round"/>
                      <v:imagedata o:title=""/>
                      <o:lock v:ext="edit" aspectratio="f"/>
                    </v:line>
                  </w:pict>
                </mc:Fallback>
              </mc:AlternateContent>
            </w:r>
            <w:r>
              <w:rPr>
                <w:rFonts w:hint="eastAsia"/>
                <w:b/>
                <w:sz w:val="24"/>
              </w:rPr>
              <w:t>1</w:t>
            </w:r>
            <w:r>
              <w:rPr>
                <w:b/>
                <w:sz w:val="24"/>
              </w:rPr>
              <w:t>、环境空气质量</w:t>
            </w:r>
          </w:p>
          <w:p>
            <w:pPr>
              <w:spacing w:line="360" w:lineRule="auto"/>
              <w:ind w:firstLine="480" w:firstLineChars="200"/>
              <w:rPr>
                <w:rFonts w:hAnsi="宋体"/>
                <w:sz w:val="24"/>
              </w:rPr>
            </w:pPr>
            <w:r>
              <w:rPr>
                <w:rFonts w:hAnsi="宋体"/>
                <w:sz w:val="24"/>
              </w:rPr>
              <w:t>本项目二氧化硫（</w:t>
            </w:r>
            <w:r>
              <w:rPr>
                <w:sz w:val="24"/>
              </w:rPr>
              <w:t>SO</w:t>
            </w:r>
            <w:r>
              <w:rPr>
                <w:sz w:val="24"/>
                <w:vertAlign w:val="subscript"/>
              </w:rPr>
              <w:t>2</w:t>
            </w:r>
            <w:r>
              <w:rPr>
                <w:rFonts w:hAnsi="宋体"/>
                <w:sz w:val="24"/>
              </w:rPr>
              <w:t>）、二氧化氮（</w:t>
            </w:r>
            <w:r>
              <w:rPr>
                <w:sz w:val="24"/>
              </w:rPr>
              <w:t>NO</w:t>
            </w:r>
            <w:r>
              <w:rPr>
                <w:sz w:val="24"/>
                <w:vertAlign w:val="subscript"/>
              </w:rPr>
              <w:t>2</w:t>
            </w:r>
            <w:r>
              <w:rPr>
                <w:rFonts w:hAnsi="宋体"/>
                <w:sz w:val="24"/>
              </w:rPr>
              <w:t>）、一氧化碳（</w:t>
            </w:r>
            <w:r>
              <w:rPr>
                <w:sz w:val="24"/>
              </w:rPr>
              <w:t>CO</w:t>
            </w:r>
            <w:r>
              <w:rPr>
                <w:rFonts w:hAnsi="宋体"/>
                <w:sz w:val="24"/>
              </w:rPr>
              <w:t>）、臭氧（</w:t>
            </w:r>
            <w:r>
              <w:rPr>
                <w:sz w:val="24"/>
              </w:rPr>
              <w:t>O</w:t>
            </w:r>
            <w:r>
              <w:rPr>
                <w:sz w:val="24"/>
                <w:vertAlign w:val="subscript"/>
              </w:rPr>
              <w:t>3</w:t>
            </w:r>
            <w:r>
              <w:rPr>
                <w:rFonts w:hAnsi="宋体"/>
                <w:sz w:val="24"/>
              </w:rPr>
              <w:t>）、颗粒物（</w:t>
            </w:r>
            <w:r>
              <w:rPr>
                <w:sz w:val="24"/>
              </w:rPr>
              <w:t>PM</w:t>
            </w:r>
            <w:r>
              <w:rPr>
                <w:sz w:val="24"/>
                <w:vertAlign w:val="subscript"/>
              </w:rPr>
              <w:t>10</w:t>
            </w:r>
            <w:r>
              <w:rPr>
                <w:rFonts w:hAnsi="宋体"/>
                <w:sz w:val="24"/>
              </w:rPr>
              <w:t>、</w:t>
            </w:r>
            <w:r>
              <w:rPr>
                <w:sz w:val="24"/>
              </w:rPr>
              <w:t>PM</w:t>
            </w:r>
            <w:r>
              <w:rPr>
                <w:sz w:val="24"/>
                <w:vertAlign w:val="subscript"/>
              </w:rPr>
              <w:t>2.5</w:t>
            </w:r>
            <w:r>
              <w:rPr>
                <w:rFonts w:hAnsi="宋体"/>
                <w:sz w:val="24"/>
              </w:rPr>
              <w:t>）</w:t>
            </w:r>
            <w:r>
              <w:rPr>
                <w:rFonts w:hint="eastAsia" w:hAnsi="宋体"/>
                <w:sz w:val="24"/>
                <w:lang w:eastAsia="zh-CN"/>
              </w:rPr>
              <w:t>、苯并[a]芘</w:t>
            </w:r>
            <w:r>
              <w:rPr>
                <w:rFonts w:hAnsi="宋体"/>
                <w:sz w:val="24"/>
              </w:rPr>
              <w:t>执行《环境空气质量标准》（GB3095-2012）二级标准限值，见表3-</w:t>
            </w:r>
            <w:r>
              <w:rPr>
                <w:rFonts w:hint="eastAsia" w:hAnsi="宋体"/>
                <w:sz w:val="24"/>
                <w:lang w:val="en-US" w:eastAsia="zh-CN"/>
              </w:rPr>
              <w:t>12</w:t>
            </w:r>
            <w:r>
              <w:rPr>
                <w:rFonts w:hAnsi="宋体"/>
                <w:sz w:val="24"/>
              </w:rPr>
              <w:t>。</w:t>
            </w:r>
          </w:p>
          <w:p>
            <w:pPr>
              <w:adjustRightInd w:val="0"/>
              <w:spacing w:line="360" w:lineRule="auto"/>
              <w:ind w:firstLine="422" w:firstLineChars="200"/>
              <w:jc w:val="center"/>
              <w:rPr>
                <w:rFonts w:hAnsi="宋体"/>
                <w:b/>
                <w:szCs w:val="21"/>
              </w:rPr>
            </w:pPr>
            <w:r>
              <w:rPr>
                <w:rFonts w:hint="eastAsia" w:hAnsi="宋体"/>
                <w:b/>
                <w:szCs w:val="21"/>
              </w:rPr>
              <w:t>表3-</w:t>
            </w:r>
            <w:r>
              <w:rPr>
                <w:rFonts w:hint="eastAsia" w:hAnsi="宋体"/>
                <w:b/>
                <w:szCs w:val="21"/>
                <w:lang w:val="en-US" w:eastAsia="zh-CN"/>
              </w:rPr>
              <w:t>12</w:t>
            </w:r>
            <w:r>
              <w:rPr>
                <w:rFonts w:hint="eastAsia" w:hAnsi="宋体"/>
                <w:b/>
                <w:szCs w:val="21"/>
              </w:rPr>
              <w:t xml:space="preserve">   </w:t>
            </w:r>
            <w:r>
              <w:rPr>
                <w:rFonts w:hAnsi="宋体"/>
                <w:b/>
                <w:szCs w:val="21"/>
              </w:rPr>
              <w:t>本项目所在区域环境空气质量现状执行标准表</w:t>
            </w:r>
          </w:p>
          <w:tbl>
            <w:tblPr>
              <w:tblStyle w:val="23"/>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2440"/>
              <w:gridCol w:w="1000"/>
              <w:gridCol w:w="1627"/>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shd w:val="clear" w:color="auto" w:fill="auto"/>
                  <w:vAlign w:val="center"/>
                </w:tcPr>
                <w:p>
                  <w:pPr>
                    <w:snapToGrid w:val="0"/>
                    <w:jc w:val="center"/>
                    <w:rPr>
                      <w:b/>
                      <w:szCs w:val="21"/>
                    </w:rPr>
                  </w:pPr>
                  <w:r>
                    <w:rPr>
                      <w:rFonts w:hAnsi="宋体"/>
                      <w:b/>
                      <w:szCs w:val="21"/>
                    </w:rPr>
                    <w:t>评价因子</w:t>
                  </w:r>
                </w:p>
              </w:tc>
              <w:tc>
                <w:tcPr>
                  <w:tcW w:w="1330" w:type="pct"/>
                  <w:shd w:val="clear" w:color="auto" w:fill="auto"/>
                  <w:vAlign w:val="center"/>
                </w:tcPr>
                <w:p>
                  <w:pPr>
                    <w:snapToGrid w:val="0"/>
                    <w:jc w:val="center"/>
                    <w:rPr>
                      <w:b/>
                      <w:szCs w:val="21"/>
                    </w:rPr>
                  </w:pPr>
                  <w:r>
                    <w:rPr>
                      <w:rFonts w:hAnsi="宋体"/>
                      <w:b/>
                      <w:szCs w:val="21"/>
                    </w:rPr>
                    <w:t>平均时段</w:t>
                  </w:r>
                </w:p>
              </w:tc>
              <w:tc>
                <w:tcPr>
                  <w:tcW w:w="545" w:type="pct"/>
                  <w:shd w:val="clear" w:color="auto" w:fill="auto"/>
                  <w:vAlign w:val="center"/>
                </w:tcPr>
                <w:p>
                  <w:pPr>
                    <w:snapToGrid w:val="0"/>
                    <w:jc w:val="center"/>
                    <w:rPr>
                      <w:b/>
                      <w:szCs w:val="21"/>
                    </w:rPr>
                  </w:pPr>
                  <w:r>
                    <w:rPr>
                      <w:rFonts w:hAnsi="宋体"/>
                      <w:b/>
                      <w:szCs w:val="21"/>
                    </w:rPr>
                    <w:t>单位</w:t>
                  </w:r>
                </w:p>
              </w:tc>
              <w:tc>
                <w:tcPr>
                  <w:tcW w:w="887" w:type="pct"/>
                  <w:shd w:val="clear" w:color="auto" w:fill="auto"/>
                  <w:vAlign w:val="center"/>
                </w:tcPr>
                <w:p>
                  <w:pPr>
                    <w:snapToGrid w:val="0"/>
                    <w:jc w:val="center"/>
                    <w:rPr>
                      <w:b/>
                      <w:szCs w:val="21"/>
                    </w:rPr>
                  </w:pPr>
                  <w:r>
                    <w:rPr>
                      <w:rFonts w:hAnsi="宋体"/>
                      <w:b/>
                      <w:szCs w:val="21"/>
                    </w:rPr>
                    <w:t>二级标准值</w:t>
                  </w:r>
                </w:p>
              </w:tc>
              <w:tc>
                <w:tcPr>
                  <w:tcW w:w="1350" w:type="pct"/>
                  <w:shd w:val="clear" w:color="auto" w:fill="auto"/>
                  <w:vAlign w:val="center"/>
                </w:tcPr>
                <w:p>
                  <w:pPr>
                    <w:snapToGrid w:val="0"/>
                    <w:jc w:val="center"/>
                    <w:rPr>
                      <w:b/>
                      <w:szCs w:val="21"/>
                    </w:rPr>
                  </w:pPr>
                  <w:r>
                    <w:rPr>
                      <w:rFonts w:hAnsi="宋体"/>
                      <w:b/>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szCs w:val="21"/>
                    </w:rPr>
                    <w:t>SO</w:t>
                  </w:r>
                  <w:r>
                    <w:rPr>
                      <w:szCs w:val="21"/>
                      <w:vertAlign w:val="subscript"/>
                    </w:rPr>
                    <w:t>2</w:t>
                  </w:r>
                </w:p>
              </w:tc>
              <w:tc>
                <w:tcPr>
                  <w:tcW w:w="1330" w:type="pct"/>
                  <w:shd w:val="clear" w:color="auto" w:fill="auto"/>
                  <w:vAlign w:val="center"/>
                </w:tcPr>
                <w:p>
                  <w:pPr>
                    <w:snapToGrid w:val="0"/>
                    <w:jc w:val="center"/>
                    <w:rPr>
                      <w:szCs w:val="21"/>
                    </w:rPr>
                  </w:pPr>
                  <w:r>
                    <w:rPr>
                      <w:szCs w:val="21"/>
                    </w:rPr>
                    <w:t>1</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ug/m</w:t>
                  </w:r>
                  <w:r>
                    <w:rPr>
                      <w:szCs w:val="21"/>
                      <w:vertAlign w:val="superscript"/>
                    </w:rPr>
                    <w:t>3</w:t>
                  </w:r>
                </w:p>
              </w:tc>
              <w:tc>
                <w:tcPr>
                  <w:tcW w:w="887" w:type="pct"/>
                  <w:shd w:val="clear" w:color="auto" w:fill="auto"/>
                  <w:vAlign w:val="center"/>
                </w:tcPr>
                <w:p>
                  <w:pPr>
                    <w:snapToGrid w:val="0"/>
                    <w:jc w:val="center"/>
                    <w:rPr>
                      <w:szCs w:val="21"/>
                    </w:rPr>
                  </w:pPr>
                  <w:r>
                    <w:rPr>
                      <w:szCs w:val="21"/>
                    </w:rPr>
                    <w:t>500</w:t>
                  </w:r>
                </w:p>
              </w:tc>
              <w:tc>
                <w:tcPr>
                  <w:tcW w:w="1350" w:type="pct"/>
                  <w:vMerge w:val="restart"/>
                  <w:shd w:val="clear" w:color="auto" w:fill="auto"/>
                  <w:vAlign w:val="center"/>
                </w:tcPr>
                <w:p>
                  <w:pPr>
                    <w:snapToGrid w:val="0"/>
                    <w:jc w:val="center"/>
                    <w:rPr>
                      <w:szCs w:val="21"/>
                    </w:rPr>
                  </w:pPr>
                  <w:r>
                    <w:rPr>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szCs w:val="21"/>
                    </w:rPr>
                    <w:t>24</w:t>
                  </w:r>
                  <w:r>
                    <w:rPr>
                      <w:rFonts w:hAnsi="宋体"/>
                      <w:szCs w:val="21"/>
                    </w:rPr>
                    <w:t>小时平均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rFonts w:hint="eastAsia"/>
                      <w:szCs w:val="21"/>
                    </w:rPr>
                    <w:t>1</w:t>
                  </w:r>
                  <w:r>
                    <w:rPr>
                      <w:szCs w:val="21"/>
                    </w:rPr>
                    <w:t>50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rFonts w:hAnsi="宋体"/>
                      <w:szCs w:val="21"/>
                    </w:rPr>
                    <w:t>年平均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60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szCs w:val="21"/>
                    </w:rPr>
                    <w:t>NO</w:t>
                  </w:r>
                  <w:r>
                    <w:rPr>
                      <w:szCs w:val="21"/>
                      <w:vertAlign w:val="subscript"/>
                    </w:rPr>
                    <w:t>2</w:t>
                  </w:r>
                </w:p>
              </w:tc>
              <w:tc>
                <w:tcPr>
                  <w:tcW w:w="1330" w:type="pct"/>
                  <w:shd w:val="clear" w:color="auto" w:fill="auto"/>
                  <w:vAlign w:val="center"/>
                </w:tcPr>
                <w:p>
                  <w:pPr>
                    <w:snapToGrid w:val="0"/>
                    <w:jc w:val="center"/>
                    <w:rPr>
                      <w:szCs w:val="21"/>
                    </w:rPr>
                  </w:pPr>
                  <w:r>
                    <w:rPr>
                      <w:szCs w:val="21"/>
                    </w:rPr>
                    <w:t>1</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ug/m</w:t>
                  </w:r>
                  <w:r>
                    <w:rPr>
                      <w:szCs w:val="21"/>
                      <w:vertAlign w:val="superscript"/>
                    </w:rPr>
                    <w:t>3</w:t>
                  </w:r>
                </w:p>
              </w:tc>
              <w:tc>
                <w:tcPr>
                  <w:tcW w:w="887" w:type="pct"/>
                  <w:shd w:val="clear" w:color="auto" w:fill="auto"/>
                  <w:vAlign w:val="center"/>
                </w:tcPr>
                <w:p>
                  <w:pPr>
                    <w:snapToGrid w:val="0"/>
                    <w:jc w:val="center"/>
                    <w:rPr>
                      <w:szCs w:val="21"/>
                    </w:rPr>
                  </w:pPr>
                  <w:r>
                    <w:rPr>
                      <w:szCs w:val="21"/>
                    </w:rPr>
                    <w:t>200</w:t>
                  </w:r>
                </w:p>
              </w:tc>
              <w:tc>
                <w:tcPr>
                  <w:tcW w:w="1350" w:type="pct"/>
                  <w:vMerge w:val="restart"/>
                  <w:shd w:val="clear" w:color="auto" w:fill="auto"/>
                  <w:vAlign w:val="center"/>
                </w:tcPr>
                <w:p>
                  <w:pPr>
                    <w:snapToGrid w:val="0"/>
                    <w:jc w:val="center"/>
                    <w:rPr>
                      <w:szCs w:val="21"/>
                    </w:rPr>
                  </w:pPr>
                  <w:r>
                    <w:rPr>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szCs w:val="21"/>
                    </w:rPr>
                    <w:t>24</w:t>
                  </w:r>
                  <w:r>
                    <w:rPr>
                      <w:rFonts w:hAnsi="宋体"/>
                      <w:szCs w:val="21"/>
                    </w:rPr>
                    <w:t>小时平均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rFonts w:hint="eastAsia"/>
                      <w:szCs w:val="21"/>
                    </w:rPr>
                    <w:t>8</w:t>
                  </w:r>
                  <w:r>
                    <w:rPr>
                      <w:szCs w:val="21"/>
                    </w:rPr>
                    <w:t>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rFonts w:hAnsi="宋体"/>
                      <w:szCs w:val="21"/>
                    </w:rPr>
                    <w:t>年平均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40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rFonts w:hint="eastAsia"/>
                      <w:szCs w:val="21"/>
                    </w:rPr>
                    <w:t>C</w:t>
                  </w:r>
                  <w:r>
                    <w:rPr>
                      <w:szCs w:val="21"/>
                    </w:rPr>
                    <w:t>O</w:t>
                  </w:r>
                </w:p>
              </w:tc>
              <w:tc>
                <w:tcPr>
                  <w:tcW w:w="1330" w:type="pct"/>
                  <w:shd w:val="clear" w:color="auto" w:fill="auto"/>
                  <w:vAlign w:val="center"/>
                </w:tcPr>
                <w:p>
                  <w:pPr>
                    <w:snapToGrid w:val="0"/>
                    <w:jc w:val="center"/>
                    <w:rPr>
                      <w:szCs w:val="21"/>
                    </w:rPr>
                  </w:pPr>
                  <w:r>
                    <w:rPr>
                      <w:szCs w:val="21"/>
                    </w:rPr>
                    <w:t>1</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mg/m</w:t>
                  </w:r>
                  <w:r>
                    <w:rPr>
                      <w:szCs w:val="21"/>
                      <w:vertAlign w:val="superscript"/>
                    </w:rPr>
                    <w:t>3</w:t>
                  </w:r>
                </w:p>
              </w:tc>
              <w:tc>
                <w:tcPr>
                  <w:tcW w:w="887" w:type="pct"/>
                  <w:shd w:val="clear" w:color="auto" w:fill="auto"/>
                  <w:vAlign w:val="center"/>
                </w:tcPr>
                <w:p>
                  <w:pPr>
                    <w:snapToGrid w:val="0"/>
                    <w:jc w:val="center"/>
                    <w:rPr>
                      <w:szCs w:val="21"/>
                    </w:rPr>
                  </w:pPr>
                  <w:r>
                    <w:rPr>
                      <w:szCs w:val="21"/>
                    </w:rPr>
                    <w:t>10</w:t>
                  </w:r>
                </w:p>
              </w:tc>
              <w:tc>
                <w:tcPr>
                  <w:tcW w:w="1350" w:type="pct"/>
                  <w:vMerge w:val="restart"/>
                  <w:shd w:val="clear" w:color="auto" w:fill="auto"/>
                  <w:vAlign w:val="center"/>
                </w:tcPr>
                <w:p>
                  <w:pPr>
                    <w:snapToGrid w:val="0"/>
                    <w:jc w:val="center"/>
                    <w:rPr>
                      <w:szCs w:val="21"/>
                    </w:rPr>
                  </w:pPr>
                  <w:r>
                    <w:rPr>
                      <w:szCs w:val="21"/>
                    </w:rPr>
                    <w:t>GB</w:t>
                  </w:r>
                  <w:r>
                    <w:rPr>
                      <w:rFonts w:hint="eastAsia"/>
                      <w:szCs w:val="21"/>
                    </w:rPr>
                    <w:t>3</w:t>
                  </w:r>
                  <w:r>
                    <w:rPr>
                      <w:szCs w:val="21"/>
                    </w:rPr>
                    <w:t>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szCs w:val="21"/>
                    </w:rPr>
                    <w:t>24</w:t>
                  </w:r>
                  <w:r>
                    <w:rPr>
                      <w:rFonts w:hAnsi="宋体"/>
                      <w:szCs w:val="21"/>
                    </w:rPr>
                    <w:t>小时平均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4</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szCs w:val="21"/>
                    </w:rPr>
                    <w:t>O</w:t>
                  </w:r>
                  <w:r>
                    <w:rPr>
                      <w:szCs w:val="21"/>
                      <w:vertAlign w:val="subscript"/>
                    </w:rPr>
                    <w:t>3</w:t>
                  </w:r>
                </w:p>
              </w:tc>
              <w:tc>
                <w:tcPr>
                  <w:tcW w:w="1330" w:type="pct"/>
                  <w:shd w:val="clear" w:color="auto" w:fill="auto"/>
                  <w:vAlign w:val="center"/>
                </w:tcPr>
                <w:p>
                  <w:pPr>
                    <w:snapToGrid w:val="0"/>
                    <w:jc w:val="center"/>
                    <w:rPr>
                      <w:szCs w:val="21"/>
                    </w:rPr>
                  </w:pPr>
                  <w:r>
                    <w:rPr>
                      <w:szCs w:val="21"/>
                    </w:rPr>
                    <w:t>1</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ug/m</w:t>
                  </w:r>
                  <w:r>
                    <w:rPr>
                      <w:szCs w:val="21"/>
                      <w:vertAlign w:val="superscript"/>
                    </w:rPr>
                    <w:t>3</w:t>
                  </w:r>
                </w:p>
              </w:tc>
              <w:tc>
                <w:tcPr>
                  <w:tcW w:w="887" w:type="pct"/>
                  <w:shd w:val="clear" w:color="auto" w:fill="auto"/>
                  <w:vAlign w:val="center"/>
                </w:tcPr>
                <w:p>
                  <w:pPr>
                    <w:snapToGrid w:val="0"/>
                    <w:jc w:val="center"/>
                    <w:rPr>
                      <w:szCs w:val="21"/>
                    </w:rPr>
                  </w:pPr>
                  <w:r>
                    <w:rPr>
                      <w:szCs w:val="21"/>
                    </w:rPr>
                    <w:cr/>
                  </w:r>
                  <w:r>
                    <w:rPr>
                      <w:szCs w:val="21"/>
                    </w:rPr>
                    <w:t>00</w:t>
                  </w:r>
                </w:p>
              </w:tc>
              <w:tc>
                <w:tcPr>
                  <w:tcW w:w="1350" w:type="pct"/>
                  <w:vMerge w:val="restart"/>
                  <w:shd w:val="clear" w:color="auto" w:fill="auto"/>
                  <w:vAlign w:val="center"/>
                </w:tcPr>
                <w:p>
                  <w:pPr>
                    <w:snapToGrid w:val="0"/>
                    <w:jc w:val="center"/>
                    <w:rPr>
                      <w:szCs w:val="21"/>
                    </w:rPr>
                  </w:pPr>
                  <w:r>
                    <w:rPr>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rFonts w:hAnsi="宋体"/>
                      <w:szCs w:val="21"/>
                    </w:rPr>
                    <w:t>日最大</w:t>
                  </w:r>
                  <w:r>
                    <w:rPr>
                      <w:szCs w:val="21"/>
                    </w:rPr>
                    <w:t>8</w:t>
                  </w:r>
                  <w:r>
                    <w:rPr>
                      <w:rFonts w:hAnsi="宋体"/>
                      <w:szCs w:val="21"/>
                    </w:rPr>
                    <w:t>小时平均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160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szCs w:val="21"/>
                    </w:rPr>
                    <w:t>PM</w:t>
                  </w:r>
                  <w:r>
                    <w:rPr>
                      <w:szCs w:val="21"/>
                      <w:vertAlign w:val="subscript"/>
                    </w:rPr>
                    <w:t>10</w:t>
                  </w:r>
                </w:p>
              </w:tc>
              <w:tc>
                <w:tcPr>
                  <w:tcW w:w="1330" w:type="pct"/>
                  <w:shd w:val="clear" w:color="auto" w:fill="auto"/>
                  <w:vAlign w:val="center"/>
                </w:tcPr>
                <w:p>
                  <w:pPr>
                    <w:snapToGrid w:val="0"/>
                    <w:jc w:val="center"/>
                    <w:rPr>
                      <w:szCs w:val="21"/>
                    </w:rPr>
                  </w:pPr>
                  <w:r>
                    <w:rPr>
                      <w:szCs w:val="21"/>
                    </w:rPr>
                    <w:t>24</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ug/m</w:t>
                  </w:r>
                  <w:r>
                    <w:rPr>
                      <w:szCs w:val="21"/>
                      <w:vertAlign w:val="superscript"/>
                    </w:rPr>
                    <w:t>3</w:t>
                  </w:r>
                </w:p>
              </w:tc>
              <w:tc>
                <w:tcPr>
                  <w:tcW w:w="887" w:type="pct"/>
                  <w:shd w:val="clear" w:color="auto" w:fill="auto"/>
                  <w:vAlign w:val="center"/>
                </w:tcPr>
                <w:p>
                  <w:pPr>
                    <w:snapToGrid w:val="0"/>
                    <w:jc w:val="center"/>
                    <w:rPr>
                      <w:szCs w:val="21"/>
                    </w:rPr>
                  </w:pPr>
                  <w:r>
                    <w:rPr>
                      <w:szCs w:val="21"/>
                    </w:rPr>
                    <w:t>150</w:t>
                  </w:r>
                </w:p>
              </w:tc>
              <w:tc>
                <w:tcPr>
                  <w:tcW w:w="1350" w:type="pct"/>
                  <w:vMerge w:val="restart"/>
                  <w:shd w:val="clear" w:color="auto" w:fill="auto"/>
                  <w:vAlign w:val="center"/>
                </w:tcPr>
                <w:p>
                  <w:pPr>
                    <w:snapToGrid w:val="0"/>
                    <w:jc w:val="center"/>
                    <w:rPr>
                      <w:szCs w:val="21"/>
                    </w:rPr>
                  </w:pPr>
                  <w:r>
                    <w:rPr>
                      <w:szCs w:val="21"/>
                    </w:rPr>
                    <w:t>GB3</w:t>
                  </w:r>
                  <w:r>
                    <w:rPr>
                      <w:rFonts w:hint="eastAsia"/>
                      <w:szCs w:val="21"/>
                    </w:rPr>
                    <w:t>0</w:t>
                  </w:r>
                  <w:r>
                    <w:rPr>
                      <w:szCs w:val="21"/>
                    </w:rPr>
                    <w:t>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rFonts w:hAnsi="宋体"/>
                      <w:szCs w:val="21"/>
                    </w:rPr>
                    <w:t>年平均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70</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szCs w:val="21"/>
                    </w:rPr>
                  </w:pPr>
                  <w:r>
                    <w:rPr>
                      <w:szCs w:val="21"/>
                    </w:rPr>
                    <w:t>PM</w:t>
                  </w:r>
                  <w:r>
                    <w:rPr>
                      <w:szCs w:val="21"/>
                      <w:vertAlign w:val="subscript"/>
                    </w:rPr>
                    <w:t>2.5</w:t>
                  </w:r>
                </w:p>
              </w:tc>
              <w:tc>
                <w:tcPr>
                  <w:tcW w:w="1330" w:type="pct"/>
                  <w:shd w:val="clear" w:color="auto" w:fill="auto"/>
                  <w:vAlign w:val="center"/>
                </w:tcPr>
                <w:p>
                  <w:pPr>
                    <w:snapToGrid w:val="0"/>
                    <w:jc w:val="center"/>
                    <w:rPr>
                      <w:szCs w:val="21"/>
                    </w:rPr>
                  </w:pPr>
                  <w:r>
                    <w:rPr>
                      <w:szCs w:val="21"/>
                    </w:rPr>
                    <w:t>24</w:t>
                  </w:r>
                  <w:r>
                    <w:rPr>
                      <w:rFonts w:hAnsi="宋体"/>
                      <w:szCs w:val="21"/>
                    </w:rPr>
                    <w:t>小时平均</w:t>
                  </w:r>
                </w:p>
              </w:tc>
              <w:tc>
                <w:tcPr>
                  <w:tcW w:w="545" w:type="pct"/>
                  <w:vMerge w:val="restart"/>
                  <w:shd w:val="clear" w:color="auto" w:fill="auto"/>
                  <w:vAlign w:val="center"/>
                </w:tcPr>
                <w:p>
                  <w:pPr>
                    <w:snapToGrid w:val="0"/>
                    <w:jc w:val="center"/>
                    <w:rPr>
                      <w:szCs w:val="21"/>
                    </w:rPr>
                  </w:pPr>
                  <w:r>
                    <w:rPr>
                      <w:szCs w:val="21"/>
                    </w:rPr>
                    <w:t>ug/m</w:t>
                  </w:r>
                  <w:r>
                    <w:rPr>
                      <w:szCs w:val="21"/>
                      <w:vertAlign w:val="superscript"/>
                    </w:rPr>
                    <w:t>3</w:t>
                  </w:r>
                </w:p>
              </w:tc>
              <w:tc>
                <w:tcPr>
                  <w:tcW w:w="887" w:type="pct"/>
                  <w:shd w:val="clear" w:color="auto" w:fill="auto"/>
                  <w:vAlign w:val="center"/>
                </w:tcPr>
                <w:p>
                  <w:pPr>
                    <w:snapToGrid w:val="0"/>
                    <w:jc w:val="center"/>
                    <w:rPr>
                      <w:szCs w:val="21"/>
                    </w:rPr>
                  </w:pPr>
                  <w:r>
                    <w:rPr>
                      <w:szCs w:val="21"/>
                    </w:rPr>
                    <w:t>75</w:t>
                  </w:r>
                </w:p>
              </w:tc>
              <w:tc>
                <w:tcPr>
                  <w:tcW w:w="1350" w:type="pct"/>
                  <w:vMerge w:val="restart"/>
                  <w:shd w:val="clear" w:color="auto" w:fill="auto"/>
                  <w:vAlign w:val="center"/>
                </w:tcPr>
                <w:p>
                  <w:pPr>
                    <w:snapToGrid w:val="0"/>
                    <w:jc w:val="center"/>
                    <w:rPr>
                      <w:szCs w:val="21"/>
                    </w:rPr>
                  </w:pPr>
                  <w:r>
                    <w:rPr>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szCs w:val="21"/>
                    </w:rPr>
                  </w:pPr>
                </w:p>
              </w:tc>
              <w:tc>
                <w:tcPr>
                  <w:tcW w:w="1330" w:type="pct"/>
                  <w:shd w:val="clear" w:color="auto" w:fill="auto"/>
                  <w:vAlign w:val="center"/>
                </w:tcPr>
                <w:p>
                  <w:pPr>
                    <w:snapToGrid w:val="0"/>
                    <w:jc w:val="center"/>
                    <w:rPr>
                      <w:szCs w:val="21"/>
                    </w:rPr>
                  </w:pPr>
                  <w:r>
                    <w:rPr>
                      <w:rFonts w:hAnsi="宋体"/>
                      <w:szCs w:val="21"/>
                    </w:rPr>
                    <w:t>年平均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snapToGrid w:val="0"/>
                    <w:jc w:val="center"/>
                    <w:rPr>
                      <w:szCs w:val="21"/>
                    </w:rPr>
                  </w:pPr>
                  <w:r>
                    <w:rPr>
                      <w:szCs w:val="21"/>
                    </w:rPr>
                    <w:t>3</w:t>
                  </w:r>
                  <w:r>
                    <w:rPr>
                      <w:rFonts w:hint="eastAsia"/>
                      <w:szCs w:val="21"/>
                    </w:rPr>
                    <w:t>5</w:t>
                  </w:r>
                </w:p>
              </w:tc>
              <w:tc>
                <w:tcPr>
                  <w:tcW w:w="1350" w:type="pct"/>
                  <w:vMerge w:val="continue"/>
                  <w:shd w:val="clear" w:color="auto" w:fill="auto"/>
                  <w:vAlign w:val="center"/>
                </w:tcPr>
                <w:p>
                  <w:pPr>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restart"/>
                  <w:shd w:val="clear" w:color="auto" w:fill="auto"/>
                  <w:vAlign w:val="center"/>
                </w:tcPr>
                <w:p>
                  <w:pPr>
                    <w:snapToGrid w:val="0"/>
                    <w:jc w:val="center"/>
                    <w:rPr>
                      <w:rFonts w:ascii="Times New Roman" w:hAnsi="宋体" w:eastAsia="宋体" w:cs="Times New Roman"/>
                      <w:szCs w:val="21"/>
                    </w:rPr>
                  </w:pPr>
                  <w:r>
                    <w:rPr>
                      <w:rFonts w:ascii="Times New Roman" w:hAnsi="宋体" w:eastAsia="宋体" w:cs="Times New Roman"/>
                      <w:szCs w:val="21"/>
                    </w:rPr>
                    <w:t>苯并[a]芘</w:t>
                  </w:r>
                </w:p>
              </w:tc>
              <w:tc>
                <w:tcPr>
                  <w:tcW w:w="1330" w:type="pct"/>
                  <w:shd w:val="clear" w:color="auto" w:fill="auto"/>
                  <w:vAlign w:val="center"/>
                </w:tcPr>
                <w:p>
                  <w:pPr>
                    <w:snapToGrid w:val="0"/>
                    <w:jc w:val="center"/>
                    <w:rPr>
                      <w:rFonts w:ascii="Times New Roman" w:hAnsi="宋体" w:eastAsia="宋体" w:cs="Times New Roman"/>
                      <w:szCs w:val="21"/>
                    </w:rPr>
                  </w:pPr>
                  <w:r>
                    <w:rPr>
                      <w:rFonts w:ascii="Times New Roman" w:hAnsi="宋体" w:eastAsia="宋体" w:cs="Times New Roman"/>
                      <w:szCs w:val="21"/>
                    </w:rPr>
                    <w:t>年平均</w:t>
                  </w:r>
                </w:p>
              </w:tc>
              <w:tc>
                <w:tcPr>
                  <w:tcW w:w="545" w:type="pct"/>
                  <w:vMerge w:val="restart"/>
                  <w:shd w:val="clear" w:color="auto" w:fill="auto"/>
                  <w:vAlign w:val="center"/>
                </w:tcPr>
                <w:p>
                  <w:pPr>
                    <w:snapToGrid w:val="0"/>
                    <w:jc w:val="center"/>
                    <w:rPr>
                      <w:szCs w:val="21"/>
                    </w:rPr>
                  </w:pPr>
                  <w:r>
                    <w:rPr>
                      <w:rFonts w:eastAsia="仿宋"/>
                      <w:color w:val="000000"/>
                      <w:szCs w:val="21"/>
                    </w:rPr>
                    <w:t>mg/m</w:t>
                  </w:r>
                  <w:r>
                    <w:rPr>
                      <w:rFonts w:eastAsia="仿宋"/>
                      <w:color w:val="000000"/>
                      <w:szCs w:val="21"/>
                      <w:vertAlign w:val="superscript"/>
                    </w:rPr>
                    <w:t>3</w:t>
                  </w:r>
                </w:p>
              </w:tc>
              <w:tc>
                <w:tcPr>
                  <w:tcW w:w="887" w:type="pct"/>
                  <w:shd w:val="clear" w:color="auto" w:fill="auto"/>
                  <w:vAlign w:val="center"/>
                </w:tcPr>
                <w:p>
                  <w:pPr>
                    <w:adjustRightInd w:val="0"/>
                    <w:snapToGrid w:val="0"/>
                    <w:jc w:val="center"/>
                    <w:rPr>
                      <w:szCs w:val="21"/>
                    </w:rPr>
                  </w:pPr>
                  <w:r>
                    <w:rPr>
                      <w:rFonts w:eastAsia="仿宋"/>
                      <w:color w:val="000000"/>
                      <w:szCs w:val="21"/>
                    </w:rPr>
                    <w:t>0.00</w:t>
                  </w:r>
                  <w:r>
                    <w:rPr>
                      <w:rFonts w:hint="eastAsia" w:eastAsia="仿宋"/>
                      <w:color w:val="000000"/>
                      <w:szCs w:val="21"/>
                    </w:rPr>
                    <w:t>000</w:t>
                  </w:r>
                  <w:r>
                    <w:rPr>
                      <w:rFonts w:eastAsia="仿宋"/>
                      <w:color w:val="000000"/>
                      <w:szCs w:val="21"/>
                    </w:rPr>
                    <w:t>1</w:t>
                  </w:r>
                </w:p>
              </w:tc>
              <w:tc>
                <w:tcPr>
                  <w:tcW w:w="1350" w:type="pct"/>
                  <w:vMerge w:val="restart"/>
                  <w:shd w:val="clear" w:color="auto" w:fill="auto"/>
                  <w:vAlign w:val="center"/>
                </w:tcPr>
                <w:p>
                  <w:pPr>
                    <w:snapToGrid w:val="0"/>
                    <w:jc w:val="center"/>
                    <w:rPr>
                      <w:szCs w:val="21"/>
                    </w:rPr>
                  </w:pPr>
                  <w:r>
                    <w:rPr>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Merge w:val="continue"/>
                  <w:shd w:val="clear" w:color="auto" w:fill="auto"/>
                  <w:vAlign w:val="center"/>
                </w:tcPr>
                <w:p>
                  <w:pPr>
                    <w:snapToGrid w:val="0"/>
                    <w:jc w:val="center"/>
                    <w:rPr>
                      <w:rFonts w:ascii="Times New Roman" w:hAnsi="宋体" w:eastAsia="宋体" w:cs="Times New Roman"/>
                      <w:szCs w:val="21"/>
                    </w:rPr>
                  </w:pPr>
                </w:p>
              </w:tc>
              <w:tc>
                <w:tcPr>
                  <w:tcW w:w="1330" w:type="pct"/>
                  <w:shd w:val="clear" w:color="auto" w:fill="auto"/>
                  <w:vAlign w:val="center"/>
                </w:tcPr>
                <w:p>
                  <w:pPr>
                    <w:snapToGrid w:val="0"/>
                    <w:jc w:val="center"/>
                    <w:rPr>
                      <w:rFonts w:ascii="Times New Roman" w:hAnsi="宋体" w:eastAsia="宋体" w:cs="Times New Roman"/>
                      <w:szCs w:val="21"/>
                    </w:rPr>
                  </w:pPr>
                  <w:r>
                    <w:rPr>
                      <w:rFonts w:ascii="Times New Roman" w:hAnsi="宋体" w:eastAsia="宋体" w:cs="Times New Roman"/>
                      <w:szCs w:val="21"/>
                    </w:rPr>
                    <w:t>24小时平均</w:t>
                  </w:r>
                </w:p>
              </w:tc>
              <w:tc>
                <w:tcPr>
                  <w:tcW w:w="545" w:type="pct"/>
                  <w:vMerge w:val="continue"/>
                  <w:shd w:val="clear" w:color="auto" w:fill="auto"/>
                  <w:vAlign w:val="center"/>
                </w:tcPr>
                <w:p>
                  <w:pPr>
                    <w:snapToGrid w:val="0"/>
                    <w:jc w:val="center"/>
                    <w:rPr>
                      <w:szCs w:val="21"/>
                    </w:rPr>
                  </w:pPr>
                </w:p>
              </w:tc>
              <w:tc>
                <w:tcPr>
                  <w:tcW w:w="887" w:type="pct"/>
                  <w:shd w:val="clear" w:color="auto" w:fill="auto"/>
                  <w:vAlign w:val="center"/>
                </w:tcPr>
                <w:p>
                  <w:pPr>
                    <w:adjustRightInd w:val="0"/>
                    <w:snapToGrid w:val="0"/>
                    <w:jc w:val="center"/>
                    <w:rPr>
                      <w:szCs w:val="21"/>
                    </w:rPr>
                  </w:pPr>
                  <w:r>
                    <w:rPr>
                      <w:rFonts w:eastAsia="仿宋"/>
                      <w:color w:val="000000"/>
                      <w:szCs w:val="21"/>
                    </w:rPr>
                    <w:t>0.00</w:t>
                  </w:r>
                  <w:r>
                    <w:rPr>
                      <w:rFonts w:hint="eastAsia" w:eastAsia="仿宋"/>
                      <w:color w:val="000000"/>
                      <w:szCs w:val="21"/>
                    </w:rPr>
                    <w:t>000</w:t>
                  </w:r>
                  <w:r>
                    <w:rPr>
                      <w:rFonts w:eastAsia="仿宋"/>
                      <w:color w:val="000000"/>
                      <w:szCs w:val="21"/>
                    </w:rPr>
                    <w:t>25</w:t>
                  </w:r>
                </w:p>
              </w:tc>
              <w:tc>
                <w:tcPr>
                  <w:tcW w:w="1350" w:type="pct"/>
                  <w:vMerge w:val="continue"/>
                  <w:shd w:val="clear" w:color="auto" w:fill="auto"/>
                  <w:vAlign w:val="center"/>
                </w:tcPr>
                <w:p>
                  <w:pPr>
                    <w:snapToGrid w:val="0"/>
                    <w:jc w:val="center"/>
                    <w:rPr>
                      <w:szCs w:val="21"/>
                    </w:rPr>
                  </w:pPr>
                </w:p>
              </w:tc>
            </w:tr>
          </w:tbl>
          <w:p>
            <w:pPr>
              <w:adjustRightInd w:val="0"/>
              <w:spacing w:line="360" w:lineRule="auto"/>
              <w:ind w:firstLine="482" w:firstLineChars="200"/>
              <w:rPr>
                <w:b/>
                <w:sz w:val="24"/>
              </w:rPr>
            </w:pPr>
            <w:r>
              <w:rPr>
                <w:rFonts w:hint="eastAsia"/>
                <w:b/>
                <w:sz w:val="24"/>
              </w:rPr>
              <w:t>2</w:t>
            </w:r>
            <w:r>
              <w:rPr>
                <w:b/>
                <w:sz w:val="24"/>
              </w:rPr>
              <w:t>、地表水环境质量</w:t>
            </w:r>
          </w:p>
          <w:p>
            <w:pPr>
              <w:spacing w:line="360" w:lineRule="auto"/>
              <w:ind w:firstLine="480" w:firstLineChars="200"/>
              <w:rPr>
                <w:rFonts w:hint="default" w:ascii="Arial" w:hAnsi="Arial" w:eastAsia="宋体" w:cs="Arial"/>
                <w:sz w:val="24"/>
              </w:rPr>
            </w:pPr>
            <w:r>
              <w:rPr>
                <w:rFonts w:hint="default" w:ascii="Arial" w:hAnsi="Arial" w:eastAsia="宋体" w:cs="Arial"/>
                <w:sz w:val="24"/>
              </w:rPr>
              <w:t>根据《广元市地表水水域环境功能划类管理规定》本项目所在</w:t>
            </w:r>
            <w:r>
              <w:rPr>
                <w:rFonts w:hint="default" w:ascii="Arial" w:hAnsi="Arial" w:eastAsia="宋体" w:cs="Arial"/>
                <w:sz w:val="24"/>
                <w:lang w:eastAsia="zh-CN"/>
              </w:rPr>
              <w:t>水域为旺苍东河，水域范围</w:t>
            </w:r>
            <w:r>
              <w:rPr>
                <w:rFonts w:hint="default" w:ascii="Arial" w:hAnsi="Arial" w:eastAsia="宋体" w:cs="Arial"/>
                <w:sz w:val="24"/>
              </w:rPr>
              <w:t>为旺苍东河电站至苍溪王渡出境段，</w:t>
            </w:r>
            <w:r>
              <w:rPr>
                <w:rFonts w:hint="default" w:ascii="Arial" w:hAnsi="Arial" w:eastAsia="宋体" w:cs="Arial"/>
                <w:sz w:val="24"/>
                <w:lang w:eastAsia="zh-CN"/>
              </w:rPr>
              <w:t>同时该工程开发任务为农业灌溉、乡村供水，改善生态环境等综合利用，并作为旺苍县城应急补充备用水源，因此枢纽工程区水质执行生活饮用水卫生标准(GB5749-2006)，同时满足</w:t>
            </w:r>
            <w:r>
              <w:rPr>
                <w:rFonts w:hint="default" w:ascii="Arial" w:hAnsi="Arial" w:eastAsia="宋体" w:cs="Arial"/>
                <w:sz w:val="24"/>
              </w:rPr>
              <w:t>《地表水环境质量标准》（GB3838-2002）Ⅲ类标准。见表</w:t>
            </w:r>
            <w:r>
              <w:rPr>
                <w:rFonts w:hint="default" w:ascii="Arial" w:hAnsi="Arial" w:eastAsia="宋体" w:cs="Arial"/>
                <w:sz w:val="24"/>
                <w:lang w:val="en-US" w:eastAsia="zh-CN"/>
              </w:rPr>
              <w:t>3</w:t>
            </w:r>
            <w:r>
              <w:rPr>
                <w:rFonts w:hint="default" w:ascii="Arial" w:hAnsi="Arial" w:eastAsia="宋体" w:cs="Arial"/>
                <w:sz w:val="24"/>
              </w:rPr>
              <w:t>-</w:t>
            </w:r>
            <w:r>
              <w:rPr>
                <w:rFonts w:hint="default" w:ascii="Arial" w:hAnsi="Arial" w:eastAsia="宋体" w:cs="Arial"/>
                <w:sz w:val="24"/>
                <w:lang w:val="en-US" w:eastAsia="zh-CN"/>
              </w:rPr>
              <w:t>13</w:t>
            </w:r>
            <w:r>
              <w:rPr>
                <w:rFonts w:hint="default" w:ascii="Arial" w:hAnsi="Arial" w:eastAsia="宋体" w:cs="Arial"/>
                <w:sz w:val="24"/>
                <w:lang w:eastAsia="zh-CN"/>
              </w:rPr>
              <w:t>，表</w:t>
            </w:r>
            <w:r>
              <w:rPr>
                <w:rFonts w:hint="default" w:ascii="Arial" w:hAnsi="Arial" w:eastAsia="宋体" w:cs="Arial"/>
                <w:sz w:val="24"/>
                <w:lang w:val="en-US" w:eastAsia="zh-CN"/>
              </w:rPr>
              <w:t>3-14</w:t>
            </w:r>
            <w:r>
              <w:rPr>
                <w:rFonts w:hint="default" w:ascii="Arial" w:hAnsi="Arial" w:eastAsia="宋体" w:cs="Arial"/>
                <w:sz w:val="24"/>
              </w:rPr>
              <w:t>。</w:t>
            </w:r>
          </w:p>
          <w:p>
            <w:pPr>
              <w:adjustRightInd w:val="0"/>
              <w:spacing w:line="360" w:lineRule="auto"/>
              <w:ind w:firstLine="422" w:firstLineChars="200"/>
              <w:jc w:val="center"/>
              <w:rPr>
                <w:rFonts w:hint="eastAsia" w:ascii="Times New Roman" w:hAnsi="宋体" w:eastAsia="宋体" w:cs="Times New Roman"/>
                <w:b/>
                <w:szCs w:val="21"/>
              </w:rPr>
            </w:pPr>
            <w:r>
              <w:rPr>
                <w:rFonts w:hint="eastAsia" w:ascii="Times New Roman" w:hAnsi="宋体" w:eastAsia="宋体" w:cs="Times New Roman"/>
                <w:b/>
                <w:szCs w:val="21"/>
                <w:lang w:val="en-US" w:eastAsia="zh-CN"/>
              </w:rPr>
              <w:t xml:space="preserve">表3-13  </w:t>
            </w:r>
            <w:r>
              <w:rPr>
                <w:rFonts w:hint="eastAsia" w:ascii="Times New Roman" w:hAnsi="宋体" w:eastAsia="宋体" w:cs="Times New Roman"/>
                <w:b/>
                <w:szCs w:val="21"/>
                <w:lang w:eastAsia="zh-CN"/>
              </w:rPr>
              <w:t>生活饮用水</w:t>
            </w:r>
            <w:r>
              <w:rPr>
                <w:rFonts w:hint="eastAsia" w:ascii="Times New Roman" w:hAnsi="宋体" w:eastAsia="宋体" w:cs="Times New Roman"/>
                <w:b/>
                <w:szCs w:val="21"/>
              </w:rPr>
              <w:t>水质常规指标及限值</w:t>
            </w:r>
          </w:p>
          <w:tbl>
            <w:tblPr>
              <w:tblStyle w:val="24"/>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gridCol w:w="4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黑体" w:hAnsi="黑体" w:eastAsia="黑体"/>
                      <w:b/>
                      <w:bCs/>
                      <w:color w:val="auto"/>
                      <w:sz w:val="21"/>
                      <w:szCs w:val="21"/>
                      <w:vertAlign w:val="baseline"/>
                    </w:rPr>
                  </w:pPr>
                  <w:r>
                    <w:rPr>
                      <w:rFonts w:hint="eastAsia" w:ascii="宋体" w:eastAsia="宋体"/>
                      <w:b/>
                      <w:bCs/>
                      <w:color w:val="auto"/>
                      <w:sz w:val="21"/>
                      <w:szCs w:val="21"/>
                    </w:rPr>
                    <w:t>指</w:t>
                  </w:r>
                  <w:r>
                    <w:rPr>
                      <w:rFonts w:hint="eastAsia"/>
                      <w:b/>
                      <w:bCs/>
                      <w:color w:val="auto"/>
                      <w:sz w:val="21"/>
                      <w:szCs w:val="21"/>
                      <w:lang w:val="en-US" w:eastAsia="zh-CN"/>
                    </w:rPr>
                    <w:t xml:space="preserve">  </w:t>
                  </w:r>
                  <w:r>
                    <w:rPr>
                      <w:rFonts w:hint="eastAsia" w:ascii="宋体" w:eastAsia="宋体"/>
                      <w:b/>
                      <w:bCs/>
                      <w:color w:val="auto"/>
                      <w:sz w:val="21"/>
                      <w:szCs w:val="21"/>
                    </w:rPr>
                    <w:t>标</w:t>
                  </w:r>
                </w:p>
              </w:tc>
              <w:tc>
                <w:tcPr>
                  <w:tcW w:w="2210" w:type="pct"/>
                  <w:vAlign w:val="center"/>
                </w:tcPr>
                <w:p>
                  <w:pPr>
                    <w:pStyle w:val="19"/>
                    <w:spacing w:before="0" w:beforeAutospacing="0" w:after="0" w:afterAutospacing="0"/>
                    <w:ind w:left="0" w:leftChars="0" w:right="0" w:rightChars="0" w:firstLine="0" w:firstLineChars="0"/>
                    <w:jc w:val="center"/>
                    <w:rPr>
                      <w:rFonts w:hint="eastAsia" w:ascii="黑体" w:hAnsi="黑体" w:eastAsia="黑体"/>
                      <w:b/>
                      <w:bCs/>
                      <w:color w:val="auto"/>
                      <w:sz w:val="21"/>
                      <w:szCs w:val="21"/>
                      <w:vertAlign w:val="baseline"/>
                    </w:rPr>
                  </w:pPr>
                  <w:r>
                    <w:rPr>
                      <w:rFonts w:hint="eastAsia" w:ascii="宋体" w:eastAsia="宋体"/>
                      <w:b/>
                      <w:bCs/>
                      <w:color w:val="auto"/>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pPr>
                    <w:spacing w:line="240" w:lineRule="auto"/>
                    <w:jc w:val="left"/>
                    <w:rPr>
                      <w:rFonts w:hint="eastAsia" w:ascii="黑体" w:hAnsi="黑体" w:eastAsia="黑体"/>
                      <w:color w:val="auto"/>
                      <w:vertAlign w:val="baseline"/>
                    </w:rPr>
                  </w:pPr>
                  <w:r>
                    <w:rPr>
                      <w:rFonts w:hint="eastAsia" w:ascii="宋体" w:hAnsi="宋体" w:eastAsia="宋体" w:cs="宋体"/>
                      <w:b/>
                      <w:bCs/>
                      <w:color w:val="auto"/>
                      <w:kern w:val="0"/>
                      <w:sz w:val="21"/>
                      <w:szCs w:val="21"/>
                      <w:lang w:val="en-US" w:eastAsia="zh-CN" w:bidi="ar-SA"/>
                    </w:rPr>
                    <w:t>1．微生物指标</w:t>
                  </w:r>
                  <w:r>
                    <w:rPr>
                      <w:rFonts w:hint="eastAsia" w:ascii="宋体" w:hAnsi="宋体" w:eastAsia="宋体" w:cs="宋体"/>
                      <w:b/>
                      <w:bCs/>
                      <w:color w:val="auto"/>
                      <w:kern w:val="0"/>
                      <w:sz w:val="21"/>
                      <w:szCs w:val="21"/>
                      <w:vertAlign w:val="superscript"/>
                      <w:lang w:val="en-US" w:eastAsia="zh-CN" w:bidi="ar-SA"/>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总大肠菌群（MPN/100mL或CFU/100mL）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耐热大肠菌群（MPN/100mL或CFU/100mL）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大肠埃希氏菌（MPN/100mL或CFU/100mL）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菌落总数（CFU/mL）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vAlign w:val="center"/>
                </w:tcPr>
                <w:p>
                  <w:pPr>
                    <w:pStyle w:val="19"/>
                    <w:spacing w:before="0" w:beforeAutospacing="0" w:after="0" w:afterAutospacing="0"/>
                    <w:ind w:left="0" w:leftChars="0" w:right="0" w:rightChars="0" w:firstLine="0" w:firstLineChars="0"/>
                    <w:jc w:val="left"/>
                    <w:rPr>
                      <w:rFonts w:hint="eastAsia" w:ascii="宋体" w:eastAsia="宋体"/>
                      <w:color w:val="auto"/>
                      <w:sz w:val="21"/>
                      <w:szCs w:val="21"/>
                    </w:rPr>
                  </w:pPr>
                  <w:r>
                    <w:rPr>
                      <w:rFonts w:hint="eastAsia" w:ascii="宋体" w:hAnsi="宋体" w:eastAsia="宋体" w:cs="宋体"/>
                      <w:b/>
                      <w:bCs/>
                      <w:color w:val="auto"/>
                      <w:kern w:val="0"/>
                      <w:sz w:val="21"/>
                      <w:szCs w:val="21"/>
                      <w:lang w:val="en-US" w:eastAsia="zh-CN" w:bidi="ar-SA"/>
                    </w:rPr>
                    <w:t>2．毒理指标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砷（mg/L）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镉（mg/L）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铬（六价，mg/L）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铅（mg/L）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汞（mg/L）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硒（mg/L）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氰化物（mg/L）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氟化物（mg/L）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硝酸盐（以N计，mg/L）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三氯甲烷（mg/L）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四氯化碳（mg/L）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溴酸盐（使用臭氧时，mg/L）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甲醛（使用臭氧时，mg/L）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亚氯酸盐（使用二氧化氯消毒时，mg/L）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氯酸盐（使用复合二氧化氯消毒时，mg/L）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pPr>
                    <w:spacing w:line="240" w:lineRule="auto"/>
                    <w:ind w:left="0" w:leftChars="0" w:firstLine="0" w:firstLineChars="0"/>
                    <w:jc w:val="left"/>
                    <w:rPr>
                      <w:rFonts w:hint="eastAsia" w:ascii="黑体" w:hAnsi="黑体" w:eastAsia="黑体"/>
                      <w:color w:val="auto"/>
                      <w:vertAlign w:val="baseline"/>
                    </w:rPr>
                  </w:pPr>
                  <w:r>
                    <w:rPr>
                      <w:rFonts w:hint="eastAsia" w:ascii="宋体" w:hAnsi="宋体" w:eastAsia="宋体" w:cs="宋体"/>
                      <w:b/>
                      <w:bCs/>
                      <w:color w:val="auto"/>
                      <w:kern w:val="0"/>
                      <w:sz w:val="21"/>
                      <w:szCs w:val="21"/>
                      <w:lang w:val="en-US" w:eastAsia="zh-CN" w:bidi="ar-SA"/>
                    </w:rPr>
                    <w:t>3．感官性状和一般化学指标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色度（铂钴色度单位）</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浑浊度（NTU-散射浊度单位）</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w:t>
                  </w:r>
                </w:p>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水源与净水技术条件限制时为3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臭和味</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无异臭、异味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肉眼可见物</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pH （pH单位）</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不小于6.5且不大于8.5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铝（mg/L）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铁（mg/L）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锰（mg/L）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铜（mg/L）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锌（mg/L）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氯化物（mg/L）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硫酸盐（mg/L）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溶解性总固体（mg/L）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总硬度（以CaCO3计，mg/L）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耗氧量（CODMn法，以O2计，mg/L）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3</w:t>
                  </w:r>
                </w:p>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水源限制，原水耗氧量＞6mg/L时为5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挥发酚类（以苯酚计，mg/L）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阴离子合成洗涤剂（mg/L）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left"/>
                    <w:rPr>
                      <w:rFonts w:hint="eastAsia" w:ascii="宋体" w:eastAsia="宋体"/>
                      <w:color w:val="auto"/>
                      <w:sz w:val="21"/>
                      <w:szCs w:val="21"/>
                    </w:rPr>
                  </w:pPr>
                  <w:r>
                    <w:rPr>
                      <w:rFonts w:hint="eastAsia" w:ascii="宋体" w:eastAsia="宋体"/>
                      <w:b/>
                      <w:bCs/>
                      <w:color w:val="auto"/>
                      <w:sz w:val="21"/>
                      <w:szCs w:val="21"/>
                    </w:rPr>
                    <w:t>4．放射性指标</w:t>
                  </w:r>
                  <w:r>
                    <w:rPr>
                      <w:rFonts w:hint="eastAsia" w:ascii="宋体" w:eastAsia="宋体"/>
                      <w:b/>
                      <w:bCs/>
                      <w:color w:val="auto"/>
                      <w:sz w:val="21"/>
                      <w:szCs w:val="21"/>
                      <w:vertAlign w:val="superscript"/>
                    </w:rPr>
                    <w:t>②</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指导值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总α放射性（Bq/L）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总β放射性（Bq/L）</w:t>
                  </w:r>
                </w:p>
              </w:tc>
              <w:tc>
                <w:tcPr>
                  <w:tcW w:w="2210" w:type="pct"/>
                  <w:vAlign w:val="center"/>
                </w:tcPr>
                <w:p>
                  <w:pPr>
                    <w:pStyle w:val="19"/>
                    <w:spacing w:before="0" w:beforeAutospacing="0" w:after="0" w:afterAutospacing="0"/>
                    <w:ind w:left="0" w:leftChars="0" w:right="0" w:rightChars="0" w:firstLine="0" w:firstLineChars="0"/>
                    <w:jc w:val="center"/>
                    <w:rPr>
                      <w:rFonts w:hint="eastAsia" w:ascii="宋体" w:eastAsia="宋体"/>
                      <w:color w:val="auto"/>
                      <w:sz w:val="21"/>
                      <w:szCs w:val="21"/>
                    </w:rPr>
                  </w:pPr>
                  <w:r>
                    <w:rPr>
                      <w:rFonts w:hint="eastAsia" w:ascii="宋体" w:eastAsia="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tcPr>
                <w:p>
                  <w:pPr>
                    <w:pStyle w:val="19"/>
                    <w:spacing w:before="0" w:beforeAutospacing="0" w:after="0" w:afterAutospacing="0"/>
                    <w:ind w:left="0" w:leftChars="0" w:right="0" w:rightChars="0" w:firstLine="0" w:firstLineChars="0"/>
                    <w:jc w:val="left"/>
                    <w:rPr>
                      <w:rFonts w:hint="eastAsia" w:ascii="宋体" w:eastAsia="宋体"/>
                      <w:color w:val="auto"/>
                      <w:sz w:val="21"/>
                      <w:szCs w:val="21"/>
                    </w:rPr>
                  </w:pPr>
                  <w:r>
                    <w:rPr>
                      <w:rFonts w:hint="eastAsia" w:ascii="宋体" w:eastAsia="宋体"/>
                      <w:color w:val="auto"/>
                      <w:sz w:val="21"/>
                      <w:szCs w:val="21"/>
                    </w:rPr>
                    <w:t>①MPN表示最可能数；CFU表示菌落形成单位。当水样检出总大肠菌群时，应进一步检验大肠埃希氏菌或耐热大肠菌群；水样未检出总大肠菌群，不必检验大肠埃希氏菌或耐热大肠菌群。</w:t>
                  </w:r>
                </w:p>
                <w:p>
                  <w:pPr>
                    <w:pStyle w:val="19"/>
                    <w:spacing w:before="0" w:beforeAutospacing="0" w:after="0" w:afterAutospacing="0"/>
                    <w:ind w:left="0" w:leftChars="0" w:right="0" w:rightChars="0" w:firstLine="0" w:firstLineChars="0"/>
                    <w:jc w:val="left"/>
                    <w:rPr>
                      <w:rFonts w:hint="eastAsia" w:ascii="宋体" w:eastAsia="宋体"/>
                      <w:color w:val="auto"/>
                      <w:sz w:val="21"/>
                      <w:szCs w:val="21"/>
                    </w:rPr>
                  </w:pPr>
                  <w:r>
                    <w:rPr>
                      <w:rFonts w:hint="eastAsia" w:ascii="宋体" w:eastAsia="宋体"/>
                      <w:color w:val="auto"/>
                      <w:sz w:val="21"/>
                      <w:szCs w:val="21"/>
                    </w:rPr>
                    <w:t>②放射性指标超过指导值，应进行核素分析和评价，判定能否饮用。</w:t>
                  </w:r>
                </w:p>
              </w:tc>
            </w:tr>
          </w:tbl>
          <w:p>
            <w:pPr>
              <w:adjustRightInd w:val="0"/>
              <w:spacing w:line="360" w:lineRule="auto"/>
              <w:ind w:firstLine="422" w:firstLineChars="200"/>
              <w:jc w:val="center"/>
              <w:rPr>
                <w:rFonts w:hint="eastAsia" w:ascii="Times New Roman" w:hAnsi="宋体" w:eastAsia="宋体" w:cs="Times New Roman"/>
                <w:b/>
                <w:szCs w:val="21"/>
                <w:lang w:val="en-US" w:eastAsia="zh-CN"/>
              </w:rPr>
            </w:pPr>
          </w:p>
          <w:p>
            <w:pPr>
              <w:adjustRightInd w:val="0"/>
              <w:spacing w:line="360" w:lineRule="auto"/>
              <w:ind w:firstLine="422" w:firstLineChars="200"/>
              <w:jc w:val="center"/>
              <w:rPr>
                <w:rFonts w:hint="eastAsia" w:ascii="Times New Roman" w:hAnsi="宋体" w:eastAsia="宋体" w:cs="Times New Roman"/>
                <w:b/>
                <w:szCs w:val="21"/>
                <w:lang w:val="en-US" w:eastAsia="zh-CN"/>
              </w:rPr>
            </w:pPr>
          </w:p>
          <w:p>
            <w:pPr>
              <w:adjustRightInd w:val="0"/>
              <w:spacing w:line="360" w:lineRule="auto"/>
              <w:ind w:firstLine="422" w:firstLineChars="200"/>
              <w:jc w:val="center"/>
              <w:rPr>
                <w:rFonts w:hint="eastAsia" w:ascii="Times New Roman" w:hAnsi="宋体" w:eastAsia="宋体" w:cs="Times New Roman"/>
                <w:b/>
                <w:szCs w:val="21"/>
                <w:lang w:val="en-US" w:eastAsia="zh-CN"/>
              </w:rPr>
            </w:pPr>
          </w:p>
          <w:p>
            <w:pPr>
              <w:adjustRightInd w:val="0"/>
              <w:spacing w:line="360" w:lineRule="auto"/>
              <w:ind w:firstLine="422" w:firstLineChars="200"/>
              <w:jc w:val="center"/>
              <w:rPr>
                <w:rFonts w:hint="eastAsia" w:ascii="Times New Roman" w:hAnsi="宋体" w:eastAsia="宋体" w:cs="Times New Roman"/>
                <w:b/>
                <w:szCs w:val="21"/>
                <w:lang w:val="en-US" w:eastAsia="zh-CN"/>
              </w:rPr>
            </w:pPr>
            <w:r>
              <w:rPr>
                <w:rFonts w:hint="eastAsia" w:ascii="Times New Roman" w:hAnsi="宋体" w:eastAsia="宋体" w:cs="Times New Roman"/>
                <w:b/>
                <w:szCs w:val="21"/>
                <w:lang w:val="en-US" w:eastAsia="zh-CN"/>
              </w:rPr>
              <w:t>表3-14  地表水环境质量Ⅲ类标准    单位：mg/L(PH无量纲)</w:t>
            </w:r>
          </w:p>
          <w:tbl>
            <w:tblPr>
              <w:tblStyle w:val="2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rPr>
                    <w:t>项目</w:t>
                  </w:r>
                </w:p>
              </w:tc>
              <w:tc>
                <w:tcPr>
                  <w:tcW w:w="262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华文中宋"/>
                      <w:b/>
                      <w:bCs/>
                      <w:color w:val="auto"/>
                      <w:sz w:val="21"/>
                      <w:szCs w:val="21"/>
                      <w:lang w:eastAsia="zh-CN"/>
                    </w:rPr>
                  </w:pPr>
                  <w:r>
                    <w:rPr>
                      <w:rFonts w:hint="eastAsia"/>
                      <w:b/>
                      <w:bCs/>
                      <w:color w:val="auto"/>
                      <w:sz w:val="21"/>
                      <w:szCs w:val="21"/>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色度（铂钴色度单位）</w:t>
                  </w:r>
                </w:p>
              </w:tc>
              <w:tc>
                <w:tcPr>
                  <w:tcW w:w="262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rPr>
                    <w:t>≤</w:t>
                  </w:r>
                  <w:r>
                    <w:rPr>
                      <w:rFonts w:hint="eastAsia"/>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PH值</w:t>
                  </w:r>
                </w:p>
              </w:tc>
              <w:tc>
                <w:tcPr>
                  <w:tcW w:w="2620"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6</w:t>
                  </w:r>
                  <w:r>
                    <w:rPr>
                      <w:rFonts w:hint="eastAsia"/>
                      <w:color w:val="auto"/>
                      <w:sz w:val="21"/>
                      <w:szCs w:val="21"/>
                    </w:rPr>
                    <w:t>～</w:t>
                  </w:r>
                  <w:r>
                    <w:rPr>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SS</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color w:val="auto"/>
                      <w:sz w:val="21"/>
                      <w:szCs w:val="21"/>
                    </w:rPr>
                    <w:t>BOD</w:t>
                  </w:r>
                  <w:r>
                    <w:rPr>
                      <w:color w:val="auto"/>
                      <w:sz w:val="21"/>
                      <w:szCs w:val="21"/>
                      <w:vertAlign w:val="subscript"/>
                    </w:rPr>
                    <w:t>5</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r>
                    <w:rPr>
                      <w:rFonts w:hint="eastAsia"/>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COD</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华文中宋" w:cs="Times New Roman"/>
                      <w:color w:val="auto"/>
                      <w:kern w:val="2"/>
                      <w:sz w:val="21"/>
                      <w:szCs w:val="21"/>
                      <w:lang w:val="en-US" w:eastAsia="zh-CN" w:bidi="ar-SA"/>
                    </w:rPr>
                  </w:pPr>
                  <w:r>
                    <w:rPr>
                      <w:rFonts w:hint="eastAsia"/>
                      <w:color w:val="auto"/>
                      <w:sz w:val="21"/>
                      <w:szCs w:val="21"/>
                    </w:rPr>
                    <w:t>总氮</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华文中宋" w:cs="Times New Roman"/>
                      <w:color w:val="auto"/>
                      <w:kern w:val="2"/>
                      <w:sz w:val="21"/>
                      <w:szCs w:val="21"/>
                      <w:lang w:val="en-US" w:eastAsia="zh-CN" w:bidi="ar-SA"/>
                    </w:rPr>
                  </w:pPr>
                  <w:r>
                    <w:rPr>
                      <w:rFonts w:hint="eastAsia"/>
                      <w:color w:val="auto"/>
                      <w:sz w:val="21"/>
                      <w:szCs w:val="21"/>
                    </w:rPr>
                    <w:t>≤</w:t>
                  </w: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总磷</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w:t>
                  </w:r>
                  <w:r>
                    <w:rPr>
                      <w:color w:val="auto"/>
                      <w:sz w:val="21"/>
                      <w:szCs w:val="21"/>
                    </w:rPr>
                    <w:t>0.</w:t>
                  </w:r>
                  <w:r>
                    <w:rPr>
                      <w:rFonts w:hint="eastAsia"/>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氨氮</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w:t>
                  </w: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eastAsia="zh-CN"/>
                    </w:rPr>
                    <w:t>动植物油</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石油类</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r>
                    <w:rPr>
                      <w:color w:val="auto"/>
                      <w:sz w:val="21"/>
                      <w:szCs w:val="21"/>
                    </w:rPr>
                    <w:t>0.</w:t>
                  </w:r>
                  <w:r>
                    <w:rPr>
                      <w:rFonts w:hint="eastAsia"/>
                      <w:color w:val="auto"/>
                      <w:sz w:val="21"/>
                      <w:szCs w:val="21"/>
                      <w:lang w:val="en-US" w:eastAsia="zh-CN"/>
                    </w:rPr>
                    <w:t>0</w:t>
                  </w: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eastAsia="zh-CN"/>
                    </w:rPr>
                    <w:t>阴离子表面活性剂</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r>
                    <w:rPr>
                      <w:rFonts w:hint="default" w:eastAsia="华文中宋"/>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粪大肠菌群</w:t>
                  </w:r>
                  <w:r>
                    <w:rPr>
                      <w:rFonts w:hint="eastAsia"/>
                      <w:color w:val="auto"/>
                      <w:sz w:val="21"/>
                      <w:szCs w:val="21"/>
                      <w:lang w:val="en-US" w:eastAsia="zh-CN"/>
                    </w:rPr>
                    <w:t>(个/L)</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砷</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华文中宋"/>
                      <w:color w:val="auto"/>
                      <w:sz w:val="21"/>
                      <w:szCs w:val="21"/>
                      <w:lang w:val="en-US" w:eastAsia="zh-CN"/>
                    </w:rPr>
                  </w:pPr>
                  <w:r>
                    <w:rPr>
                      <w:rFonts w:hint="eastAsia"/>
                      <w:color w:val="auto"/>
                      <w:sz w:val="21"/>
                      <w:szCs w:val="21"/>
                    </w:rPr>
                    <w:t>≤0.0</w:t>
                  </w: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镉</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≤0.0</w:t>
                  </w:r>
                  <w:r>
                    <w:rPr>
                      <w:rFonts w:hint="eastAsia"/>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Cr</w:t>
                  </w:r>
                  <w:r>
                    <w:rPr>
                      <w:rFonts w:hint="eastAsia"/>
                      <w:color w:val="auto"/>
                      <w:sz w:val="21"/>
                      <w:szCs w:val="21"/>
                      <w:vertAlign w:val="superscript"/>
                      <w:lang w:eastAsia="zh-CN"/>
                    </w:rPr>
                    <w:t>6+</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≤0.0</w:t>
                  </w: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铅</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≤0.0</w:t>
                  </w: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汞</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晒</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华文中宋"/>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氰化物</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华文中宋"/>
                      <w:color w:val="auto"/>
                      <w:sz w:val="21"/>
                      <w:szCs w:val="21"/>
                      <w:lang w:val="en-US" w:eastAsia="zh-CN"/>
                    </w:rPr>
                  </w:pPr>
                  <w:r>
                    <w:rPr>
                      <w:rFonts w:hint="eastAsia"/>
                      <w:color w:val="auto"/>
                      <w:sz w:val="21"/>
                      <w:szCs w:val="21"/>
                    </w:rPr>
                    <w:t>≤0.</w:t>
                  </w:r>
                  <w:r>
                    <w:rPr>
                      <w:rFonts w:hint="eastAsia"/>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氟化物（以F计）</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华文中宋"/>
                      <w:color w:val="auto"/>
                      <w:sz w:val="21"/>
                      <w:szCs w:val="21"/>
                      <w:lang w:val="en-US" w:eastAsia="zh-CN"/>
                    </w:rPr>
                  </w:pPr>
                  <w:r>
                    <w:rPr>
                      <w:rFonts w:hint="eastAsia"/>
                      <w:color w:val="auto"/>
                      <w:sz w:val="21"/>
                      <w:szCs w:val="21"/>
                    </w:rPr>
                    <w:t>≤</w:t>
                  </w: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硝酸盐（以N计）</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w:t>
                  </w: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三氯甲烷</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四氯化碳</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华文中宋"/>
                      <w:color w:val="auto"/>
                      <w:sz w:val="21"/>
                      <w:szCs w:val="21"/>
                      <w:lang w:val="en-US" w:eastAsia="zh-CN"/>
                    </w:rPr>
                  </w:pPr>
                  <w:r>
                    <w:rPr>
                      <w:rFonts w:hint="eastAsia"/>
                      <w:color w:val="auto"/>
                      <w:sz w:val="21"/>
                      <w:szCs w:val="21"/>
                    </w:rPr>
                    <w:t>≤0.0</w:t>
                  </w:r>
                  <w:r>
                    <w:rPr>
                      <w:rFonts w:hint="eastAsia"/>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亚氯酸盐（使用二氧化氯消毒时）</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华文中宋"/>
                      <w:color w:val="auto"/>
                      <w:sz w:val="21"/>
                      <w:szCs w:val="21"/>
                      <w:lang w:val="en-US" w:eastAsia="zh-CN"/>
                    </w:rPr>
                  </w:pPr>
                  <w:r>
                    <w:rPr>
                      <w:rFonts w:hint="eastAsia"/>
                      <w:color w:val="auto"/>
                      <w:sz w:val="21"/>
                      <w:szCs w:val="21"/>
                    </w:rPr>
                    <w:t>≤</w:t>
                  </w:r>
                  <w:r>
                    <w:rPr>
                      <w:rFonts w:hint="eastAsia"/>
                      <w:color w:val="auto"/>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9"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氯酸盐（使用复合二氧化氯消毒时）</w:t>
                  </w:r>
                </w:p>
              </w:tc>
              <w:tc>
                <w:tcPr>
                  <w:tcW w:w="2620"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w:t>
                  </w:r>
                  <w:r>
                    <w:rPr>
                      <w:rFonts w:hint="eastAsia"/>
                      <w:color w:val="auto"/>
                      <w:sz w:val="21"/>
                      <w:szCs w:val="21"/>
                      <w:lang w:val="en-US" w:eastAsia="zh-CN"/>
                    </w:rPr>
                    <w:t>0.7</w:t>
                  </w:r>
                </w:p>
              </w:tc>
            </w:tr>
          </w:tbl>
          <w:p>
            <w:pPr>
              <w:adjustRightInd w:val="0"/>
              <w:spacing w:line="360" w:lineRule="auto"/>
              <w:ind w:firstLine="482" w:firstLineChars="200"/>
              <w:rPr>
                <w:b/>
                <w:sz w:val="24"/>
              </w:rPr>
            </w:pPr>
            <w:r>
              <w:rPr>
                <w:rFonts w:hint="eastAsia"/>
                <w:b/>
                <w:sz w:val="24"/>
              </w:rPr>
              <w:t>3</w:t>
            </w:r>
            <w:r>
              <w:rPr>
                <w:b/>
                <w:sz w:val="24"/>
              </w:rPr>
              <w:t>、声环境质量</w:t>
            </w:r>
          </w:p>
          <w:p>
            <w:pPr>
              <w:spacing w:line="360" w:lineRule="auto"/>
              <w:ind w:firstLine="480" w:firstLineChars="200"/>
              <w:rPr>
                <w:rFonts w:hAnsi="宋体"/>
                <w:sz w:val="24"/>
              </w:rPr>
            </w:pPr>
            <w:r>
              <w:rPr>
                <w:rFonts w:hAnsi="宋体"/>
                <w:sz w:val="24"/>
              </w:rPr>
              <w:t>环境噪声执行国家《声环境质量标准》（</w:t>
            </w:r>
            <w:r>
              <w:rPr>
                <w:sz w:val="24"/>
              </w:rPr>
              <w:t>GB3096-2008</w:t>
            </w:r>
            <w:r>
              <w:rPr>
                <w:rFonts w:hAnsi="宋体"/>
                <w:sz w:val="24"/>
              </w:rPr>
              <w:t>）中</w:t>
            </w:r>
            <w:r>
              <w:rPr>
                <w:rFonts w:hint="eastAsia"/>
                <w:sz w:val="24"/>
              </w:rPr>
              <w:t>2</w:t>
            </w:r>
            <w:r>
              <w:rPr>
                <w:rFonts w:hAnsi="宋体"/>
                <w:sz w:val="24"/>
              </w:rPr>
              <w:t>类标准，标准限值见下表</w:t>
            </w:r>
            <w:r>
              <w:rPr>
                <w:sz w:val="24"/>
              </w:rPr>
              <w:t>3-</w:t>
            </w:r>
            <w:r>
              <w:rPr>
                <w:rFonts w:hint="eastAsia"/>
                <w:sz w:val="24"/>
                <w:lang w:val="en-US" w:eastAsia="zh-CN"/>
              </w:rPr>
              <w:t>1</w:t>
            </w:r>
            <w:r>
              <w:rPr>
                <w:rFonts w:hint="eastAsia"/>
                <w:sz w:val="24"/>
              </w:rPr>
              <w:t>5</w:t>
            </w:r>
            <w:r>
              <w:rPr>
                <w:rFonts w:hAnsi="宋体"/>
                <w:sz w:val="24"/>
              </w:rPr>
              <w:t>。</w:t>
            </w:r>
          </w:p>
          <w:p>
            <w:pPr>
              <w:autoSpaceDE w:val="0"/>
              <w:autoSpaceDN w:val="0"/>
              <w:spacing w:line="360" w:lineRule="auto"/>
              <w:ind w:firstLine="1687" w:firstLineChars="800"/>
              <w:rPr>
                <w:b/>
                <w:szCs w:val="21"/>
                <w:lang w:val="zh-CN"/>
              </w:rPr>
            </w:pPr>
            <w:r>
              <w:rPr>
                <w:rFonts w:hAnsi="宋体"/>
                <w:b/>
                <w:szCs w:val="21"/>
                <w:lang w:val="zh-CN"/>
              </w:rPr>
              <w:t>表</w:t>
            </w:r>
            <w:r>
              <w:rPr>
                <w:b/>
                <w:szCs w:val="21"/>
                <w:lang w:val="zh-CN"/>
              </w:rPr>
              <w:t>3-</w:t>
            </w:r>
            <w:r>
              <w:rPr>
                <w:rFonts w:hint="eastAsia"/>
                <w:b/>
                <w:szCs w:val="21"/>
                <w:lang w:val="en-US" w:eastAsia="zh-CN"/>
              </w:rPr>
              <w:t>1</w:t>
            </w:r>
            <w:r>
              <w:rPr>
                <w:rFonts w:hint="eastAsia"/>
                <w:b/>
                <w:szCs w:val="21"/>
                <w:lang w:val="zh-CN"/>
              </w:rPr>
              <w:t xml:space="preserve">5    </w:t>
            </w:r>
            <w:r>
              <w:rPr>
                <w:rFonts w:hAnsi="宋体"/>
                <w:b/>
                <w:szCs w:val="21"/>
                <w:lang w:val="zh-CN"/>
              </w:rPr>
              <w:t>环境噪声标准限值等效声级</w:t>
            </w:r>
            <w:r>
              <w:rPr>
                <w:b/>
                <w:szCs w:val="21"/>
                <w:lang w:val="zh-CN"/>
              </w:rPr>
              <w:t>LAeq</w:t>
            </w:r>
            <w:r>
              <w:rPr>
                <w:rFonts w:hAnsi="宋体"/>
                <w:b/>
                <w:szCs w:val="21"/>
                <w:lang w:val="zh-CN"/>
              </w:rPr>
              <w:t>：</w:t>
            </w:r>
            <w:r>
              <w:rPr>
                <w:b/>
                <w:szCs w:val="21"/>
                <w:lang w:val="zh-CN"/>
              </w:rPr>
              <w:t>dB</w:t>
            </w:r>
            <w:r>
              <w:rPr>
                <w:rFonts w:hAnsi="宋体"/>
                <w:b/>
                <w:szCs w:val="21"/>
                <w:lang w:val="zh-CN"/>
              </w:rPr>
              <w:t>（</w:t>
            </w:r>
            <w:r>
              <w:rPr>
                <w:b/>
                <w:szCs w:val="21"/>
                <w:lang w:val="zh-CN"/>
              </w:rPr>
              <w:t>A</w:t>
            </w:r>
            <w:r>
              <w:rPr>
                <w:rFonts w:hAnsi="宋体"/>
                <w:b/>
                <w:szCs w:val="21"/>
                <w:lang w:val="zh-CN"/>
              </w:rPr>
              <w:t>）</w:t>
            </w:r>
          </w:p>
          <w:tbl>
            <w:tblPr>
              <w:tblStyle w:val="23"/>
              <w:tblW w:w="49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68"/>
              <w:gridCol w:w="3250"/>
              <w:gridCol w:w="32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18" w:type="dxa"/>
                  <w:vAlign w:val="center"/>
                </w:tcPr>
                <w:p>
                  <w:pPr>
                    <w:snapToGrid w:val="0"/>
                    <w:jc w:val="center"/>
                    <w:rPr>
                      <w:b/>
                      <w:szCs w:val="21"/>
                    </w:rPr>
                  </w:pPr>
                  <w:r>
                    <w:rPr>
                      <w:rFonts w:hAnsi="宋体"/>
                      <w:b/>
                      <w:szCs w:val="21"/>
                    </w:rPr>
                    <w:t>类别</w:t>
                  </w:r>
                </w:p>
              </w:tc>
              <w:tc>
                <w:tcPr>
                  <w:tcW w:w="2956" w:type="dxa"/>
                  <w:vAlign w:val="center"/>
                </w:tcPr>
                <w:p>
                  <w:pPr>
                    <w:snapToGrid w:val="0"/>
                    <w:jc w:val="center"/>
                    <w:rPr>
                      <w:b/>
                      <w:szCs w:val="21"/>
                    </w:rPr>
                  </w:pPr>
                  <w:r>
                    <w:rPr>
                      <w:rFonts w:hAnsi="宋体"/>
                      <w:b/>
                      <w:szCs w:val="21"/>
                    </w:rPr>
                    <w:t>昼间</w:t>
                  </w:r>
                </w:p>
              </w:tc>
              <w:tc>
                <w:tcPr>
                  <w:tcW w:w="2956" w:type="dxa"/>
                  <w:vAlign w:val="center"/>
                </w:tcPr>
                <w:p>
                  <w:pPr>
                    <w:snapToGrid w:val="0"/>
                    <w:jc w:val="center"/>
                    <w:rPr>
                      <w:b/>
                      <w:szCs w:val="21"/>
                    </w:rPr>
                  </w:pPr>
                  <w:r>
                    <w:rPr>
                      <w:rFonts w:hAnsi="宋体"/>
                      <w:b/>
                      <w:szCs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18" w:type="dxa"/>
                  <w:vAlign w:val="center"/>
                </w:tcPr>
                <w:p>
                  <w:pPr>
                    <w:snapToGrid w:val="0"/>
                    <w:jc w:val="center"/>
                    <w:rPr>
                      <w:szCs w:val="21"/>
                    </w:rPr>
                  </w:pPr>
                  <w:r>
                    <w:rPr>
                      <w:rFonts w:hint="eastAsia"/>
                      <w:szCs w:val="21"/>
                    </w:rPr>
                    <w:t>2</w:t>
                  </w:r>
                </w:p>
              </w:tc>
              <w:tc>
                <w:tcPr>
                  <w:tcW w:w="2956" w:type="dxa"/>
                  <w:vAlign w:val="center"/>
                </w:tcPr>
                <w:p>
                  <w:pPr>
                    <w:snapToGrid w:val="0"/>
                    <w:jc w:val="center"/>
                    <w:rPr>
                      <w:szCs w:val="21"/>
                    </w:rPr>
                  </w:pPr>
                  <w:r>
                    <w:rPr>
                      <w:szCs w:val="21"/>
                    </w:rPr>
                    <w:t>6</w:t>
                  </w:r>
                  <w:r>
                    <w:rPr>
                      <w:rFonts w:hint="eastAsia"/>
                      <w:szCs w:val="21"/>
                    </w:rPr>
                    <w:t>0</w:t>
                  </w:r>
                </w:p>
              </w:tc>
              <w:tc>
                <w:tcPr>
                  <w:tcW w:w="2956" w:type="dxa"/>
                  <w:vAlign w:val="center"/>
                </w:tcPr>
                <w:p>
                  <w:pPr>
                    <w:snapToGrid w:val="0"/>
                    <w:jc w:val="center"/>
                    <w:rPr>
                      <w:szCs w:val="21"/>
                    </w:rPr>
                  </w:pPr>
                  <w:r>
                    <w:rPr>
                      <w:szCs w:val="21"/>
                    </w:rPr>
                    <w:t>5</w:t>
                  </w:r>
                  <w:r>
                    <w:rPr>
                      <w:rFonts w:hint="eastAsia"/>
                      <w:szCs w:val="21"/>
                    </w:rPr>
                    <w:t>0</w:t>
                  </w:r>
                </w:p>
              </w:tc>
            </w:tr>
          </w:tbl>
          <w:p>
            <w:pPr>
              <w:adjustRightInd w:val="0"/>
              <w:spacing w:line="360" w:lineRule="auto"/>
              <w:ind w:firstLine="482" w:firstLineChars="200"/>
              <w:rPr>
                <w:b/>
                <w:sz w:val="24"/>
              </w:rPr>
            </w:pPr>
            <w:r>
              <w:rPr>
                <w:b/>
                <w:sz w:val="24"/>
              </w:rPr>
              <w:t>4、</w:t>
            </w:r>
            <w:r>
              <w:rPr>
                <w:rFonts w:hint="eastAsia"/>
                <w:b/>
                <w:sz w:val="24"/>
              </w:rPr>
              <w:t>土壤</w:t>
            </w:r>
            <w:r>
              <w:rPr>
                <w:b/>
                <w:sz w:val="24"/>
              </w:rPr>
              <w:t>环境质量</w:t>
            </w:r>
          </w:p>
          <w:p>
            <w:pPr>
              <w:spacing w:line="360" w:lineRule="auto"/>
              <w:ind w:firstLine="480" w:firstLineChars="200"/>
              <w:rPr>
                <w:rFonts w:ascii="Arial" w:hAnsi="Arial" w:cs="Arial"/>
                <w:color w:val="000000"/>
                <w:sz w:val="24"/>
              </w:rPr>
            </w:pPr>
            <w:r>
              <w:rPr>
                <w:rFonts w:ascii="Arial" w:hAnsi="Arial" w:cs="Arial"/>
                <w:color w:val="000000"/>
                <w:sz w:val="24"/>
              </w:rPr>
              <w:t>土壤评价执行《土壤环境质量</w:t>
            </w:r>
            <w:r>
              <w:rPr>
                <w:rFonts w:hint="eastAsia" w:ascii="Arial" w:hAnsi="Arial" w:cs="Arial"/>
                <w:color w:val="000000"/>
                <w:sz w:val="24"/>
              </w:rPr>
              <w:t>农</w:t>
            </w:r>
            <w:r>
              <w:rPr>
                <w:rFonts w:ascii="Arial" w:hAnsi="Arial" w:cs="Arial"/>
                <w:color w:val="000000"/>
                <w:sz w:val="24"/>
              </w:rPr>
              <w:t>用地土壤污染风险管控标准》（GB15618-2018）表1中的相关限值。评价因子标准限值见表3-</w:t>
            </w:r>
            <w:r>
              <w:rPr>
                <w:rFonts w:hint="eastAsia" w:ascii="Arial" w:hAnsi="Arial" w:cs="Arial"/>
                <w:color w:val="000000"/>
                <w:sz w:val="24"/>
                <w:lang w:val="en-US" w:eastAsia="zh-CN"/>
              </w:rPr>
              <w:t>1</w:t>
            </w:r>
            <w:r>
              <w:rPr>
                <w:rFonts w:hint="eastAsia" w:ascii="Arial" w:hAnsi="Arial" w:cs="Arial"/>
                <w:color w:val="000000"/>
                <w:sz w:val="24"/>
              </w:rPr>
              <w:t>6</w:t>
            </w:r>
            <w:r>
              <w:rPr>
                <w:rFonts w:ascii="Arial" w:hAnsi="Arial" w:cs="Arial"/>
                <w:color w:val="000000"/>
                <w:sz w:val="24"/>
              </w:rPr>
              <w:t>。</w:t>
            </w:r>
          </w:p>
          <w:p>
            <w:pPr>
              <w:spacing w:line="360" w:lineRule="auto"/>
              <w:jc w:val="center"/>
              <w:rPr>
                <w:b/>
                <w:color w:val="000000"/>
                <w:szCs w:val="21"/>
              </w:rPr>
            </w:pPr>
            <w:r>
              <w:rPr>
                <w:b/>
                <w:color w:val="000000"/>
                <w:szCs w:val="21"/>
              </w:rPr>
              <w:t>表3-</w:t>
            </w:r>
            <w:r>
              <w:rPr>
                <w:rFonts w:hint="eastAsia"/>
                <w:b/>
                <w:color w:val="000000"/>
                <w:szCs w:val="21"/>
                <w:lang w:val="en-US" w:eastAsia="zh-CN"/>
              </w:rPr>
              <w:t>1</w:t>
            </w:r>
            <w:r>
              <w:rPr>
                <w:rFonts w:hint="eastAsia"/>
                <w:b/>
                <w:color w:val="000000"/>
                <w:szCs w:val="21"/>
              </w:rPr>
              <w:t>6   土壤环境质量农用地土壤污染风险管控标准</w:t>
            </w:r>
            <w:r>
              <w:rPr>
                <w:rFonts w:hint="eastAsia"/>
                <w:b/>
                <w:color w:val="000000"/>
                <w:szCs w:val="21"/>
                <w:lang w:val="en-US" w:eastAsia="zh-CN"/>
              </w:rPr>
              <w:t xml:space="preserve">    </w:t>
            </w:r>
            <w:r>
              <w:rPr>
                <w:b/>
                <w:color w:val="000000"/>
                <w:szCs w:val="21"/>
              </w:rPr>
              <w:t>单位：mg/kg</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74"/>
              <w:gridCol w:w="1303"/>
              <w:gridCol w:w="1304"/>
              <w:gridCol w:w="1303"/>
              <w:gridCol w:w="1304"/>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Merge w:val="restart"/>
                  <w:vAlign w:val="center"/>
                </w:tcPr>
                <w:p>
                  <w:pPr>
                    <w:pStyle w:val="59"/>
                    <w:snapToGrid w:val="0"/>
                    <w:spacing w:beforeLines="0" w:line="240" w:lineRule="auto"/>
                    <w:rPr>
                      <w:rFonts w:eastAsia="宋体"/>
                      <w:b/>
                      <w:color w:val="000000"/>
                      <w:sz w:val="21"/>
                      <w:szCs w:val="21"/>
                    </w:rPr>
                  </w:pPr>
                  <w:r>
                    <w:rPr>
                      <w:rFonts w:eastAsia="宋体"/>
                      <w:b/>
                      <w:color w:val="000000"/>
                      <w:sz w:val="21"/>
                      <w:szCs w:val="21"/>
                    </w:rPr>
                    <w:t>序</w:t>
                  </w:r>
                  <w:r>
                    <w:rPr>
                      <w:rFonts w:hint="eastAsia" w:eastAsia="宋体"/>
                      <w:b/>
                      <w:color w:val="000000"/>
                      <w:sz w:val="21"/>
                      <w:szCs w:val="21"/>
                    </w:rPr>
                    <w:t>号</w:t>
                  </w:r>
                </w:p>
              </w:tc>
              <w:tc>
                <w:tcPr>
                  <w:tcW w:w="1836" w:type="dxa"/>
                  <w:vMerge w:val="restart"/>
                  <w:vAlign w:val="center"/>
                </w:tcPr>
                <w:p>
                  <w:pPr>
                    <w:pStyle w:val="59"/>
                    <w:snapToGrid w:val="0"/>
                    <w:spacing w:beforeLines="0" w:line="240" w:lineRule="auto"/>
                    <w:rPr>
                      <w:rFonts w:eastAsia="宋体"/>
                      <w:b/>
                      <w:color w:val="000000"/>
                      <w:sz w:val="21"/>
                      <w:szCs w:val="21"/>
                    </w:rPr>
                  </w:pPr>
                  <w:r>
                    <w:rPr>
                      <w:rFonts w:hint="eastAsia" w:eastAsia="宋体"/>
                      <w:b/>
                      <w:color w:val="000000"/>
                      <w:sz w:val="21"/>
                      <w:szCs w:val="21"/>
                    </w:rPr>
                    <w:t>污染物</w:t>
                  </w:r>
                  <w:r>
                    <w:rPr>
                      <w:rFonts w:eastAsia="宋体"/>
                      <w:b/>
                      <w:color w:val="000000"/>
                      <w:sz w:val="21"/>
                      <w:szCs w:val="21"/>
                    </w:rPr>
                    <w:t>项目</w:t>
                  </w:r>
                </w:p>
              </w:tc>
              <w:tc>
                <w:tcPr>
                  <w:tcW w:w="5110" w:type="dxa"/>
                  <w:gridSpan w:val="4"/>
                  <w:vAlign w:val="center"/>
                </w:tcPr>
                <w:p>
                  <w:pPr>
                    <w:pStyle w:val="59"/>
                    <w:snapToGrid w:val="0"/>
                    <w:spacing w:beforeLines="0" w:line="240" w:lineRule="auto"/>
                    <w:rPr>
                      <w:rFonts w:eastAsia="宋体"/>
                      <w:b/>
                      <w:color w:val="000000"/>
                      <w:sz w:val="21"/>
                      <w:szCs w:val="21"/>
                    </w:rPr>
                  </w:pPr>
                  <w:r>
                    <w:rPr>
                      <w:rFonts w:hint="eastAsia" w:eastAsia="宋体"/>
                      <w:b/>
                      <w:color w:val="000000"/>
                      <w:sz w:val="21"/>
                      <w:szCs w:val="21"/>
                    </w:rPr>
                    <w:t>风险筛选值</w:t>
                  </w:r>
                </w:p>
              </w:tc>
              <w:tc>
                <w:tcPr>
                  <w:tcW w:w="1552" w:type="dxa"/>
                  <w:vAlign w:val="center"/>
                </w:tcPr>
                <w:p>
                  <w:pPr>
                    <w:pStyle w:val="59"/>
                    <w:snapToGrid w:val="0"/>
                    <w:spacing w:beforeLines="0" w:line="240" w:lineRule="auto"/>
                    <w:rPr>
                      <w:rFonts w:eastAsia="宋体"/>
                      <w:b/>
                      <w:color w:val="000000"/>
                      <w:sz w:val="21"/>
                      <w:szCs w:val="21"/>
                    </w:rPr>
                  </w:pPr>
                  <w:r>
                    <w:rPr>
                      <w:rFonts w:eastAsia="宋体"/>
                      <w:b/>
                      <w:color w:val="000000"/>
                      <w:sz w:val="21"/>
                      <w:szCs w:val="21"/>
                    </w:rPr>
                    <w:t>评价标</w:t>
                  </w:r>
                  <w:r>
                    <w:rPr>
                      <w:rFonts w:hint="eastAsia" w:eastAsia="宋体"/>
                      <w:b/>
                      <w:color w:val="000000"/>
                      <w:sz w:val="21"/>
                      <w:szCs w:val="21"/>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Merge w:val="continue"/>
                  <w:vAlign w:val="center"/>
                </w:tcPr>
                <w:p>
                  <w:pPr>
                    <w:snapToGrid w:val="0"/>
                    <w:jc w:val="center"/>
                    <w:rPr>
                      <w:color w:val="000000"/>
                      <w:szCs w:val="21"/>
                    </w:rPr>
                  </w:pPr>
                </w:p>
              </w:tc>
              <w:tc>
                <w:tcPr>
                  <w:tcW w:w="1836" w:type="dxa"/>
                  <w:vMerge w:val="continue"/>
                  <w:vAlign w:val="center"/>
                </w:tcPr>
                <w:p>
                  <w:pPr>
                    <w:snapToGrid w:val="0"/>
                    <w:jc w:val="center"/>
                    <w:rPr>
                      <w:color w:val="000000"/>
                      <w:szCs w:val="21"/>
                    </w:rPr>
                  </w:pPr>
                </w:p>
              </w:tc>
              <w:tc>
                <w:tcPr>
                  <w:tcW w:w="1277" w:type="dxa"/>
                  <w:vAlign w:val="center"/>
                </w:tcPr>
                <w:p>
                  <w:pPr>
                    <w:snapToGrid w:val="0"/>
                    <w:jc w:val="center"/>
                    <w:rPr>
                      <w:color w:val="000000"/>
                      <w:szCs w:val="21"/>
                    </w:rPr>
                  </w:pPr>
                  <w:r>
                    <w:rPr>
                      <w:rFonts w:hint="eastAsia"/>
                      <w:color w:val="000000"/>
                      <w:szCs w:val="21"/>
                    </w:rPr>
                    <w:t>pH</w:t>
                  </w:r>
                  <w:r>
                    <w:rPr>
                      <w:color w:val="000000"/>
                      <w:szCs w:val="21"/>
                    </w:rPr>
                    <w:t>≤5.5</w:t>
                  </w:r>
                </w:p>
              </w:tc>
              <w:tc>
                <w:tcPr>
                  <w:tcW w:w="1278" w:type="dxa"/>
                  <w:vAlign w:val="center"/>
                </w:tcPr>
                <w:p>
                  <w:pPr>
                    <w:snapToGrid w:val="0"/>
                    <w:jc w:val="center"/>
                    <w:rPr>
                      <w:color w:val="000000"/>
                      <w:szCs w:val="21"/>
                    </w:rPr>
                  </w:pPr>
                  <w:r>
                    <w:rPr>
                      <w:color w:val="000000"/>
                      <w:szCs w:val="21"/>
                    </w:rPr>
                    <w:t>5.5≤</w:t>
                  </w:r>
                  <w:r>
                    <w:rPr>
                      <w:rFonts w:hint="eastAsia"/>
                      <w:color w:val="000000"/>
                      <w:szCs w:val="21"/>
                    </w:rPr>
                    <w:t>pH</w:t>
                  </w:r>
                  <w:r>
                    <w:rPr>
                      <w:color w:val="000000"/>
                      <w:szCs w:val="21"/>
                    </w:rPr>
                    <w:t>≤6.5</w:t>
                  </w:r>
                </w:p>
              </w:tc>
              <w:tc>
                <w:tcPr>
                  <w:tcW w:w="1277" w:type="dxa"/>
                  <w:vAlign w:val="center"/>
                </w:tcPr>
                <w:p>
                  <w:pPr>
                    <w:snapToGrid w:val="0"/>
                    <w:jc w:val="center"/>
                    <w:rPr>
                      <w:color w:val="000000"/>
                      <w:szCs w:val="21"/>
                    </w:rPr>
                  </w:pPr>
                  <w:r>
                    <w:rPr>
                      <w:color w:val="000000"/>
                      <w:szCs w:val="21"/>
                    </w:rPr>
                    <w:t>6.5≤</w:t>
                  </w:r>
                  <w:r>
                    <w:rPr>
                      <w:rFonts w:hint="eastAsia"/>
                      <w:color w:val="000000"/>
                      <w:szCs w:val="21"/>
                    </w:rPr>
                    <w:t>pH</w:t>
                  </w:r>
                  <w:r>
                    <w:rPr>
                      <w:color w:val="000000"/>
                      <w:szCs w:val="21"/>
                    </w:rPr>
                    <w:t>≤7.5</w:t>
                  </w:r>
                </w:p>
              </w:tc>
              <w:tc>
                <w:tcPr>
                  <w:tcW w:w="1278" w:type="dxa"/>
                  <w:vAlign w:val="center"/>
                </w:tcPr>
                <w:p>
                  <w:pPr>
                    <w:snapToGrid w:val="0"/>
                    <w:jc w:val="center"/>
                    <w:rPr>
                      <w:color w:val="000000"/>
                      <w:szCs w:val="21"/>
                    </w:rPr>
                  </w:pPr>
                  <w:r>
                    <w:rPr>
                      <w:rFonts w:hint="eastAsia"/>
                      <w:color w:val="000000"/>
                      <w:szCs w:val="21"/>
                    </w:rPr>
                    <w:t>pH≥</w:t>
                  </w:r>
                  <w:r>
                    <w:rPr>
                      <w:color w:val="000000"/>
                      <w:szCs w:val="21"/>
                    </w:rPr>
                    <w:t>7.5</w:t>
                  </w:r>
                </w:p>
              </w:tc>
              <w:tc>
                <w:tcPr>
                  <w:tcW w:w="1552" w:type="dxa"/>
                  <w:vMerge w:val="restart"/>
                  <w:vAlign w:val="center"/>
                </w:tcPr>
                <w:p>
                  <w:pPr>
                    <w:pStyle w:val="53"/>
                    <w:snapToGrid w:val="0"/>
                    <w:spacing w:line="240" w:lineRule="auto"/>
                    <w:jc w:val="center"/>
                    <w:rPr>
                      <w:rFonts w:ascii="Times New Roman" w:hAnsi="Times New Roman" w:eastAsia="宋体"/>
                      <w:color w:val="000000"/>
                      <w:sz w:val="21"/>
                      <w:szCs w:val="21"/>
                    </w:rPr>
                  </w:pPr>
                  <w:r>
                    <w:rPr>
                      <w:rFonts w:ascii="Times New Roman" w:hAnsi="Times New Roman" w:eastAsia="宋体"/>
                      <w:color w:val="000000"/>
                      <w:sz w:val="21"/>
                      <w:szCs w:val="21"/>
                    </w:rPr>
                    <w:t xml:space="preserve">（GB </w:t>
                  </w:r>
                  <w:r>
                    <w:rPr>
                      <w:rFonts w:hint="eastAsia" w:ascii="Times New Roman" w:hAnsi="Times New Roman" w:eastAsia="宋体"/>
                      <w:color w:val="000000"/>
                      <w:sz w:val="21"/>
                      <w:szCs w:val="21"/>
                    </w:rPr>
                    <w:t>16518</w:t>
                  </w:r>
                  <w:r>
                    <w:rPr>
                      <w:rFonts w:ascii="Times New Roman" w:hAnsi="Times New Roman" w:eastAsia="宋体"/>
                      <w:color w:val="000000"/>
                      <w:sz w:val="21"/>
                      <w:szCs w:val="21"/>
                    </w:rPr>
                    <w:t>-2018）表</w:t>
                  </w:r>
                  <w:r>
                    <w:rPr>
                      <w:rFonts w:hint="eastAsia" w:ascii="Times New Roman" w:hAnsi="Times New Roman" w:eastAsia="宋体"/>
                      <w:color w:val="000000"/>
                      <w:sz w:val="21"/>
                      <w:szCs w:val="21"/>
                    </w:rPr>
                    <w:t>1中</w:t>
                  </w:r>
                  <w:r>
                    <w:rPr>
                      <w:rFonts w:ascii="Times New Roman" w:hAnsi="Times New Roman" w:eastAsia="宋体"/>
                      <w:color w:val="000000"/>
                      <w:sz w:val="21"/>
                      <w:szCs w:val="21"/>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1" w:type="dxa"/>
                  <w:vAlign w:val="center"/>
                </w:tcPr>
                <w:p>
                  <w:pPr>
                    <w:snapToGrid w:val="0"/>
                    <w:jc w:val="center"/>
                    <w:rPr>
                      <w:color w:val="000000"/>
                      <w:szCs w:val="21"/>
                    </w:rPr>
                  </w:pPr>
                  <w:r>
                    <w:rPr>
                      <w:color w:val="000000"/>
                      <w:szCs w:val="21"/>
                    </w:rPr>
                    <w:t>1</w:t>
                  </w:r>
                </w:p>
              </w:tc>
              <w:tc>
                <w:tcPr>
                  <w:tcW w:w="1836" w:type="dxa"/>
                  <w:vAlign w:val="center"/>
                </w:tcPr>
                <w:p>
                  <w:pPr>
                    <w:snapToGrid w:val="0"/>
                    <w:jc w:val="center"/>
                    <w:rPr>
                      <w:color w:val="000000"/>
                      <w:szCs w:val="21"/>
                    </w:rPr>
                  </w:pPr>
                  <w:r>
                    <w:rPr>
                      <w:color w:val="000000"/>
                      <w:szCs w:val="21"/>
                    </w:rPr>
                    <w:t>镉</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0</w:t>
                  </w:r>
                  <w:r>
                    <w:rPr>
                      <w:color w:val="000000"/>
                      <w:szCs w:val="21"/>
                    </w:rPr>
                    <w:t>.3</w:t>
                  </w:r>
                </w:p>
              </w:tc>
              <w:tc>
                <w:tcPr>
                  <w:tcW w:w="1278" w:type="dxa"/>
                  <w:vAlign w:val="center"/>
                </w:tcPr>
                <w:p>
                  <w:pPr>
                    <w:snapToGrid w:val="0"/>
                    <w:jc w:val="center"/>
                    <w:rPr>
                      <w:color w:val="000000"/>
                      <w:szCs w:val="21"/>
                    </w:rPr>
                  </w:pPr>
                  <w:r>
                    <w:rPr>
                      <w:rFonts w:hint="eastAsia"/>
                      <w:color w:val="000000"/>
                      <w:szCs w:val="21"/>
                    </w:rPr>
                    <w:t>0</w:t>
                  </w:r>
                  <w:r>
                    <w:rPr>
                      <w:color w:val="000000"/>
                      <w:szCs w:val="21"/>
                    </w:rPr>
                    <w:t>.3</w:t>
                  </w:r>
                </w:p>
              </w:tc>
              <w:tc>
                <w:tcPr>
                  <w:tcW w:w="1277" w:type="dxa"/>
                  <w:vAlign w:val="center"/>
                </w:tcPr>
                <w:p>
                  <w:pPr>
                    <w:snapToGrid w:val="0"/>
                    <w:jc w:val="center"/>
                    <w:rPr>
                      <w:color w:val="000000"/>
                      <w:szCs w:val="21"/>
                    </w:rPr>
                  </w:pPr>
                  <w:r>
                    <w:rPr>
                      <w:rFonts w:hint="eastAsia"/>
                      <w:color w:val="000000"/>
                      <w:szCs w:val="21"/>
                    </w:rPr>
                    <w:t>0</w:t>
                  </w:r>
                  <w:r>
                    <w:rPr>
                      <w:color w:val="000000"/>
                      <w:szCs w:val="21"/>
                    </w:rPr>
                    <w:t>.3</w:t>
                  </w:r>
                </w:p>
              </w:tc>
              <w:tc>
                <w:tcPr>
                  <w:tcW w:w="1278" w:type="dxa"/>
                  <w:vAlign w:val="center"/>
                </w:tcPr>
                <w:p>
                  <w:pPr>
                    <w:snapToGrid w:val="0"/>
                    <w:jc w:val="center"/>
                    <w:rPr>
                      <w:color w:val="000000"/>
                      <w:szCs w:val="21"/>
                    </w:rPr>
                  </w:pPr>
                  <w:r>
                    <w:rPr>
                      <w:rFonts w:hint="eastAsia"/>
                      <w:color w:val="000000"/>
                      <w:szCs w:val="21"/>
                    </w:rPr>
                    <w:t>0</w:t>
                  </w:r>
                  <w:r>
                    <w:rPr>
                      <w:color w:val="000000"/>
                      <w:szCs w:val="21"/>
                    </w:rPr>
                    <w:t>.6</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1" w:type="dxa"/>
                  <w:vAlign w:val="center"/>
                </w:tcPr>
                <w:p>
                  <w:pPr>
                    <w:snapToGrid w:val="0"/>
                    <w:jc w:val="center"/>
                    <w:rPr>
                      <w:color w:val="000000"/>
                      <w:szCs w:val="21"/>
                    </w:rPr>
                  </w:pPr>
                  <w:r>
                    <w:rPr>
                      <w:color w:val="000000"/>
                      <w:szCs w:val="21"/>
                    </w:rPr>
                    <w:t>2</w:t>
                  </w:r>
                </w:p>
              </w:tc>
              <w:tc>
                <w:tcPr>
                  <w:tcW w:w="1836" w:type="dxa"/>
                  <w:vAlign w:val="center"/>
                </w:tcPr>
                <w:p>
                  <w:pPr>
                    <w:snapToGrid w:val="0"/>
                    <w:jc w:val="center"/>
                    <w:rPr>
                      <w:color w:val="000000"/>
                      <w:szCs w:val="21"/>
                    </w:rPr>
                  </w:pPr>
                  <w:r>
                    <w:rPr>
                      <w:color w:val="000000"/>
                      <w:szCs w:val="21"/>
                    </w:rPr>
                    <w:t>汞</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1</w:t>
                  </w:r>
                  <w:r>
                    <w:rPr>
                      <w:color w:val="000000"/>
                      <w:szCs w:val="21"/>
                    </w:rPr>
                    <w:t>.3</w:t>
                  </w:r>
                </w:p>
              </w:tc>
              <w:tc>
                <w:tcPr>
                  <w:tcW w:w="1278" w:type="dxa"/>
                  <w:vAlign w:val="center"/>
                </w:tcPr>
                <w:p>
                  <w:pPr>
                    <w:snapToGrid w:val="0"/>
                    <w:jc w:val="center"/>
                    <w:rPr>
                      <w:color w:val="000000"/>
                      <w:szCs w:val="21"/>
                    </w:rPr>
                  </w:pPr>
                  <w:r>
                    <w:rPr>
                      <w:rFonts w:hint="eastAsia"/>
                      <w:color w:val="000000"/>
                      <w:szCs w:val="21"/>
                    </w:rPr>
                    <w:t>1</w:t>
                  </w:r>
                  <w:r>
                    <w:rPr>
                      <w:color w:val="000000"/>
                      <w:szCs w:val="21"/>
                    </w:rPr>
                    <w:t>.8</w:t>
                  </w:r>
                </w:p>
              </w:tc>
              <w:tc>
                <w:tcPr>
                  <w:tcW w:w="1277" w:type="dxa"/>
                  <w:vAlign w:val="center"/>
                </w:tcPr>
                <w:p>
                  <w:pPr>
                    <w:snapToGrid w:val="0"/>
                    <w:jc w:val="center"/>
                    <w:rPr>
                      <w:color w:val="000000"/>
                      <w:szCs w:val="21"/>
                    </w:rPr>
                  </w:pPr>
                  <w:r>
                    <w:rPr>
                      <w:rFonts w:hint="eastAsia"/>
                      <w:color w:val="000000"/>
                      <w:szCs w:val="21"/>
                    </w:rPr>
                    <w:t>2</w:t>
                  </w:r>
                  <w:r>
                    <w:rPr>
                      <w:color w:val="000000"/>
                      <w:szCs w:val="21"/>
                    </w:rPr>
                    <w:t>.4</w:t>
                  </w:r>
                </w:p>
              </w:tc>
              <w:tc>
                <w:tcPr>
                  <w:tcW w:w="1278" w:type="dxa"/>
                  <w:vAlign w:val="center"/>
                </w:tcPr>
                <w:p>
                  <w:pPr>
                    <w:snapToGrid w:val="0"/>
                    <w:jc w:val="center"/>
                    <w:rPr>
                      <w:color w:val="000000"/>
                      <w:szCs w:val="21"/>
                    </w:rPr>
                  </w:pPr>
                  <w:r>
                    <w:rPr>
                      <w:rFonts w:hint="eastAsia"/>
                      <w:color w:val="000000"/>
                      <w:szCs w:val="21"/>
                    </w:rPr>
                    <w:t>3</w:t>
                  </w:r>
                  <w:r>
                    <w:rPr>
                      <w:color w:val="000000"/>
                      <w:szCs w:val="21"/>
                    </w:rPr>
                    <w:t>.4</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1" w:type="dxa"/>
                  <w:vAlign w:val="center"/>
                </w:tcPr>
                <w:p>
                  <w:pPr>
                    <w:snapToGrid w:val="0"/>
                    <w:jc w:val="center"/>
                    <w:rPr>
                      <w:color w:val="000000"/>
                      <w:szCs w:val="21"/>
                    </w:rPr>
                  </w:pPr>
                  <w:r>
                    <w:rPr>
                      <w:color w:val="000000"/>
                      <w:szCs w:val="21"/>
                    </w:rPr>
                    <w:t>3</w:t>
                  </w:r>
                </w:p>
              </w:tc>
              <w:tc>
                <w:tcPr>
                  <w:tcW w:w="1836" w:type="dxa"/>
                  <w:vAlign w:val="center"/>
                </w:tcPr>
                <w:p>
                  <w:pPr>
                    <w:snapToGrid w:val="0"/>
                    <w:jc w:val="center"/>
                    <w:rPr>
                      <w:color w:val="000000"/>
                      <w:szCs w:val="21"/>
                    </w:rPr>
                  </w:pPr>
                  <w:r>
                    <w:rPr>
                      <w:color w:val="000000"/>
                      <w:szCs w:val="21"/>
                    </w:rPr>
                    <w:t>砷</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4</w:t>
                  </w:r>
                  <w:r>
                    <w:rPr>
                      <w:color w:val="000000"/>
                      <w:szCs w:val="21"/>
                    </w:rPr>
                    <w:t>0</w:t>
                  </w:r>
                </w:p>
              </w:tc>
              <w:tc>
                <w:tcPr>
                  <w:tcW w:w="1278" w:type="dxa"/>
                  <w:vAlign w:val="center"/>
                </w:tcPr>
                <w:p>
                  <w:pPr>
                    <w:snapToGrid w:val="0"/>
                    <w:jc w:val="center"/>
                    <w:rPr>
                      <w:color w:val="000000"/>
                      <w:szCs w:val="21"/>
                    </w:rPr>
                  </w:pPr>
                  <w:r>
                    <w:rPr>
                      <w:rFonts w:hint="eastAsia"/>
                      <w:color w:val="000000"/>
                      <w:szCs w:val="21"/>
                    </w:rPr>
                    <w:t>4</w:t>
                  </w:r>
                  <w:r>
                    <w:rPr>
                      <w:color w:val="000000"/>
                      <w:szCs w:val="21"/>
                    </w:rPr>
                    <w:t>0</w:t>
                  </w:r>
                </w:p>
              </w:tc>
              <w:tc>
                <w:tcPr>
                  <w:tcW w:w="1277" w:type="dxa"/>
                  <w:vAlign w:val="center"/>
                </w:tcPr>
                <w:p>
                  <w:pPr>
                    <w:snapToGrid w:val="0"/>
                    <w:jc w:val="center"/>
                    <w:rPr>
                      <w:color w:val="000000"/>
                      <w:szCs w:val="21"/>
                    </w:rPr>
                  </w:pPr>
                  <w:r>
                    <w:rPr>
                      <w:rFonts w:hint="eastAsia"/>
                      <w:color w:val="000000"/>
                      <w:szCs w:val="21"/>
                    </w:rPr>
                    <w:t>3</w:t>
                  </w:r>
                  <w:r>
                    <w:rPr>
                      <w:color w:val="000000"/>
                      <w:szCs w:val="21"/>
                    </w:rPr>
                    <w:t>0</w:t>
                  </w:r>
                </w:p>
              </w:tc>
              <w:tc>
                <w:tcPr>
                  <w:tcW w:w="1278" w:type="dxa"/>
                  <w:vAlign w:val="center"/>
                </w:tcPr>
                <w:p>
                  <w:pPr>
                    <w:snapToGrid w:val="0"/>
                    <w:jc w:val="center"/>
                    <w:rPr>
                      <w:color w:val="000000"/>
                      <w:szCs w:val="21"/>
                    </w:rPr>
                  </w:pPr>
                  <w:r>
                    <w:rPr>
                      <w:rFonts w:hint="eastAsia"/>
                      <w:color w:val="000000"/>
                      <w:szCs w:val="21"/>
                    </w:rPr>
                    <w:t>2</w:t>
                  </w:r>
                  <w:r>
                    <w:rPr>
                      <w:color w:val="000000"/>
                      <w:szCs w:val="21"/>
                    </w:rPr>
                    <w:t>5</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4</w:t>
                  </w:r>
                </w:p>
              </w:tc>
              <w:tc>
                <w:tcPr>
                  <w:tcW w:w="1836" w:type="dxa"/>
                  <w:vAlign w:val="center"/>
                </w:tcPr>
                <w:p>
                  <w:pPr>
                    <w:snapToGrid w:val="0"/>
                    <w:jc w:val="center"/>
                    <w:rPr>
                      <w:color w:val="000000"/>
                      <w:szCs w:val="21"/>
                    </w:rPr>
                  </w:pPr>
                  <w:r>
                    <w:rPr>
                      <w:color w:val="000000"/>
                      <w:szCs w:val="21"/>
                    </w:rPr>
                    <w:t>铅</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7</w:t>
                  </w:r>
                  <w:r>
                    <w:rPr>
                      <w:color w:val="000000"/>
                      <w:szCs w:val="21"/>
                    </w:rPr>
                    <w:t>0</w:t>
                  </w:r>
                </w:p>
              </w:tc>
              <w:tc>
                <w:tcPr>
                  <w:tcW w:w="1278" w:type="dxa"/>
                  <w:vAlign w:val="center"/>
                </w:tcPr>
                <w:p>
                  <w:pPr>
                    <w:snapToGrid w:val="0"/>
                    <w:jc w:val="center"/>
                    <w:rPr>
                      <w:color w:val="000000"/>
                      <w:szCs w:val="21"/>
                    </w:rPr>
                  </w:pPr>
                  <w:r>
                    <w:rPr>
                      <w:rFonts w:hint="eastAsia"/>
                      <w:color w:val="000000"/>
                      <w:szCs w:val="21"/>
                    </w:rPr>
                    <w:t>9</w:t>
                  </w:r>
                  <w:r>
                    <w:rPr>
                      <w:color w:val="000000"/>
                      <w:szCs w:val="21"/>
                    </w:rPr>
                    <w:t>0</w:t>
                  </w:r>
                </w:p>
              </w:tc>
              <w:tc>
                <w:tcPr>
                  <w:tcW w:w="1277" w:type="dxa"/>
                  <w:vAlign w:val="center"/>
                </w:tcPr>
                <w:p>
                  <w:pPr>
                    <w:snapToGrid w:val="0"/>
                    <w:jc w:val="center"/>
                    <w:rPr>
                      <w:color w:val="000000"/>
                      <w:szCs w:val="21"/>
                    </w:rPr>
                  </w:pPr>
                  <w:r>
                    <w:rPr>
                      <w:rFonts w:hint="eastAsia"/>
                      <w:color w:val="000000"/>
                      <w:szCs w:val="21"/>
                    </w:rPr>
                    <w:t>1</w:t>
                  </w:r>
                  <w:r>
                    <w:rPr>
                      <w:color w:val="000000"/>
                      <w:szCs w:val="21"/>
                    </w:rPr>
                    <w:t>20</w:t>
                  </w:r>
                </w:p>
              </w:tc>
              <w:tc>
                <w:tcPr>
                  <w:tcW w:w="1278" w:type="dxa"/>
                  <w:vAlign w:val="center"/>
                </w:tcPr>
                <w:p>
                  <w:pPr>
                    <w:snapToGrid w:val="0"/>
                    <w:jc w:val="center"/>
                    <w:rPr>
                      <w:color w:val="000000"/>
                      <w:szCs w:val="21"/>
                    </w:rPr>
                  </w:pPr>
                  <w:r>
                    <w:rPr>
                      <w:rFonts w:hint="eastAsia"/>
                      <w:color w:val="000000"/>
                      <w:szCs w:val="21"/>
                    </w:rPr>
                    <w:t>1</w:t>
                  </w:r>
                  <w:r>
                    <w:rPr>
                      <w:color w:val="000000"/>
                      <w:szCs w:val="21"/>
                    </w:rPr>
                    <w:t>70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5</w:t>
                  </w:r>
                </w:p>
              </w:tc>
              <w:tc>
                <w:tcPr>
                  <w:tcW w:w="1836" w:type="dxa"/>
                  <w:vAlign w:val="center"/>
                </w:tcPr>
                <w:p>
                  <w:pPr>
                    <w:snapToGrid w:val="0"/>
                    <w:jc w:val="center"/>
                    <w:rPr>
                      <w:color w:val="000000"/>
                      <w:szCs w:val="21"/>
                    </w:rPr>
                  </w:pPr>
                  <w:r>
                    <w:rPr>
                      <w:color w:val="000000"/>
                      <w:szCs w:val="21"/>
                    </w:rPr>
                    <w:t>铬</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1</w:t>
                  </w:r>
                  <w:r>
                    <w:rPr>
                      <w:color w:val="000000"/>
                      <w:szCs w:val="21"/>
                    </w:rPr>
                    <w:t>50</w:t>
                  </w:r>
                </w:p>
              </w:tc>
              <w:tc>
                <w:tcPr>
                  <w:tcW w:w="1278" w:type="dxa"/>
                  <w:vAlign w:val="center"/>
                </w:tcPr>
                <w:p>
                  <w:pPr>
                    <w:snapToGrid w:val="0"/>
                    <w:jc w:val="center"/>
                    <w:rPr>
                      <w:color w:val="000000"/>
                      <w:szCs w:val="21"/>
                    </w:rPr>
                  </w:pPr>
                  <w:r>
                    <w:rPr>
                      <w:rFonts w:hint="eastAsia"/>
                      <w:color w:val="000000"/>
                      <w:szCs w:val="21"/>
                    </w:rPr>
                    <w:t>1</w:t>
                  </w:r>
                  <w:r>
                    <w:rPr>
                      <w:color w:val="000000"/>
                      <w:szCs w:val="21"/>
                    </w:rPr>
                    <w:t>50</w:t>
                  </w:r>
                </w:p>
              </w:tc>
              <w:tc>
                <w:tcPr>
                  <w:tcW w:w="1277" w:type="dxa"/>
                  <w:vAlign w:val="center"/>
                </w:tcPr>
                <w:p>
                  <w:pPr>
                    <w:snapToGrid w:val="0"/>
                    <w:jc w:val="center"/>
                    <w:rPr>
                      <w:color w:val="000000"/>
                      <w:szCs w:val="21"/>
                    </w:rPr>
                  </w:pPr>
                  <w:r>
                    <w:rPr>
                      <w:rFonts w:hint="eastAsia"/>
                      <w:color w:val="000000"/>
                      <w:szCs w:val="21"/>
                    </w:rPr>
                    <w:t>2</w:t>
                  </w:r>
                  <w:r>
                    <w:rPr>
                      <w:color w:val="000000"/>
                      <w:szCs w:val="21"/>
                    </w:rPr>
                    <w:t>00</w:t>
                  </w:r>
                </w:p>
              </w:tc>
              <w:tc>
                <w:tcPr>
                  <w:tcW w:w="1278" w:type="dxa"/>
                  <w:vAlign w:val="center"/>
                </w:tcPr>
                <w:p>
                  <w:pPr>
                    <w:snapToGrid w:val="0"/>
                    <w:jc w:val="center"/>
                    <w:rPr>
                      <w:color w:val="000000"/>
                      <w:szCs w:val="21"/>
                    </w:rPr>
                  </w:pPr>
                  <w:r>
                    <w:rPr>
                      <w:rFonts w:hint="eastAsia"/>
                      <w:color w:val="000000"/>
                      <w:szCs w:val="21"/>
                    </w:rPr>
                    <w:t>2</w:t>
                  </w:r>
                  <w:r>
                    <w:rPr>
                      <w:color w:val="000000"/>
                      <w:szCs w:val="21"/>
                    </w:rPr>
                    <w:t>50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6</w:t>
                  </w:r>
                </w:p>
              </w:tc>
              <w:tc>
                <w:tcPr>
                  <w:tcW w:w="1836" w:type="dxa"/>
                  <w:vAlign w:val="center"/>
                </w:tcPr>
                <w:p>
                  <w:pPr>
                    <w:snapToGrid w:val="0"/>
                    <w:jc w:val="center"/>
                    <w:rPr>
                      <w:color w:val="000000"/>
                      <w:szCs w:val="21"/>
                    </w:rPr>
                  </w:pPr>
                  <w:r>
                    <w:rPr>
                      <w:color w:val="000000"/>
                      <w:szCs w:val="21"/>
                    </w:rPr>
                    <w:t>铜</w:t>
                  </w:r>
                  <w:r>
                    <w:rPr>
                      <w:rFonts w:hint="eastAsia"/>
                      <w:color w:val="000000"/>
                      <w:szCs w:val="21"/>
                    </w:rPr>
                    <w:t>（其他）</w:t>
                  </w:r>
                </w:p>
              </w:tc>
              <w:tc>
                <w:tcPr>
                  <w:tcW w:w="1277" w:type="dxa"/>
                  <w:vAlign w:val="center"/>
                </w:tcPr>
                <w:p>
                  <w:pPr>
                    <w:snapToGrid w:val="0"/>
                    <w:jc w:val="center"/>
                    <w:rPr>
                      <w:color w:val="000000"/>
                      <w:szCs w:val="21"/>
                    </w:rPr>
                  </w:pPr>
                  <w:r>
                    <w:rPr>
                      <w:rFonts w:hint="eastAsia"/>
                      <w:color w:val="000000"/>
                      <w:szCs w:val="21"/>
                    </w:rPr>
                    <w:t>5</w:t>
                  </w:r>
                  <w:r>
                    <w:rPr>
                      <w:color w:val="000000"/>
                      <w:szCs w:val="21"/>
                    </w:rPr>
                    <w:t>0</w:t>
                  </w:r>
                </w:p>
              </w:tc>
              <w:tc>
                <w:tcPr>
                  <w:tcW w:w="1278" w:type="dxa"/>
                  <w:vAlign w:val="center"/>
                </w:tcPr>
                <w:p>
                  <w:pPr>
                    <w:snapToGrid w:val="0"/>
                    <w:jc w:val="center"/>
                    <w:rPr>
                      <w:color w:val="000000"/>
                      <w:szCs w:val="21"/>
                    </w:rPr>
                  </w:pPr>
                  <w:r>
                    <w:rPr>
                      <w:rFonts w:hint="eastAsia"/>
                      <w:color w:val="000000"/>
                      <w:szCs w:val="21"/>
                    </w:rPr>
                    <w:t>5</w:t>
                  </w:r>
                  <w:r>
                    <w:rPr>
                      <w:color w:val="000000"/>
                      <w:szCs w:val="21"/>
                    </w:rPr>
                    <w:t>0</w:t>
                  </w:r>
                </w:p>
              </w:tc>
              <w:tc>
                <w:tcPr>
                  <w:tcW w:w="1277" w:type="dxa"/>
                  <w:vAlign w:val="center"/>
                </w:tcPr>
                <w:p>
                  <w:pPr>
                    <w:snapToGrid w:val="0"/>
                    <w:jc w:val="center"/>
                    <w:rPr>
                      <w:color w:val="000000"/>
                      <w:szCs w:val="21"/>
                    </w:rPr>
                  </w:pPr>
                  <w:r>
                    <w:rPr>
                      <w:rFonts w:hint="eastAsia"/>
                      <w:color w:val="000000"/>
                      <w:szCs w:val="21"/>
                    </w:rPr>
                    <w:t>1</w:t>
                  </w:r>
                  <w:r>
                    <w:rPr>
                      <w:color w:val="000000"/>
                      <w:szCs w:val="21"/>
                    </w:rPr>
                    <w:t>00</w:t>
                  </w:r>
                </w:p>
              </w:tc>
              <w:tc>
                <w:tcPr>
                  <w:tcW w:w="1278" w:type="dxa"/>
                  <w:vAlign w:val="center"/>
                </w:tcPr>
                <w:p>
                  <w:pPr>
                    <w:snapToGrid w:val="0"/>
                    <w:jc w:val="center"/>
                    <w:rPr>
                      <w:color w:val="000000"/>
                      <w:szCs w:val="21"/>
                    </w:rPr>
                  </w:pPr>
                  <w:r>
                    <w:rPr>
                      <w:rFonts w:hint="eastAsia"/>
                      <w:color w:val="000000"/>
                      <w:szCs w:val="21"/>
                    </w:rPr>
                    <w:t>1</w:t>
                  </w:r>
                  <w:r>
                    <w:rPr>
                      <w:color w:val="000000"/>
                      <w:szCs w:val="21"/>
                    </w:rPr>
                    <w:t>00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7</w:t>
                  </w:r>
                </w:p>
              </w:tc>
              <w:tc>
                <w:tcPr>
                  <w:tcW w:w="1836" w:type="dxa"/>
                  <w:vAlign w:val="center"/>
                </w:tcPr>
                <w:p>
                  <w:pPr>
                    <w:snapToGrid w:val="0"/>
                    <w:jc w:val="center"/>
                    <w:rPr>
                      <w:color w:val="000000"/>
                      <w:szCs w:val="21"/>
                    </w:rPr>
                  </w:pPr>
                  <w:r>
                    <w:rPr>
                      <w:color w:val="000000"/>
                      <w:szCs w:val="21"/>
                    </w:rPr>
                    <w:t>镍</w:t>
                  </w:r>
                </w:p>
              </w:tc>
              <w:tc>
                <w:tcPr>
                  <w:tcW w:w="1277" w:type="dxa"/>
                  <w:vAlign w:val="center"/>
                </w:tcPr>
                <w:p>
                  <w:pPr>
                    <w:snapToGrid w:val="0"/>
                    <w:jc w:val="center"/>
                    <w:rPr>
                      <w:color w:val="000000"/>
                      <w:szCs w:val="21"/>
                    </w:rPr>
                  </w:pPr>
                  <w:r>
                    <w:rPr>
                      <w:rFonts w:hint="eastAsia"/>
                      <w:color w:val="000000"/>
                      <w:szCs w:val="21"/>
                    </w:rPr>
                    <w:t>6</w:t>
                  </w:r>
                  <w:r>
                    <w:rPr>
                      <w:color w:val="000000"/>
                      <w:szCs w:val="21"/>
                    </w:rPr>
                    <w:t>0</w:t>
                  </w:r>
                </w:p>
              </w:tc>
              <w:tc>
                <w:tcPr>
                  <w:tcW w:w="1278" w:type="dxa"/>
                  <w:vAlign w:val="center"/>
                </w:tcPr>
                <w:p>
                  <w:pPr>
                    <w:snapToGrid w:val="0"/>
                    <w:jc w:val="center"/>
                    <w:rPr>
                      <w:color w:val="000000"/>
                      <w:szCs w:val="21"/>
                    </w:rPr>
                  </w:pPr>
                  <w:r>
                    <w:rPr>
                      <w:rFonts w:hint="eastAsia"/>
                      <w:color w:val="000000"/>
                      <w:szCs w:val="21"/>
                    </w:rPr>
                    <w:t>7</w:t>
                  </w:r>
                  <w:r>
                    <w:rPr>
                      <w:color w:val="000000"/>
                      <w:szCs w:val="21"/>
                    </w:rPr>
                    <w:t>0</w:t>
                  </w:r>
                </w:p>
              </w:tc>
              <w:tc>
                <w:tcPr>
                  <w:tcW w:w="1277" w:type="dxa"/>
                  <w:vAlign w:val="center"/>
                </w:tcPr>
                <w:p>
                  <w:pPr>
                    <w:snapToGrid w:val="0"/>
                    <w:jc w:val="center"/>
                    <w:rPr>
                      <w:color w:val="000000"/>
                      <w:szCs w:val="21"/>
                    </w:rPr>
                  </w:pPr>
                  <w:r>
                    <w:rPr>
                      <w:rFonts w:hint="eastAsia"/>
                      <w:color w:val="000000"/>
                      <w:szCs w:val="21"/>
                    </w:rPr>
                    <w:t>1</w:t>
                  </w:r>
                  <w:r>
                    <w:rPr>
                      <w:color w:val="000000"/>
                      <w:szCs w:val="21"/>
                    </w:rPr>
                    <w:t>00</w:t>
                  </w:r>
                </w:p>
              </w:tc>
              <w:tc>
                <w:tcPr>
                  <w:tcW w:w="1278" w:type="dxa"/>
                  <w:vAlign w:val="center"/>
                </w:tcPr>
                <w:p>
                  <w:pPr>
                    <w:snapToGrid w:val="0"/>
                    <w:jc w:val="center"/>
                    <w:rPr>
                      <w:color w:val="000000"/>
                      <w:szCs w:val="21"/>
                    </w:rPr>
                  </w:pPr>
                  <w:r>
                    <w:rPr>
                      <w:rFonts w:hint="eastAsia"/>
                      <w:color w:val="000000"/>
                      <w:szCs w:val="21"/>
                    </w:rPr>
                    <w:t>1</w:t>
                  </w:r>
                  <w:r>
                    <w:rPr>
                      <w:color w:val="000000"/>
                      <w:szCs w:val="21"/>
                    </w:rPr>
                    <w:t>90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rFonts w:hint="eastAsia"/>
                      <w:color w:val="000000"/>
                      <w:szCs w:val="21"/>
                    </w:rPr>
                    <w:t>8</w:t>
                  </w:r>
                </w:p>
              </w:tc>
              <w:tc>
                <w:tcPr>
                  <w:tcW w:w="1836" w:type="dxa"/>
                  <w:vAlign w:val="center"/>
                </w:tcPr>
                <w:p>
                  <w:pPr>
                    <w:snapToGrid w:val="0"/>
                    <w:jc w:val="center"/>
                    <w:rPr>
                      <w:color w:val="000000"/>
                      <w:szCs w:val="21"/>
                    </w:rPr>
                  </w:pPr>
                  <w:r>
                    <w:rPr>
                      <w:rFonts w:hint="eastAsia"/>
                      <w:color w:val="000000"/>
                      <w:szCs w:val="21"/>
                    </w:rPr>
                    <w:t>锌</w:t>
                  </w:r>
                </w:p>
              </w:tc>
              <w:tc>
                <w:tcPr>
                  <w:tcW w:w="1277" w:type="dxa"/>
                  <w:vAlign w:val="center"/>
                </w:tcPr>
                <w:p>
                  <w:pPr>
                    <w:snapToGrid w:val="0"/>
                    <w:jc w:val="center"/>
                    <w:rPr>
                      <w:color w:val="000000"/>
                      <w:szCs w:val="21"/>
                    </w:rPr>
                  </w:pPr>
                  <w:r>
                    <w:rPr>
                      <w:rFonts w:hint="eastAsia"/>
                      <w:color w:val="000000"/>
                      <w:szCs w:val="21"/>
                    </w:rPr>
                    <w:t>2</w:t>
                  </w:r>
                  <w:r>
                    <w:rPr>
                      <w:color w:val="000000"/>
                      <w:szCs w:val="21"/>
                    </w:rPr>
                    <w:t>00</w:t>
                  </w:r>
                </w:p>
              </w:tc>
              <w:tc>
                <w:tcPr>
                  <w:tcW w:w="1278" w:type="dxa"/>
                  <w:vAlign w:val="center"/>
                </w:tcPr>
                <w:p>
                  <w:pPr>
                    <w:snapToGrid w:val="0"/>
                    <w:jc w:val="center"/>
                    <w:rPr>
                      <w:color w:val="000000"/>
                      <w:szCs w:val="21"/>
                    </w:rPr>
                  </w:pPr>
                  <w:r>
                    <w:rPr>
                      <w:rFonts w:hint="eastAsia"/>
                      <w:color w:val="000000"/>
                      <w:szCs w:val="21"/>
                    </w:rPr>
                    <w:t>2</w:t>
                  </w:r>
                  <w:r>
                    <w:rPr>
                      <w:color w:val="000000"/>
                      <w:szCs w:val="21"/>
                    </w:rPr>
                    <w:t>00</w:t>
                  </w:r>
                </w:p>
              </w:tc>
              <w:tc>
                <w:tcPr>
                  <w:tcW w:w="1277" w:type="dxa"/>
                  <w:vAlign w:val="center"/>
                </w:tcPr>
                <w:p>
                  <w:pPr>
                    <w:snapToGrid w:val="0"/>
                    <w:jc w:val="center"/>
                    <w:rPr>
                      <w:color w:val="000000"/>
                      <w:szCs w:val="21"/>
                    </w:rPr>
                  </w:pPr>
                  <w:r>
                    <w:rPr>
                      <w:rFonts w:hint="eastAsia"/>
                      <w:color w:val="000000"/>
                      <w:szCs w:val="21"/>
                    </w:rPr>
                    <w:t>2</w:t>
                  </w:r>
                  <w:r>
                    <w:rPr>
                      <w:color w:val="000000"/>
                      <w:szCs w:val="21"/>
                    </w:rPr>
                    <w:t>50</w:t>
                  </w:r>
                </w:p>
              </w:tc>
              <w:tc>
                <w:tcPr>
                  <w:tcW w:w="1278" w:type="dxa"/>
                  <w:vAlign w:val="center"/>
                </w:tcPr>
                <w:p>
                  <w:pPr>
                    <w:snapToGrid w:val="0"/>
                    <w:jc w:val="center"/>
                    <w:rPr>
                      <w:color w:val="000000"/>
                      <w:szCs w:val="21"/>
                    </w:rPr>
                  </w:pPr>
                  <w:r>
                    <w:rPr>
                      <w:rFonts w:hint="eastAsia"/>
                      <w:color w:val="000000"/>
                      <w:szCs w:val="21"/>
                    </w:rPr>
                    <w:t>3</w:t>
                  </w:r>
                  <w:r>
                    <w:rPr>
                      <w:color w:val="000000"/>
                      <w:szCs w:val="21"/>
                    </w:rPr>
                    <w:t>00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9</w:t>
                  </w:r>
                </w:p>
              </w:tc>
              <w:tc>
                <w:tcPr>
                  <w:tcW w:w="1836" w:type="dxa"/>
                  <w:vAlign w:val="center"/>
                </w:tcPr>
                <w:p>
                  <w:pPr>
                    <w:snapToGrid w:val="0"/>
                    <w:jc w:val="center"/>
                    <w:rPr>
                      <w:color w:val="000000"/>
                      <w:szCs w:val="21"/>
                    </w:rPr>
                  </w:pPr>
                  <w:r>
                    <w:rPr>
                      <w:rFonts w:hint="eastAsia"/>
                      <w:color w:val="000000"/>
                      <w:szCs w:val="21"/>
                    </w:rPr>
                    <w:t>六六六总量</w:t>
                  </w:r>
                </w:p>
              </w:tc>
              <w:tc>
                <w:tcPr>
                  <w:tcW w:w="5110" w:type="dxa"/>
                  <w:gridSpan w:val="4"/>
                  <w:vAlign w:val="center"/>
                </w:tcPr>
                <w:p>
                  <w:pPr>
                    <w:snapToGrid w:val="0"/>
                    <w:jc w:val="center"/>
                    <w:rPr>
                      <w:color w:val="000000"/>
                      <w:szCs w:val="21"/>
                    </w:rPr>
                  </w:pPr>
                  <w:r>
                    <w:rPr>
                      <w:rFonts w:hint="eastAsia"/>
                      <w:color w:val="000000"/>
                      <w:szCs w:val="21"/>
                    </w:rPr>
                    <w:t>0</w:t>
                  </w:r>
                  <w:r>
                    <w:rPr>
                      <w:color w:val="000000"/>
                      <w:szCs w:val="21"/>
                    </w:rPr>
                    <w:t>.10</w:t>
                  </w:r>
                </w:p>
              </w:tc>
              <w:tc>
                <w:tcPr>
                  <w:tcW w:w="1552" w:type="dxa"/>
                  <w:vMerge w:val="continue"/>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81" w:type="dxa"/>
                  <w:vAlign w:val="center"/>
                </w:tcPr>
                <w:p>
                  <w:pPr>
                    <w:snapToGrid w:val="0"/>
                    <w:jc w:val="center"/>
                    <w:rPr>
                      <w:color w:val="000000"/>
                      <w:szCs w:val="21"/>
                    </w:rPr>
                  </w:pPr>
                  <w:r>
                    <w:rPr>
                      <w:color w:val="000000"/>
                      <w:szCs w:val="21"/>
                    </w:rPr>
                    <w:t>10</w:t>
                  </w:r>
                </w:p>
              </w:tc>
              <w:tc>
                <w:tcPr>
                  <w:tcW w:w="1836" w:type="dxa"/>
                  <w:vAlign w:val="center"/>
                </w:tcPr>
                <w:p>
                  <w:pPr>
                    <w:snapToGrid w:val="0"/>
                    <w:jc w:val="center"/>
                    <w:rPr>
                      <w:color w:val="000000"/>
                      <w:szCs w:val="21"/>
                    </w:rPr>
                  </w:pPr>
                  <w:r>
                    <w:rPr>
                      <w:rFonts w:hint="eastAsia"/>
                      <w:color w:val="000000"/>
                      <w:szCs w:val="21"/>
                    </w:rPr>
                    <w:t>滴滴涕总量</w:t>
                  </w:r>
                </w:p>
              </w:tc>
              <w:tc>
                <w:tcPr>
                  <w:tcW w:w="5110" w:type="dxa"/>
                  <w:gridSpan w:val="4"/>
                  <w:vAlign w:val="center"/>
                </w:tcPr>
                <w:p>
                  <w:pPr>
                    <w:snapToGrid w:val="0"/>
                    <w:jc w:val="center"/>
                    <w:rPr>
                      <w:color w:val="000000"/>
                      <w:szCs w:val="21"/>
                    </w:rPr>
                  </w:pPr>
                  <w:r>
                    <w:rPr>
                      <w:rFonts w:hint="eastAsia"/>
                      <w:color w:val="000000"/>
                      <w:szCs w:val="21"/>
                    </w:rPr>
                    <w:t>0</w:t>
                  </w:r>
                  <w:r>
                    <w:rPr>
                      <w:color w:val="000000"/>
                      <w:szCs w:val="21"/>
                    </w:rPr>
                    <w:t>.10</w:t>
                  </w:r>
                </w:p>
              </w:tc>
              <w:tc>
                <w:tcPr>
                  <w:tcW w:w="1552" w:type="dxa"/>
                  <w:vMerge w:val="continue"/>
                  <w:vAlign w:val="center"/>
                </w:tcPr>
                <w:p>
                  <w:pPr>
                    <w:snapToGrid w:val="0"/>
                    <w:jc w:val="center"/>
                    <w:rPr>
                      <w:color w:val="000000"/>
                      <w:szCs w:val="21"/>
                    </w:rPr>
                  </w:pPr>
                </w:p>
              </w:tc>
            </w:tr>
          </w:tbl>
          <w:p>
            <w:pPr>
              <w:spacing w:line="360" w:lineRule="auto"/>
              <w:rPr>
                <w:rFonts w:ascii="宋体" w:hAnsi="宋体"/>
                <w:b/>
                <w:sz w:val="24"/>
              </w:rPr>
            </w:pPr>
            <w:r>
              <w:rPr>
                <w:rFonts w:hint="eastAsia" w:ascii="宋体" w:hAnsi="宋体"/>
                <w:b/>
                <w:sz w:val="24"/>
              </w:rPr>
              <w:t>二、污染物排放标准</w:t>
            </w:r>
          </w:p>
          <w:p>
            <w:pPr>
              <w:adjustRightInd w:val="0"/>
              <w:spacing w:line="360" w:lineRule="auto"/>
              <w:ind w:firstLine="482" w:firstLineChars="200"/>
              <w:rPr>
                <w:b/>
                <w:sz w:val="24"/>
              </w:rPr>
            </w:pPr>
            <w:r>
              <w:rPr>
                <w:rFonts w:hint="eastAsia"/>
                <w:b/>
                <w:sz w:val="24"/>
              </w:rPr>
              <w:t>1</w:t>
            </w:r>
            <w:r>
              <w:rPr>
                <w:b/>
                <w:sz w:val="24"/>
              </w:rPr>
              <w:t>、废气</w:t>
            </w:r>
          </w:p>
          <w:p>
            <w:pPr>
              <w:spacing w:line="360" w:lineRule="auto"/>
              <w:ind w:firstLine="480" w:firstLineChars="200"/>
              <w:rPr>
                <w:rFonts w:hAnsi="宋体"/>
                <w:sz w:val="24"/>
              </w:rPr>
            </w:pPr>
            <w:r>
              <w:rPr>
                <w:rFonts w:hAnsi="宋体"/>
                <w:sz w:val="24"/>
              </w:rPr>
              <w:t>项目施工期扬尘</w:t>
            </w:r>
            <w:r>
              <w:rPr>
                <w:rFonts w:hint="eastAsia" w:hAnsi="宋体"/>
                <w:sz w:val="24"/>
              </w:rPr>
              <w:t>（TSP）执行《四川省施工场地扬尘排放标准》（DB51/2682-2020）中相关限值要求</w:t>
            </w:r>
            <w:r>
              <w:rPr>
                <w:rFonts w:hint="eastAsia" w:hAnsi="宋体"/>
                <w:sz w:val="24"/>
                <w:lang w:eastAsia="zh-CN"/>
              </w:rPr>
              <w:t>；</w:t>
            </w:r>
            <w:r>
              <w:rPr>
                <w:rFonts w:hint="eastAsia" w:hAnsi="宋体"/>
                <w:color w:val="0000FF"/>
                <w:sz w:val="24"/>
                <w:lang w:val="en-US" w:eastAsia="zh-CN"/>
              </w:rPr>
              <w:t>施工期沥青拌合站使用的导热油炉选用电加热，无废气产生</w:t>
            </w:r>
            <w:r>
              <w:rPr>
                <w:rFonts w:hint="eastAsia" w:hAnsi="宋体"/>
                <w:sz w:val="24"/>
                <w:lang w:val="en-US" w:eastAsia="zh-CN"/>
              </w:rPr>
              <w:t>，其在拌合过程中产生的颗粒物、</w:t>
            </w:r>
            <w:r>
              <w:rPr>
                <w:rFonts w:hint="eastAsia" w:hAnsi="宋体"/>
                <w:sz w:val="24"/>
                <w:lang w:eastAsia="zh-CN"/>
              </w:rPr>
              <w:t>苯并[a]芘执行《大气污染物综合排放标准》（GB16297-1996）表2中排放标准限值</w:t>
            </w:r>
            <w:r>
              <w:rPr>
                <w:rFonts w:hAnsi="宋体"/>
                <w:sz w:val="24"/>
              </w:rPr>
              <w:t>具体见表</w:t>
            </w:r>
            <w:r>
              <w:rPr>
                <w:sz w:val="24"/>
              </w:rPr>
              <w:t>3-</w:t>
            </w:r>
            <w:r>
              <w:rPr>
                <w:rFonts w:hint="eastAsia"/>
                <w:sz w:val="24"/>
                <w:lang w:val="en-US" w:eastAsia="zh-CN"/>
              </w:rPr>
              <w:t>1</w:t>
            </w:r>
            <w:r>
              <w:rPr>
                <w:rFonts w:hint="eastAsia"/>
                <w:sz w:val="24"/>
              </w:rPr>
              <w:t>7</w:t>
            </w:r>
            <w:r>
              <w:rPr>
                <w:rFonts w:hint="eastAsia"/>
                <w:sz w:val="24"/>
                <w:lang w:eastAsia="zh-CN"/>
              </w:rPr>
              <w:t>、</w:t>
            </w:r>
            <w:r>
              <w:rPr>
                <w:rFonts w:hAnsi="宋体"/>
                <w:sz w:val="24"/>
              </w:rPr>
              <w:t>表</w:t>
            </w:r>
            <w:r>
              <w:rPr>
                <w:sz w:val="24"/>
              </w:rPr>
              <w:t>3-</w:t>
            </w:r>
            <w:r>
              <w:rPr>
                <w:rFonts w:hint="eastAsia"/>
                <w:sz w:val="24"/>
                <w:lang w:val="en-US" w:eastAsia="zh-CN"/>
              </w:rPr>
              <w:t>18</w:t>
            </w:r>
            <w:r>
              <w:rPr>
                <w:rFonts w:hint="eastAsia" w:hAnsi="宋体"/>
                <w:sz w:val="24"/>
              </w:rPr>
              <w:t>。</w:t>
            </w:r>
          </w:p>
          <w:p>
            <w:pPr>
              <w:autoSpaceDE w:val="0"/>
              <w:autoSpaceDN w:val="0"/>
              <w:spacing w:line="360" w:lineRule="auto"/>
              <w:jc w:val="center"/>
              <w:rPr>
                <w:rFonts w:hAnsi="宋体"/>
                <w:b/>
                <w:szCs w:val="21"/>
                <w:lang w:val="zh-CN"/>
              </w:rPr>
            </w:pPr>
            <w:r>
              <w:rPr>
                <w:rFonts w:hint="eastAsia" w:hAnsi="宋体"/>
                <w:b/>
                <w:szCs w:val="21"/>
                <w:lang w:val="zh-CN"/>
              </w:rPr>
              <w:t>表3-</w:t>
            </w:r>
            <w:r>
              <w:rPr>
                <w:rFonts w:hint="eastAsia" w:hAnsi="宋体"/>
                <w:b/>
                <w:szCs w:val="21"/>
                <w:lang w:val="en-US" w:eastAsia="zh-CN"/>
              </w:rPr>
              <w:t>1</w:t>
            </w:r>
            <w:r>
              <w:rPr>
                <w:rFonts w:hint="eastAsia" w:hAnsi="宋体"/>
                <w:b/>
                <w:szCs w:val="21"/>
                <w:lang w:val="zh-CN"/>
              </w:rPr>
              <w:t>7</w:t>
            </w:r>
            <w:r>
              <w:rPr>
                <w:rFonts w:hAnsi="宋体"/>
                <w:b/>
                <w:szCs w:val="21"/>
                <w:lang w:val="zh-CN"/>
              </w:rPr>
              <w:t xml:space="preserve">   </w:t>
            </w:r>
            <w:r>
              <w:rPr>
                <w:rFonts w:hint="eastAsia" w:hAnsi="宋体"/>
                <w:b/>
                <w:szCs w:val="21"/>
                <w:lang w:val="zh-CN"/>
              </w:rPr>
              <w:t>四川省施工场地扬尘排放限值</w:t>
            </w:r>
          </w:p>
          <w:tbl>
            <w:tblPr>
              <w:tblStyle w:val="23"/>
              <w:tblW w:w="4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441"/>
              <w:gridCol w:w="1000"/>
              <w:gridCol w:w="1630"/>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Align w:val="center"/>
                </w:tcPr>
                <w:p>
                  <w:pPr>
                    <w:snapToGrid w:val="0"/>
                    <w:jc w:val="center"/>
                    <w:rPr>
                      <w:b/>
                      <w:szCs w:val="21"/>
                    </w:rPr>
                  </w:pPr>
                  <w:r>
                    <w:rPr>
                      <w:rFonts w:hAnsi="宋体"/>
                      <w:b/>
                      <w:szCs w:val="21"/>
                    </w:rPr>
                    <w:t>评价因子</w:t>
                  </w:r>
                </w:p>
              </w:tc>
              <w:tc>
                <w:tcPr>
                  <w:tcW w:w="1342" w:type="pct"/>
                  <w:vAlign w:val="center"/>
                </w:tcPr>
                <w:p>
                  <w:pPr>
                    <w:snapToGrid w:val="0"/>
                    <w:jc w:val="center"/>
                    <w:rPr>
                      <w:b/>
                      <w:szCs w:val="21"/>
                    </w:rPr>
                  </w:pPr>
                  <w:r>
                    <w:rPr>
                      <w:rFonts w:hAnsi="宋体"/>
                      <w:b/>
                      <w:szCs w:val="21"/>
                    </w:rPr>
                    <w:t>平均时段</w:t>
                  </w:r>
                </w:p>
              </w:tc>
              <w:tc>
                <w:tcPr>
                  <w:tcW w:w="550" w:type="pct"/>
                  <w:vAlign w:val="center"/>
                </w:tcPr>
                <w:p>
                  <w:pPr>
                    <w:snapToGrid w:val="0"/>
                    <w:jc w:val="center"/>
                    <w:rPr>
                      <w:b/>
                      <w:szCs w:val="21"/>
                    </w:rPr>
                  </w:pPr>
                  <w:r>
                    <w:rPr>
                      <w:rFonts w:hAnsi="宋体"/>
                      <w:b/>
                      <w:szCs w:val="21"/>
                    </w:rPr>
                    <w:t>单位</w:t>
                  </w:r>
                </w:p>
              </w:tc>
              <w:tc>
                <w:tcPr>
                  <w:tcW w:w="896" w:type="pct"/>
                  <w:vAlign w:val="center"/>
                </w:tcPr>
                <w:p>
                  <w:pPr>
                    <w:snapToGrid w:val="0"/>
                    <w:jc w:val="center"/>
                    <w:rPr>
                      <w:b/>
                      <w:szCs w:val="21"/>
                    </w:rPr>
                  </w:pPr>
                  <w:r>
                    <w:rPr>
                      <w:rFonts w:hAnsi="宋体"/>
                      <w:b/>
                      <w:szCs w:val="21"/>
                    </w:rPr>
                    <w:t>二级标准值</w:t>
                  </w:r>
                </w:p>
              </w:tc>
              <w:tc>
                <w:tcPr>
                  <w:tcW w:w="1314" w:type="pct"/>
                  <w:vAlign w:val="center"/>
                </w:tcPr>
                <w:p>
                  <w:pPr>
                    <w:snapToGrid w:val="0"/>
                    <w:jc w:val="center"/>
                    <w:rPr>
                      <w:b/>
                      <w:szCs w:val="21"/>
                    </w:rPr>
                  </w:pPr>
                  <w:r>
                    <w:rPr>
                      <w:rFonts w:hAnsi="宋体"/>
                      <w:b/>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Merge w:val="restart"/>
                  <w:vAlign w:val="center"/>
                </w:tcPr>
                <w:p>
                  <w:pPr>
                    <w:snapToGrid w:val="0"/>
                    <w:jc w:val="center"/>
                    <w:rPr>
                      <w:szCs w:val="21"/>
                    </w:rPr>
                  </w:pPr>
                  <w:r>
                    <w:rPr>
                      <w:szCs w:val="21"/>
                    </w:rPr>
                    <w:t>TSP</w:t>
                  </w:r>
                </w:p>
              </w:tc>
              <w:tc>
                <w:tcPr>
                  <w:tcW w:w="1342" w:type="pct"/>
                  <w:vAlign w:val="center"/>
                </w:tcPr>
                <w:p>
                  <w:pPr>
                    <w:snapToGrid w:val="0"/>
                    <w:jc w:val="center"/>
                    <w:rPr>
                      <w:rFonts w:hAnsi="宋体"/>
                      <w:szCs w:val="21"/>
                    </w:rPr>
                  </w:pPr>
                  <w:r>
                    <w:rPr>
                      <w:rFonts w:hAnsi="宋体"/>
                      <w:szCs w:val="21"/>
                    </w:rPr>
                    <w:t>土方开挖</w:t>
                  </w:r>
                  <w:r>
                    <w:rPr>
                      <w:rFonts w:hint="eastAsia" w:hAnsi="宋体"/>
                      <w:szCs w:val="21"/>
                    </w:rPr>
                    <w:t>/回填阶段</w:t>
                  </w:r>
                </w:p>
              </w:tc>
              <w:tc>
                <w:tcPr>
                  <w:tcW w:w="550" w:type="pct"/>
                  <w:vMerge w:val="restart"/>
                  <w:vAlign w:val="center"/>
                </w:tcPr>
                <w:p>
                  <w:pPr>
                    <w:snapToGrid w:val="0"/>
                    <w:jc w:val="center"/>
                    <w:rPr>
                      <w:szCs w:val="21"/>
                    </w:rPr>
                  </w:pPr>
                  <w:r>
                    <w:rPr>
                      <w:szCs w:val="21"/>
                    </w:rPr>
                    <w:t>ug/m</w:t>
                  </w:r>
                  <w:r>
                    <w:rPr>
                      <w:szCs w:val="21"/>
                      <w:vertAlign w:val="superscript"/>
                    </w:rPr>
                    <w:t>3</w:t>
                  </w:r>
                </w:p>
              </w:tc>
              <w:tc>
                <w:tcPr>
                  <w:tcW w:w="896" w:type="pct"/>
                  <w:vAlign w:val="center"/>
                </w:tcPr>
                <w:p>
                  <w:pPr>
                    <w:snapToGrid w:val="0"/>
                    <w:jc w:val="center"/>
                    <w:rPr>
                      <w:szCs w:val="21"/>
                    </w:rPr>
                  </w:pPr>
                  <w:r>
                    <w:rPr>
                      <w:rFonts w:hint="eastAsia"/>
                      <w:szCs w:val="21"/>
                    </w:rPr>
                    <w:t>600</w:t>
                  </w:r>
                </w:p>
              </w:tc>
              <w:tc>
                <w:tcPr>
                  <w:tcW w:w="1314" w:type="pct"/>
                  <w:vMerge w:val="restart"/>
                  <w:vAlign w:val="center"/>
                </w:tcPr>
                <w:p>
                  <w:pPr>
                    <w:snapToGrid w:val="0"/>
                    <w:jc w:val="center"/>
                    <w:rPr>
                      <w:szCs w:val="21"/>
                    </w:rPr>
                  </w:pPr>
                  <w:r>
                    <w:rPr>
                      <w:szCs w:val="21"/>
                    </w:rPr>
                    <w:t>DB5</w:t>
                  </w:r>
                  <w:r>
                    <w:rPr>
                      <w:rFonts w:hint="eastAsia"/>
                      <w:szCs w:val="21"/>
                    </w:rPr>
                    <w:t>1</w:t>
                  </w:r>
                  <w:r>
                    <w:rPr>
                      <w:szCs w:val="21"/>
                    </w:rPr>
                    <w:t>/2682-2020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8" w:type="pct"/>
                  <w:vMerge w:val="continue"/>
                  <w:vAlign w:val="center"/>
                </w:tcPr>
                <w:p>
                  <w:pPr>
                    <w:snapToGrid w:val="0"/>
                    <w:jc w:val="center"/>
                    <w:rPr>
                      <w:szCs w:val="21"/>
                    </w:rPr>
                  </w:pPr>
                </w:p>
              </w:tc>
              <w:tc>
                <w:tcPr>
                  <w:tcW w:w="1342" w:type="pct"/>
                  <w:vAlign w:val="center"/>
                </w:tcPr>
                <w:p>
                  <w:pPr>
                    <w:snapToGrid w:val="0"/>
                    <w:jc w:val="center"/>
                    <w:rPr>
                      <w:rFonts w:hAnsi="宋体"/>
                      <w:szCs w:val="21"/>
                    </w:rPr>
                  </w:pPr>
                  <w:r>
                    <w:rPr>
                      <w:rFonts w:hAnsi="宋体"/>
                      <w:szCs w:val="21"/>
                    </w:rPr>
                    <w:t>其他工程阶段</w:t>
                  </w:r>
                </w:p>
              </w:tc>
              <w:tc>
                <w:tcPr>
                  <w:tcW w:w="550" w:type="pct"/>
                  <w:vMerge w:val="continue"/>
                  <w:vAlign w:val="center"/>
                </w:tcPr>
                <w:p>
                  <w:pPr>
                    <w:snapToGrid w:val="0"/>
                    <w:jc w:val="center"/>
                    <w:rPr>
                      <w:szCs w:val="21"/>
                    </w:rPr>
                  </w:pPr>
                </w:p>
              </w:tc>
              <w:tc>
                <w:tcPr>
                  <w:tcW w:w="896" w:type="pct"/>
                  <w:vAlign w:val="center"/>
                </w:tcPr>
                <w:p>
                  <w:pPr>
                    <w:snapToGrid w:val="0"/>
                    <w:jc w:val="center"/>
                    <w:rPr>
                      <w:szCs w:val="21"/>
                    </w:rPr>
                  </w:pPr>
                  <w:r>
                    <w:rPr>
                      <w:rFonts w:hint="eastAsia"/>
                      <w:szCs w:val="21"/>
                    </w:rPr>
                    <w:t>250</w:t>
                  </w:r>
                </w:p>
              </w:tc>
              <w:tc>
                <w:tcPr>
                  <w:tcW w:w="1314" w:type="pct"/>
                  <w:vMerge w:val="continue"/>
                  <w:vAlign w:val="center"/>
                </w:tcPr>
                <w:p>
                  <w:pPr>
                    <w:snapToGrid w:val="0"/>
                    <w:jc w:val="center"/>
                    <w:rPr>
                      <w:szCs w:val="21"/>
                    </w:rPr>
                  </w:pPr>
                </w:p>
              </w:tc>
            </w:tr>
          </w:tbl>
          <w:p>
            <w:pPr>
              <w:spacing w:line="360" w:lineRule="auto"/>
              <w:ind w:firstLine="480" w:firstLineChars="200"/>
              <w:rPr>
                <w:rFonts w:hAnsi="宋体"/>
                <w:sz w:val="24"/>
              </w:rPr>
            </w:pPr>
            <w:r>
              <w:rPr>
                <w:rFonts w:hAnsi="宋体"/>
                <w:sz w:val="24"/>
              </w:rPr>
              <w:t>项目</w:t>
            </w:r>
            <w:r>
              <w:rPr>
                <w:rFonts w:hint="eastAsia" w:hAnsi="宋体"/>
                <w:sz w:val="24"/>
                <w:lang w:val="en-US" w:eastAsia="zh-CN"/>
              </w:rPr>
              <w:t>施工期颗粒物、</w:t>
            </w:r>
            <w:r>
              <w:rPr>
                <w:rFonts w:hint="eastAsia" w:hAnsi="宋体"/>
                <w:sz w:val="24"/>
                <w:lang w:eastAsia="zh-CN"/>
              </w:rPr>
              <w:t>苯并[a]芘</w:t>
            </w:r>
            <w:r>
              <w:rPr>
                <w:rFonts w:hAnsi="宋体"/>
                <w:sz w:val="24"/>
              </w:rPr>
              <w:t>执行《大气污染物综合排放标准》（</w:t>
            </w:r>
            <w:r>
              <w:rPr>
                <w:sz w:val="24"/>
              </w:rPr>
              <w:t>GB16297-1996</w:t>
            </w:r>
            <w:r>
              <w:rPr>
                <w:rFonts w:hAnsi="宋体"/>
                <w:sz w:val="24"/>
              </w:rPr>
              <w:t>）中二级标准</w:t>
            </w:r>
            <w:r>
              <w:rPr>
                <w:rFonts w:hint="eastAsia"/>
                <w:sz w:val="24"/>
              </w:rPr>
              <w:t>；</w:t>
            </w:r>
            <w:r>
              <w:rPr>
                <w:rFonts w:hAnsi="宋体"/>
                <w:sz w:val="24"/>
              </w:rPr>
              <w:t>具体见表</w:t>
            </w:r>
            <w:r>
              <w:rPr>
                <w:sz w:val="24"/>
              </w:rPr>
              <w:t>3-</w:t>
            </w:r>
            <w:r>
              <w:rPr>
                <w:rFonts w:hint="eastAsia"/>
                <w:sz w:val="24"/>
                <w:lang w:val="en-US" w:eastAsia="zh-CN"/>
              </w:rPr>
              <w:t>1</w:t>
            </w:r>
            <w:r>
              <w:rPr>
                <w:rFonts w:hint="eastAsia"/>
                <w:sz w:val="24"/>
              </w:rPr>
              <w:t>8</w:t>
            </w:r>
            <w:r>
              <w:rPr>
                <w:rFonts w:hAnsi="宋体"/>
                <w:sz w:val="24"/>
              </w:rPr>
              <w:t>所示。</w:t>
            </w:r>
          </w:p>
          <w:p>
            <w:pPr>
              <w:autoSpaceDE w:val="0"/>
              <w:autoSpaceDN w:val="0"/>
              <w:spacing w:line="360" w:lineRule="auto"/>
              <w:jc w:val="center"/>
              <w:rPr>
                <w:b/>
                <w:szCs w:val="21"/>
                <w:lang w:val="zh-CN"/>
              </w:rPr>
            </w:pPr>
            <w:r>
              <w:rPr>
                <w:rFonts w:hAnsi="宋体"/>
                <w:b/>
                <w:szCs w:val="21"/>
                <w:lang w:val="zh-CN"/>
              </w:rPr>
              <w:t>表</w:t>
            </w:r>
            <w:r>
              <w:rPr>
                <w:b/>
                <w:szCs w:val="21"/>
                <w:lang w:val="zh-CN"/>
              </w:rPr>
              <w:t>3-</w:t>
            </w:r>
            <w:r>
              <w:rPr>
                <w:rFonts w:hint="eastAsia"/>
                <w:b/>
                <w:szCs w:val="21"/>
                <w:lang w:val="en-US" w:eastAsia="zh-CN"/>
              </w:rPr>
              <w:t>1</w:t>
            </w:r>
            <w:r>
              <w:rPr>
                <w:rFonts w:hint="eastAsia"/>
                <w:b/>
                <w:szCs w:val="21"/>
                <w:lang w:val="zh-CN"/>
              </w:rPr>
              <w:t xml:space="preserve">8   </w:t>
            </w:r>
            <w:r>
              <w:rPr>
                <w:rFonts w:hAnsi="宋体"/>
                <w:b/>
                <w:szCs w:val="21"/>
                <w:lang w:val="zh-CN"/>
              </w:rPr>
              <w:t>《大气污染物综合排放标准》中二级标准</w:t>
            </w:r>
          </w:p>
          <w:tbl>
            <w:tblPr>
              <w:tblStyle w:val="23"/>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696"/>
              <w:gridCol w:w="1560"/>
              <w:gridCol w:w="1408"/>
              <w:gridCol w:w="1514"/>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pct"/>
                  <w:vMerge w:val="restart"/>
                  <w:vAlign w:val="center"/>
                </w:tcPr>
                <w:p>
                  <w:pPr>
                    <w:jc w:val="center"/>
                    <w:rPr>
                      <w:rFonts w:hint="default" w:ascii="Arial" w:hAnsi="Arial" w:eastAsia="宋体" w:cs="Arial"/>
                      <w:b/>
                      <w:sz w:val="21"/>
                      <w:szCs w:val="21"/>
                    </w:rPr>
                  </w:pPr>
                  <w:r>
                    <w:rPr>
                      <w:rFonts w:hint="default" w:ascii="Arial" w:hAnsi="Arial" w:eastAsia="宋体" w:cs="Arial"/>
                      <w:b/>
                      <w:sz w:val="21"/>
                      <w:szCs w:val="21"/>
                    </w:rPr>
                    <w:t>污染物</w:t>
                  </w:r>
                </w:p>
              </w:tc>
              <w:tc>
                <w:tcPr>
                  <w:tcW w:w="912" w:type="pct"/>
                  <w:vMerge w:val="restart"/>
                  <w:vAlign w:val="center"/>
                </w:tcPr>
                <w:p>
                  <w:pPr>
                    <w:jc w:val="center"/>
                    <w:rPr>
                      <w:rFonts w:hint="default" w:ascii="Arial" w:hAnsi="Arial" w:eastAsia="宋体" w:cs="Arial"/>
                      <w:b/>
                      <w:sz w:val="21"/>
                      <w:szCs w:val="21"/>
                    </w:rPr>
                  </w:pPr>
                  <w:r>
                    <w:rPr>
                      <w:rFonts w:hint="default" w:ascii="Arial" w:hAnsi="Arial" w:eastAsia="宋体" w:cs="Arial"/>
                      <w:b/>
                      <w:sz w:val="21"/>
                      <w:szCs w:val="21"/>
                    </w:rPr>
                    <w:t>最高允许排放浓度（mg/m</w:t>
                  </w:r>
                  <w:r>
                    <w:rPr>
                      <w:rFonts w:hint="default" w:ascii="Arial" w:hAnsi="Arial" w:eastAsia="宋体" w:cs="Arial"/>
                      <w:b/>
                      <w:sz w:val="21"/>
                      <w:szCs w:val="21"/>
                      <w:vertAlign w:val="superscript"/>
                    </w:rPr>
                    <w:t>3</w:t>
                  </w:r>
                  <w:r>
                    <w:rPr>
                      <w:rFonts w:hint="default" w:ascii="Arial" w:hAnsi="Arial" w:eastAsia="宋体" w:cs="Arial"/>
                      <w:b/>
                      <w:sz w:val="21"/>
                      <w:szCs w:val="21"/>
                    </w:rPr>
                    <w:t>）</w:t>
                  </w:r>
                </w:p>
              </w:tc>
              <w:tc>
                <w:tcPr>
                  <w:tcW w:w="1596" w:type="pct"/>
                  <w:gridSpan w:val="2"/>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最高允许排放速率（kg/h）</w:t>
                  </w:r>
                </w:p>
              </w:tc>
              <w:tc>
                <w:tcPr>
                  <w:tcW w:w="1799" w:type="pct"/>
                  <w:gridSpan w:val="2"/>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pct"/>
                  <w:vMerge w:val="continue"/>
                  <w:vAlign w:val="center"/>
                </w:tcPr>
                <w:p>
                  <w:pPr>
                    <w:jc w:val="center"/>
                    <w:rPr>
                      <w:rFonts w:hint="default" w:ascii="Arial" w:hAnsi="Arial" w:eastAsia="宋体" w:cs="Arial"/>
                      <w:b/>
                      <w:sz w:val="21"/>
                      <w:szCs w:val="21"/>
                    </w:rPr>
                  </w:pPr>
                </w:p>
              </w:tc>
              <w:tc>
                <w:tcPr>
                  <w:tcW w:w="912" w:type="pct"/>
                  <w:vMerge w:val="continue"/>
                  <w:vAlign w:val="center"/>
                </w:tcPr>
                <w:p>
                  <w:pPr>
                    <w:jc w:val="center"/>
                    <w:rPr>
                      <w:rFonts w:hint="default" w:ascii="Arial" w:hAnsi="Arial" w:eastAsia="宋体" w:cs="Arial"/>
                      <w:b/>
                      <w:sz w:val="21"/>
                      <w:szCs w:val="21"/>
                    </w:rPr>
                  </w:pPr>
                </w:p>
              </w:tc>
              <w:tc>
                <w:tcPr>
                  <w:tcW w:w="839" w:type="pct"/>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排气筒（m）</w:t>
                  </w:r>
                </w:p>
              </w:tc>
              <w:tc>
                <w:tcPr>
                  <w:tcW w:w="757" w:type="pct"/>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二级</w:t>
                  </w:r>
                </w:p>
              </w:tc>
              <w:tc>
                <w:tcPr>
                  <w:tcW w:w="814" w:type="pct"/>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监控点</w:t>
                  </w:r>
                </w:p>
              </w:tc>
              <w:tc>
                <w:tcPr>
                  <w:tcW w:w="984" w:type="pct"/>
                  <w:vAlign w:val="center"/>
                </w:tcPr>
                <w:p>
                  <w:pPr>
                    <w:snapToGrid w:val="0"/>
                    <w:jc w:val="center"/>
                    <w:rPr>
                      <w:rFonts w:hint="default" w:ascii="Arial" w:hAnsi="Arial" w:eastAsia="宋体" w:cs="Arial"/>
                      <w:b/>
                      <w:sz w:val="21"/>
                      <w:szCs w:val="21"/>
                    </w:rPr>
                  </w:pPr>
                  <w:r>
                    <w:rPr>
                      <w:rFonts w:hint="default" w:ascii="Arial" w:hAnsi="Arial" w:eastAsia="宋体" w:cs="Arial"/>
                      <w:b/>
                      <w:sz w:val="21"/>
                      <w:szCs w:val="21"/>
                    </w:rPr>
                    <w:t>浓度（mg/m</w:t>
                  </w:r>
                  <w:r>
                    <w:rPr>
                      <w:rFonts w:hint="default" w:ascii="Arial" w:hAnsi="Arial" w:eastAsia="宋体" w:cs="Arial"/>
                      <w:b/>
                      <w:sz w:val="21"/>
                      <w:szCs w:val="21"/>
                      <w:vertAlign w:val="superscript"/>
                    </w:rPr>
                    <w:t>3</w:t>
                  </w:r>
                  <w:r>
                    <w:rPr>
                      <w:rFonts w:hint="default" w:ascii="Arial" w:hAnsi="Arial" w:eastAsia="宋体" w:cs="Arial"/>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Align w:val="center"/>
                </w:tcPr>
                <w:p>
                  <w:pPr>
                    <w:jc w:val="center"/>
                    <w:rPr>
                      <w:rFonts w:hint="eastAsia" w:ascii="Arial" w:hAnsi="Arial" w:eastAsia="宋体" w:cs="Arial"/>
                      <w:b w:val="0"/>
                      <w:bCs/>
                      <w:sz w:val="21"/>
                      <w:szCs w:val="21"/>
                      <w:lang w:val="en-US" w:eastAsia="zh-CN"/>
                    </w:rPr>
                  </w:pPr>
                  <w:r>
                    <w:rPr>
                      <w:rFonts w:hint="eastAsia" w:ascii="Arial" w:hAnsi="Arial" w:cs="Arial"/>
                      <w:b w:val="0"/>
                      <w:bCs/>
                      <w:sz w:val="21"/>
                      <w:szCs w:val="21"/>
                      <w:lang w:val="en-US" w:eastAsia="zh-CN"/>
                    </w:rPr>
                    <w:t>TSP</w:t>
                  </w:r>
                </w:p>
              </w:tc>
              <w:tc>
                <w:tcPr>
                  <w:tcW w:w="912" w:type="pct"/>
                  <w:vAlign w:val="center"/>
                </w:tcPr>
                <w:p>
                  <w:pPr>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120</w:t>
                  </w:r>
                </w:p>
              </w:tc>
              <w:tc>
                <w:tcPr>
                  <w:tcW w:w="839" w:type="pct"/>
                  <w:vAlign w:val="center"/>
                </w:tcPr>
                <w:p>
                  <w:pPr>
                    <w:snapToGrid w:val="0"/>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15</w:t>
                  </w:r>
                </w:p>
              </w:tc>
              <w:tc>
                <w:tcPr>
                  <w:tcW w:w="757" w:type="pct"/>
                  <w:vAlign w:val="center"/>
                </w:tcPr>
                <w:p>
                  <w:pPr>
                    <w:snapToGrid w:val="0"/>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3.5</w:t>
                  </w:r>
                </w:p>
              </w:tc>
              <w:tc>
                <w:tcPr>
                  <w:tcW w:w="814" w:type="pct"/>
                  <w:vMerge w:val="restart"/>
                  <w:vAlign w:val="center"/>
                </w:tcPr>
                <w:p>
                  <w:pPr>
                    <w:jc w:val="center"/>
                    <w:rPr>
                      <w:rFonts w:hint="default" w:ascii="Arial" w:hAnsi="Arial" w:eastAsia="宋体" w:cs="Arial"/>
                      <w:sz w:val="21"/>
                      <w:szCs w:val="21"/>
                    </w:rPr>
                  </w:pPr>
                  <w:r>
                    <w:rPr>
                      <w:rFonts w:hint="default" w:ascii="Arial" w:hAnsi="Arial" w:eastAsia="宋体" w:cs="Arial"/>
                      <w:sz w:val="21"/>
                      <w:szCs w:val="21"/>
                    </w:rPr>
                    <w:t>周界外浓度最高点</w:t>
                  </w:r>
                </w:p>
              </w:tc>
              <w:tc>
                <w:tcPr>
                  <w:tcW w:w="984" w:type="pct"/>
                  <w:vAlign w:val="center"/>
                </w:tcPr>
                <w:p>
                  <w:pPr>
                    <w:snapToGrid w:val="0"/>
                    <w:jc w:val="center"/>
                    <w:rPr>
                      <w:rFonts w:hint="default" w:ascii="Arial" w:hAnsi="Arial" w:eastAsia="宋体" w:cs="Arial"/>
                      <w:b/>
                      <w:sz w:val="21"/>
                      <w:szCs w:val="21"/>
                      <w:lang w:val="en-US" w:eastAsia="zh-CN"/>
                    </w:rPr>
                  </w:pPr>
                  <w:r>
                    <w:rPr>
                      <w:rFonts w:hint="eastAsia" w:ascii="Arial" w:hAnsi="Arial" w:cs="Arial"/>
                      <w:b w:val="0"/>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Align w:val="center"/>
                </w:tcPr>
                <w:p>
                  <w:pPr>
                    <w:adjustRightInd w:val="0"/>
                    <w:snapToGrid w:val="0"/>
                    <w:jc w:val="center"/>
                    <w:rPr>
                      <w:rFonts w:hint="default" w:ascii="Arial" w:hAnsi="Arial" w:eastAsia="宋体" w:cs="Arial"/>
                      <w:sz w:val="21"/>
                      <w:szCs w:val="21"/>
                    </w:rPr>
                  </w:pPr>
                  <w:r>
                    <w:rPr>
                      <w:rFonts w:hint="default" w:ascii="Arial" w:hAnsi="Arial" w:eastAsia="宋体" w:cs="Arial"/>
                      <w:color w:val="000000"/>
                      <w:sz w:val="21"/>
                      <w:szCs w:val="21"/>
                    </w:rPr>
                    <w:t>苯并[a]芘</w:t>
                  </w:r>
                </w:p>
              </w:tc>
              <w:tc>
                <w:tcPr>
                  <w:tcW w:w="912" w:type="pct"/>
                  <w:vAlign w:val="center"/>
                </w:tcPr>
                <w:p>
                  <w:pPr>
                    <w:adjustRightInd w:val="0"/>
                    <w:snapToGrid w:val="0"/>
                    <w:jc w:val="center"/>
                    <w:rPr>
                      <w:rFonts w:hint="default" w:ascii="Arial" w:hAnsi="Arial" w:eastAsia="宋体" w:cs="Arial"/>
                      <w:sz w:val="21"/>
                      <w:szCs w:val="21"/>
                    </w:rPr>
                  </w:pPr>
                  <w:r>
                    <w:rPr>
                      <w:rFonts w:hint="default" w:ascii="Arial" w:hAnsi="Arial" w:eastAsia="宋体" w:cs="Arial"/>
                      <w:color w:val="000000"/>
                      <w:sz w:val="21"/>
                      <w:szCs w:val="21"/>
                    </w:rPr>
                    <w:t>0.3×10</w:t>
                  </w:r>
                  <w:r>
                    <w:rPr>
                      <w:rFonts w:hint="default" w:ascii="Arial" w:hAnsi="Arial" w:eastAsia="宋体" w:cs="Arial"/>
                      <w:color w:val="000000"/>
                      <w:sz w:val="21"/>
                      <w:szCs w:val="21"/>
                      <w:vertAlign w:val="superscript"/>
                    </w:rPr>
                    <w:t>-3</w:t>
                  </w:r>
                </w:p>
              </w:tc>
              <w:tc>
                <w:tcPr>
                  <w:tcW w:w="839" w:type="pct"/>
                  <w:vAlign w:val="center"/>
                </w:tcPr>
                <w:p>
                  <w:pPr>
                    <w:jc w:val="center"/>
                    <w:rPr>
                      <w:rFonts w:hint="default" w:ascii="Arial" w:hAnsi="Arial" w:eastAsia="宋体" w:cs="Arial"/>
                      <w:sz w:val="21"/>
                      <w:szCs w:val="21"/>
                    </w:rPr>
                  </w:pPr>
                  <w:r>
                    <w:rPr>
                      <w:rFonts w:hint="default" w:ascii="Arial" w:hAnsi="Arial" w:eastAsia="宋体" w:cs="Arial"/>
                      <w:sz w:val="21"/>
                      <w:szCs w:val="21"/>
                    </w:rPr>
                    <w:t>15</w:t>
                  </w:r>
                </w:p>
              </w:tc>
              <w:tc>
                <w:tcPr>
                  <w:tcW w:w="757" w:type="pct"/>
                  <w:vAlign w:val="center"/>
                </w:tcPr>
                <w:p>
                  <w:pPr>
                    <w:jc w:val="center"/>
                    <w:rPr>
                      <w:rFonts w:hint="default" w:ascii="Arial" w:hAnsi="Arial" w:eastAsia="宋体" w:cs="Arial"/>
                      <w:sz w:val="21"/>
                      <w:szCs w:val="21"/>
                    </w:rPr>
                  </w:pPr>
                  <w:r>
                    <w:rPr>
                      <w:rFonts w:hint="default" w:ascii="Arial" w:hAnsi="Arial" w:eastAsia="宋体" w:cs="Arial"/>
                      <w:color w:val="000000"/>
                      <w:sz w:val="21"/>
                      <w:szCs w:val="21"/>
                    </w:rPr>
                    <w:t>0.05×10</w:t>
                  </w:r>
                  <w:r>
                    <w:rPr>
                      <w:rFonts w:hint="default" w:ascii="Arial" w:hAnsi="Arial" w:eastAsia="宋体" w:cs="Arial"/>
                      <w:color w:val="000000"/>
                      <w:sz w:val="21"/>
                      <w:szCs w:val="21"/>
                      <w:vertAlign w:val="superscript"/>
                    </w:rPr>
                    <w:t>-3</w:t>
                  </w:r>
                </w:p>
              </w:tc>
              <w:tc>
                <w:tcPr>
                  <w:tcW w:w="814" w:type="pct"/>
                  <w:vMerge w:val="continue"/>
                  <w:vAlign w:val="center"/>
                </w:tcPr>
                <w:p>
                  <w:pPr>
                    <w:jc w:val="center"/>
                    <w:rPr>
                      <w:rFonts w:hint="default" w:ascii="Arial" w:hAnsi="Arial" w:eastAsia="宋体" w:cs="Arial"/>
                      <w:sz w:val="21"/>
                      <w:szCs w:val="21"/>
                    </w:rPr>
                  </w:pPr>
                </w:p>
              </w:tc>
              <w:tc>
                <w:tcPr>
                  <w:tcW w:w="984" w:type="pct"/>
                  <w:vAlign w:val="center"/>
                </w:tcPr>
                <w:p>
                  <w:pPr>
                    <w:jc w:val="center"/>
                    <w:rPr>
                      <w:rFonts w:hint="default" w:ascii="Arial" w:hAnsi="Arial" w:eastAsia="宋体" w:cs="Arial"/>
                      <w:sz w:val="21"/>
                      <w:szCs w:val="21"/>
                    </w:rPr>
                  </w:pPr>
                  <w:r>
                    <w:rPr>
                      <w:rFonts w:hint="default" w:ascii="Arial" w:hAnsi="Arial" w:eastAsia="宋体" w:cs="Arial"/>
                      <w:color w:val="000000"/>
                      <w:sz w:val="21"/>
                      <w:szCs w:val="21"/>
                    </w:rPr>
                    <w:t>0.008×10</w:t>
                  </w:r>
                  <w:r>
                    <w:rPr>
                      <w:rFonts w:hint="default" w:ascii="Arial" w:hAnsi="Arial" w:eastAsia="宋体" w:cs="Arial"/>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Align w:val="center"/>
                </w:tcPr>
                <w:p>
                  <w:pPr>
                    <w:jc w:val="center"/>
                    <w:rPr>
                      <w:rFonts w:hint="default"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沥青烟</w:t>
                  </w:r>
                </w:p>
              </w:tc>
              <w:tc>
                <w:tcPr>
                  <w:tcW w:w="912" w:type="pct"/>
                  <w:vAlign w:val="center"/>
                </w:tcPr>
                <w:p>
                  <w:pPr>
                    <w:jc w:val="center"/>
                    <w:rPr>
                      <w:rFonts w:hint="eastAsia"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75</w:t>
                  </w:r>
                </w:p>
                <w:p>
                  <w:pPr>
                    <w:jc w:val="center"/>
                    <w:rPr>
                      <w:rFonts w:hint="default"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（建筑搅拌）</w:t>
                  </w:r>
                </w:p>
              </w:tc>
              <w:tc>
                <w:tcPr>
                  <w:tcW w:w="839" w:type="pct"/>
                  <w:vAlign w:val="center"/>
                </w:tcPr>
                <w:p>
                  <w:pPr>
                    <w:jc w:val="center"/>
                    <w:rPr>
                      <w:rFonts w:hint="default"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15</w:t>
                  </w:r>
                </w:p>
              </w:tc>
              <w:tc>
                <w:tcPr>
                  <w:tcW w:w="757" w:type="pct"/>
                  <w:vAlign w:val="center"/>
                </w:tcPr>
                <w:p>
                  <w:pPr>
                    <w:jc w:val="center"/>
                    <w:rPr>
                      <w:rFonts w:hint="default"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0.18</w:t>
                  </w:r>
                </w:p>
              </w:tc>
              <w:tc>
                <w:tcPr>
                  <w:tcW w:w="1799" w:type="pct"/>
                  <w:gridSpan w:val="2"/>
                  <w:vAlign w:val="center"/>
                </w:tcPr>
                <w:p>
                  <w:pPr>
                    <w:jc w:val="center"/>
                    <w:rPr>
                      <w:rFonts w:hint="default" w:ascii="Arial" w:hAnsi="Arial" w:cs="Arial"/>
                      <w:b w:val="0"/>
                      <w:bCs/>
                      <w:color w:val="0000FF"/>
                      <w:sz w:val="21"/>
                      <w:szCs w:val="21"/>
                      <w:lang w:val="en-US" w:eastAsia="zh-CN"/>
                    </w:rPr>
                  </w:pPr>
                  <w:r>
                    <w:rPr>
                      <w:rFonts w:hint="eastAsia" w:ascii="Arial" w:hAnsi="Arial" w:cs="Arial"/>
                      <w:b w:val="0"/>
                      <w:bCs/>
                      <w:color w:val="0000FF"/>
                      <w:sz w:val="21"/>
                      <w:szCs w:val="21"/>
                      <w:lang w:val="en-US" w:eastAsia="zh-CN"/>
                    </w:rPr>
                    <w:t>生产设备不得有明显的无组织排放存在</w:t>
                  </w:r>
                </w:p>
              </w:tc>
            </w:tr>
          </w:tbl>
          <w:p>
            <w:pPr>
              <w:adjustRightInd w:val="0"/>
              <w:spacing w:line="360" w:lineRule="auto"/>
              <w:ind w:firstLine="482" w:firstLineChars="200"/>
              <w:rPr>
                <w:b/>
                <w:sz w:val="24"/>
              </w:rPr>
            </w:pPr>
            <w:r>
              <w:rPr>
                <w:rFonts w:hint="eastAsia"/>
                <w:b/>
                <w:sz w:val="24"/>
              </w:rPr>
              <w:t>2</w:t>
            </w:r>
            <w:r>
              <w:rPr>
                <w:b/>
                <w:sz w:val="24"/>
              </w:rPr>
              <w:t>、废水</w:t>
            </w:r>
          </w:p>
          <w:p>
            <w:pPr>
              <w:spacing w:line="360" w:lineRule="auto"/>
              <w:ind w:firstLine="480" w:firstLineChars="200"/>
              <w:rPr>
                <w:rFonts w:hint="default" w:ascii="Arial" w:hAnsi="Arial" w:eastAsia="宋体" w:cs="Arial"/>
                <w:bCs/>
                <w:color w:val="000000"/>
                <w:sz w:val="24"/>
                <w:highlight w:val="yellow"/>
                <w:lang w:val="en-US" w:eastAsia="zh-CN"/>
              </w:rPr>
            </w:pPr>
            <w:r>
              <w:rPr>
                <w:rFonts w:hAnsi="宋体"/>
                <w:sz w:val="24"/>
              </w:rPr>
              <w:t>项目采用雨、污水分流制。</w:t>
            </w:r>
            <w:r>
              <w:rPr>
                <w:rFonts w:hint="eastAsia" w:hAnsi="宋体"/>
                <w:sz w:val="24"/>
                <w:lang w:val="en-US" w:eastAsia="zh-CN"/>
              </w:rPr>
              <w:t>施工期</w:t>
            </w:r>
            <w:r>
              <w:rPr>
                <w:rFonts w:hAnsi="宋体"/>
                <w:sz w:val="24"/>
              </w:rPr>
              <w:t>污水经配套的</w:t>
            </w:r>
            <w:r>
              <w:rPr>
                <w:rFonts w:hint="eastAsia" w:hAnsi="宋体"/>
                <w:sz w:val="24"/>
                <w:lang w:val="en-US" w:eastAsia="zh-CN"/>
              </w:rPr>
              <w:t>旱厕</w:t>
            </w:r>
            <w:r>
              <w:rPr>
                <w:rFonts w:hAnsi="宋体"/>
                <w:sz w:val="24"/>
              </w:rPr>
              <w:t>收集处理后定期</w:t>
            </w:r>
            <w:r>
              <w:rPr>
                <w:rFonts w:hint="eastAsia" w:hAnsi="宋体"/>
                <w:sz w:val="24"/>
              </w:rPr>
              <w:t>联系</w:t>
            </w:r>
            <w:r>
              <w:rPr>
                <w:rFonts w:hint="eastAsia"/>
                <w:color w:val="000000"/>
                <w:sz w:val="24"/>
              </w:rPr>
              <w:t>联系</w:t>
            </w:r>
            <w:r>
              <w:rPr>
                <w:rFonts w:hint="eastAsia" w:ascii="Arial" w:hAnsi="Arial" w:cs="Arial"/>
                <w:bCs/>
                <w:color w:val="000000"/>
                <w:sz w:val="24"/>
              </w:rPr>
              <w:t>市政环卫部门定期清运</w:t>
            </w:r>
            <w:r>
              <w:rPr>
                <w:rFonts w:hint="eastAsia"/>
                <w:color w:val="000000"/>
                <w:sz w:val="24"/>
              </w:rPr>
              <w:t>用作农肥，不外排</w:t>
            </w:r>
            <w:r>
              <w:rPr>
                <w:rFonts w:hint="eastAsia" w:ascii="Arial" w:hAnsi="Arial" w:cs="Arial"/>
                <w:bCs/>
                <w:color w:val="000000"/>
                <w:sz w:val="24"/>
              </w:rPr>
              <w:t>。</w:t>
            </w:r>
            <w:r>
              <w:rPr>
                <w:rFonts w:hint="eastAsia" w:ascii="Arial" w:hAnsi="Arial" w:cs="Arial"/>
                <w:bCs/>
                <w:color w:val="000000"/>
                <w:sz w:val="24"/>
                <w:highlight w:val="none"/>
                <w:lang w:val="en-US" w:eastAsia="zh-CN"/>
              </w:rPr>
              <w:t>运营期无废水排放。</w:t>
            </w:r>
          </w:p>
          <w:p>
            <w:pPr>
              <w:adjustRightInd w:val="0"/>
              <w:spacing w:line="360" w:lineRule="auto"/>
              <w:ind w:firstLine="482" w:firstLineChars="200"/>
              <w:rPr>
                <w:b/>
                <w:sz w:val="24"/>
              </w:rPr>
            </w:pPr>
            <w:r>
              <w:rPr>
                <w:rFonts w:hint="eastAsia"/>
                <w:b/>
                <w:sz w:val="24"/>
              </w:rPr>
              <w:t>3</w:t>
            </w:r>
            <w:r>
              <w:rPr>
                <w:b/>
                <w:sz w:val="24"/>
              </w:rPr>
              <w:t>、噪声</w:t>
            </w:r>
          </w:p>
          <w:p>
            <w:pPr>
              <w:spacing w:line="360" w:lineRule="auto"/>
              <w:ind w:firstLine="480" w:firstLineChars="200"/>
              <w:rPr>
                <w:rFonts w:ascii="Times New Roman" w:hAnsi="宋体" w:eastAsia="宋体" w:cs="Times New Roman"/>
                <w:sz w:val="24"/>
              </w:rPr>
            </w:pPr>
            <w:r>
              <w:rPr>
                <w:rFonts w:hint="eastAsia" w:ascii="Times New Roman" w:hAnsi="宋体" w:eastAsia="宋体" w:cs="Times New Roman"/>
                <w:sz w:val="24"/>
              </w:rPr>
              <w:t>施工期噪声执行《建筑施工场界环境噪声排放标准》</w:t>
            </w:r>
            <w:r>
              <w:rPr>
                <w:rFonts w:ascii="Times New Roman" w:hAnsi="宋体" w:eastAsia="宋体" w:cs="Times New Roman"/>
                <w:sz w:val="24"/>
              </w:rPr>
              <w:t>(GB12523-2011)</w:t>
            </w:r>
            <w:r>
              <w:rPr>
                <w:rFonts w:hint="eastAsia" w:ascii="Times New Roman" w:hAnsi="宋体" w:eastAsia="宋体" w:cs="Times New Roman"/>
                <w:sz w:val="24"/>
              </w:rPr>
              <w:t>，排放标准具体值见表</w:t>
            </w:r>
            <w:r>
              <w:rPr>
                <w:rFonts w:hint="eastAsia" w:ascii="Times New Roman" w:hAnsi="宋体" w:eastAsia="宋体" w:cs="Times New Roman"/>
                <w:sz w:val="24"/>
                <w:lang w:val="en-US" w:eastAsia="zh-CN"/>
              </w:rPr>
              <w:t>3</w:t>
            </w:r>
            <w:r>
              <w:rPr>
                <w:rFonts w:ascii="Times New Roman" w:hAnsi="宋体" w:eastAsia="宋体" w:cs="Times New Roman"/>
                <w:sz w:val="24"/>
              </w:rPr>
              <w:t>-</w:t>
            </w:r>
            <w:r>
              <w:rPr>
                <w:rFonts w:hint="eastAsia" w:ascii="Times New Roman" w:hAnsi="宋体" w:eastAsia="宋体" w:cs="Times New Roman"/>
                <w:sz w:val="24"/>
                <w:lang w:val="en-US" w:eastAsia="zh-CN"/>
              </w:rPr>
              <w:t>19</w:t>
            </w:r>
            <w:r>
              <w:rPr>
                <w:rFonts w:hint="eastAsia" w:ascii="Times New Roman" w:hAnsi="宋体" w:eastAsia="宋体" w:cs="Times New Roman"/>
                <w:sz w:val="24"/>
              </w:rPr>
              <w:t>。</w:t>
            </w:r>
          </w:p>
          <w:p>
            <w:pPr>
              <w:autoSpaceDE w:val="0"/>
              <w:autoSpaceDN w:val="0"/>
              <w:spacing w:line="360" w:lineRule="auto"/>
              <w:jc w:val="center"/>
              <w:rPr>
                <w:rFonts w:ascii="Times New Roman" w:hAnsi="宋体" w:eastAsia="宋体" w:cs="Times New Roman"/>
                <w:b/>
                <w:szCs w:val="21"/>
                <w:lang w:val="zh-CN"/>
              </w:rPr>
            </w:pPr>
            <w:r>
              <w:rPr>
                <w:rFonts w:hint="eastAsia" w:ascii="Times New Roman" w:hAnsi="宋体" w:eastAsia="宋体" w:cs="Times New Roman"/>
                <w:b/>
                <w:szCs w:val="21"/>
                <w:lang w:val="zh-CN"/>
              </w:rPr>
              <w:t>表</w:t>
            </w:r>
            <w:r>
              <w:rPr>
                <w:rFonts w:hint="eastAsia" w:ascii="Times New Roman" w:hAnsi="宋体" w:eastAsia="宋体" w:cs="Times New Roman"/>
                <w:b/>
                <w:szCs w:val="21"/>
                <w:lang w:val="en-US" w:eastAsia="zh-CN"/>
              </w:rPr>
              <w:t>3</w:t>
            </w:r>
            <w:r>
              <w:rPr>
                <w:rFonts w:ascii="Times New Roman" w:hAnsi="宋体" w:eastAsia="宋体" w:cs="Times New Roman"/>
                <w:b/>
                <w:szCs w:val="21"/>
                <w:lang w:val="zh-CN"/>
              </w:rPr>
              <w:t>-</w:t>
            </w:r>
            <w:r>
              <w:rPr>
                <w:rFonts w:hint="eastAsia" w:ascii="Times New Roman" w:hAnsi="宋体" w:eastAsia="宋体" w:cs="Times New Roman"/>
                <w:b/>
                <w:szCs w:val="21"/>
                <w:lang w:val="en-US" w:eastAsia="zh-CN"/>
              </w:rPr>
              <w:t xml:space="preserve">19   </w:t>
            </w:r>
            <w:r>
              <w:rPr>
                <w:rFonts w:hint="eastAsia" w:ascii="Times New Roman" w:hAnsi="宋体" w:eastAsia="宋体" w:cs="Times New Roman"/>
                <w:b/>
                <w:szCs w:val="21"/>
                <w:lang w:val="zh-CN"/>
              </w:rPr>
              <w:t>建筑施工场界环境噪声排放限值</w:t>
            </w:r>
          </w:p>
          <w:tbl>
            <w:tblPr>
              <w:tblStyle w:val="23"/>
              <w:tblW w:w="48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3227"/>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rFonts w:hint="eastAsia"/>
                      <w:b/>
                      <w:bCs/>
                      <w:color w:val="auto"/>
                      <w:sz w:val="21"/>
                      <w:szCs w:val="21"/>
                    </w:rPr>
                    <w:t>噪声限值</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p>
              </w:tc>
              <w:tc>
                <w:tcPr>
                  <w:tcW w:w="17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bCs/>
                      <w:color w:val="auto"/>
                      <w:sz w:val="21"/>
                      <w:szCs w:val="21"/>
                    </w:rPr>
                  </w:pPr>
                  <w:r>
                    <w:rPr>
                      <w:rFonts w:hint="eastAsia"/>
                      <w:b/>
                      <w:bCs/>
                      <w:color w:val="auto"/>
                      <w:sz w:val="21"/>
                      <w:szCs w:val="21"/>
                    </w:rPr>
                    <w:t>昼间</w:t>
                  </w:r>
                </w:p>
              </w:tc>
              <w:tc>
                <w:tcPr>
                  <w:tcW w:w="17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bCs/>
                      <w:color w:val="auto"/>
                      <w:sz w:val="21"/>
                      <w:szCs w:val="21"/>
                    </w:rPr>
                  </w:pPr>
                  <w:r>
                    <w:rPr>
                      <w:rFonts w:hint="eastAsia"/>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pct"/>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p>
              </w:tc>
              <w:tc>
                <w:tcPr>
                  <w:tcW w:w="17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color w:val="auto"/>
                      <w:sz w:val="21"/>
                      <w:szCs w:val="21"/>
                    </w:rPr>
                    <w:t>70</w:t>
                  </w:r>
                </w:p>
              </w:tc>
              <w:tc>
                <w:tcPr>
                  <w:tcW w:w="17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sz w:val="21"/>
                      <w:szCs w:val="21"/>
                    </w:rPr>
                  </w:pPr>
                  <w:r>
                    <w:rPr>
                      <w:color w:val="auto"/>
                      <w:sz w:val="21"/>
                      <w:szCs w:val="21"/>
                    </w:rPr>
                    <w:t>55</w:t>
                  </w:r>
                </w:p>
              </w:tc>
            </w:tr>
          </w:tbl>
          <w:p>
            <w:pPr>
              <w:adjustRightInd w:val="0"/>
              <w:spacing w:line="360" w:lineRule="auto"/>
              <w:ind w:firstLine="482" w:firstLineChars="200"/>
              <w:rPr>
                <w:b/>
                <w:sz w:val="24"/>
              </w:rPr>
            </w:pPr>
            <w:r>
              <w:rPr>
                <w:rFonts w:hint="eastAsia"/>
                <w:b/>
                <w:sz w:val="24"/>
              </w:rPr>
              <w:t>4</w:t>
            </w:r>
            <w:r>
              <w:rPr>
                <w:b/>
                <w:sz w:val="24"/>
              </w:rPr>
              <w:t>、固体废弃物</w:t>
            </w:r>
          </w:p>
          <w:p>
            <w:pPr>
              <w:spacing w:line="360" w:lineRule="auto"/>
              <w:ind w:firstLine="480" w:firstLineChars="200"/>
              <w:rPr>
                <w:rFonts w:hint="eastAsia" w:ascii="宋体" w:hAnsi="宋体" w:eastAsia="宋体" w:cs="宋体"/>
                <w:kern w:val="0"/>
                <w:szCs w:val="21"/>
                <w:lang w:eastAsia="zh-CN"/>
              </w:rPr>
            </w:pPr>
            <w:r>
              <w:rPr>
                <w:rFonts w:hint="eastAsia" w:eastAsia="宋体"/>
                <w:color w:val="000000" w:themeColor="text1"/>
                <w:sz w:val="24"/>
                <w14:textFill>
                  <w14:solidFill>
                    <w14:schemeClr w14:val="tx1"/>
                  </w14:solidFill>
                </w14:textFill>
              </w:rPr>
              <w:t>采用库房、包装工具（罐、桶、包装袋等）贮存一般工业固体废物应满足相应防渗漏、防雨淋、防扬尘等环境保护要求；</w:t>
            </w:r>
            <w:r>
              <w:rPr>
                <w:rFonts w:eastAsia="宋体"/>
                <w:color w:val="000000" w:themeColor="text1"/>
                <w:sz w:val="24"/>
                <w14:textFill>
                  <w14:solidFill>
                    <w14:schemeClr w14:val="tx1"/>
                  </w14:solidFill>
                </w14:textFill>
              </w:rPr>
              <w:t>危险废物执行《危险废物贮存污染物控制标准》（GB18579-2001）及其2013年修改单中的相关要求。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702" w:type="dxa"/>
            <w:gridSpan w:val="2"/>
            <w:vAlign w:val="center"/>
          </w:tcPr>
          <w:p>
            <w:pPr>
              <w:spacing w:line="360" w:lineRule="auto"/>
              <w:rPr>
                <w:rFonts w:ascii="宋体" w:hAnsi="宋体"/>
                <w:b/>
                <w:sz w:val="24"/>
              </w:rPr>
            </w:pPr>
            <w:r>
              <w:rPr>
                <w:rFonts w:hint="eastAsia" w:ascii="宋体" w:hAnsi="宋体"/>
                <w:b/>
                <w:sz w:val="24"/>
              </w:rPr>
              <w:t>其他</w:t>
            </w:r>
          </w:p>
          <w:p>
            <w:pPr>
              <w:spacing w:line="360" w:lineRule="auto"/>
              <w:rPr>
                <w:rFonts w:ascii="宋体" w:hAnsi="宋体"/>
                <w:b/>
                <w:sz w:val="24"/>
              </w:rPr>
            </w:pPr>
            <w:r>
              <w:rPr>
                <w:rFonts w:hint="eastAsia" w:ascii="宋体" w:hAnsi="宋体"/>
                <w:b/>
                <w:sz w:val="24"/>
              </w:rPr>
              <w:t>一、总量控制指标：</w:t>
            </w:r>
          </w:p>
          <w:p>
            <w:pPr>
              <w:adjustRightInd w:val="0"/>
              <w:spacing w:line="360" w:lineRule="auto"/>
              <w:ind w:firstLine="482" w:firstLineChars="200"/>
              <w:rPr>
                <w:b/>
                <w:sz w:val="24"/>
              </w:rPr>
            </w:pPr>
            <w:r>
              <w:rPr>
                <w:rFonts w:hint="eastAsia"/>
                <w:b/>
                <w:sz w:val="24"/>
              </w:rPr>
              <w:t>1、废水污染物</w:t>
            </w:r>
          </w:p>
          <w:p>
            <w:pPr>
              <w:adjustRightInd w:val="0"/>
              <w:spacing w:line="360" w:lineRule="auto"/>
              <w:ind w:firstLine="480" w:firstLineChars="200"/>
              <w:rPr>
                <w:sz w:val="24"/>
              </w:rPr>
            </w:pPr>
            <w:r>
              <w:rPr>
                <w:sz w:val="24"/>
              </w:rPr>
              <w:t>本项目运营期</w:t>
            </w:r>
            <w:r>
              <w:rPr>
                <w:rFonts w:hint="eastAsia"/>
                <w:sz w:val="24"/>
                <w:lang w:val="en-US" w:eastAsia="zh-CN"/>
              </w:rPr>
              <w:t>污废水产生</w:t>
            </w:r>
            <w:r>
              <w:rPr>
                <w:rFonts w:hint="eastAsia"/>
                <w:bCs/>
                <w:color w:val="000000"/>
                <w:sz w:val="24"/>
              </w:rPr>
              <w:t>。</w:t>
            </w:r>
            <w:r>
              <w:rPr>
                <w:rFonts w:hint="eastAsia"/>
                <w:sz w:val="24"/>
              </w:rPr>
              <w:t>故</w:t>
            </w:r>
            <w:r>
              <w:rPr>
                <w:sz w:val="24"/>
              </w:rPr>
              <w:t>项目不新增地表水污染负荷，不新增CODcr</w:t>
            </w:r>
            <w:r>
              <w:rPr>
                <w:rFonts w:hint="eastAsia"/>
                <w:sz w:val="24"/>
              </w:rPr>
              <w:t>、</w:t>
            </w:r>
            <w:r>
              <w:rPr>
                <w:sz w:val="24"/>
              </w:rPr>
              <w:t>NH</w:t>
            </w:r>
            <w:r>
              <w:rPr>
                <w:sz w:val="24"/>
                <w:vertAlign w:val="subscript"/>
              </w:rPr>
              <w:t>3</w:t>
            </w:r>
            <w:r>
              <w:rPr>
                <w:sz w:val="24"/>
              </w:rPr>
              <w:t>-N以及TP总量控制指标。</w:t>
            </w:r>
          </w:p>
          <w:p>
            <w:pPr>
              <w:spacing w:line="360" w:lineRule="auto"/>
              <w:rPr>
                <w:rFonts w:ascii="宋体" w:hAnsi="宋体"/>
                <w:b/>
                <w:sz w:val="24"/>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pStyle w:val="29"/>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p>
            <w:pPr>
              <w:spacing w:line="360" w:lineRule="auto"/>
              <w:rPr>
                <w:rFonts w:ascii="宋体" w:hAnsi="宋体" w:cs="宋体"/>
                <w:kern w:val="0"/>
                <w:szCs w:val="21"/>
              </w:rPr>
            </w:pPr>
          </w:p>
        </w:tc>
      </w:tr>
    </w:tbl>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四、生态环境影响分析</w:t>
      </w:r>
    </w:p>
    <w:tbl>
      <w:tblPr>
        <w:tblStyle w:val="23"/>
        <w:tblW w:w="54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93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3" w:hRule="atLeast"/>
          <w:jc w:val="center"/>
        </w:trPr>
        <w:tc>
          <w:tcPr>
            <w:tcW w:w="457" w:type="dxa"/>
            <w:tcMar>
              <w:left w:w="28" w:type="dxa"/>
              <w:right w:w="28" w:type="dxa"/>
            </w:tcMar>
            <w:vAlign w:val="center"/>
          </w:tcPr>
          <w:p>
            <w:pPr>
              <w:pStyle w:val="19"/>
              <w:adjustRightInd w:val="0"/>
              <w:snapToGrid w:val="0"/>
              <w:spacing w:before="0" w:beforeAutospacing="0" w:after="0" w:afterAutospacing="0"/>
              <w:jc w:val="center"/>
              <w:rPr>
                <w:rFonts w:cs="宋体"/>
                <w:bCs/>
                <w:kern w:val="2"/>
                <w:sz w:val="21"/>
                <w:szCs w:val="21"/>
              </w:rPr>
            </w:pPr>
            <w:bookmarkStart w:id="33" w:name="_Hlk49796138"/>
            <w:r>
              <w:rPr>
                <w:rFonts w:hint="eastAsia" w:cs="宋体"/>
                <w:bCs/>
                <w:spacing w:val="10"/>
                <w:kern w:val="2"/>
                <w:sz w:val="21"/>
                <w:szCs w:val="21"/>
              </w:rPr>
              <w:t>施工期生态环境影响分析</w:t>
            </w:r>
            <w:bookmarkEnd w:id="33"/>
          </w:p>
        </w:tc>
        <w:tc>
          <w:tcPr>
            <w:tcW w:w="9273" w:type="dxa"/>
          </w:tcPr>
          <w:p>
            <w:pPr>
              <w:spacing w:line="360" w:lineRule="auto"/>
              <w:rPr>
                <w:rFonts w:hint="eastAsia" w:ascii="宋体" w:hAnsi="宋体"/>
                <w:b/>
                <w:sz w:val="24"/>
              </w:rPr>
            </w:pPr>
            <w:r>
              <w:rPr>
                <w:rFonts w:hint="eastAsia" w:ascii="宋体" w:hAnsi="宋体"/>
                <w:b/>
                <w:sz w:val="24"/>
              </w:rPr>
              <w:t>一、施工期废水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本项目施工期间产生的废水主要为施工废水和生活污</w:t>
            </w:r>
            <w:r>
              <w:rPr>
                <w:spacing w:val="-2"/>
                <w:sz w:val="24"/>
                <w:szCs w:val="24"/>
              </w:rPr>
              <w:t>水两大类，因其水量较</w:t>
            </w:r>
            <w:r>
              <w:rPr>
                <w:spacing w:val="-1"/>
                <w:sz w:val="24"/>
                <w:szCs w:val="24"/>
              </w:rPr>
              <w:t>小，不形成规模排放，对地表水基本不造成影响。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sz w:val="24"/>
                <w:szCs w:val="24"/>
              </w:rPr>
            </w:pPr>
            <w:r>
              <w:rPr>
                <w:rFonts w:ascii="Times New Roman" w:hAnsi="Times New Roman" w:eastAsia="Times New Roman" w:cs="Times New Roman"/>
                <w:b/>
                <w:bCs/>
                <w:spacing w:val="-9"/>
                <w:sz w:val="24"/>
                <w:szCs w:val="24"/>
              </w:rPr>
              <w:t>1</w:t>
            </w:r>
            <w:r>
              <w:rPr>
                <w:b/>
                <w:bCs/>
                <w:spacing w:val="-9"/>
                <w:sz w:val="24"/>
                <w:szCs w:val="24"/>
              </w:rPr>
              <w:t>、施工废水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施工废水主要包括混凝土拌合废水、设备冲洗废水、</w:t>
            </w:r>
            <w:r>
              <w:rPr>
                <w:rFonts w:hint="eastAsia"/>
                <w:spacing w:val="-1"/>
                <w:sz w:val="24"/>
                <w:szCs w:val="24"/>
                <w:lang w:val="en-US" w:eastAsia="zh-CN"/>
              </w:rPr>
              <w:t>大坝基座灌浆冲洗钻孔废水和混凝土养护废水</w:t>
            </w:r>
            <w:r>
              <w:rPr>
                <w:spacing w:val="-2"/>
                <w:sz w:val="24"/>
                <w:szCs w:val="24"/>
              </w:rPr>
              <w:t>、管道试压废水、基坑排水</w:t>
            </w:r>
            <w:r>
              <w:rPr>
                <w:rFonts w:hint="eastAsia"/>
                <w:spacing w:val="-2"/>
                <w:sz w:val="24"/>
                <w:szCs w:val="24"/>
                <w:lang w:val="en-US" w:eastAsia="zh-CN"/>
              </w:rPr>
              <w:t>等</w:t>
            </w:r>
            <w:r>
              <w:rPr>
                <w:spacing w:val="-2"/>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hint="eastAsia" w:ascii="Times New Roman" w:hAnsi="Times New Roman" w:eastAsia="Times New Roman" w:cs="Times New Roman"/>
                <w:b/>
                <w:bCs/>
                <w:spacing w:val="-9"/>
                <w:sz w:val="24"/>
                <w:szCs w:val="24"/>
                <w:lang w:val="en-US" w:eastAsia="zh-CN"/>
              </w:rPr>
              <w:t xml:space="preserve">⑴ </w:t>
            </w:r>
            <w:r>
              <w:rPr>
                <w:rFonts w:ascii="Times New Roman" w:hAnsi="Times New Roman" w:eastAsia="Times New Roman" w:cs="Times New Roman"/>
                <w:b/>
                <w:bCs/>
                <w:spacing w:val="-9"/>
                <w:sz w:val="24"/>
                <w:szCs w:val="24"/>
              </w:rPr>
              <w:t>混凝土拌和废水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spacing w:val="-1"/>
                <w:sz w:val="24"/>
                <w:szCs w:val="24"/>
                <w:lang w:eastAsia="zh-CN"/>
              </w:rPr>
            </w:pPr>
            <w:r>
              <w:rPr>
                <w:spacing w:val="-1"/>
                <w:sz w:val="24"/>
                <w:szCs w:val="24"/>
              </w:rPr>
              <w:t>根据本工程建筑物布置的特点和现场场地限制条件，于大坝右岸下游280m处设置 HZS50混凝土拌和站一座，额定生产能力为50m</w:t>
            </w:r>
            <w:r>
              <w:rPr>
                <w:spacing w:val="-1"/>
                <w:sz w:val="24"/>
                <w:szCs w:val="24"/>
                <w:vertAlign w:val="superscript"/>
              </w:rPr>
              <w:t>3</w:t>
            </w:r>
            <w:r>
              <w:rPr>
                <w:spacing w:val="-1"/>
                <w:sz w:val="24"/>
                <w:szCs w:val="24"/>
              </w:rPr>
              <w:t>/h，同时布置2台0.35m</w:t>
            </w:r>
            <w:r>
              <w:rPr>
                <w:spacing w:val="-1"/>
                <w:sz w:val="24"/>
                <w:szCs w:val="24"/>
                <w:vertAlign w:val="superscript"/>
              </w:rPr>
              <w:t>3</w:t>
            </w:r>
            <w:r>
              <w:rPr>
                <w:spacing w:val="-1"/>
                <w:sz w:val="24"/>
                <w:szCs w:val="24"/>
              </w:rPr>
              <w:t>移动式混凝土拌和机。</w:t>
            </w:r>
            <w:r>
              <w:rPr>
                <w:rFonts w:hint="eastAsia"/>
                <w:spacing w:val="-1"/>
                <w:sz w:val="24"/>
                <w:szCs w:val="24"/>
              </w:rPr>
              <w:t>渠道各施工区设置有1座HZS35混凝土拌和站</w:t>
            </w:r>
            <w:r>
              <w:rPr>
                <w:rFonts w:hint="eastAsia"/>
                <w:spacing w:val="-1"/>
                <w:sz w:val="24"/>
                <w:szCs w:val="24"/>
                <w:lang w:eastAsia="zh-CN"/>
              </w:rPr>
              <w:t>，</w:t>
            </w:r>
            <w:r>
              <w:rPr>
                <w:spacing w:val="-1"/>
                <w:sz w:val="24"/>
                <w:szCs w:val="24"/>
              </w:rPr>
              <w:t>同时布置2台0.35m</w:t>
            </w:r>
            <w:r>
              <w:rPr>
                <w:spacing w:val="-1"/>
                <w:sz w:val="24"/>
                <w:szCs w:val="24"/>
                <w:vertAlign w:val="superscript"/>
              </w:rPr>
              <w:t>3</w:t>
            </w:r>
            <w:r>
              <w:rPr>
                <w:spacing w:val="-1"/>
                <w:sz w:val="24"/>
                <w:szCs w:val="24"/>
              </w:rPr>
              <w:t>移动式混凝土拌和机</w:t>
            </w:r>
            <w:r>
              <w:rPr>
                <w:rFonts w:hint="eastAsia"/>
                <w:spacing w:val="-1"/>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spacing w:val="-1"/>
                <w:sz w:val="24"/>
                <w:szCs w:val="24"/>
              </w:rPr>
            </w:pPr>
            <w:r>
              <w:rPr>
                <w:rFonts w:hint="default" w:ascii="Arial" w:hAnsi="Arial" w:cs="Arial"/>
                <w:spacing w:val="-1"/>
                <w:sz w:val="24"/>
                <w:szCs w:val="24"/>
              </w:rPr>
              <w:t>混凝土拌和系统废水主要来源于</w:t>
            </w:r>
            <w:r>
              <w:rPr>
                <w:rFonts w:hint="default" w:ascii="Arial" w:hAnsi="Arial" w:cs="Arial"/>
                <w:spacing w:val="-1"/>
                <w:sz w:val="24"/>
                <w:szCs w:val="24"/>
                <w:lang w:val="en-US" w:eastAsia="zh-CN"/>
              </w:rPr>
              <w:t>拌合罐体冲洗</w:t>
            </w:r>
            <w:r>
              <w:rPr>
                <w:rFonts w:hint="default" w:ascii="Arial" w:hAnsi="Arial" w:cs="Arial"/>
                <w:spacing w:val="-1"/>
                <w:sz w:val="24"/>
                <w:szCs w:val="24"/>
              </w:rPr>
              <w:t>过程。混凝土搅拌机一般为每班末冲洗一次，单台混凝土搅拌机每次冲洗废水根据搅拌机大小不同而不同</w:t>
            </w:r>
            <w:r>
              <w:rPr>
                <w:rFonts w:hint="default" w:ascii="Arial" w:hAnsi="Arial" w:cs="Arial"/>
                <w:spacing w:val="-1"/>
                <w:sz w:val="24"/>
                <w:szCs w:val="24"/>
                <w:lang w:eastAsia="zh-CN"/>
              </w:rPr>
              <w:t>。</w:t>
            </w:r>
            <w:r>
              <w:rPr>
                <w:rFonts w:hint="default" w:ascii="Arial" w:hAnsi="Arial" w:cs="Arial"/>
                <w:spacing w:val="-1"/>
                <w:sz w:val="24"/>
                <w:szCs w:val="24"/>
              </w:rPr>
              <w:t>根据《水利水电工程环境保护设计规范》（SL492-2011）、《水电水利工程施工环境保护技术规程》（DL/T5260-2010）等相关要求，参考省内同类以往工程的实测结果，混凝土搅拌机每次冲洗废水约为0.6~0.8m</w:t>
            </w:r>
            <w:r>
              <w:rPr>
                <w:rFonts w:hint="default" w:ascii="Arial" w:hAnsi="Arial" w:cs="Arial"/>
                <w:spacing w:val="-1"/>
                <w:sz w:val="24"/>
                <w:szCs w:val="24"/>
                <w:vertAlign w:val="superscript"/>
              </w:rPr>
              <w:t>3</w:t>
            </w:r>
            <w:r>
              <w:rPr>
                <w:rFonts w:hint="default" w:ascii="Arial" w:hAnsi="Arial" w:cs="Arial"/>
                <w:spacing w:val="-1"/>
                <w:sz w:val="24"/>
                <w:szCs w:val="24"/>
              </w:rPr>
              <w:t>，本项目取0.8m</w:t>
            </w:r>
            <w:r>
              <w:rPr>
                <w:rFonts w:hint="default" w:ascii="Arial" w:hAnsi="Arial" w:cs="Arial"/>
                <w:spacing w:val="-1"/>
                <w:sz w:val="24"/>
                <w:szCs w:val="24"/>
                <w:vertAlign w:val="superscript"/>
              </w:rPr>
              <w:t>3</w:t>
            </w:r>
            <w:r>
              <w:rPr>
                <w:rFonts w:hint="default" w:ascii="Arial" w:hAnsi="Arial" w:cs="Arial"/>
                <w:spacing w:val="-1"/>
                <w:sz w:val="24"/>
                <w:szCs w:val="24"/>
              </w:rPr>
              <w:t>计算，系统生产采取两班制，则每台搅拌机冲洗废水产生量约1.6m</w:t>
            </w:r>
            <w:r>
              <w:rPr>
                <w:rFonts w:hint="default" w:ascii="Arial" w:hAnsi="Arial" w:cs="Arial"/>
                <w:spacing w:val="-1"/>
                <w:sz w:val="24"/>
                <w:szCs w:val="24"/>
                <w:vertAlign w:val="superscript"/>
              </w:rPr>
              <w:t>3</w:t>
            </w:r>
            <w:r>
              <w:rPr>
                <w:rFonts w:hint="default" w:ascii="Arial" w:hAnsi="Arial" w:cs="Arial"/>
                <w:spacing w:val="-1"/>
                <w:sz w:val="24"/>
                <w:szCs w:val="24"/>
              </w:rPr>
              <w:t>/d，本项目枢纽工程布设2台拌和机，</w:t>
            </w:r>
            <w:r>
              <w:rPr>
                <w:rFonts w:hint="default" w:ascii="Arial" w:hAnsi="Arial" w:cs="Arial"/>
                <w:spacing w:val="-1"/>
                <w:sz w:val="24"/>
                <w:szCs w:val="24"/>
                <w:lang w:val="en-US" w:eastAsia="zh-CN"/>
              </w:rPr>
              <w:t>灌区</w:t>
            </w:r>
            <w:r>
              <w:rPr>
                <w:rFonts w:hint="default" w:ascii="Arial" w:hAnsi="Arial" w:cs="Arial"/>
                <w:spacing w:val="-1"/>
                <w:sz w:val="24"/>
                <w:szCs w:val="24"/>
              </w:rPr>
              <w:t>工程布设</w:t>
            </w:r>
            <w:r>
              <w:rPr>
                <w:rFonts w:hint="default" w:ascii="Arial" w:hAnsi="Arial" w:cs="Arial"/>
                <w:spacing w:val="-1"/>
                <w:sz w:val="24"/>
                <w:szCs w:val="24"/>
                <w:lang w:val="en-US" w:eastAsia="zh-CN"/>
              </w:rPr>
              <w:t>1</w:t>
            </w:r>
            <w:r>
              <w:rPr>
                <w:rFonts w:hint="default" w:ascii="Arial" w:hAnsi="Arial" w:cs="Arial"/>
                <w:spacing w:val="-1"/>
                <w:sz w:val="24"/>
                <w:szCs w:val="24"/>
              </w:rPr>
              <w:t>台拌和机，拌和废水产生量约</w:t>
            </w:r>
            <w:r>
              <w:rPr>
                <w:rFonts w:hint="default" w:ascii="Arial" w:hAnsi="Arial" w:cs="Arial"/>
                <w:spacing w:val="-1"/>
                <w:sz w:val="24"/>
                <w:szCs w:val="24"/>
                <w:lang w:val="en-US" w:eastAsia="zh-CN"/>
              </w:rPr>
              <w:t>4.8</w:t>
            </w:r>
            <w:r>
              <w:rPr>
                <w:rFonts w:hint="default" w:ascii="Arial" w:hAnsi="Arial" w:cs="Arial"/>
                <w:spacing w:val="-1"/>
                <w:sz w:val="24"/>
                <w:szCs w:val="24"/>
              </w:rPr>
              <w:t>m</w:t>
            </w:r>
            <w:r>
              <w:rPr>
                <w:rFonts w:hint="default" w:ascii="Arial" w:hAnsi="Arial" w:cs="Arial"/>
                <w:spacing w:val="-1"/>
                <w:sz w:val="24"/>
                <w:szCs w:val="24"/>
                <w:vertAlign w:val="superscript"/>
              </w:rPr>
              <w:t>3</w:t>
            </w:r>
            <w:r>
              <w:rPr>
                <w:rFonts w:hint="default" w:ascii="Arial" w:hAnsi="Arial" w:cs="Arial"/>
                <w:spacing w:val="-1"/>
                <w:sz w:val="24"/>
                <w:szCs w:val="24"/>
              </w:rPr>
              <w:t>/d。</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eastAsia="宋体"/>
                <w:spacing w:val="-1"/>
                <w:sz w:val="24"/>
                <w:szCs w:val="24"/>
                <w:lang w:val="en-US" w:eastAsia="zh-CN"/>
              </w:rPr>
            </w:pPr>
            <w:r>
              <w:rPr>
                <w:rFonts w:hint="eastAsia"/>
                <w:spacing w:val="-1"/>
                <w:sz w:val="24"/>
                <w:szCs w:val="24"/>
                <w:lang w:val="en-US" w:eastAsia="zh-CN"/>
              </w:rPr>
              <w:t>另外，对于枢纽工程和罐区工程分别配套的移动式混凝土拌合机，其每台冲洗废水量按照0.6m</w:t>
            </w:r>
            <w:r>
              <w:rPr>
                <w:rFonts w:hint="eastAsia"/>
                <w:spacing w:val="-1"/>
                <w:sz w:val="24"/>
                <w:szCs w:val="24"/>
                <w:vertAlign w:val="superscript"/>
                <w:lang w:val="en-US" w:eastAsia="zh-CN"/>
              </w:rPr>
              <w:t>3</w:t>
            </w:r>
            <w:r>
              <w:rPr>
                <w:rFonts w:hint="eastAsia"/>
                <w:spacing w:val="-1"/>
                <w:sz w:val="24"/>
                <w:szCs w:val="24"/>
                <w:lang w:val="en-US" w:eastAsia="zh-CN"/>
              </w:rPr>
              <w:t>计算，则枢纽工程和罐区工程移动式混凝土拌合机的冲洗废水量分别为3.0</w:t>
            </w:r>
            <w:r>
              <w:rPr>
                <w:spacing w:val="-1"/>
                <w:sz w:val="24"/>
                <w:szCs w:val="24"/>
              </w:rPr>
              <w:t>m</w:t>
            </w:r>
            <w:r>
              <w:rPr>
                <w:spacing w:val="-1"/>
                <w:sz w:val="24"/>
                <w:szCs w:val="24"/>
                <w:vertAlign w:val="superscript"/>
              </w:rPr>
              <w:t>3</w:t>
            </w:r>
            <w:r>
              <w:rPr>
                <w:spacing w:val="-1"/>
                <w:sz w:val="24"/>
                <w:szCs w:val="24"/>
              </w:rPr>
              <w:t>/d</w:t>
            </w:r>
            <w:r>
              <w:rPr>
                <w:rFonts w:hint="eastAsia"/>
                <w:spacing w:val="-1"/>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spacing w:val="-1"/>
                <w:sz w:val="24"/>
                <w:szCs w:val="24"/>
                <w:lang w:val="en-US" w:eastAsia="zh-CN"/>
              </w:rPr>
            </w:pPr>
            <w:r>
              <w:rPr>
                <w:rFonts w:hint="default" w:ascii="Arial" w:hAnsi="Arial" w:cs="Arial"/>
                <w:spacing w:val="-1"/>
                <w:sz w:val="24"/>
                <w:szCs w:val="24"/>
                <w:lang w:val="en-US" w:eastAsia="zh-CN"/>
              </w:rPr>
              <w:t>以上合计混凝土拌合废水每日产生量约为7.8</w:t>
            </w:r>
            <w:r>
              <w:rPr>
                <w:rFonts w:hint="default" w:ascii="Arial" w:hAnsi="Arial" w:cs="Arial"/>
                <w:spacing w:val="-1"/>
                <w:sz w:val="24"/>
                <w:szCs w:val="24"/>
              </w:rPr>
              <w:t>m</w:t>
            </w:r>
            <w:r>
              <w:rPr>
                <w:rFonts w:hint="default" w:ascii="Arial" w:hAnsi="Arial" w:cs="Arial"/>
                <w:spacing w:val="-1"/>
                <w:sz w:val="24"/>
                <w:szCs w:val="24"/>
                <w:vertAlign w:val="superscript"/>
              </w:rPr>
              <w:t>3</w:t>
            </w:r>
            <w:r>
              <w:rPr>
                <w:rFonts w:hint="default" w:ascii="Arial" w:hAnsi="Arial" w:cs="Arial"/>
                <w:spacing w:val="-1"/>
                <w:sz w:val="24"/>
                <w:szCs w:val="24"/>
              </w:rPr>
              <w:t>/d</w:t>
            </w:r>
            <w:r>
              <w:rPr>
                <w:rFonts w:hint="default" w:ascii="Arial" w:hAnsi="Arial" w:cs="Arial"/>
                <w:spacing w:val="-1"/>
                <w:sz w:val="24"/>
                <w:szCs w:val="24"/>
                <w:lang w:eastAsia="zh-CN"/>
              </w:rPr>
              <w:t>，</w:t>
            </w:r>
            <w:r>
              <w:rPr>
                <w:rFonts w:hint="default" w:ascii="Arial" w:hAnsi="Arial" w:cs="Arial"/>
                <w:spacing w:val="-1"/>
                <w:sz w:val="24"/>
                <w:szCs w:val="24"/>
              </w:rPr>
              <w:t>类比同类工程项目，废水 pH 一般为9~12，并含有较高浓度的悬浮物，其浓度一般为5000mg/L</w:t>
            </w:r>
            <w:r>
              <w:rPr>
                <w:rFonts w:hint="default" w:ascii="Arial" w:hAnsi="Arial" w:cs="Arial"/>
                <w:spacing w:val="-1"/>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cs="Arial"/>
                <w:spacing w:val="-1"/>
                <w:sz w:val="24"/>
                <w:szCs w:val="24"/>
                <w:lang w:val="en-US" w:eastAsia="zh-CN"/>
              </w:rPr>
            </w:pPr>
            <w:r>
              <w:rPr>
                <w:rFonts w:hint="eastAsia" w:ascii="Arial" w:hAnsi="Arial" w:cs="Arial"/>
                <w:spacing w:val="-1"/>
                <w:sz w:val="24"/>
                <w:szCs w:val="24"/>
                <w:lang w:val="en-US" w:eastAsia="zh-CN"/>
              </w:rPr>
              <w:t>针对上述混凝土拌合废水，</w:t>
            </w:r>
            <w:r>
              <w:rPr>
                <w:rFonts w:hint="default" w:ascii="Arial" w:hAnsi="Arial" w:cs="Arial"/>
                <w:spacing w:val="-1"/>
                <w:sz w:val="24"/>
                <w:szCs w:val="24"/>
                <w:lang w:val="en-US" w:eastAsia="zh-CN"/>
              </w:rPr>
              <w:t>用自然沉淀方法进行处理，</w:t>
            </w:r>
            <w:r>
              <w:rPr>
                <w:rFonts w:hint="eastAsia" w:ascii="Arial" w:hAnsi="Arial" w:cs="Arial"/>
                <w:spacing w:val="-1"/>
                <w:sz w:val="24"/>
                <w:szCs w:val="24"/>
                <w:lang w:val="en-US" w:eastAsia="zh-CN"/>
              </w:rPr>
              <w:t>分别在枢纽工程和罐区工程拟设置的拌合站附近</w:t>
            </w:r>
            <w:r>
              <w:rPr>
                <w:rFonts w:hint="default" w:ascii="Arial" w:hAnsi="Arial" w:cs="Arial"/>
                <w:spacing w:val="-1"/>
                <w:sz w:val="24"/>
                <w:szCs w:val="24"/>
                <w:lang w:val="en-US" w:eastAsia="zh-CN"/>
              </w:rPr>
              <w:t>设置1座沉淀池，采用矩形设计，设计尺寸(长×宽×高)2.0m×1.0m×1.3m，每台班末的冲洗废水排入沉淀池内，静置沉淀到下一台班末上清液回用于混凝土拌和，沉淀时间达6h以上，沉淀运至渣场</w:t>
            </w:r>
            <w:r>
              <w:rPr>
                <w:rFonts w:hint="eastAsia" w:ascii="Arial" w:hAnsi="Arial" w:cs="Arial"/>
                <w:spacing w:val="-1"/>
                <w:sz w:val="24"/>
                <w:szCs w:val="24"/>
                <w:lang w:val="en-US" w:eastAsia="zh-CN"/>
              </w:rPr>
              <w:t>进行堆放</w:t>
            </w:r>
            <w:r>
              <w:rPr>
                <w:rFonts w:hint="default" w:ascii="Arial" w:hAnsi="Arial" w:cs="Arial"/>
                <w:spacing w:val="-1"/>
                <w:sz w:val="24"/>
                <w:szCs w:val="24"/>
                <w:lang w:val="en-US"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sz w:val="24"/>
                <w:szCs w:val="24"/>
              </w:rPr>
            </w:pPr>
            <w:r>
              <w:rPr>
                <w:rFonts w:hint="eastAsia"/>
                <w:b/>
                <w:bCs/>
                <w:spacing w:val="-5"/>
                <w:sz w:val="24"/>
                <w:szCs w:val="24"/>
                <w:lang w:val="en-US" w:eastAsia="zh-CN"/>
              </w:rPr>
              <w:t xml:space="preserve">⑵ </w:t>
            </w:r>
            <w:r>
              <w:rPr>
                <w:b/>
                <w:bCs/>
                <w:spacing w:val="-5"/>
                <w:sz w:val="24"/>
                <w:szCs w:val="24"/>
              </w:rPr>
              <w:t>设备冲洗废水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spacing w:val="0"/>
                <w:position w:val="0"/>
                <w:sz w:val="24"/>
                <w:szCs w:val="24"/>
              </w:rPr>
            </w:pPr>
            <w:r>
              <w:rPr>
                <w:rFonts w:hint="eastAsia"/>
                <w:b/>
                <w:bCs/>
                <w:spacing w:val="0"/>
                <w:position w:val="0"/>
                <w:sz w:val="24"/>
                <w:szCs w:val="24"/>
                <w:u w:val="single"/>
                <w:lang w:val="en-US" w:eastAsia="zh-CN"/>
              </w:rPr>
              <w:t>因灌区工程运输车辆等均不在施工场地进行冲洗，故设备冲洗废水主要来自于枢纽工程施工期间的设备</w:t>
            </w:r>
            <w:r>
              <w:rPr>
                <w:rFonts w:hint="eastAsia"/>
                <w:spacing w:val="0"/>
                <w:position w:val="0"/>
                <w:sz w:val="24"/>
                <w:szCs w:val="24"/>
                <w:lang w:val="en-US" w:eastAsia="zh-CN"/>
              </w:rPr>
              <w:t>。</w:t>
            </w:r>
            <w:r>
              <w:rPr>
                <w:spacing w:val="0"/>
                <w:position w:val="0"/>
                <w:sz w:val="24"/>
                <w:szCs w:val="24"/>
              </w:rPr>
              <w:t>设备冲洗废水主要包括施工车辆进出冲洗废水、机械冲洗废水，冲洗地面、墙角以及桩基施工中排出的泥浆，这些废水中的主要污染物为</w:t>
            </w:r>
            <w:r>
              <w:rPr>
                <w:rFonts w:ascii="Times New Roman" w:hAnsi="Times New Roman" w:eastAsia="Times New Roman" w:cs="Times New Roman"/>
                <w:spacing w:val="0"/>
                <w:position w:val="0"/>
                <w:sz w:val="24"/>
                <w:szCs w:val="24"/>
              </w:rPr>
              <w:t>SS</w:t>
            </w:r>
            <w:r>
              <w:rPr>
                <w:spacing w:val="0"/>
                <w:position w:val="0"/>
                <w:sz w:val="24"/>
                <w:szCs w:val="24"/>
              </w:rPr>
              <w:t>，并带有少量油污。参考《环境影响评价技术手册</w:t>
            </w:r>
            <w:r>
              <w:rPr>
                <w:rFonts w:hint="eastAsia"/>
                <w:spacing w:val="0"/>
                <w:position w:val="0"/>
                <w:sz w:val="24"/>
                <w:szCs w:val="24"/>
                <w:lang w:val="en-US" w:eastAsia="zh-CN"/>
              </w:rPr>
              <w:t xml:space="preserve">   </w:t>
            </w:r>
            <w:r>
              <w:rPr>
                <w:spacing w:val="0"/>
                <w:position w:val="0"/>
                <w:sz w:val="24"/>
                <w:szCs w:val="24"/>
              </w:rPr>
              <w:t>水利水电工程》，车辆冲洗用水量为</w:t>
            </w:r>
            <w:r>
              <w:rPr>
                <w:rFonts w:ascii="Times New Roman" w:hAnsi="Times New Roman" w:eastAsia="Times New Roman" w:cs="Times New Roman"/>
                <w:spacing w:val="0"/>
                <w:position w:val="0"/>
                <w:sz w:val="24"/>
                <w:szCs w:val="24"/>
              </w:rPr>
              <w:t>0.5m</w:t>
            </w:r>
            <w:r>
              <w:rPr>
                <w:rFonts w:ascii="Times New Roman" w:hAnsi="Times New Roman" w:eastAsia="Times New Roman" w:cs="Times New Roman"/>
                <w:spacing w:val="0"/>
                <w:position w:val="0"/>
                <w:sz w:val="24"/>
                <w:szCs w:val="24"/>
                <w:vertAlign w:val="superscript"/>
              </w:rPr>
              <w:t>3</w:t>
            </w:r>
            <w:r>
              <w:rPr>
                <w:rFonts w:ascii="Times New Roman" w:hAnsi="Times New Roman" w:eastAsia="Times New Roman" w:cs="Times New Roman"/>
                <w:spacing w:val="0"/>
                <w:position w:val="0"/>
                <w:sz w:val="24"/>
                <w:szCs w:val="24"/>
              </w:rPr>
              <w:t>/</w:t>
            </w:r>
            <w:r>
              <w:rPr>
                <w:spacing w:val="0"/>
                <w:position w:val="0"/>
                <w:sz w:val="24"/>
                <w:szCs w:val="24"/>
              </w:rPr>
              <w:t>辆</w:t>
            </w:r>
            <w:r>
              <w:rPr>
                <w:rFonts w:ascii="Times New Roman" w:hAnsi="Times New Roman" w:eastAsia="Times New Roman" w:cs="Times New Roman"/>
                <w:spacing w:val="0"/>
                <w:position w:val="0"/>
                <w:sz w:val="24"/>
                <w:szCs w:val="24"/>
              </w:rPr>
              <w:t>·</w:t>
            </w:r>
            <w:r>
              <w:rPr>
                <w:spacing w:val="0"/>
                <w:position w:val="0"/>
                <w:sz w:val="24"/>
                <w:szCs w:val="24"/>
              </w:rPr>
              <w:t>次，冲洗时间为</w:t>
            </w:r>
            <w:r>
              <w:rPr>
                <w:rFonts w:ascii="Times New Roman" w:hAnsi="Times New Roman" w:eastAsia="Times New Roman" w:cs="Times New Roman"/>
                <w:spacing w:val="0"/>
                <w:position w:val="0"/>
                <w:sz w:val="24"/>
                <w:szCs w:val="24"/>
              </w:rPr>
              <w:t>15min/</w:t>
            </w:r>
            <w:r>
              <w:rPr>
                <w:spacing w:val="0"/>
                <w:position w:val="0"/>
                <w:sz w:val="24"/>
                <w:szCs w:val="24"/>
              </w:rPr>
              <w:t>辆</w:t>
            </w:r>
            <w:r>
              <w:rPr>
                <w:rFonts w:ascii="Times New Roman" w:hAnsi="Times New Roman" w:eastAsia="Times New Roman" w:cs="Times New Roman"/>
                <w:spacing w:val="0"/>
                <w:position w:val="0"/>
                <w:sz w:val="24"/>
                <w:szCs w:val="24"/>
              </w:rPr>
              <w:t>·</w:t>
            </w:r>
            <w:r>
              <w:rPr>
                <w:spacing w:val="0"/>
                <w:position w:val="0"/>
                <w:sz w:val="24"/>
                <w:szCs w:val="24"/>
              </w:rPr>
              <w:t>次，每小时冲洗平台可冲洗</w:t>
            </w:r>
            <w:r>
              <w:rPr>
                <w:rFonts w:ascii="Times New Roman" w:hAnsi="Times New Roman" w:eastAsia="Times New Roman" w:cs="Times New Roman"/>
                <w:spacing w:val="0"/>
                <w:position w:val="0"/>
                <w:sz w:val="24"/>
                <w:szCs w:val="24"/>
              </w:rPr>
              <w:t>4</w:t>
            </w:r>
            <w:r>
              <w:rPr>
                <w:spacing w:val="0"/>
                <w:position w:val="0"/>
                <w:sz w:val="24"/>
                <w:szCs w:val="24"/>
              </w:rPr>
              <w:t>辆车，冲洗平台用水量为</w:t>
            </w:r>
            <w:r>
              <w:rPr>
                <w:rFonts w:ascii="Times New Roman" w:hAnsi="Times New Roman" w:eastAsia="Times New Roman" w:cs="Times New Roman"/>
                <w:spacing w:val="0"/>
                <w:position w:val="0"/>
                <w:sz w:val="24"/>
                <w:szCs w:val="24"/>
              </w:rPr>
              <w:t>2m</w:t>
            </w:r>
            <w:r>
              <w:rPr>
                <w:rFonts w:ascii="Times New Roman" w:hAnsi="Times New Roman" w:eastAsia="Times New Roman" w:cs="Times New Roman"/>
                <w:spacing w:val="0"/>
                <w:position w:val="0"/>
                <w:sz w:val="24"/>
                <w:szCs w:val="24"/>
                <w:vertAlign w:val="superscript"/>
              </w:rPr>
              <w:t>3</w:t>
            </w:r>
            <w:r>
              <w:rPr>
                <w:rFonts w:ascii="Times New Roman" w:hAnsi="Times New Roman" w:eastAsia="Times New Roman" w:cs="Times New Roman"/>
                <w:spacing w:val="0"/>
                <w:position w:val="0"/>
                <w:sz w:val="24"/>
                <w:szCs w:val="24"/>
              </w:rPr>
              <w:t>/h</w:t>
            </w:r>
            <w:r>
              <w:rPr>
                <w:spacing w:val="0"/>
                <w:position w:val="0"/>
                <w:sz w:val="24"/>
                <w:szCs w:val="24"/>
              </w:rPr>
              <w:t>，每天</w:t>
            </w:r>
            <w:r>
              <w:rPr>
                <w:rFonts w:hint="eastAsia"/>
                <w:spacing w:val="0"/>
                <w:position w:val="0"/>
                <w:sz w:val="24"/>
                <w:szCs w:val="24"/>
                <w:lang w:val="en-US" w:eastAsia="zh-CN"/>
              </w:rPr>
              <w:t>施工</w:t>
            </w:r>
            <w:r>
              <w:rPr>
                <w:spacing w:val="0"/>
                <w:position w:val="0"/>
                <w:sz w:val="24"/>
                <w:szCs w:val="24"/>
              </w:rPr>
              <w:t>时间为</w:t>
            </w:r>
            <w:r>
              <w:rPr>
                <w:rFonts w:ascii="Times New Roman" w:hAnsi="Times New Roman" w:eastAsia="Times New Roman" w:cs="Times New Roman"/>
                <w:spacing w:val="0"/>
                <w:position w:val="0"/>
                <w:sz w:val="24"/>
                <w:szCs w:val="24"/>
              </w:rPr>
              <w:t>8h</w:t>
            </w:r>
            <w:r>
              <w:rPr>
                <w:spacing w:val="0"/>
                <w:position w:val="0"/>
                <w:sz w:val="24"/>
                <w:szCs w:val="24"/>
              </w:rPr>
              <w:t>，冲洗平台用水量为</w:t>
            </w:r>
            <w:r>
              <w:rPr>
                <w:rFonts w:ascii="Times New Roman" w:hAnsi="Times New Roman" w:eastAsia="Times New Roman" w:cs="Times New Roman"/>
                <w:spacing w:val="0"/>
                <w:position w:val="0"/>
                <w:sz w:val="24"/>
                <w:szCs w:val="24"/>
              </w:rPr>
              <w:t>32m</w:t>
            </w:r>
            <w:r>
              <w:rPr>
                <w:rFonts w:ascii="Times New Roman" w:hAnsi="Times New Roman" w:eastAsia="Times New Roman" w:cs="Times New Roman"/>
                <w:spacing w:val="0"/>
                <w:position w:val="0"/>
                <w:sz w:val="24"/>
                <w:szCs w:val="24"/>
                <w:vertAlign w:val="superscript"/>
              </w:rPr>
              <w:t>3</w:t>
            </w:r>
            <w:r>
              <w:rPr>
                <w:rFonts w:ascii="Times New Roman" w:hAnsi="Times New Roman" w:eastAsia="Times New Roman" w:cs="Times New Roman"/>
                <w:spacing w:val="0"/>
                <w:position w:val="0"/>
                <w:sz w:val="24"/>
                <w:szCs w:val="24"/>
              </w:rPr>
              <w:t>/d</w:t>
            </w:r>
            <w:r>
              <w:rPr>
                <w:spacing w:val="0"/>
                <w:position w:val="0"/>
                <w:sz w:val="24"/>
                <w:szCs w:val="24"/>
              </w:rPr>
              <w:t>，冲洗废水按照</w:t>
            </w:r>
            <w:r>
              <w:rPr>
                <w:rFonts w:hint="eastAsia"/>
                <w:spacing w:val="0"/>
                <w:position w:val="0"/>
                <w:sz w:val="24"/>
                <w:szCs w:val="24"/>
                <w:lang w:val="en-US" w:eastAsia="zh-CN"/>
              </w:rPr>
              <w:t>冲洗</w:t>
            </w:r>
            <w:r>
              <w:rPr>
                <w:spacing w:val="0"/>
                <w:position w:val="0"/>
                <w:sz w:val="24"/>
                <w:szCs w:val="24"/>
              </w:rPr>
              <w:t>用水量的</w:t>
            </w:r>
            <w:r>
              <w:rPr>
                <w:rFonts w:ascii="Times New Roman" w:hAnsi="Times New Roman" w:eastAsia="Times New Roman" w:cs="Times New Roman"/>
                <w:spacing w:val="0"/>
                <w:position w:val="0"/>
                <w:sz w:val="24"/>
                <w:szCs w:val="24"/>
              </w:rPr>
              <w:t>90%</w:t>
            </w:r>
            <w:r>
              <w:rPr>
                <w:spacing w:val="0"/>
                <w:position w:val="0"/>
                <w:sz w:val="24"/>
                <w:szCs w:val="24"/>
              </w:rPr>
              <w:t>计，则冲洗废水产生量约为</w:t>
            </w:r>
            <w:r>
              <w:rPr>
                <w:rFonts w:ascii="Times New Roman" w:hAnsi="Times New Roman" w:eastAsia="Times New Roman" w:cs="Times New Roman"/>
                <w:spacing w:val="0"/>
                <w:position w:val="0"/>
                <w:sz w:val="24"/>
                <w:szCs w:val="24"/>
              </w:rPr>
              <w:t>28.8m</w:t>
            </w:r>
            <w:r>
              <w:rPr>
                <w:rFonts w:ascii="Times New Roman" w:hAnsi="Times New Roman" w:eastAsia="Times New Roman" w:cs="Times New Roman"/>
                <w:spacing w:val="0"/>
                <w:position w:val="0"/>
                <w:sz w:val="24"/>
                <w:szCs w:val="24"/>
                <w:vertAlign w:val="superscript"/>
              </w:rPr>
              <w:t>3</w:t>
            </w:r>
            <w:r>
              <w:rPr>
                <w:rFonts w:ascii="Times New Roman" w:hAnsi="Times New Roman" w:eastAsia="Times New Roman" w:cs="Times New Roman"/>
                <w:spacing w:val="0"/>
                <w:position w:val="0"/>
                <w:sz w:val="24"/>
                <w:szCs w:val="24"/>
              </w:rPr>
              <w:t>/d</w:t>
            </w:r>
            <w:r>
              <w:rPr>
                <w:spacing w:val="0"/>
                <w:position w:val="0"/>
                <w:sz w:val="24"/>
                <w:szCs w:val="24"/>
              </w:rPr>
              <w:t>，类比同类工程，废水中主要污染物有石油类、</w:t>
            </w:r>
            <w:r>
              <w:rPr>
                <w:rFonts w:ascii="Times New Roman" w:hAnsi="Times New Roman" w:eastAsia="Times New Roman" w:cs="Times New Roman"/>
                <w:spacing w:val="0"/>
                <w:position w:val="0"/>
                <w:sz w:val="24"/>
                <w:szCs w:val="24"/>
              </w:rPr>
              <w:t>COD</w:t>
            </w:r>
            <w:r>
              <w:rPr>
                <w:spacing w:val="0"/>
                <w:position w:val="0"/>
                <w:sz w:val="24"/>
                <w:szCs w:val="24"/>
              </w:rPr>
              <w:t>和悬浮物，石油类浓度约</w:t>
            </w:r>
            <w:r>
              <w:rPr>
                <w:rFonts w:ascii="Times New Roman" w:hAnsi="Times New Roman" w:eastAsia="Times New Roman" w:cs="Times New Roman"/>
                <w:spacing w:val="0"/>
                <w:position w:val="0"/>
                <w:sz w:val="24"/>
                <w:szCs w:val="24"/>
              </w:rPr>
              <w:t>10~30mg/L</w:t>
            </w:r>
            <w:r>
              <w:rPr>
                <w:spacing w:val="0"/>
                <w:position w:val="0"/>
                <w:sz w:val="24"/>
                <w:szCs w:val="24"/>
              </w:rPr>
              <w:t>，</w:t>
            </w:r>
            <w:r>
              <w:rPr>
                <w:rFonts w:ascii="Times New Roman" w:hAnsi="Times New Roman" w:eastAsia="Times New Roman" w:cs="Times New Roman"/>
                <w:spacing w:val="0"/>
                <w:position w:val="0"/>
                <w:sz w:val="24"/>
                <w:szCs w:val="24"/>
              </w:rPr>
              <w:t>COD</w:t>
            </w:r>
            <w:r>
              <w:rPr>
                <w:spacing w:val="0"/>
                <w:position w:val="0"/>
                <w:sz w:val="24"/>
                <w:szCs w:val="24"/>
              </w:rPr>
              <w:t>约</w:t>
            </w:r>
            <w:r>
              <w:rPr>
                <w:rFonts w:ascii="Times New Roman" w:hAnsi="Times New Roman" w:eastAsia="Times New Roman" w:cs="Times New Roman"/>
                <w:spacing w:val="0"/>
                <w:position w:val="0"/>
                <w:sz w:val="24"/>
                <w:szCs w:val="24"/>
              </w:rPr>
              <w:t xml:space="preserve">200mg/L </w:t>
            </w:r>
            <w:r>
              <w:rPr>
                <w:spacing w:val="0"/>
                <w:position w:val="0"/>
                <w:sz w:val="24"/>
                <w:szCs w:val="24"/>
              </w:rPr>
              <w:t>，悬浮物约</w:t>
            </w:r>
            <w:r>
              <w:rPr>
                <w:rFonts w:ascii="Times New Roman" w:hAnsi="Times New Roman" w:eastAsia="Times New Roman" w:cs="Times New Roman"/>
                <w:spacing w:val="0"/>
                <w:position w:val="0"/>
                <w:sz w:val="24"/>
                <w:szCs w:val="24"/>
              </w:rPr>
              <w:t>500~4000mg/L</w:t>
            </w:r>
            <w:r>
              <w:rPr>
                <w:spacing w:val="0"/>
                <w:position w:val="0"/>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rFonts w:hint="eastAsia"/>
                <w:spacing w:val="0"/>
                <w:position w:val="0"/>
                <w:sz w:val="24"/>
                <w:szCs w:val="24"/>
                <w:lang w:val="en-US" w:eastAsia="zh-CN"/>
              </w:rPr>
              <w:t>通过</w:t>
            </w:r>
            <w:r>
              <w:rPr>
                <w:spacing w:val="0"/>
                <w:position w:val="0"/>
                <w:sz w:val="24"/>
                <w:szCs w:val="24"/>
              </w:rPr>
              <w:t>在施工场地设置简易</w:t>
            </w:r>
            <w:r>
              <w:rPr>
                <w:rFonts w:hint="eastAsia"/>
                <w:spacing w:val="0"/>
                <w:position w:val="0"/>
                <w:sz w:val="24"/>
                <w:szCs w:val="24"/>
                <w:lang w:val="en-US" w:eastAsia="zh-CN"/>
              </w:rPr>
              <w:t>隔油</w:t>
            </w:r>
            <w:r>
              <w:rPr>
                <w:spacing w:val="0"/>
                <w:position w:val="0"/>
                <w:sz w:val="24"/>
                <w:szCs w:val="24"/>
              </w:rPr>
              <w:t>沉淀池（</w:t>
            </w:r>
            <w:r>
              <w:rPr>
                <w:rFonts w:ascii="Times New Roman" w:hAnsi="Times New Roman" w:eastAsia="Times New Roman" w:cs="Times New Roman"/>
                <w:spacing w:val="0"/>
                <w:position w:val="0"/>
                <w:sz w:val="24"/>
                <w:szCs w:val="24"/>
              </w:rPr>
              <w:t>50m</w:t>
            </w:r>
            <w:r>
              <w:rPr>
                <w:rFonts w:ascii="Times New Roman" w:hAnsi="Times New Roman" w:eastAsia="Times New Roman" w:cs="Times New Roman"/>
                <w:spacing w:val="0"/>
                <w:position w:val="0"/>
                <w:sz w:val="24"/>
                <w:szCs w:val="24"/>
                <w:vertAlign w:val="superscript"/>
              </w:rPr>
              <w:t>3</w:t>
            </w:r>
            <w:r>
              <w:rPr>
                <w:spacing w:val="0"/>
                <w:position w:val="0"/>
                <w:sz w:val="24"/>
                <w:szCs w:val="24"/>
              </w:rPr>
              <w:t>）对施工过程中产生的设备冲洗废水进行沉淀处理，处理后的设备冲洗废水应回用于施工洒水降尘、周边区域绿化等过程，不得外排。沉淀池内淤泥应定期清理，运往垃圾填埋场处置。施工材料应集中堆放，并采取</w:t>
            </w:r>
            <w:r>
              <w:rPr>
                <w:rFonts w:hint="eastAsia"/>
                <w:spacing w:val="0"/>
                <w:position w:val="0"/>
                <w:sz w:val="24"/>
                <w:szCs w:val="24"/>
                <w:lang w:val="en-US" w:eastAsia="zh-CN"/>
              </w:rPr>
              <w:t>用篷布遮盖等</w:t>
            </w:r>
            <w:r>
              <w:rPr>
                <w:spacing w:val="0"/>
                <w:position w:val="0"/>
                <w:sz w:val="24"/>
                <w:szCs w:val="24"/>
              </w:rPr>
              <w:t>防雨措施，及时清扫施工运输过程中抛洒的施工材料，以免这些物质随雨水冲刷污染附近水体。</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eastAsia"/>
                <w:b/>
                <w:bCs/>
                <w:spacing w:val="-5"/>
                <w:sz w:val="24"/>
                <w:szCs w:val="24"/>
                <w:lang w:val="en-US" w:eastAsia="zh-CN"/>
              </w:rPr>
            </w:pPr>
            <w:r>
              <w:rPr>
                <w:rFonts w:hint="eastAsia"/>
                <w:b/>
                <w:bCs/>
                <w:spacing w:val="-5"/>
                <w:sz w:val="24"/>
                <w:szCs w:val="24"/>
                <w:lang w:val="en-US" w:eastAsia="zh-CN"/>
              </w:rPr>
              <w:t>⑶ 大坝基座灌浆冲洗钻孔废水及混凝土养护废水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spacing w:val="0"/>
                <w:position w:val="0"/>
                <w:sz w:val="24"/>
                <w:szCs w:val="24"/>
              </w:rPr>
            </w:pPr>
            <w:r>
              <w:rPr>
                <w:spacing w:val="0"/>
                <w:position w:val="0"/>
                <w:sz w:val="24"/>
                <w:szCs w:val="24"/>
              </w:rPr>
              <w:t>本项目大坝基座混凝土浇筑养护过程中将会产生混凝土养护废水，同时大坝基座及灌浆平洞在进行灌浆施工作业过程中会产生冲洗钻孔产生废水，</w:t>
            </w:r>
            <w:r>
              <w:rPr>
                <w:rFonts w:hint="default" w:ascii="Arial" w:hAnsi="Arial" w:cs="Arial"/>
                <w:spacing w:val="0"/>
                <w:position w:val="0"/>
                <w:sz w:val="24"/>
                <w:szCs w:val="24"/>
              </w:rPr>
              <w:t>水产生量约为5m</w:t>
            </w:r>
            <w:r>
              <w:rPr>
                <w:rFonts w:hint="default" w:ascii="Arial" w:hAnsi="Arial" w:cs="Arial"/>
                <w:spacing w:val="0"/>
                <w:position w:val="0"/>
                <w:sz w:val="24"/>
                <w:szCs w:val="24"/>
                <w:vertAlign w:val="superscript"/>
              </w:rPr>
              <w:t>3</w:t>
            </w:r>
            <w:r>
              <w:rPr>
                <w:rFonts w:hint="default" w:ascii="Arial" w:hAnsi="Arial" w:cs="Arial"/>
                <w:spacing w:val="0"/>
                <w:position w:val="0"/>
                <w:sz w:val="24"/>
                <w:szCs w:val="24"/>
              </w:rPr>
              <w:t>/d。</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ascii="宋体" w:hAnsi="宋体" w:eastAsia="宋体" w:cs="宋体"/>
                <w:sz w:val="24"/>
                <w:szCs w:val="24"/>
              </w:rPr>
            </w:pPr>
            <w:r>
              <w:rPr>
                <w:rFonts w:hint="eastAsia" w:ascii="宋体" w:hAnsi="宋体" w:eastAsia="宋体" w:cs="宋体"/>
                <w:spacing w:val="-2"/>
                <w:sz w:val="24"/>
                <w:szCs w:val="24"/>
                <w:lang w:val="en-US" w:eastAsia="zh-CN"/>
              </w:rPr>
              <w:t>针对上述废水，通过</w:t>
            </w:r>
            <w:r>
              <w:rPr>
                <w:rFonts w:ascii="宋体" w:hAnsi="宋体" w:eastAsia="宋体" w:cs="宋体"/>
                <w:spacing w:val="-2"/>
                <w:sz w:val="24"/>
                <w:szCs w:val="24"/>
              </w:rPr>
              <w:t>在大坝基座下游设置</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
                <w:position w:val="9"/>
                <w:sz w:val="15"/>
                <w:szCs w:val="15"/>
              </w:rPr>
              <w:t>3</w:t>
            </w:r>
            <w:r>
              <w:rPr>
                <w:rFonts w:ascii="宋体" w:hAnsi="宋体" w:eastAsia="宋体" w:cs="宋体"/>
                <w:spacing w:val="-3"/>
                <w:sz w:val="24"/>
                <w:szCs w:val="24"/>
              </w:rPr>
              <w:t>的沉淀池，池体内壁采用防渗水泥，</w:t>
            </w:r>
            <w:r>
              <w:rPr>
                <w:rFonts w:ascii="宋体" w:hAnsi="宋体" w:eastAsia="宋体" w:cs="宋体"/>
                <w:spacing w:val="1"/>
                <w:sz w:val="24"/>
                <w:szCs w:val="24"/>
              </w:rPr>
              <w:t>对灌浆冲洗钻孔废水及混凝土养护废水进行收集处理，沉淀之后的上清液用于</w:t>
            </w:r>
            <w:r>
              <w:rPr>
                <w:rFonts w:ascii="宋体" w:hAnsi="宋体" w:eastAsia="宋体" w:cs="宋体"/>
                <w:sz w:val="24"/>
                <w:szCs w:val="24"/>
              </w:rPr>
              <w:t>洒水</w:t>
            </w:r>
            <w:r>
              <w:rPr>
                <w:rFonts w:ascii="宋体" w:hAnsi="宋体" w:eastAsia="宋体" w:cs="宋体"/>
                <w:spacing w:val="-3"/>
                <w:sz w:val="24"/>
                <w:szCs w:val="24"/>
              </w:rPr>
              <w:t>降尘使用，施工完毕后拆除。</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eastAsia"/>
                <w:b/>
                <w:bCs/>
                <w:spacing w:val="-5"/>
                <w:sz w:val="24"/>
                <w:szCs w:val="24"/>
                <w:lang w:val="en-US" w:eastAsia="zh-CN"/>
              </w:rPr>
            </w:pPr>
            <w:r>
              <w:rPr>
                <w:rFonts w:hint="eastAsia"/>
                <w:b/>
                <w:bCs/>
                <w:spacing w:val="-5"/>
                <w:sz w:val="24"/>
                <w:szCs w:val="24"/>
                <w:lang w:val="en-US" w:eastAsia="zh-CN"/>
              </w:rPr>
              <w:t>⑷ 管道试压废水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spacing w:val="0"/>
                <w:position w:val="0"/>
                <w:sz w:val="24"/>
                <w:szCs w:val="24"/>
              </w:rPr>
              <w:t>在施工过程中需要对项目原水、给水管道进行试压和清管处理。在管道连接好时即进行管道试压，确认压降满足要求后再进行管沟覆土处理；管道施工完毕 后需要进行清管处理，在清管过程时清洗时间为24h。项目试压、清管废水主要污染物为SS，浓度约15~40mg/L，该部分废水污染物含量较少。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spacing w:val="0"/>
                <w:position w:val="0"/>
                <w:sz w:val="24"/>
                <w:szCs w:val="24"/>
              </w:rPr>
              <w:t>本次评价要求建设单位在管道末端设置简易沉淀池（5m</w:t>
            </w:r>
            <w:r>
              <w:rPr>
                <w:spacing w:val="0"/>
                <w:position w:val="0"/>
                <w:sz w:val="24"/>
                <w:szCs w:val="24"/>
                <w:vertAlign w:val="superscript"/>
              </w:rPr>
              <w:t xml:space="preserve">3 </w:t>
            </w:r>
            <w:r>
              <w:rPr>
                <w:spacing w:val="0"/>
                <w:position w:val="0"/>
                <w:sz w:val="24"/>
                <w:szCs w:val="24"/>
              </w:rPr>
              <w:t>）沉淀后</w:t>
            </w:r>
            <w:r>
              <w:rPr>
                <w:rFonts w:hint="eastAsia"/>
                <w:spacing w:val="0"/>
                <w:position w:val="0"/>
                <w:sz w:val="24"/>
                <w:szCs w:val="24"/>
                <w:lang w:val="en-US" w:eastAsia="zh-CN"/>
              </w:rPr>
              <w:t>用于项目附近洒水降尘的使用</w:t>
            </w:r>
            <w:r>
              <w:rPr>
                <w:spacing w:val="0"/>
                <w:position w:val="0"/>
                <w:sz w:val="24"/>
                <w:szCs w:val="24"/>
              </w:rPr>
              <w:t>，不外排。</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sz w:val="24"/>
                <w:szCs w:val="24"/>
              </w:rPr>
            </w:pPr>
            <w:r>
              <w:rPr>
                <w:rFonts w:hint="eastAsia"/>
                <w:b/>
                <w:bCs/>
                <w:spacing w:val="-5"/>
                <w:sz w:val="24"/>
                <w:szCs w:val="24"/>
                <w:lang w:val="en-US" w:eastAsia="zh-CN"/>
              </w:rPr>
              <w:t xml:space="preserve">⑸ </w:t>
            </w:r>
            <w:r>
              <w:rPr>
                <w:b/>
                <w:bCs/>
                <w:spacing w:val="-5"/>
                <w:sz w:val="24"/>
                <w:szCs w:val="24"/>
              </w:rPr>
              <w:t>基坑排水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spacing w:val="0"/>
                <w:position w:val="0"/>
                <w:sz w:val="24"/>
                <w:szCs w:val="24"/>
              </w:rPr>
              <w:t>项目施工开挖时可能会造成地下水涌出，因此，若开挖时遇地下水，应把地下水位降到设计构筑物埋深标高以下，降低地下水位即为基坑降水。由于降雨、渗水造成的基坑积水需要及时导排。根据类比同类工程，基坑</w:t>
            </w:r>
            <w:r>
              <w:rPr>
                <w:rFonts w:hint="eastAsia"/>
                <w:spacing w:val="0"/>
                <w:position w:val="0"/>
                <w:sz w:val="24"/>
                <w:szCs w:val="24"/>
                <w:lang w:val="en-US" w:eastAsia="zh-CN"/>
              </w:rPr>
              <w:t>降水中</w:t>
            </w:r>
            <w:r>
              <w:rPr>
                <w:spacing w:val="0"/>
                <w:position w:val="0"/>
                <w:sz w:val="24"/>
                <w:szCs w:val="24"/>
              </w:rPr>
              <w:t>悬浮物浓度</w:t>
            </w:r>
            <w:r>
              <w:rPr>
                <w:rFonts w:hint="eastAsia"/>
                <w:spacing w:val="0"/>
                <w:position w:val="0"/>
                <w:sz w:val="24"/>
                <w:szCs w:val="24"/>
                <w:lang w:val="en-US" w:eastAsia="zh-CN"/>
              </w:rPr>
              <w:t>一般</w:t>
            </w:r>
            <w:r>
              <w:rPr>
                <w:spacing w:val="0"/>
                <w:position w:val="0"/>
                <w:sz w:val="24"/>
                <w:szCs w:val="24"/>
              </w:rPr>
              <w:t>2000mg/L左右。</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rFonts w:hint="eastAsia"/>
                <w:spacing w:val="0"/>
                <w:position w:val="0"/>
                <w:sz w:val="24"/>
                <w:szCs w:val="24"/>
                <w:lang w:val="en-US" w:eastAsia="zh-CN"/>
              </w:rPr>
              <w:t>对此，</w:t>
            </w:r>
            <w:r>
              <w:rPr>
                <w:spacing w:val="0"/>
                <w:position w:val="0"/>
                <w:sz w:val="24"/>
                <w:szCs w:val="24"/>
              </w:rPr>
              <w:t>本评价要求建设单位在基坑地势低洼处开挖沉淀池（5m</w:t>
            </w:r>
            <w:r>
              <w:rPr>
                <w:spacing w:val="0"/>
                <w:position w:val="0"/>
                <w:sz w:val="24"/>
                <w:szCs w:val="24"/>
                <w:vertAlign w:val="superscript"/>
              </w:rPr>
              <w:t>3</w:t>
            </w:r>
            <w:r>
              <w:rPr>
                <w:spacing w:val="0"/>
                <w:position w:val="0"/>
                <w:sz w:val="24"/>
                <w:szCs w:val="24"/>
              </w:rPr>
              <w:t>），沉淀后上清液用于施工洒水、道路降尘等过程中，不外排。根据地质勘探反馈的信息制定各种可能情况的施工技术方案、灾害防治预案；为了降低地下水位应设置基坑降水，采用基坑防边坡处理；保持作业地段清洁，避免污水进入基坑，防止降水结束、地下水回升后造成地下水水质恶化；地面排水遵循先整治后开挖的施工顺序，施工前先做好地面排水，地面排水随地形坡势沿开挖基坑外侧边缘设高阻水带，再修排水渠排水，以防地表水流入坑内；坑内排水沿基坑横向中线向基坑两侧挖积水坑，用水泵抽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ascii="Times New Roman" w:hAnsi="Times New Roman" w:eastAsia="Times New Roman" w:cs="Times New Roman"/>
                <w:b/>
                <w:bCs/>
                <w:spacing w:val="-9"/>
                <w:sz w:val="24"/>
                <w:szCs w:val="24"/>
              </w:rPr>
              <w:t>2、生活污水</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sz w:val="24"/>
                <w:szCs w:val="24"/>
              </w:rPr>
            </w:pPr>
            <w:r>
              <w:rPr>
                <w:rFonts w:ascii="宋体" w:hAnsi="宋体" w:eastAsia="宋体" w:cs="宋体"/>
                <w:spacing w:val="-2"/>
                <w:sz w:val="24"/>
                <w:szCs w:val="24"/>
              </w:rPr>
              <w:t>施工期生活污水主要来自施工人员日常生活，枢纽工区</w:t>
            </w:r>
            <w:r>
              <w:rPr>
                <w:rFonts w:ascii="宋体" w:hAnsi="宋体" w:eastAsia="宋体" w:cs="宋体"/>
                <w:spacing w:val="-3"/>
                <w:sz w:val="24"/>
                <w:szCs w:val="24"/>
              </w:rPr>
              <w:t>施工高峰人数为</w:t>
            </w:r>
            <w:r>
              <w:rPr>
                <w:rFonts w:ascii="Times New Roman" w:hAnsi="Times New Roman" w:eastAsia="Times New Roman" w:cs="Times New Roman"/>
                <w:spacing w:val="-3"/>
                <w:sz w:val="24"/>
                <w:szCs w:val="24"/>
              </w:rPr>
              <w:t xml:space="preserve">180 </w:t>
            </w:r>
            <w:r>
              <w:rPr>
                <w:rFonts w:ascii="宋体" w:hAnsi="宋体" w:eastAsia="宋体" w:cs="宋体"/>
                <w:spacing w:val="-3"/>
                <w:sz w:val="24"/>
                <w:szCs w:val="24"/>
              </w:rPr>
              <w:t>人，</w:t>
            </w:r>
            <w:r>
              <w:rPr>
                <w:rFonts w:ascii="宋体" w:hAnsi="宋体" w:eastAsia="宋体" w:cs="宋体"/>
                <w:sz w:val="24"/>
                <w:szCs w:val="24"/>
              </w:rPr>
              <w:t xml:space="preserve"> </w:t>
            </w:r>
            <w:r>
              <w:rPr>
                <w:rFonts w:ascii="宋体" w:hAnsi="宋体" w:eastAsia="宋体" w:cs="宋体"/>
                <w:spacing w:val="-1"/>
                <w:sz w:val="24"/>
                <w:szCs w:val="24"/>
              </w:rPr>
              <w:t>综合用水定额取每人</w:t>
            </w:r>
            <w:r>
              <w:rPr>
                <w:rFonts w:ascii="宋体" w:hAnsi="宋体" w:eastAsia="宋体" w:cs="宋体"/>
                <w:spacing w:val="-67"/>
                <w:sz w:val="24"/>
                <w:szCs w:val="24"/>
              </w:rPr>
              <w:t xml:space="preserve"> </w:t>
            </w:r>
            <w:r>
              <w:rPr>
                <w:rFonts w:ascii="Times New Roman" w:hAnsi="Times New Roman" w:eastAsia="Times New Roman" w:cs="Times New Roman"/>
                <w:spacing w:val="-1"/>
                <w:sz w:val="24"/>
                <w:szCs w:val="24"/>
              </w:rPr>
              <w:t>200L/d</w:t>
            </w:r>
            <w:r>
              <w:rPr>
                <w:rFonts w:ascii="宋体" w:hAnsi="宋体" w:eastAsia="宋体" w:cs="宋体"/>
                <w:spacing w:val="-1"/>
                <w:sz w:val="24"/>
                <w:szCs w:val="24"/>
              </w:rPr>
              <w:t>，排污系数</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0.8</w:t>
            </w:r>
            <w:r>
              <w:rPr>
                <w:rFonts w:ascii="宋体" w:hAnsi="宋体" w:eastAsia="宋体" w:cs="宋体"/>
                <w:spacing w:val="-1"/>
                <w:sz w:val="24"/>
                <w:szCs w:val="24"/>
              </w:rPr>
              <w:t>，</w:t>
            </w:r>
            <w:r>
              <w:rPr>
                <w:rFonts w:ascii="宋体" w:hAnsi="宋体" w:eastAsia="宋体" w:cs="宋体"/>
                <w:color w:val="000000" w:themeColor="text1"/>
                <w:spacing w:val="-1"/>
                <w:sz w:val="24"/>
                <w:szCs w:val="24"/>
                <w14:textFill>
                  <w14:solidFill>
                    <w14:schemeClr w14:val="tx1"/>
                  </w14:solidFill>
                </w14:textFill>
              </w:rPr>
              <w:t>高峰期生活污水排放量约为</w:t>
            </w:r>
            <w:r>
              <w:rPr>
                <w:rFonts w:ascii="宋体" w:hAnsi="宋体" w:eastAsia="宋体" w:cs="宋体"/>
                <w:color w:val="000000" w:themeColor="text1"/>
                <w:spacing w:val="-55"/>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28.8m</w:t>
            </w:r>
            <w:r>
              <w:rPr>
                <w:rFonts w:ascii="Times New Roman" w:hAnsi="Times New Roman" w:eastAsia="Times New Roman" w:cs="Times New Roman"/>
                <w:color w:val="000000" w:themeColor="text1"/>
                <w:spacing w:val="-1"/>
                <w:position w:val="8"/>
                <w:sz w:val="15"/>
                <w:szCs w:val="15"/>
                <w14:textFill>
                  <w14:solidFill>
                    <w14:schemeClr w14:val="tx1"/>
                  </w14:solidFill>
                </w14:textFill>
              </w:rPr>
              <w:t>3</w:t>
            </w:r>
            <w:r>
              <w:rPr>
                <w:rFonts w:ascii="Times New Roman" w:hAnsi="Times New Roman" w:eastAsia="Times New Roman" w:cs="Times New Roman"/>
                <w:color w:val="000000" w:themeColor="text1"/>
                <w:spacing w:val="-2"/>
                <w:sz w:val="24"/>
                <w:szCs w:val="24"/>
                <w14:textFill>
                  <w14:solidFill>
                    <w14:schemeClr w14:val="tx1"/>
                  </w14:solidFill>
                </w14:textFill>
              </w:rPr>
              <w:t>/d</w:t>
            </w:r>
            <w:r>
              <w:rPr>
                <w:rFonts w:ascii="宋体" w:hAnsi="宋体" w:eastAsia="宋体" w:cs="宋体"/>
                <w:color w:val="000000" w:themeColor="text1"/>
                <w:spacing w:val="-2"/>
                <w:sz w:val="24"/>
                <w:szCs w:val="24"/>
                <w14:textFill>
                  <w14:solidFill>
                    <w14:schemeClr w14:val="tx1"/>
                  </w14:solidFill>
                </w14:textFill>
              </w:rPr>
              <w:t>，折算成小时排污量</w:t>
            </w:r>
            <w:r>
              <w:rPr>
                <w:rFonts w:ascii="Times New Roman" w:hAnsi="Times New Roman" w:eastAsia="Times New Roman" w:cs="Times New Roman"/>
                <w:color w:val="000000" w:themeColor="text1"/>
                <w:spacing w:val="-2"/>
                <w:sz w:val="24"/>
                <w:szCs w:val="24"/>
                <w14:textFill>
                  <w14:solidFill>
                    <w14:schemeClr w14:val="tx1"/>
                  </w14:solidFill>
                </w14:textFill>
              </w:rPr>
              <w:t>1.2m</w:t>
            </w:r>
            <w:r>
              <w:rPr>
                <w:rFonts w:ascii="Times New Roman" w:hAnsi="Times New Roman" w:eastAsia="Times New Roman" w:cs="Times New Roman"/>
                <w:color w:val="000000" w:themeColor="text1"/>
                <w:spacing w:val="-2"/>
                <w:position w:val="8"/>
                <w:sz w:val="15"/>
                <w:szCs w:val="15"/>
                <w14:textFill>
                  <w14:solidFill>
                    <w14:schemeClr w14:val="tx1"/>
                  </w14:solidFill>
                </w14:textFill>
              </w:rPr>
              <w:t>3</w:t>
            </w:r>
            <w:r>
              <w:rPr>
                <w:rFonts w:ascii="Times New Roman" w:hAnsi="Times New Roman" w:eastAsia="Times New Roman" w:cs="Times New Roman"/>
                <w:color w:val="000000" w:themeColor="text1"/>
                <w:spacing w:val="-2"/>
                <w:sz w:val="24"/>
                <w:szCs w:val="24"/>
                <w14:textFill>
                  <w14:solidFill>
                    <w14:schemeClr w14:val="tx1"/>
                  </w14:solidFill>
                </w14:textFill>
              </w:rPr>
              <w:t>/h</w:t>
            </w:r>
            <w:r>
              <w:rPr>
                <w:rFonts w:ascii="宋体" w:hAnsi="宋体" w:eastAsia="宋体" w:cs="宋体"/>
                <w:color w:val="000000" w:themeColor="text1"/>
                <w:spacing w:val="-2"/>
                <w:sz w:val="24"/>
                <w:szCs w:val="24"/>
                <w14:textFill>
                  <w14:solidFill>
                    <w14:schemeClr w14:val="tx1"/>
                  </w14:solidFill>
                </w14:textFill>
              </w:rPr>
              <w:t>；</w:t>
            </w:r>
            <w:r>
              <w:rPr>
                <w:rFonts w:hint="eastAsia" w:ascii="宋体" w:hAnsi="宋体" w:eastAsia="宋体" w:cs="宋体"/>
                <w:color w:val="000000" w:themeColor="text1"/>
                <w:spacing w:val="-2"/>
                <w:sz w:val="24"/>
                <w:szCs w:val="24"/>
                <w:lang w:val="en-US" w:eastAsia="zh-CN"/>
                <w14:textFill>
                  <w14:solidFill>
                    <w14:schemeClr w14:val="tx1"/>
                  </w14:solidFill>
                </w14:textFill>
              </w:rPr>
              <w:t>灌区</w:t>
            </w:r>
            <w:r>
              <w:rPr>
                <w:rFonts w:ascii="宋体" w:hAnsi="宋体" w:eastAsia="宋体" w:cs="宋体"/>
                <w:color w:val="000000" w:themeColor="text1"/>
                <w:spacing w:val="-2"/>
                <w:sz w:val="24"/>
                <w:szCs w:val="24"/>
                <w14:textFill>
                  <w14:solidFill>
                    <w14:schemeClr w14:val="tx1"/>
                  </w14:solidFill>
                </w14:textFill>
              </w:rPr>
              <w:t>工区施工高峰人数为</w:t>
            </w:r>
            <w:r>
              <w:rPr>
                <w:rFonts w:ascii="Times New Roman" w:hAnsi="Times New Roman" w:eastAsia="Times New Roman" w:cs="Times New Roman"/>
                <w:color w:val="000000" w:themeColor="text1"/>
                <w:spacing w:val="-2"/>
                <w:sz w:val="24"/>
                <w:szCs w:val="24"/>
                <w14:textFill>
                  <w14:solidFill>
                    <w14:schemeClr w14:val="tx1"/>
                  </w14:solidFill>
                </w14:textFill>
              </w:rPr>
              <w:t>1</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0</w:t>
            </w:r>
            <w:r>
              <w:rPr>
                <w:rFonts w:ascii="Times New Roman" w:hAnsi="Times New Roman" w:eastAsia="Times New Roman" w:cs="Times New Roman"/>
                <w:color w:val="000000" w:themeColor="text1"/>
                <w:spacing w:val="-2"/>
                <w:sz w:val="24"/>
                <w:szCs w:val="24"/>
                <w14:textFill>
                  <w14:solidFill>
                    <w14:schemeClr w14:val="tx1"/>
                  </w14:solidFill>
                </w14:textFill>
              </w:rPr>
              <w:t>0</w:t>
            </w:r>
            <w:r>
              <w:rPr>
                <w:rFonts w:ascii="宋体" w:hAnsi="宋体" w:eastAsia="宋体" w:cs="宋体"/>
                <w:color w:val="000000" w:themeColor="text1"/>
                <w:spacing w:val="-2"/>
                <w:sz w:val="24"/>
                <w:szCs w:val="24"/>
                <w14:textFill>
                  <w14:solidFill>
                    <w14:schemeClr w14:val="tx1"/>
                  </w14:solidFill>
                </w14:textFill>
              </w:rPr>
              <w:t>人</w:t>
            </w:r>
            <w:r>
              <w:rPr>
                <w:rFonts w:ascii="宋体" w:hAnsi="宋体" w:eastAsia="宋体" w:cs="宋体"/>
                <w:spacing w:val="-2"/>
                <w:sz w:val="24"/>
                <w:szCs w:val="24"/>
              </w:rPr>
              <w:t>，高峰期生活污水排放</w:t>
            </w:r>
            <w:r>
              <w:rPr>
                <w:rFonts w:ascii="宋体" w:hAnsi="宋体" w:eastAsia="宋体" w:cs="宋体"/>
                <w:sz w:val="24"/>
                <w:szCs w:val="24"/>
              </w:rPr>
              <w:t xml:space="preserve"> </w:t>
            </w:r>
            <w:r>
              <w:rPr>
                <w:rFonts w:ascii="宋体" w:hAnsi="宋体" w:eastAsia="宋体" w:cs="宋体"/>
                <w:spacing w:val="-2"/>
                <w:sz w:val="24"/>
                <w:szCs w:val="24"/>
              </w:rPr>
              <w:t>量约为</w:t>
            </w:r>
            <w:r>
              <w:rPr>
                <w:rFonts w:ascii="Times New Roman" w:hAnsi="Times New Roman" w:eastAsia="Times New Roman" w:cs="Times New Roman"/>
                <w:spacing w:val="-2"/>
                <w:sz w:val="24"/>
                <w:szCs w:val="24"/>
              </w:rPr>
              <w:t>17.6m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，折</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0.73m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
                <w:sz w:val="24"/>
                <w:szCs w:val="24"/>
              </w:rPr>
              <w:t>/h</w:t>
            </w:r>
            <w:r>
              <w:rPr>
                <w:rFonts w:ascii="宋体" w:hAnsi="宋体" w:eastAsia="宋体" w:cs="宋体"/>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ascii="宋体" w:hAnsi="宋体" w:eastAsia="宋体" w:cs="宋体"/>
                <w:spacing w:val="-5"/>
                <w:sz w:val="24"/>
                <w:szCs w:val="24"/>
              </w:rPr>
            </w:pPr>
            <w:r>
              <w:rPr>
                <w:rFonts w:ascii="宋体" w:hAnsi="宋体" w:eastAsia="宋体" w:cs="宋体"/>
                <w:spacing w:val="2"/>
                <w:sz w:val="24"/>
                <w:szCs w:val="24"/>
              </w:rPr>
              <w:t>治理措施：水库枢纽工区施工人员集中在枢纽工区和料场工区，施</w:t>
            </w:r>
            <w:r>
              <w:rPr>
                <w:rFonts w:ascii="宋体" w:hAnsi="宋体" w:eastAsia="宋体" w:cs="宋体"/>
                <w:spacing w:val="1"/>
                <w:sz w:val="24"/>
                <w:szCs w:val="24"/>
              </w:rPr>
              <w:t>工高峰期最</w:t>
            </w:r>
            <w:r>
              <w:rPr>
                <w:rFonts w:ascii="宋体" w:hAnsi="宋体" w:eastAsia="宋体" w:cs="宋体"/>
                <w:spacing w:val="-1"/>
                <w:sz w:val="24"/>
                <w:szCs w:val="24"/>
              </w:rPr>
              <w:t>大小时排污量为</w:t>
            </w:r>
            <w:r>
              <w:rPr>
                <w:rFonts w:ascii="Times New Roman" w:hAnsi="Times New Roman" w:eastAsia="Times New Roman" w:cs="Times New Roman"/>
                <w:spacing w:val="-1"/>
                <w:sz w:val="24"/>
                <w:szCs w:val="24"/>
              </w:rPr>
              <w:t>1.2m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，适合布置简易旱厕，因此，拟在枢纽工区设置</w:t>
            </w:r>
            <w:r>
              <w:rPr>
                <w:rFonts w:ascii="宋体" w:hAnsi="宋体" w:eastAsia="宋体" w:cs="宋体"/>
                <w:spacing w:val="-2"/>
                <w:sz w:val="24"/>
                <w:szCs w:val="24"/>
              </w:rPr>
              <w:t>两个简易旱</w:t>
            </w:r>
            <w:r>
              <w:rPr>
                <w:rFonts w:ascii="宋体" w:hAnsi="宋体" w:eastAsia="宋体" w:cs="宋体"/>
                <w:spacing w:val="2"/>
                <w:sz w:val="24"/>
                <w:szCs w:val="24"/>
              </w:rPr>
              <w:t>厕，另在料场区配备一个简易旱厕。</w:t>
            </w:r>
            <w:r>
              <w:rPr>
                <w:rFonts w:hint="eastAsia" w:ascii="宋体" w:hAnsi="宋体" w:eastAsia="宋体" w:cs="宋体"/>
                <w:spacing w:val="2"/>
                <w:sz w:val="24"/>
                <w:szCs w:val="24"/>
                <w:lang w:val="en-US" w:eastAsia="zh-CN"/>
              </w:rPr>
              <w:t>灌区</w:t>
            </w:r>
            <w:r>
              <w:rPr>
                <w:rFonts w:ascii="宋体" w:hAnsi="宋体" w:eastAsia="宋体" w:cs="宋体"/>
                <w:spacing w:val="2"/>
                <w:sz w:val="24"/>
                <w:szCs w:val="24"/>
              </w:rPr>
              <w:t>工程施工人员分散在干</w:t>
            </w:r>
            <w:r>
              <w:rPr>
                <w:rFonts w:hint="eastAsia" w:ascii="宋体" w:hAnsi="宋体" w:eastAsia="宋体" w:cs="宋体"/>
                <w:spacing w:val="2"/>
                <w:sz w:val="24"/>
                <w:szCs w:val="24"/>
                <w:lang w:val="en-US" w:eastAsia="zh-CN"/>
              </w:rPr>
              <w:t>管周围</w:t>
            </w:r>
            <w:r>
              <w:rPr>
                <w:rFonts w:hint="eastAsia" w:ascii="宋体" w:hAnsi="宋体" w:eastAsia="宋体" w:cs="宋体"/>
                <w:spacing w:val="-1"/>
                <w:sz w:val="24"/>
                <w:szCs w:val="24"/>
                <w:lang w:eastAsia="zh-CN"/>
              </w:rPr>
              <w:t>，</w:t>
            </w:r>
            <w:r>
              <w:rPr>
                <w:rFonts w:ascii="宋体" w:hAnsi="宋体" w:eastAsia="宋体" w:cs="宋体"/>
                <w:spacing w:val="-1"/>
                <w:sz w:val="24"/>
                <w:szCs w:val="24"/>
              </w:rPr>
              <w:t>工区附近无大的地表径流</w:t>
            </w:r>
            <w:r>
              <w:rPr>
                <w:rFonts w:hint="eastAsia" w:ascii="宋体" w:hAnsi="宋体" w:cs="宋体"/>
                <w:spacing w:val="-1"/>
                <w:sz w:val="24"/>
                <w:szCs w:val="24"/>
                <w:lang w:eastAsia="zh-CN"/>
              </w:rPr>
              <w:t>。</w:t>
            </w:r>
            <w:r>
              <w:rPr>
                <w:rFonts w:ascii="宋体" w:hAnsi="宋体" w:eastAsia="宋体" w:cs="宋体"/>
                <w:spacing w:val="-1"/>
                <w:sz w:val="24"/>
                <w:szCs w:val="24"/>
              </w:rPr>
              <w:t>因此，拟在施工点配备</w:t>
            </w:r>
            <w:r>
              <w:rPr>
                <w:rFonts w:ascii="Times New Roman" w:hAnsi="Times New Roman" w:eastAsia="Times New Roman" w:cs="Times New Roman"/>
                <w:spacing w:val="-1"/>
                <w:sz w:val="24"/>
                <w:szCs w:val="24"/>
              </w:rPr>
              <w:t>2</w:t>
            </w:r>
            <w:r>
              <w:rPr>
                <w:rFonts w:ascii="宋体" w:hAnsi="宋体" w:eastAsia="宋体" w:cs="宋体"/>
                <w:spacing w:val="-1"/>
                <w:sz w:val="24"/>
                <w:szCs w:val="24"/>
              </w:rPr>
              <w:t>个简易旱</w:t>
            </w:r>
            <w:r>
              <w:rPr>
                <w:rFonts w:ascii="宋体" w:hAnsi="宋体" w:eastAsia="宋体" w:cs="宋体"/>
                <w:spacing w:val="-2"/>
                <w:sz w:val="24"/>
                <w:szCs w:val="24"/>
              </w:rPr>
              <w:t>厕。施</w:t>
            </w:r>
            <w:r>
              <w:rPr>
                <w:rFonts w:ascii="宋体" w:hAnsi="宋体" w:eastAsia="宋体" w:cs="宋体"/>
                <w:spacing w:val="2"/>
                <w:sz w:val="24"/>
                <w:szCs w:val="24"/>
              </w:rPr>
              <w:t>工期生活污水经旱厕及化粪池初步处理后，用于农业生产，这在以往的工程中应用很广泛。运行期主要是管理人员生活废水，经自建的防渗旱厕后用于周边耕地和林</w:t>
            </w:r>
            <w:r>
              <w:rPr>
                <w:rFonts w:ascii="宋体" w:hAnsi="宋体" w:eastAsia="宋体" w:cs="宋体"/>
                <w:spacing w:val="-5"/>
                <w:sz w:val="24"/>
                <w:szCs w:val="24"/>
              </w:rPr>
              <w:t>地施肥，不外排。</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ascii="Times New Roman" w:hAnsi="Times New Roman" w:eastAsia="Times New Roman" w:cs="Times New Roman"/>
                <w:b/>
                <w:bCs/>
                <w:spacing w:val="-9"/>
                <w:sz w:val="24"/>
                <w:szCs w:val="24"/>
              </w:rPr>
              <w:t>3、河流水文情势影响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default" w:ascii="Times New Roman" w:hAnsi="Times New Roman" w:eastAsia="宋体" w:cs="Times New Roman"/>
                <w:b/>
                <w:bCs/>
                <w:spacing w:val="-9"/>
                <w:sz w:val="24"/>
                <w:szCs w:val="24"/>
                <w:lang w:val="en-US" w:eastAsia="zh-CN"/>
              </w:rPr>
            </w:pPr>
            <w:r>
              <w:rPr>
                <w:rFonts w:hint="eastAsia" w:ascii="Times New Roman" w:hAnsi="Times New Roman" w:eastAsia="宋体" w:cs="Times New Roman"/>
                <w:b/>
                <w:bCs/>
                <w:spacing w:val="-9"/>
                <w:sz w:val="24"/>
                <w:szCs w:val="24"/>
                <w:lang w:val="en-US" w:eastAsia="zh-CN"/>
              </w:rPr>
              <w:t xml:space="preserve">⑴ </w:t>
            </w:r>
            <w:r>
              <w:rPr>
                <w:rFonts w:ascii="Times New Roman" w:hAnsi="Times New Roman" w:eastAsia="Times New Roman" w:cs="Times New Roman"/>
                <w:b/>
                <w:bCs/>
                <w:spacing w:val="-9"/>
                <w:sz w:val="24"/>
                <w:szCs w:val="24"/>
              </w:rPr>
              <w:t>施工导流</w:t>
            </w:r>
            <w:r>
              <w:rPr>
                <w:rFonts w:hint="eastAsia" w:ascii="Times New Roman" w:hAnsi="Times New Roman" w:eastAsia="宋体" w:cs="Times New Roman"/>
                <w:b/>
                <w:bCs/>
                <w:spacing w:val="-9"/>
                <w:sz w:val="24"/>
                <w:szCs w:val="24"/>
                <w:lang w:val="en-US" w:eastAsia="zh-CN"/>
              </w:rPr>
              <w:t>及水文情势影响分析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ascii="宋体" w:hAnsi="宋体" w:eastAsia="宋体" w:cs="宋体"/>
                <w:spacing w:val="2"/>
                <w:sz w:val="24"/>
                <w:szCs w:val="24"/>
              </w:rPr>
            </w:pPr>
            <w:r>
              <w:rPr>
                <w:rFonts w:ascii="宋体" w:hAnsi="宋体" w:eastAsia="宋体" w:cs="宋体"/>
                <w:spacing w:val="2"/>
                <w:sz w:val="24"/>
                <w:szCs w:val="24"/>
              </w:rPr>
              <w:t>本项目在施工前应先建设土石围堰及导流措施导流，导流时段选择为枯水期11-3月。施工导流期将一直有导流泄放的流量，下游河道流量仍为天然河道流量，不受施工影响。建设单位拟采取混凝土浇筑建设本项目排洪沟，进行区域防洪。根据《水利部办公厅关于印发〈全国水土保持规划国家级水土流失重点预防区和重点治理区复核划分成果〉的通知》（办水保[2013]88号），旺苍县属于嘉陵江上游国家级水土流失重点预防区，因此建议建设单位在工程开发过程中，尽量减少土石开发方量，采取边坡加固等水土保持措施，减少施工期造成的生态环境影响和水文情势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eastAsia="宋体"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 xml:space="preserve">⑵ </w:t>
            </w:r>
            <w:r>
              <w:rPr>
                <w:rFonts w:hint="eastAsia" w:ascii="Times New Roman" w:hAnsi="Times New Roman" w:eastAsia="宋体" w:cs="Times New Roman"/>
                <w:b/>
                <w:bCs/>
                <w:spacing w:val="-9"/>
                <w:sz w:val="24"/>
                <w:szCs w:val="24"/>
                <w:lang w:val="en-US" w:eastAsia="zh-CN"/>
              </w:rPr>
              <w:t>水库初期蓄水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default" w:ascii="Arial" w:hAnsi="Arial" w:eastAsia="宋体" w:cs="Arial"/>
                <w:color w:val="0000FF"/>
                <w:spacing w:val="2"/>
                <w:sz w:val="24"/>
                <w:szCs w:val="24"/>
              </w:rPr>
            </w:pPr>
            <w:r>
              <w:rPr>
                <w:rFonts w:hint="default" w:ascii="Arial" w:hAnsi="Arial" w:eastAsia="宋体" w:cs="Arial"/>
                <w:color w:val="0000FF"/>
                <w:spacing w:val="2"/>
                <w:sz w:val="24"/>
                <w:szCs w:val="24"/>
              </w:rPr>
              <w:t>工程设计拟在施工期第</w:t>
            </w:r>
            <w:r>
              <w:rPr>
                <w:rFonts w:hint="default" w:ascii="Arial" w:hAnsi="Arial" w:eastAsia="宋体" w:cs="Arial"/>
                <w:color w:val="0000FF"/>
                <w:spacing w:val="2"/>
                <w:sz w:val="24"/>
                <w:szCs w:val="24"/>
                <w:highlight w:val="none"/>
              </w:rPr>
              <w:t>3年的7月份下闸蓄水，蓄水期32天</w:t>
            </w:r>
            <w:r>
              <w:rPr>
                <w:rFonts w:hint="default" w:ascii="Arial" w:hAnsi="Arial" w:eastAsia="宋体" w:cs="Arial"/>
                <w:color w:val="0000FF"/>
                <w:spacing w:val="2"/>
                <w:sz w:val="24"/>
                <w:szCs w:val="24"/>
              </w:rPr>
              <w:t>，蓄水期坝址下游河段流量相对现状减少，对库区和坝下水文情势、水生生态将会产生影响。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default" w:ascii="Arial" w:hAnsi="Arial" w:eastAsia="宋体" w:cs="Arial"/>
                <w:color w:val="0000FF"/>
                <w:spacing w:val="2"/>
                <w:sz w:val="24"/>
                <w:szCs w:val="24"/>
              </w:rPr>
            </w:pPr>
            <w:r>
              <w:rPr>
                <w:rFonts w:hint="default" w:ascii="Arial" w:hAnsi="Arial" w:eastAsia="宋体" w:cs="Arial"/>
                <w:color w:val="0000FF"/>
                <w:spacing w:val="2"/>
                <w:sz w:val="24"/>
                <w:szCs w:val="24"/>
              </w:rPr>
              <w:t>蓄水期选择在汛期进行，尽量延长蓄水期，在确保下泄生态流量的措施下减少对下游减水河段的影响，工程初期蓄水期蓄水对区域水文情势影响较小。</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default"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⑶ 施工期洪水导流和洪水风险分析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本工程施工过程中将会经历雨季，存在施工期发生洪水的风险，为将施工期洪水对施工以及区域地表水环境的影响减至最小，施工时应制定相应的应急预案，具体建议如下：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①平时注意收看天气预报，并于当地水文、气象部门保持密切联系，随时掌握准确、及时的水温和气象情况，对暴雨、洪水的袭击做出正确的分期、判断，提前做好各项防范准备；</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②针对不同施工区域的施工特点确定不得同的防洪警戒水位，在水位接近警戒水位时及时上报防洪工作领导小组，尤其负责调派相应的车辆、物资以及相关人员应急；；</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③汛期派专人对围堰、施工道路、导流渠等临时工程的稳定性、渗漏水等情况及时掌握，发现问题及时汇报以及积极组织抢险。</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eastAsia"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④设置24小时值班人员、密切观察水位变化，并与分管领导保持通讯联系，在接近警戒水位搞成施马上组织相关人员到场进行处置。</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default"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⑤在收到暴雨、洪水等预警信息后，应及时将施工场地尤其是位于围堰、导流区以及施工道路附近堆放的物资及时进行转移或使用篷布等进行遮盖，避免发生暴雨洪水将施工物资随洪水进入地表水体而加重水体污染的现象。</w:t>
            </w:r>
          </w:p>
          <w:p>
            <w:pPr>
              <w:pStyle w:val="75"/>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Times New Roman" w:hAnsi="Times New Roman" w:eastAsia="宋体" w:cs="Times New Roman"/>
                <w:b/>
                <w:bCs/>
                <w:spacing w:val="-9"/>
                <w:sz w:val="24"/>
                <w:szCs w:val="24"/>
                <w:lang w:val="en-US" w:eastAsia="zh-CN"/>
              </w:rPr>
            </w:pPr>
            <w:r>
              <w:rPr>
                <w:rFonts w:ascii="Times New Roman" w:hAnsi="Times New Roman" w:eastAsia="Times New Roman" w:cs="Times New Roman"/>
                <w:b/>
                <w:bCs/>
                <w:spacing w:val="-9"/>
                <w:sz w:val="24"/>
                <w:szCs w:val="24"/>
              </w:rPr>
              <w:t>二、大气环境影响分析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ascii="Times New Roman" w:hAnsi="Times New Roman" w:eastAsia="Times New Roman" w:cs="Times New Roman"/>
                <w:b/>
                <w:bCs/>
                <w:spacing w:val="-9"/>
                <w:sz w:val="24"/>
                <w:szCs w:val="24"/>
              </w:rPr>
              <w:t>1、取料场及弃渣场扬尘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spacing w:val="-3"/>
                <w:sz w:val="24"/>
                <w:szCs w:val="24"/>
              </w:rPr>
            </w:pPr>
            <w:r>
              <w:rPr>
                <w:spacing w:val="-3"/>
                <w:sz w:val="24"/>
                <w:szCs w:val="24"/>
              </w:rPr>
              <w:t>取料场开采作业面扬尘及弃渣场风蚀扬尘按照下述公式进行计算：</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i/>
                <w:iCs/>
                <w:spacing w:val="6"/>
                <w:position w:val="-3"/>
                <w:sz w:val="24"/>
                <w:szCs w:val="24"/>
              </w:rPr>
              <w:t xml:space="preserve">Q </w:t>
            </w:r>
            <w:r>
              <w:rPr>
                <w:rFonts w:ascii="Arial" w:hAnsi="Arial" w:eastAsia="Arial" w:cs="Arial"/>
                <w:spacing w:val="6"/>
                <w:position w:val="-3"/>
                <w:sz w:val="24"/>
                <w:szCs w:val="24"/>
              </w:rPr>
              <w:t xml:space="preserve">= </w:t>
            </w:r>
            <w:r>
              <w:rPr>
                <w:rFonts w:ascii="Times New Roman" w:hAnsi="Times New Roman" w:eastAsia="Times New Roman" w:cs="Times New Roman"/>
                <w:spacing w:val="6"/>
                <w:position w:val="-3"/>
                <w:sz w:val="24"/>
                <w:szCs w:val="24"/>
              </w:rPr>
              <w:t>11.7</w:t>
            </w:r>
            <w:r>
              <w:rPr>
                <w:rFonts w:ascii="Times New Roman" w:hAnsi="Times New Roman" w:eastAsia="Times New Roman" w:cs="Times New Roman"/>
                <w:i/>
                <w:iCs/>
                <w:spacing w:val="6"/>
                <w:position w:val="-3"/>
                <w:sz w:val="24"/>
                <w:szCs w:val="24"/>
              </w:rPr>
              <w:t>U</w:t>
            </w:r>
            <w:r>
              <w:rPr>
                <w:rFonts w:ascii="Times New Roman" w:hAnsi="Times New Roman" w:eastAsia="Times New Roman" w:cs="Times New Roman"/>
                <w:spacing w:val="6"/>
                <w:position w:val="7"/>
                <w:sz w:val="24"/>
                <w:szCs w:val="24"/>
              </w:rPr>
              <w:t>2.45</w:t>
            </w:r>
            <w:r>
              <w:rPr>
                <w:rFonts w:ascii="Times New Roman" w:hAnsi="Times New Roman" w:eastAsia="Times New Roman" w:cs="Times New Roman"/>
                <w:i/>
                <w:iCs/>
                <w:spacing w:val="6"/>
                <w:position w:val="-3"/>
                <w:sz w:val="24"/>
                <w:szCs w:val="24"/>
              </w:rPr>
              <w:t>S</w:t>
            </w:r>
            <w:r>
              <w:rPr>
                <w:rFonts w:ascii="Times New Roman" w:hAnsi="Times New Roman" w:eastAsia="Times New Roman" w:cs="Times New Roman"/>
                <w:i/>
                <w:iCs/>
                <w:spacing w:val="-22"/>
                <w:position w:val="-3"/>
                <w:sz w:val="24"/>
                <w:szCs w:val="24"/>
              </w:rPr>
              <w:t xml:space="preserve"> </w:t>
            </w:r>
            <w:r>
              <w:rPr>
                <w:rFonts w:ascii="Times New Roman" w:hAnsi="Times New Roman" w:eastAsia="Times New Roman" w:cs="Times New Roman"/>
                <w:spacing w:val="6"/>
                <w:position w:val="7"/>
                <w:sz w:val="24"/>
                <w:szCs w:val="24"/>
              </w:rPr>
              <w:t>0.345</w:t>
            </w:r>
            <w:r>
              <w:rPr>
                <w:rFonts w:ascii="Times New Roman" w:hAnsi="Times New Roman" w:eastAsia="Times New Roman" w:cs="Times New Roman"/>
                <w:i/>
                <w:iCs/>
                <w:spacing w:val="6"/>
                <w:position w:val="-3"/>
                <w:sz w:val="24"/>
                <w:szCs w:val="24"/>
              </w:rPr>
              <w:t>e</w:t>
            </w:r>
            <w:r>
              <w:rPr>
                <w:rFonts w:ascii="Arial" w:hAnsi="Arial" w:eastAsia="Arial" w:cs="Arial"/>
                <w:spacing w:val="6"/>
                <w:position w:val="7"/>
                <w:sz w:val="24"/>
                <w:szCs w:val="24"/>
              </w:rPr>
              <w:t>-</w:t>
            </w:r>
            <w:r>
              <w:rPr>
                <w:rFonts w:ascii="Times New Roman" w:hAnsi="Times New Roman" w:eastAsia="Times New Roman" w:cs="Times New Roman"/>
                <w:spacing w:val="6"/>
                <w:position w:val="7"/>
                <w:sz w:val="24"/>
                <w:szCs w:val="24"/>
              </w:rPr>
              <w:t>0.5</w:t>
            </w:r>
            <w:r>
              <w:rPr>
                <w:rFonts w:ascii="Times New Roman" w:hAnsi="Times New Roman" w:eastAsia="Times New Roman" w:cs="Times New Roman"/>
                <w:i/>
                <w:iCs/>
                <w:spacing w:val="6"/>
                <w:position w:val="7"/>
                <w:sz w:val="24"/>
                <w:szCs w:val="24"/>
              </w:rPr>
              <w:t>W</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sz w:val="24"/>
                <w:szCs w:val="24"/>
              </w:rPr>
            </w:pPr>
            <w:r>
              <w:rPr>
                <w:spacing w:val="-5"/>
                <w:sz w:val="24"/>
                <w:szCs w:val="24"/>
              </w:rPr>
              <w:t>式中：</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rFonts w:ascii="Times New Roman" w:hAnsi="Times New Roman" w:eastAsia="Times New Roman" w:cs="Times New Roman"/>
                <w:spacing w:val="-1"/>
                <w:sz w:val="24"/>
                <w:szCs w:val="24"/>
              </w:rPr>
              <w:t>Q——</w:t>
            </w:r>
            <w:r>
              <w:rPr>
                <w:spacing w:val="-1"/>
                <w:sz w:val="24"/>
                <w:szCs w:val="24"/>
              </w:rPr>
              <w:t>裸露面起尘量，</w:t>
            </w:r>
            <w:r>
              <w:rPr>
                <w:rFonts w:ascii="Times New Roman" w:hAnsi="Times New Roman" w:eastAsia="Times New Roman" w:cs="Times New Roman"/>
                <w:spacing w:val="-1"/>
                <w:sz w:val="24"/>
                <w:szCs w:val="24"/>
              </w:rPr>
              <w:t>mg/s</w:t>
            </w:r>
            <w:r>
              <w:rPr>
                <w:spacing w:val="-1"/>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rFonts w:ascii="Times New Roman" w:hAnsi="Times New Roman" w:eastAsia="Times New Roman" w:cs="Times New Roman"/>
                <w:spacing w:val="-1"/>
                <w:sz w:val="24"/>
                <w:szCs w:val="24"/>
              </w:rPr>
              <w:t>U——</w:t>
            </w:r>
            <w:r>
              <w:rPr>
                <w:spacing w:val="-1"/>
                <w:sz w:val="24"/>
                <w:szCs w:val="24"/>
              </w:rPr>
              <w:t>区域平均风速，</w:t>
            </w:r>
            <w:r>
              <w:rPr>
                <w:rFonts w:ascii="Times New Roman" w:hAnsi="Times New Roman" w:eastAsia="Times New Roman" w:cs="Times New Roman"/>
                <w:spacing w:val="-1"/>
                <w:sz w:val="24"/>
                <w:szCs w:val="24"/>
              </w:rPr>
              <w:t>m/s</w:t>
            </w:r>
            <w:r>
              <w:rPr>
                <w:spacing w:val="-1"/>
                <w:sz w:val="24"/>
                <w:szCs w:val="24"/>
              </w:rPr>
              <w:t>（区域多年平均风速为</w:t>
            </w:r>
            <w:r>
              <w:rPr>
                <w:rFonts w:ascii="Times New Roman" w:hAnsi="Times New Roman" w:eastAsia="Times New Roman" w:cs="Times New Roman"/>
                <w:spacing w:val="-1"/>
                <w:sz w:val="24"/>
                <w:szCs w:val="24"/>
              </w:rPr>
              <w:t>1.6m/s</w:t>
            </w:r>
            <w:r>
              <w:rPr>
                <w:spacing w:val="-1"/>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sz w:val="24"/>
                <w:szCs w:val="24"/>
              </w:rPr>
            </w:pPr>
            <w:r>
              <w:rPr>
                <w:rFonts w:ascii="Times New Roman" w:hAnsi="Times New Roman" w:eastAsia="Times New Roman" w:cs="Times New Roman"/>
                <w:spacing w:val="-3"/>
                <w:sz w:val="24"/>
                <w:szCs w:val="24"/>
              </w:rPr>
              <w:t>S——</w:t>
            </w:r>
            <w:r>
              <w:rPr>
                <w:spacing w:val="0"/>
                <w:sz w:val="24"/>
                <w:szCs w:val="24"/>
              </w:rPr>
              <w:t>裸露区域面积，</w:t>
            </w:r>
            <w:r>
              <w:rPr>
                <w:rFonts w:ascii="Times New Roman" w:hAnsi="Times New Roman" w:eastAsia="Times New Roman" w:cs="Times New Roman"/>
                <w:spacing w:val="0"/>
                <w:sz w:val="24"/>
                <w:szCs w:val="24"/>
              </w:rPr>
              <w:t>m</w:t>
            </w:r>
            <w:r>
              <w:rPr>
                <w:rFonts w:hint="eastAsia" w:ascii="Times New Roman" w:hAnsi="Times New Roman" w:eastAsia="宋体" w:cs="Times New Roman"/>
                <w:spacing w:val="0"/>
                <w:sz w:val="24"/>
                <w:szCs w:val="24"/>
                <w:vertAlign w:val="superscript"/>
                <w:lang w:val="en-US" w:eastAsia="zh-CN"/>
              </w:rPr>
              <w:t>2</w:t>
            </w:r>
            <w:r>
              <w:rPr>
                <w:spacing w:val="0"/>
                <w:sz w:val="24"/>
                <w:szCs w:val="24"/>
              </w:rPr>
              <w:t>，</w:t>
            </w:r>
            <w:r>
              <w:rPr>
                <w:rFonts w:hint="eastAsia"/>
                <w:spacing w:val="0"/>
                <w:sz w:val="24"/>
                <w:szCs w:val="24"/>
                <w:lang w:val="en-US" w:eastAsia="zh-CN"/>
              </w:rPr>
              <w:t>赵家山石渣</w:t>
            </w:r>
            <w:r>
              <w:rPr>
                <w:spacing w:val="0"/>
                <w:sz w:val="24"/>
                <w:szCs w:val="24"/>
              </w:rPr>
              <w:t>料场为</w:t>
            </w:r>
            <w:r>
              <w:rPr>
                <w:rFonts w:hint="eastAsia" w:ascii="Times New Roman" w:hAnsi="Times New Roman" w:eastAsia="宋体" w:cs="Times New Roman"/>
                <w:spacing w:val="0"/>
                <w:sz w:val="24"/>
                <w:szCs w:val="24"/>
                <w:lang w:val="en-US" w:eastAsia="zh-CN"/>
              </w:rPr>
              <w:t>229</w:t>
            </w:r>
            <w:r>
              <w:rPr>
                <w:rFonts w:ascii="Times New Roman" w:hAnsi="Times New Roman" w:eastAsia="Times New Roman" w:cs="Times New Roman"/>
                <w:spacing w:val="0"/>
                <w:sz w:val="24"/>
                <w:szCs w:val="24"/>
              </w:rPr>
              <w:t>00m</w:t>
            </w:r>
            <w:r>
              <w:rPr>
                <w:rFonts w:hint="eastAsia" w:ascii="Times New Roman" w:hAnsi="Times New Roman" w:eastAsia="宋体" w:cs="Times New Roman"/>
                <w:spacing w:val="0"/>
                <w:sz w:val="24"/>
                <w:szCs w:val="24"/>
                <w:vertAlign w:val="superscript"/>
                <w:lang w:val="en-US" w:eastAsia="zh-CN"/>
              </w:rPr>
              <w:t>2</w:t>
            </w:r>
            <w:r>
              <w:rPr>
                <w:spacing w:val="0"/>
                <w:sz w:val="24"/>
                <w:szCs w:val="24"/>
              </w:rPr>
              <w:t>，</w:t>
            </w:r>
            <w:r>
              <w:rPr>
                <w:rFonts w:hint="eastAsia"/>
                <w:spacing w:val="0"/>
                <w:sz w:val="24"/>
                <w:szCs w:val="24"/>
                <w:lang w:val="en-US" w:eastAsia="zh-CN"/>
              </w:rPr>
              <w:t>枢纽区弃渣场25400</w:t>
            </w:r>
            <w:r>
              <w:rPr>
                <w:rFonts w:ascii="Times New Roman" w:hAnsi="Times New Roman" w:eastAsia="Times New Roman" w:cs="Times New Roman"/>
                <w:spacing w:val="0"/>
                <w:sz w:val="24"/>
                <w:szCs w:val="24"/>
              </w:rPr>
              <w:t>m</w:t>
            </w:r>
            <w:r>
              <w:rPr>
                <w:rFonts w:hint="eastAsia" w:ascii="Times New Roman" w:hAnsi="Times New Roman" w:eastAsia="宋体" w:cs="Times New Roman"/>
                <w:spacing w:val="0"/>
                <w:sz w:val="24"/>
                <w:szCs w:val="24"/>
                <w:vertAlign w:val="superscript"/>
                <w:lang w:val="en-US" w:eastAsia="zh-CN"/>
              </w:rPr>
              <w:t>2</w:t>
            </w:r>
            <w:r>
              <w:rPr>
                <w:spacing w:val="0"/>
                <w:sz w:val="24"/>
                <w:szCs w:val="24"/>
              </w:rPr>
              <w:t>，</w:t>
            </w:r>
            <w:r>
              <w:rPr>
                <w:rFonts w:hint="eastAsia"/>
                <w:spacing w:val="0"/>
                <w:sz w:val="24"/>
                <w:szCs w:val="24"/>
                <w:lang w:val="en-US" w:eastAsia="zh-CN"/>
              </w:rPr>
              <w:t>灌区2#</w:t>
            </w:r>
            <w:r>
              <w:rPr>
                <w:spacing w:val="0"/>
                <w:sz w:val="24"/>
                <w:szCs w:val="24"/>
              </w:rPr>
              <w:t>弃渣场为</w:t>
            </w:r>
            <w:r>
              <w:rPr>
                <w:rFonts w:hint="eastAsia"/>
                <w:spacing w:val="0"/>
                <w:sz w:val="24"/>
                <w:szCs w:val="24"/>
                <w:lang w:val="en-US" w:eastAsia="zh-CN"/>
              </w:rPr>
              <w:t>9800</w:t>
            </w:r>
            <w:r>
              <w:rPr>
                <w:rFonts w:ascii="Times New Roman" w:hAnsi="Times New Roman" w:eastAsia="Times New Roman" w:cs="Times New Roman"/>
                <w:spacing w:val="0"/>
                <w:sz w:val="24"/>
                <w:szCs w:val="24"/>
              </w:rPr>
              <w:t>m</w:t>
            </w:r>
            <w:r>
              <w:rPr>
                <w:rFonts w:hint="eastAsia" w:ascii="Times New Roman" w:hAnsi="Times New Roman" w:eastAsia="宋体" w:cs="Times New Roman"/>
                <w:spacing w:val="0"/>
                <w:sz w:val="24"/>
                <w:szCs w:val="24"/>
                <w:vertAlign w:val="superscript"/>
                <w:lang w:val="en-US" w:eastAsia="zh-CN"/>
              </w:rPr>
              <w:t>2</w:t>
            </w:r>
            <w:r>
              <w:rPr>
                <w:spacing w:val="0"/>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W——含水率（8%-12%），评价区为山区，且施工期湿式洒水作业，取12%。</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cs="Arial"/>
                <w:color w:val="000000" w:themeColor="text1"/>
                <w:spacing w:val="-3"/>
                <w:sz w:val="24"/>
                <w:szCs w:val="24"/>
                <w14:textFill>
                  <w14:solidFill>
                    <w14:schemeClr w14:val="tx1"/>
                  </w14:solidFill>
                </w14:textFill>
              </w:rPr>
            </w:pPr>
            <w:r>
              <w:rPr>
                <w:rFonts w:hint="default" w:ascii="Arial" w:hAnsi="Arial" w:cs="Arial"/>
                <w:color w:val="000000" w:themeColor="text1"/>
                <w:spacing w:val="-3"/>
                <w:sz w:val="24"/>
                <w:szCs w:val="24"/>
                <w14:textFill>
                  <w14:solidFill>
                    <w14:schemeClr w14:val="tx1"/>
                  </w14:solidFill>
                </w14:textFill>
              </w:rPr>
              <w:t>根据上式计算结果可知，</w:t>
            </w:r>
            <w:r>
              <w:rPr>
                <w:rFonts w:hint="eastAsia" w:ascii="Arial" w:hAnsi="Arial" w:cs="Arial"/>
                <w:color w:val="000000" w:themeColor="text1"/>
                <w:spacing w:val="-3"/>
                <w:sz w:val="24"/>
                <w:szCs w:val="24"/>
                <w:lang w:val="en-US" w:eastAsia="zh-CN"/>
                <w14:textFill>
                  <w14:solidFill>
                    <w14:schemeClr w14:val="tx1"/>
                  </w14:solidFill>
                </w14:textFill>
              </w:rPr>
              <w:t>赵家山石渣</w:t>
            </w:r>
            <w:r>
              <w:rPr>
                <w:rFonts w:hint="default" w:ascii="Arial" w:hAnsi="Arial" w:cs="Arial"/>
                <w:color w:val="000000" w:themeColor="text1"/>
                <w:spacing w:val="-3"/>
                <w:sz w:val="24"/>
                <w:szCs w:val="24"/>
                <w14:textFill>
                  <w14:solidFill>
                    <w14:schemeClr w14:val="tx1"/>
                  </w14:solidFill>
                </w14:textFill>
              </w:rPr>
              <w:t>料场扬尘产生量为</w:t>
            </w:r>
            <w:r>
              <w:rPr>
                <w:rFonts w:hint="default" w:ascii="Arial" w:hAnsi="Arial" w:cs="Arial"/>
                <w:color w:val="000000" w:themeColor="text1"/>
                <w:spacing w:val="-3"/>
                <w:sz w:val="24"/>
                <w:szCs w:val="24"/>
                <w:lang w:val="en-US" w:eastAsia="zh-CN"/>
                <w14:textFill>
                  <w14:solidFill>
                    <w14:schemeClr w14:val="tx1"/>
                  </w14:solidFill>
                </w14:textFill>
              </w:rPr>
              <w:t>1.59</w:t>
            </w:r>
            <w:r>
              <w:rPr>
                <w:rFonts w:hint="default" w:ascii="Arial" w:hAnsi="Arial" w:cs="Arial"/>
                <w:color w:val="000000" w:themeColor="text1"/>
                <w:spacing w:val="-3"/>
                <w:sz w:val="24"/>
                <w:szCs w:val="24"/>
                <w14:textFill>
                  <w14:solidFill>
                    <w14:schemeClr w14:val="tx1"/>
                  </w14:solidFill>
                </w14:textFill>
              </w:rPr>
              <w:t>g/s，</w:t>
            </w:r>
            <w:r>
              <w:rPr>
                <w:rFonts w:hint="default" w:ascii="Arial" w:hAnsi="Arial" w:cs="Arial"/>
                <w:color w:val="000000" w:themeColor="text1"/>
                <w:spacing w:val="-3"/>
                <w:sz w:val="24"/>
                <w:szCs w:val="24"/>
                <w:lang w:val="en-US" w:eastAsia="zh-CN"/>
                <w14:textFill>
                  <w14:solidFill>
                    <w14:schemeClr w14:val="tx1"/>
                  </w14:solidFill>
                </w14:textFill>
              </w:rPr>
              <w:t>灌区</w:t>
            </w:r>
            <w:r>
              <w:rPr>
                <w:rFonts w:hint="default" w:ascii="Arial" w:hAnsi="Arial" w:cs="Arial"/>
                <w:color w:val="000000" w:themeColor="text1"/>
                <w:spacing w:val="-3"/>
                <w:sz w:val="24"/>
                <w:szCs w:val="24"/>
                <w14:textFill>
                  <w14:solidFill>
                    <w14:schemeClr w14:val="tx1"/>
                  </w14:solidFill>
                </w14:textFill>
              </w:rPr>
              <w:t>弃渣场扬尘产生量为0.</w:t>
            </w:r>
            <w:r>
              <w:rPr>
                <w:rFonts w:hint="default" w:ascii="Arial" w:hAnsi="Arial" w:cs="Arial"/>
                <w:color w:val="000000" w:themeColor="text1"/>
                <w:spacing w:val="-3"/>
                <w:sz w:val="24"/>
                <w:szCs w:val="24"/>
                <w:lang w:val="en-US" w:eastAsia="zh-CN"/>
                <w14:textFill>
                  <w14:solidFill>
                    <w14:schemeClr w14:val="tx1"/>
                  </w14:solidFill>
                </w14:textFill>
              </w:rPr>
              <w:t>68</w:t>
            </w:r>
            <w:r>
              <w:rPr>
                <w:rFonts w:hint="default" w:ascii="Arial" w:hAnsi="Arial" w:cs="Arial"/>
                <w:color w:val="000000" w:themeColor="text1"/>
                <w:spacing w:val="-3"/>
                <w:sz w:val="24"/>
                <w:szCs w:val="24"/>
                <w14:textFill>
                  <w14:solidFill>
                    <w14:schemeClr w14:val="tx1"/>
                  </w14:solidFill>
                </w14:textFill>
              </w:rPr>
              <w:t>g/s，枢纽弃渣场扬尘产生量为</w:t>
            </w:r>
            <w:r>
              <w:rPr>
                <w:rFonts w:hint="default" w:ascii="Arial" w:hAnsi="Arial" w:cs="Arial"/>
                <w:color w:val="000000" w:themeColor="text1"/>
                <w:spacing w:val="-3"/>
                <w:sz w:val="24"/>
                <w:szCs w:val="24"/>
                <w:lang w:val="en-US" w:eastAsia="zh-CN"/>
                <w14:textFill>
                  <w14:solidFill>
                    <w14:schemeClr w14:val="tx1"/>
                  </w14:solidFill>
                </w14:textFill>
              </w:rPr>
              <w:t>1.88</w:t>
            </w:r>
            <w:r>
              <w:rPr>
                <w:rFonts w:hint="default" w:ascii="Arial" w:hAnsi="Arial" w:cs="Arial"/>
                <w:color w:val="000000" w:themeColor="text1"/>
                <w:spacing w:val="-3"/>
                <w:sz w:val="24"/>
                <w:szCs w:val="24"/>
                <w14:textFill>
                  <w14:solidFill>
                    <w14:schemeClr w14:val="tx1"/>
                  </w14:solidFill>
                </w14:textFill>
              </w:rPr>
              <w:t>g/s。</w:t>
            </w:r>
            <w:r>
              <w:rPr>
                <w:rFonts w:hint="eastAsia" w:ascii="Arial" w:hAnsi="Arial" w:cs="Arial"/>
                <w:color w:val="000000" w:themeColor="text1"/>
                <w:spacing w:val="-3"/>
                <w:sz w:val="24"/>
                <w:szCs w:val="24"/>
                <w:lang w:val="en-US" w:eastAsia="zh-CN"/>
                <w14:textFill>
                  <w14:solidFill>
                    <w14:schemeClr w14:val="tx1"/>
                  </w14:solidFill>
                </w14:textFill>
              </w:rPr>
              <w:t>按照赵家山石渣</w:t>
            </w:r>
            <w:r>
              <w:rPr>
                <w:rFonts w:hint="default" w:ascii="Arial" w:hAnsi="Arial" w:cs="Arial"/>
                <w:color w:val="000000" w:themeColor="text1"/>
                <w:spacing w:val="-3"/>
                <w:sz w:val="24"/>
                <w:szCs w:val="24"/>
                <w14:textFill>
                  <w14:solidFill>
                    <w14:schemeClr w14:val="tx1"/>
                  </w14:solidFill>
                </w14:textFill>
              </w:rPr>
              <w:t>料场总开采时间为1年，</w:t>
            </w:r>
            <w:r>
              <w:rPr>
                <w:rFonts w:hint="eastAsia" w:ascii="Arial" w:hAnsi="Arial" w:cs="Arial"/>
                <w:color w:val="000000" w:themeColor="text1"/>
                <w:spacing w:val="-3"/>
                <w:sz w:val="24"/>
                <w:szCs w:val="24"/>
                <w:lang w:val="en-US" w:eastAsia="zh-CN"/>
                <w14:textFill>
                  <w14:solidFill>
                    <w14:schemeClr w14:val="tx1"/>
                  </w14:solidFill>
                </w14:textFill>
              </w:rPr>
              <w:t>灌区</w:t>
            </w:r>
            <w:r>
              <w:rPr>
                <w:rFonts w:hint="default" w:ascii="Arial" w:hAnsi="Arial" w:cs="Arial"/>
                <w:color w:val="000000" w:themeColor="text1"/>
                <w:spacing w:val="-3"/>
                <w:sz w:val="24"/>
                <w:szCs w:val="24"/>
                <w14:textFill>
                  <w14:solidFill>
                    <w14:schemeClr w14:val="tx1"/>
                  </w14:solidFill>
                </w14:textFill>
              </w:rPr>
              <w:t>弃渣场总堆弃时间为1</w:t>
            </w:r>
            <w:r>
              <w:rPr>
                <w:rFonts w:hint="eastAsia" w:ascii="Arial" w:hAnsi="Arial" w:cs="Arial"/>
                <w:color w:val="000000" w:themeColor="text1"/>
                <w:spacing w:val="-3"/>
                <w:sz w:val="24"/>
                <w:szCs w:val="24"/>
                <w:lang w:val="en-US" w:eastAsia="zh-CN"/>
                <w14:textFill>
                  <w14:solidFill>
                    <w14:schemeClr w14:val="tx1"/>
                  </w14:solidFill>
                </w14:textFill>
              </w:rPr>
              <w:t>0</w:t>
            </w:r>
            <w:r>
              <w:rPr>
                <w:rFonts w:hint="default" w:ascii="Arial" w:hAnsi="Arial" w:cs="Arial"/>
                <w:color w:val="000000" w:themeColor="text1"/>
                <w:spacing w:val="-3"/>
                <w:sz w:val="24"/>
                <w:szCs w:val="24"/>
                <w14:textFill>
                  <w14:solidFill>
                    <w14:schemeClr w14:val="tx1"/>
                  </w14:solidFill>
                </w14:textFill>
              </w:rPr>
              <w:t>个月，枢纽弃渣场总堆弃时间为2个月。</w:t>
            </w:r>
            <w:r>
              <w:rPr>
                <w:rFonts w:hint="eastAsia" w:ascii="Arial" w:hAnsi="Arial" w:cs="Arial"/>
                <w:color w:val="000000" w:themeColor="text1"/>
                <w:spacing w:val="-3"/>
                <w:sz w:val="24"/>
                <w:szCs w:val="24"/>
                <w:lang w:val="en-US" w:eastAsia="zh-CN"/>
                <w14:textFill>
                  <w14:solidFill>
                    <w14:schemeClr w14:val="tx1"/>
                  </w14:solidFill>
                </w14:textFill>
              </w:rPr>
              <w:t>则赵家山石渣</w:t>
            </w:r>
            <w:r>
              <w:rPr>
                <w:rFonts w:hint="default" w:ascii="Arial" w:hAnsi="Arial" w:cs="Arial"/>
                <w:color w:val="000000" w:themeColor="text1"/>
                <w:spacing w:val="-3"/>
                <w:sz w:val="24"/>
                <w:szCs w:val="24"/>
                <w14:textFill>
                  <w14:solidFill>
                    <w14:schemeClr w14:val="tx1"/>
                  </w14:solidFill>
                </w14:textFill>
              </w:rPr>
              <w:t>料场扬尘产生量约为</w:t>
            </w:r>
            <w:r>
              <w:rPr>
                <w:rFonts w:hint="eastAsia" w:ascii="Arial" w:hAnsi="Arial" w:cs="Arial"/>
                <w:color w:val="000000" w:themeColor="text1"/>
                <w:spacing w:val="-3"/>
                <w:sz w:val="24"/>
                <w:szCs w:val="24"/>
                <w:lang w:val="en-US" w:eastAsia="zh-CN"/>
                <w14:textFill>
                  <w14:solidFill>
                    <w14:schemeClr w14:val="tx1"/>
                  </w14:solidFill>
                </w14:textFill>
              </w:rPr>
              <w:t>50.1</w:t>
            </w:r>
            <w:r>
              <w:rPr>
                <w:rFonts w:hint="default" w:ascii="Arial" w:hAnsi="Arial" w:cs="Arial"/>
                <w:color w:val="000000" w:themeColor="text1"/>
                <w:spacing w:val="-3"/>
                <w:sz w:val="24"/>
                <w:szCs w:val="24"/>
                <w14:textFill>
                  <w14:solidFill>
                    <w14:schemeClr w14:val="tx1"/>
                  </w14:solidFill>
                </w14:textFill>
              </w:rPr>
              <w:t>t，</w:t>
            </w:r>
            <w:r>
              <w:rPr>
                <w:rFonts w:hint="eastAsia" w:ascii="Arial" w:hAnsi="Arial" w:cs="Arial"/>
                <w:color w:val="000000" w:themeColor="text1"/>
                <w:spacing w:val="-3"/>
                <w:sz w:val="24"/>
                <w:szCs w:val="24"/>
                <w:lang w:val="en-US" w:eastAsia="zh-CN"/>
                <w14:textFill>
                  <w14:solidFill>
                    <w14:schemeClr w14:val="tx1"/>
                  </w14:solidFill>
                </w14:textFill>
              </w:rPr>
              <w:t>灌区</w:t>
            </w:r>
            <w:r>
              <w:rPr>
                <w:rFonts w:hint="default" w:ascii="Arial" w:hAnsi="Arial" w:cs="Arial"/>
                <w:color w:val="000000" w:themeColor="text1"/>
                <w:spacing w:val="-3"/>
                <w:sz w:val="24"/>
                <w:szCs w:val="24"/>
                <w14:textFill>
                  <w14:solidFill>
                    <w14:schemeClr w14:val="tx1"/>
                  </w14:solidFill>
                </w14:textFill>
              </w:rPr>
              <w:t>弃渣场扬尘产生量约为</w:t>
            </w:r>
            <w:r>
              <w:rPr>
                <w:rFonts w:hint="eastAsia" w:ascii="Arial" w:hAnsi="Arial" w:cs="Arial"/>
                <w:color w:val="000000" w:themeColor="text1"/>
                <w:spacing w:val="-3"/>
                <w:sz w:val="24"/>
                <w:szCs w:val="24"/>
                <w:lang w:val="en-US" w:eastAsia="zh-CN"/>
                <w14:textFill>
                  <w14:solidFill>
                    <w14:schemeClr w14:val="tx1"/>
                  </w14:solidFill>
                </w14:textFill>
              </w:rPr>
              <w:t>17.6</w:t>
            </w:r>
            <w:r>
              <w:rPr>
                <w:rFonts w:hint="default" w:ascii="Arial" w:hAnsi="Arial" w:cs="Arial"/>
                <w:color w:val="000000" w:themeColor="text1"/>
                <w:spacing w:val="-3"/>
                <w:sz w:val="24"/>
                <w:szCs w:val="24"/>
                <w14:textFill>
                  <w14:solidFill>
                    <w14:schemeClr w14:val="tx1"/>
                  </w14:solidFill>
                </w14:textFill>
              </w:rPr>
              <w:t>t，枢纽弃渣场扬尘产生量约为</w:t>
            </w:r>
            <w:r>
              <w:rPr>
                <w:rFonts w:hint="eastAsia" w:ascii="Arial" w:hAnsi="Arial" w:cs="Arial"/>
                <w:color w:val="000000" w:themeColor="text1"/>
                <w:spacing w:val="-3"/>
                <w:sz w:val="24"/>
                <w:szCs w:val="24"/>
                <w:lang w:val="en-US" w:eastAsia="zh-CN"/>
                <w14:textFill>
                  <w14:solidFill>
                    <w14:schemeClr w14:val="tx1"/>
                  </w14:solidFill>
                </w14:textFill>
              </w:rPr>
              <w:t>9.74</w:t>
            </w:r>
            <w:r>
              <w:rPr>
                <w:rFonts w:hint="default" w:ascii="Arial" w:hAnsi="Arial" w:cs="Arial"/>
                <w:color w:val="000000" w:themeColor="text1"/>
                <w:spacing w:val="-3"/>
                <w:sz w:val="24"/>
                <w:szCs w:val="24"/>
                <w14:textFill>
                  <w14:solidFill>
                    <w14:schemeClr w14:val="tx1"/>
                  </w14:solidFill>
                </w14:textFill>
              </w:rPr>
              <w:t>t</w:t>
            </w:r>
            <w:r>
              <w:rPr>
                <w:rFonts w:hint="eastAsia" w:ascii="Arial" w:hAnsi="Arial" w:cs="Arial"/>
                <w:color w:val="000000" w:themeColor="text1"/>
                <w:spacing w:val="-3"/>
                <w:sz w:val="24"/>
                <w:szCs w:val="24"/>
                <w:lang w:eastAsia="zh-CN"/>
                <w14:textFill>
                  <w14:solidFill>
                    <w14:schemeClr w14:val="tx1"/>
                  </w14:solidFill>
                </w14:textFill>
              </w:rPr>
              <w:t>，</w:t>
            </w:r>
            <w:r>
              <w:rPr>
                <w:rFonts w:hint="eastAsia" w:ascii="Arial" w:hAnsi="Arial" w:cs="Arial"/>
                <w:color w:val="000000" w:themeColor="text1"/>
                <w:spacing w:val="-3"/>
                <w:sz w:val="24"/>
                <w:szCs w:val="24"/>
                <w:lang w:val="en-US" w:eastAsia="zh-CN"/>
                <w14:textFill>
                  <w14:solidFill>
                    <w14:schemeClr w14:val="tx1"/>
                  </w14:solidFill>
                </w14:textFill>
              </w:rPr>
              <w:t>合计为77.44t</w:t>
            </w:r>
            <w:r>
              <w:rPr>
                <w:rFonts w:hint="default" w:ascii="Arial" w:hAnsi="Arial" w:cs="Arial"/>
                <w:color w:val="000000" w:themeColor="text1"/>
                <w:spacing w:val="-3"/>
                <w:sz w:val="24"/>
                <w:szCs w:val="24"/>
                <w14:textFill>
                  <w14:solidFill>
                    <w14:schemeClr w14:val="tx1"/>
                  </w14:solidFill>
                </w14:textFill>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eastAsia="宋体" w:cs="Arial"/>
                <w:spacing w:val="-3"/>
                <w:sz w:val="24"/>
                <w:szCs w:val="24"/>
                <w:lang w:val="en-US" w:eastAsia="zh-CN"/>
              </w:rPr>
            </w:pPr>
            <w:r>
              <w:rPr>
                <w:rFonts w:hint="default" w:ascii="Arial" w:hAnsi="Arial" w:cs="Arial"/>
                <w:spacing w:val="-3"/>
                <w:sz w:val="24"/>
                <w:szCs w:val="24"/>
                <w:lang w:val="en-US" w:eastAsia="zh-CN"/>
              </w:rPr>
              <w:t>针对</w:t>
            </w:r>
            <w:r>
              <w:rPr>
                <w:rFonts w:hint="default" w:ascii="Arial" w:hAnsi="Arial" w:cs="Arial"/>
                <w:spacing w:val="-3"/>
                <w:sz w:val="24"/>
                <w:szCs w:val="24"/>
              </w:rPr>
              <w:t>工程</w:t>
            </w:r>
            <w:r>
              <w:rPr>
                <w:rFonts w:hint="default" w:ascii="Arial" w:hAnsi="Arial" w:cs="Arial"/>
                <w:spacing w:val="-3"/>
                <w:sz w:val="24"/>
                <w:szCs w:val="24"/>
                <w:lang w:val="en-US" w:eastAsia="zh-CN"/>
              </w:rPr>
              <w:t>石渣</w:t>
            </w:r>
            <w:r>
              <w:rPr>
                <w:rFonts w:hint="default" w:ascii="Arial" w:hAnsi="Arial" w:cs="Arial"/>
                <w:spacing w:val="-3"/>
                <w:sz w:val="24"/>
                <w:szCs w:val="24"/>
              </w:rPr>
              <w:t>料场开采期间喷雾洒水降尘，仅开采初期表土剥离扬尘明显，石料开采均为块状石料，洒水降尘后起尘不明显，控尘率按照60%计，取料场开采期间扬尘排放量为</w:t>
            </w:r>
            <w:r>
              <w:rPr>
                <w:rFonts w:hint="default" w:ascii="Arial" w:hAnsi="Arial" w:cs="Arial"/>
                <w:spacing w:val="-3"/>
                <w:sz w:val="24"/>
                <w:szCs w:val="24"/>
                <w:lang w:val="en-US" w:eastAsia="zh-CN"/>
              </w:rPr>
              <w:t>20.0</w:t>
            </w:r>
            <w:r>
              <w:rPr>
                <w:rFonts w:hint="default" w:ascii="Arial" w:hAnsi="Arial" w:cs="Arial"/>
                <w:spacing w:val="-3"/>
                <w:sz w:val="24"/>
                <w:szCs w:val="24"/>
              </w:rPr>
              <w:t>t</w:t>
            </w:r>
            <w:r>
              <w:rPr>
                <w:rFonts w:hint="default" w:ascii="Arial" w:hAnsi="Arial" w:cs="Arial"/>
                <w:spacing w:val="-3"/>
                <w:sz w:val="24"/>
                <w:szCs w:val="24"/>
                <w:lang w:eastAsia="zh-CN"/>
              </w:rPr>
              <w:t>；</w:t>
            </w:r>
            <w:r>
              <w:rPr>
                <w:rFonts w:hint="default" w:ascii="Arial" w:hAnsi="Arial" w:cs="Arial"/>
                <w:spacing w:val="-3"/>
                <w:sz w:val="24"/>
                <w:szCs w:val="24"/>
                <w:lang w:val="en-US" w:eastAsia="zh-CN"/>
              </w:rPr>
              <w:t>赵家山</w:t>
            </w:r>
            <w:r>
              <w:rPr>
                <w:rFonts w:hint="default" w:ascii="Arial" w:hAnsi="Arial" w:cs="Arial"/>
                <w:spacing w:val="-3"/>
                <w:sz w:val="24"/>
                <w:szCs w:val="24"/>
              </w:rPr>
              <w:t>弃渣场剥离表土及库区清理固废堆存过程中采取边堆存边恢复生态的措施，堆存面临时覆盖并洒水降尘，采取以上控尘措施后，弃渣场扬尘去除率可达80% ，扬尘排放量为</w:t>
            </w:r>
            <w:r>
              <w:rPr>
                <w:rFonts w:hint="default" w:ascii="Arial" w:hAnsi="Arial" w:cs="Arial"/>
                <w:spacing w:val="-3"/>
                <w:sz w:val="24"/>
                <w:szCs w:val="24"/>
                <w:lang w:val="en-US" w:eastAsia="zh-CN"/>
              </w:rPr>
              <w:t>1.95</w:t>
            </w:r>
            <w:r>
              <w:rPr>
                <w:rFonts w:hint="default" w:ascii="Arial" w:hAnsi="Arial" w:cs="Arial"/>
                <w:spacing w:val="-3"/>
                <w:sz w:val="24"/>
                <w:szCs w:val="24"/>
              </w:rPr>
              <w:t>t</w:t>
            </w:r>
            <w:r>
              <w:rPr>
                <w:rFonts w:hint="default" w:ascii="Arial" w:hAnsi="Arial" w:cs="Arial"/>
                <w:spacing w:val="-3"/>
                <w:sz w:val="24"/>
                <w:szCs w:val="24"/>
                <w:lang w:eastAsia="zh-CN"/>
              </w:rPr>
              <w:t>；</w:t>
            </w:r>
            <w:r>
              <w:rPr>
                <w:rFonts w:hint="default" w:ascii="Arial" w:hAnsi="Arial" w:cs="Arial"/>
                <w:spacing w:val="-3"/>
                <w:sz w:val="24"/>
                <w:szCs w:val="24"/>
                <w:lang w:val="en-US" w:eastAsia="zh-CN"/>
              </w:rPr>
              <w:t>灌区弃渣场在定期洒水降尘并及时使用帆布或草垫等覆盖后，</w:t>
            </w:r>
            <w:r>
              <w:rPr>
                <w:rFonts w:hint="default" w:ascii="Arial" w:hAnsi="Arial" w:cs="Arial"/>
                <w:spacing w:val="-3"/>
                <w:sz w:val="24"/>
                <w:szCs w:val="24"/>
              </w:rPr>
              <w:t>弃渣场扬尘去除率可达80%，扬尘排放量为</w:t>
            </w:r>
            <w:r>
              <w:rPr>
                <w:rFonts w:hint="default" w:ascii="Arial" w:hAnsi="Arial" w:cs="Arial"/>
                <w:spacing w:val="-3"/>
                <w:sz w:val="24"/>
                <w:szCs w:val="24"/>
                <w:lang w:val="en-US" w:eastAsia="zh-CN"/>
              </w:rPr>
              <w:t>3.52</w:t>
            </w:r>
            <w:r>
              <w:rPr>
                <w:rFonts w:hint="default" w:ascii="Arial" w:hAnsi="Arial" w:cs="Arial"/>
                <w:spacing w:val="-3"/>
                <w:sz w:val="24"/>
                <w:szCs w:val="24"/>
              </w:rPr>
              <w:t>t。</w:t>
            </w:r>
            <w:r>
              <w:rPr>
                <w:rFonts w:hint="default" w:ascii="Arial" w:hAnsi="Arial" w:cs="Arial"/>
                <w:spacing w:val="-3"/>
                <w:sz w:val="24"/>
                <w:szCs w:val="24"/>
                <w:lang w:val="en-US" w:eastAsia="zh-CN"/>
              </w:rPr>
              <w:t>经采取上述措施后整个取料场及弃渣场在整个施工期的扬尘排放量为25.47t。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ascii="Times New Roman" w:hAnsi="Times New Roman" w:eastAsia="Times New Roman" w:cs="Times New Roman"/>
                <w:b/>
                <w:bCs/>
                <w:spacing w:val="-9"/>
                <w:sz w:val="24"/>
                <w:szCs w:val="24"/>
              </w:rPr>
              <w:t>2、车辆运输扬尘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spacing w:val="14"/>
                <w:sz w:val="24"/>
                <w:szCs w:val="24"/>
              </w:rPr>
            </w:pPr>
            <w:r>
              <w:rPr>
                <w:spacing w:val="-3"/>
                <w:sz w:val="24"/>
                <w:szCs w:val="24"/>
              </w:rPr>
              <w:t>车辆运输扬尘在道路完全干燥的情况下，可按下列经验公式计算：</w:t>
            </w:r>
            <w:r>
              <w:rPr>
                <w:spacing w:val="14"/>
                <w:sz w:val="24"/>
                <w:szCs w:val="24"/>
              </w:rPr>
              <w:t xml:space="preserve"> </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center"/>
              <w:textAlignment w:val="auto"/>
              <w:rPr>
                <w:rFonts w:hint="default" w:ascii="Times New Roman" w:hAnsi="Times New Roman" w:eastAsia="宋体" w:cs="Times New Roman"/>
                <w:sz w:val="24"/>
                <w:szCs w:val="24"/>
                <w:lang w:val="en-US" w:eastAsia="zh-CN"/>
              </w:rPr>
            </w:pPr>
            <w:r>
              <w:rPr>
                <w:rFonts w:ascii="Times New Roman" w:hAnsi="Times New Roman" w:eastAsia="Times New Roman" w:cs="Times New Roman"/>
                <w:i/>
                <w:iCs/>
                <w:spacing w:val="-6"/>
                <w:position w:val="-1"/>
                <w:sz w:val="24"/>
                <w:szCs w:val="24"/>
              </w:rPr>
              <w:t>Q</w:t>
            </w:r>
            <w:r>
              <w:rPr>
                <w:rFonts w:ascii="Times New Roman" w:hAnsi="Times New Roman" w:eastAsia="Times New Roman" w:cs="Times New Roman"/>
                <w:i/>
                <w:iCs/>
                <w:spacing w:val="-6"/>
                <w:position w:val="-7"/>
                <w:sz w:val="24"/>
                <w:szCs w:val="24"/>
              </w:rPr>
              <w:t>i</w:t>
            </w:r>
            <w:r>
              <w:rPr>
                <w:rFonts w:ascii="Arial" w:hAnsi="Arial" w:eastAsia="Arial" w:cs="Arial"/>
                <w:spacing w:val="2"/>
                <w:position w:val="-1"/>
                <w:sz w:val="24"/>
                <w:szCs w:val="24"/>
              </w:rPr>
              <w:t xml:space="preserve">= </w:t>
            </w:r>
            <w:r>
              <w:rPr>
                <w:rFonts w:ascii="Times New Roman" w:hAnsi="Times New Roman" w:eastAsia="Times New Roman" w:cs="Times New Roman"/>
                <w:spacing w:val="2"/>
                <w:position w:val="-1"/>
                <w:sz w:val="24"/>
                <w:szCs w:val="24"/>
              </w:rPr>
              <w:t>0.0079</w:t>
            </w:r>
            <w:r>
              <w:rPr>
                <w:rFonts w:ascii="Times New Roman" w:hAnsi="Times New Roman" w:eastAsia="Times New Roman" w:cs="Times New Roman"/>
                <w:i/>
                <w:iCs/>
                <w:spacing w:val="2"/>
                <w:position w:val="-1"/>
                <w:sz w:val="24"/>
                <w:szCs w:val="24"/>
              </w:rPr>
              <w:t>U</w:t>
            </w:r>
            <w:r>
              <w:rPr>
                <w:rFonts w:ascii="Times New Roman" w:hAnsi="Times New Roman" w:eastAsia="Times New Roman" w:cs="Times New Roman"/>
                <w:i/>
                <w:iCs/>
                <w:spacing w:val="-9"/>
                <w:position w:val="-1"/>
                <w:sz w:val="24"/>
                <w:szCs w:val="24"/>
              </w:rPr>
              <w:t xml:space="preserve"> </w:t>
            </w:r>
            <w:r>
              <w:rPr>
                <w:rFonts w:ascii="Arial" w:hAnsi="Arial" w:eastAsia="Arial" w:cs="Arial"/>
                <w:spacing w:val="2"/>
                <w:position w:val="-1"/>
                <w:sz w:val="24"/>
                <w:szCs w:val="24"/>
              </w:rPr>
              <w:t>×</w:t>
            </w:r>
            <w:r>
              <w:rPr>
                <w:rFonts w:ascii="Arial" w:hAnsi="Arial" w:eastAsia="Arial" w:cs="Arial"/>
                <w:spacing w:val="-23"/>
                <w:position w:val="-1"/>
                <w:sz w:val="24"/>
                <w:szCs w:val="24"/>
              </w:rPr>
              <w:t xml:space="preserve"> </w:t>
            </w:r>
            <w:r>
              <w:rPr>
                <w:rFonts w:ascii="Times New Roman" w:hAnsi="Times New Roman" w:eastAsia="Times New Roman" w:cs="Times New Roman"/>
                <w:i/>
                <w:iCs/>
                <w:spacing w:val="2"/>
                <w:position w:val="-1"/>
                <w:sz w:val="24"/>
                <w:szCs w:val="24"/>
              </w:rPr>
              <w:t>W</w:t>
            </w:r>
            <w:r>
              <w:rPr>
                <w:rFonts w:hint="eastAsia" w:ascii="Times New Roman" w:hAnsi="Times New Roman" w:eastAsia="宋体" w:cs="Times New Roman"/>
                <w:i/>
                <w:iCs/>
                <w:spacing w:val="2"/>
                <w:position w:val="-1"/>
                <w:sz w:val="24"/>
                <w:szCs w:val="24"/>
                <w:vertAlign w:val="superscript"/>
                <w:lang w:val="en-US" w:eastAsia="zh-CN"/>
              </w:rPr>
              <w:t>0.85</w:t>
            </w:r>
            <w:r>
              <w:rPr>
                <w:rFonts w:ascii="Times New Roman" w:hAnsi="Times New Roman" w:eastAsia="Times New Roman" w:cs="Times New Roman"/>
                <w:spacing w:val="30"/>
                <w:position w:val="9"/>
                <w:sz w:val="24"/>
                <w:szCs w:val="24"/>
              </w:rPr>
              <w:t xml:space="preserve"> </w:t>
            </w:r>
            <w:r>
              <w:rPr>
                <w:rFonts w:ascii="Arial" w:hAnsi="Arial" w:eastAsia="Arial" w:cs="Arial"/>
                <w:spacing w:val="2"/>
                <w:position w:val="-1"/>
                <w:sz w:val="24"/>
                <w:szCs w:val="24"/>
              </w:rPr>
              <w:t>×</w:t>
            </w:r>
            <w:r>
              <w:rPr>
                <w:rFonts w:ascii="Arial" w:hAnsi="Arial" w:eastAsia="Arial" w:cs="Arial"/>
                <w:spacing w:val="-28"/>
                <w:position w:val="-1"/>
                <w:sz w:val="24"/>
                <w:szCs w:val="24"/>
              </w:rPr>
              <w:t xml:space="preserve"> </w:t>
            </w:r>
            <w:r>
              <w:rPr>
                <w:rFonts w:ascii="Times New Roman" w:hAnsi="Times New Roman" w:eastAsia="Times New Roman" w:cs="Times New Roman"/>
                <w:i/>
                <w:iCs/>
                <w:spacing w:val="2"/>
                <w:position w:val="-1"/>
                <w:sz w:val="24"/>
                <w:szCs w:val="24"/>
              </w:rPr>
              <w:t>P</w:t>
            </w:r>
            <w:r>
              <w:rPr>
                <w:rFonts w:hint="eastAsia" w:ascii="Times New Roman" w:hAnsi="Times New Roman" w:eastAsia="宋体" w:cs="Times New Roman"/>
                <w:i/>
                <w:iCs/>
                <w:spacing w:val="2"/>
                <w:position w:val="-1"/>
                <w:sz w:val="24"/>
                <w:szCs w:val="24"/>
                <w:vertAlign w:val="superscript"/>
                <w:lang w:val="en-US" w:eastAsia="zh-CN"/>
              </w:rPr>
              <w:t>0.72</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i/>
                <w:iCs/>
                <w:position w:val="2"/>
                <w:sz w:val="24"/>
                <w:szCs w:val="24"/>
              </w:rPr>
              <w:t xml:space="preserve">Q </w:t>
            </w:r>
            <w:r>
              <w:rPr>
                <w:rFonts w:ascii="Arial" w:hAnsi="Arial" w:eastAsia="Arial" w:cs="Arial"/>
                <w:position w:val="2"/>
                <w:sz w:val="24"/>
                <w:szCs w:val="24"/>
              </w:rPr>
              <w:t xml:space="preserve">= </w:t>
            </w:r>
            <w:r>
              <w:rPr>
                <w:rFonts w:ascii="Arial" w:hAnsi="Arial" w:eastAsia="Arial" w:cs="Arial"/>
                <w:position w:val="-2"/>
                <w:sz w:val="24"/>
                <w:szCs w:val="24"/>
              </w:rPr>
              <w:t>Σ</w:t>
            </w:r>
            <w:r>
              <w:rPr>
                <w:rFonts w:ascii="Arial" w:hAnsi="Arial" w:eastAsia="Arial" w:cs="Arial"/>
                <w:spacing w:val="-68"/>
                <w:position w:val="-2"/>
                <w:sz w:val="24"/>
                <w:szCs w:val="24"/>
              </w:rPr>
              <w:t xml:space="preserve"> </w:t>
            </w:r>
            <w:r>
              <w:rPr>
                <w:rFonts w:ascii="Times New Roman" w:hAnsi="Times New Roman" w:eastAsia="Times New Roman" w:cs="Times New Roman"/>
                <w:i/>
                <w:iCs/>
                <w:position w:val="2"/>
                <w:sz w:val="24"/>
                <w:szCs w:val="24"/>
              </w:rPr>
              <w:t>Q</w:t>
            </w:r>
            <w:r>
              <w:rPr>
                <w:rFonts w:ascii="Times New Roman" w:hAnsi="Times New Roman" w:eastAsia="Times New Roman" w:cs="Times New Roman"/>
                <w:i/>
                <w:iCs/>
                <w:position w:val="-3"/>
                <w:sz w:val="24"/>
                <w:szCs w:val="24"/>
              </w:rPr>
              <w:t>i</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sz w:val="24"/>
                <w:szCs w:val="24"/>
              </w:rPr>
            </w:pPr>
            <w:r>
              <w:rPr>
                <w:spacing w:val="-5"/>
                <w:sz w:val="24"/>
                <w:szCs w:val="24"/>
              </w:rPr>
              <w:t>式中：</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sz w:val="24"/>
                <w:szCs w:val="24"/>
              </w:rPr>
            </w:pPr>
            <w:r>
              <w:rPr>
                <w:rFonts w:ascii="Times New Roman" w:hAnsi="Times New Roman" w:eastAsia="Times New Roman" w:cs="Times New Roman"/>
                <w:i/>
                <w:iCs/>
                <w:spacing w:val="-4"/>
                <w:sz w:val="24"/>
                <w:szCs w:val="24"/>
              </w:rPr>
              <w:t>Q</w:t>
            </w:r>
            <w:r>
              <w:rPr>
                <w:rFonts w:ascii="Times New Roman" w:hAnsi="Times New Roman" w:eastAsia="Times New Roman" w:cs="Times New Roman"/>
                <w:i/>
                <w:iCs/>
                <w:spacing w:val="-4"/>
                <w:position w:val="-1"/>
                <w:sz w:val="24"/>
                <w:szCs w:val="24"/>
              </w:rPr>
              <w:t>i</w:t>
            </w:r>
            <w:r>
              <w:rPr>
                <w:rFonts w:ascii="Times New Roman" w:hAnsi="Times New Roman" w:eastAsia="Times New Roman" w:cs="Times New Roman"/>
                <w:spacing w:val="-4"/>
                <w:sz w:val="24"/>
                <w:szCs w:val="24"/>
              </w:rPr>
              <w:t>——</w:t>
            </w:r>
            <w:r>
              <w:rPr>
                <w:spacing w:val="-4"/>
                <w:sz w:val="24"/>
                <w:szCs w:val="24"/>
              </w:rPr>
              <w:t>每辆汽车行驶扬尘量，</w:t>
            </w:r>
            <w:r>
              <w:rPr>
                <w:rFonts w:ascii="Times New Roman" w:hAnsi="Times New Roman" w:eastAsia="Times New Roman" w:cs="Times New Roman"/>
                <w:spacing w:val="-4"/>
                <w:sz w:val="24"/>
                <w:szCs w:val="24"/>
              </w:rPr>
              <w:t>kg/km</w:t>
            </w:r>
            <w:r>
              <w:rPr>
                <w:spacing w:val="-4"/>
                <w:sz w:val="24"/>
                <w:szCs w:val="24"/>
              </w:rPr>
              <w:t>；</w:t>
            </w:r>
            <w:r>
              <w:rPr>
                <w:rFonts w:ascii="Times New Roman" w:hAnsi="Times New Roman" w:eastAsia="Times New Roman" w:cs="Times New Roman"/>
                <w:i/>
                <w:iCs/>
                <w:spacing w:val="-1"/>
                <w:sz w:val="24"/>
                <w:szCs w:val="24"/>
              </w:rPr>
              <w:t>Q</w:t>
            </w:r>
            <w:r>
              <w:rPr>
                <w:rFonts w:ascii="Times New Roman" w:hAnsi="Times New Roman" w:eastAsia="Times New Roman" w:cs="Times New Roman"/>
                <w:spacing w:val="-1"/>
                <w:sz w:val="24"/>
                <w:szCs w:val="24"/>
              </w:rPr>
              <w:t>—</w:t>
            </w:r>
            <w:r>
              <w:rPr>
                <w:spacing w:val="-1"/>
                <w:sz w:val="24"/>
                <w:szCs w:val="24"/>
              </w:rPr>
              <w:t>每辆运输总扬尘量，</w:t>
            </w:r>
            <w:r>
              <w:rPr>
                <w:rFonts w:ascii="Times New Roman" w:hAnsi="Times New Roman" w:eastAsia="Times New Roman" w:cs="Times New Roman"/>
                <w:spacing w:val="-1"/>
                <w:sz w:val="24"/>
                <w:szCs w:val="24"/>
              </w:rPr>
              <w:t>t/a</w:t>
            </w:r>
            <w:r>
              <w:rPr>
                <w:spacing w:val="-1"/>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pacing w:val="-6"/>
                <w:sz w:val="24"/>
                <w:szCs w:val="24"/>
              </w:rPr>
            </w:pPr>
            <w:r>
              <w:rPr>
                <w:rFonts w:ascii="Times New Roman" w:hAnsi="Times New Roman" w:eastAsia="Times New Roman" w:cs="Times New Roman"/>
                <w:i/>
                <w:iCs/>
                <w:spacing w:val="-6"/>
                <w:sz w:val="24"/>
                <w:szCs w:val="24"/>
              </w:rPr>
              <w:t>U</w:t>
            </w:r>
            <w:r>
              <w:rPr>
                <w:rFonts w:ascii="Times New Roman" w:hAnsi="Times New Roman" w:eastAsia="Times New Roman" w:cs="Times New Roman"/>
                <w:spacing w:val="-6"/>
                <w:sz w:val="24"/>
                <w:szCs w:val="24"/>
              </w:rPr>
              <w:t>——</w:t>
            </w:r>
            <w:r>
              <w:rPr>
                <w:spacing w:val="-6"/>
                <w:sz w:val="24"/>
                <w:szCs w:val="24"/>
              </w:rPr>
              <w:t>汽车速度，</w:t>
            </w:r>
            <w:r>
              <w:rPr>
                <w:rFonts w:ascii="Times New Roman" w:hAnsi="Times New Roman" w:eastAsia="Times New Roman" w:cs="Times New Roman"/>
                <w:spacing w:val="-6"/>
                <w:sz w:val="24"/>
                <w:szCs w:val="24"/>
              </w:rPr>
              <w:t>km/h</w:t>
            </w:r>
            <w:r>
              <w:rPr>
                <w:spacing w:val="-6"/>
                <w:sz w:val="24"/>
                <w:szCs w:val="24"/>
              </w:rPr>
              <w:t>，本项目运输限速</w:t>
            </w:r>
            <w:r>
              <w:rPr>
                <w:rFonts w:ascii="Times New Roman" w:hAnsi="Times New Roman" w:eastAsia="Times New Roman" w:cs="Times New Roman"/>
                <w:spacing w:val="-6"/>
                <w:sz w:val="24"/>
                <w:szCs w:val="24"/>
              </w:rPr>
              <w:t>10km/h</w:t>
            </w:r>
            <w:r>
              <w:rPr>
                <w:spacing w:val="-6"/>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z w:val="24"/>
                <w:szCs w:val="24"/>
              </w:rPr>
            </w:pPr>
            <w:r>
              <w:rPr>
                <w:rFonts w:ascii="Times New Roman" w:hAnsi="Times New Roman" w:eastAsia="Times New Roman" w:cs="Times New Roman"/>
                <w:i/>
                <w:iCs/>
                <w:spacing w:val="-6"/>
                <w:sz w:val="24"/>
                <w:szCs w:val="24"/>
              </w:rPr>
              <w:t>W</w:t>
            </w:r>
            <w:r>
              <w:rPr>
                <w:rFonts w:ascii="Times New Roman" w:hAnsi="Times New Roman" w:eastAsia="Times New Roman" w:cs="Times New Roman"/>
                <w:spacing w:val="-6"/>
                <w:sz w:val="24"/>
                <w:szCs w:val="24"/>
              </w:rPr>
              <w:t>——</w:t>
            </w:r>
            <w:r>
              <w:rPr>
                <w:spacing w:val="0"/>
                <w:sz w:val="24"/>
                <w:szCs w:val="24"/>
              </w:rPr>
              <w:t>汽车重量，</w:t>
            </w:r>
            <w:r>
              <w:rPr>
                <w:rFonts w:ascii="Times New Roman" w:hAnsi="Times New Roman" w:eastAsia="Times New Roman" w:cs="Times New Roman"/>
                <w:spacing w:val="0"/>
                <w:sz w:val="24"/>
                <w:szCs w:val="24"/>
              </w:rPr>
              <w:t>t</w:t>
            </w:r>
            <w:r>
              <w:rPr>
                <w:spacing w:val="0"/>
                <w:sz w:val="24"/>
                <w:szCs w:val="24"/>
              </w:rPr>
              <w:t>。满载汽车重</w:t>
            </w:r>
            <w:r>
              <w:rPr>
                <w:rFonts w:ascii="Times New Roman" w:hAnsi="Times New Roman" w:eastAsia="Times New Roman" w:cs="Times New Roman"/>
                <w:spacing w:val="0"/>
                <w:sz w:val="24"/>
                <w:szCs w:val="24"/>
              </w:rPr>
              <w:t>10t</w:t>
            </w:r>
            <w:r>
              <w:rPr>
                <w:spacing w:val="0"/>
                <w:sz w:val="24"/>
                <w:szCs w:val="24"/>
              </w:rPr>
              <w:t>，空载</w:t>
            </w:r>
            <w:r>
              <w:rPr>
                <w:rFonts w:ascii="Times New Roman" w:hAnsi="Times New Roman" w:eastAsia="Times New Roman" w:cs="Times New Roman"/>
                <w:spacing w:val="0"/>
                <w:sz w:val="24"/>
                <w:szCs w:val="24"/>
              </w:rPr>
              <w:t>2t</w:t>
            </w:r>
            <w:r>
              <w:rPr>
                <w:spacing w:val="-6"/>
                <w:sz w:val="24"/>
                <w:szCs w:val="24"/>
              </w:rPr>
              <w:t>；</w:t>
            </w:r>
          </w:p>
          <w:p>
            <w:pPr>
              <w:pStyle w:val="75"/>
              <w:keepNext w:val="0"/>
              <w:keepLines w:val="0"/>
              <w:pageBreakBefore w:val="0"/>
              <w:widowControl w:val="0"/>
              <w:kinsoku/>
              <w:wordWrap/>
              <w:overflowPunct/>
              <w:topLinePunct w:val="0"/>
              <w:autoSpaceDE/>
              <w:autoSpaceDN/>
              <w:bidi w:val="0"/>
              <w:adjustRightInd/>
              <w:snapToGrid/>
              <w:spacing w:before="35" w:line="360" w:lineRule="auto"/>
              <w:ind w:firstLine="476" w:firstLineChars="200"/>
              <w:textAlignment w:val="auto"/>
              <w:rPr>
                <w:sz w:val="24"/>
                <w:szCs w:val="24"/>
              </w:rPr>
            </w:pPr>
            <w:r>
              <w:rPr>
                <w:rFonts w:ascii="Times New Roman" w:hAnsi="Times New Roman" w:eastAsia="Times New Roman" w:cs="Times New Roman"/>
                <w:i/>
                <w:iCs/>
                <w:spacing w:val="-1"/>
                <w:sz w:val="24"/>
                <w:szCs w:val="24"/>
              </w:rPr>
              <w:t>P</w:t>
            </w:r>
            <w:r>
              <w:rPr>
                <w:rFonts w:ascii="Times New Roman" w:hAnsi="Times New Roman" w:eastAsia="Times New Roman" w:cs="Times New Roman"/>
                <w:spacing w:val="-1"/>
                <w:sz w:val="24"/>
                <w:szCs w:val="24"/>
              </w:rPr>
              <w:t>——</w:t>
            </w:r>
            <w:r>
              <w:rPr>
                <w:spacing w:val="-1"/>
                <w:sz w:val="24"/>
                <w:szCs w:val="24"/>
              </w:rPr>
              <w:t>道路表面粉尘量，</w:t>
            </w:r>
            <w:r>
              <w:rPr>
                <w:rFonts w:ascii="Times New Roman" w:hAnsi="Times New Roman" w:eastAsia="Times New Roman" w:cs="Times New Roman"/>
                <w:spacing w:val="-1"/>
                <w:sz w:val="24"/>
                <w:szCs w:val="24"/>
              </w:rPr>
              <w:t>kg/m</w:t>
            </w:r>
            <w:r>
              <w:rPr>
                <w:rFonts w:hint="eastAsia" w:ascii="Times New Roman" w:hAnsi="Times New Roman" w:eastAsia="宋体" w:cs="Times New Roman"/>
                <w:spacing w:val="-1"/>
                <w:sz w:val="24"/>
                <w:szCs w:val="24"/>
                <w:vertAlign w:val="superscript"/>
                <w:lang w:val="en-US" w:eastAsia="zh-CN"/>
              </w:rPr>
              <w:t>2</w:t>
            </w:r>
            <w:r>
              <w:rPr>
                <w:spacing w:val="-1"/>
                <w:sz w:val="24"/>
                <w:szCs w:val="24"/>
              </w:rPr>
              <w:t>，取</w:t>
            </w:r>
            <w:r>
              <w:rPr>
                <w:spacing w:val="-51"/>
                <w:sz w:val="24"/>
                <w:szCs w:val="24"/>
              </w:rPr>
              <w:t xml:space="preserve"> </w:t>
            </w:r>
            <w:r>
              <w:rPr>
                <w:rFonts w:ascii="Times New Roman" w:hAnsi="Times New Roman" w:eastAsia="Times New Roman" w:cs="Times New Roman"/>
                <w:spacing w:val="-1"/>
                <w:sz w:val="24"/>
                <w:szCs w:val="24"/>
              </w:rPr>
              <w:t>0.2kg</w:t>
            </w:r>
            <w:r>
              <w:rPr>
                <w:rFonts w:ascii="Times New Roman" w:hAnsi="Times New Roman" w:eastAsia="Times New Roman" w:cs="Times New Roman"/>
                <w:spacing w:val="-2"/>
                <w:sz w:val="24"/>
                <w:szCs w:val="24"/>
              </w:rPr>
              <w:t>/m</w:t>
            </w:r>
            <w:r>
              <w:rPr>
                <w:rFonts w:hint="eastAsia" w:ascii="Times New Roman" w:hAnsi="Times New Roman" w:eastAsia="宋体" w:cs="Times New Roman"/>
                <w:spacing w:val="-1"/>
                <w:sz w:val="24"/>
                <w:szCs w:val="24"/>
                <w:vertAlign w:val="superscript"/>
                <w:lang w:val="en-US" w:eastAsia="zh-CN"/>
              </w:rPr>
              <w:t>2</w:t>
            </w:r>
            <w:r>
              <w:rPr>
                <w:spacing w:val="-2"/>
                <w:sz w:val="24"/>
                <w:szCs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sz w:val="24"/>
                <w:szCs w:val="24"/>
              </w:rPr>
            </w:pPr>
            <w:r>
              <w:rPr>
                <w:rFonts w:hint="default" w:ascii="Arial" w:hAnsi="Arial" w:eastAsia="宋体" w:cs="Arial"/>
                <w:spacing w:val="-1"/>
                <w:sz w:val="24"/>
                <w:szCs w:val="24"/>
              </w:rPr>
              <w:t>经计算，本项目运输车辆满载状况下汽车行驶扬尘产生量为</w:t>
            </w:r>
            <w:r>
              <w:rPr>
                <w:rFonts w:hint="default" w:ascii="Arial" w:hAnsi="Arial" w:eastAsia="宋体" w:cs="Arial"/>
                <w:spacing w:val="-49"/>
                <w:sz w:val="24"/>
                <w:szCs w:val="24"/>
              </w:rPr>
              <w:t xml:space="preserve"> </w:t>
            </w:r>
            <w:r>
              <w:rPr>
                <w:rFonts w:hint="default" w:ascii="Arial" w:hAnsi="Arial" w:eastAsia="宋体" w:cs="Arial"/>
                <w:spacing w:val="-1"/>
                <w:sz w:val="24"/>
                <w:szCs w:val="24"/>
              </w:rPr>
              <w:t>0.1755kg/km；</w:t>
            </w:r>
            <w:r>
              <w:rPr>
                <w:rFonts w:hint="default" w:ascii="Arial" w:hAnsi="Arial" w:eastAsia="宋体" w:cs="Arial"/>
                <w:sz w:val="24"/>
                <w:szCs w:val="24"/>
              </w:rPr>
              <w:t xml:space="preserve"> </w:t>
            </w:r>
            <w:r>
              <w:rPr>
                <w:rFonts w:hint="default" w:ascii="Arial" w:hAnsi="Arial" w:eastAsia="宋体" w:cs="Arial"/>
                <w:spacing w:val="-1"/>
                <w:sz w:val="24"/>
                <w:szCs w:val="24"/>
              </w:rPr>
              <w:t>空载状况下汽车行驶扬尘产生量为</w:t>
            </w:r>
            <w:r>
              <w:rPr>
                <w:rFonts w:hint="default" w:ascii="Arial" w:hAnsi="Arial" w:eastAsia="宋体" w:cs="Arial"/>
                <w:spacing w:val="-51"/>
                <w:sz w:val="24"/>
                <w:szCs w:val="24"/>
              </w:rPr>
              <w:t xml:space="preserve"> </w:t>
            </w:r>
            <w:r>
              <w:rPr>
                <w:rFonts w:hint="default" w:ascii="Arial" w:hAnsi="Arial" w:eastAsia="宋体" w:cs="Arial"/>
                <w:spacing w:val="-1"/>
                <w:sz w:val="24"/>
                <w:szCs w:val="24"/>
              </w:rPr>
              <w:t>0.0447kg/k</w:t>
            </w:r>
            <w:r>
              <w:rPr>
                <w:rFonts w:hint="default" w:ascii="Arial" w:hAnsi="Arial" w:eastAsia="宋体" w:cs="Arial"/>
                <w:spacing w:val="-2"/>
                <w:sz w:val="24"/>
                <w:szCs w:val="24"/>
              </w:rPr>
              <w:t>m。</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Arial" w:hAnsi="Arial" w:eastAsia="宋体" w:cs="Arial"/>
                <w:spacing w:val="-1"/>
                <w:sz w:val="24"/>
                <w:szCs w:val="24"/>
                <w:lang w:eastAsia="zh-CN"/>
              </w:rPr>
            </w:pPr>
            <w:r>
              <w:rPr>
                <w:rFonts w:hint="default" w:ascii="Arial" w:hAnsi="Arial" w:eastAsia="宋体" w:cs="Arial"/>
                <w:spacing w:val="-1"/>
                <w:sz w:val="24"/>
                <w:szCs w:val="24"/>
              </w:rPr>
              <w:t>在路面清洁程度相同的情况下，车速越快，扬尘量越大；而在同样车速情况下，路面清洁度越差，则扬尘量越大。如果对车辆行驶的路面实施洒水抑尘，每天洒水4~5次，可使扬尘减少70%左右，为行驶路面洒水抑尘的试验结果见下表</w:t>
            </w:r>
            <w:r>
              <w:rPr>
                <w:rFonts w:hint="eastAsia" w:ascii="Arial" w:hAnsi="Arial" w:cs="Arial"/>
                <w:spacing w:val="-1"/>
                <w:sz w:val="24"/>
                <w:szCs w:val="24"/>
                <w:lang w:eastAsia="zh-CN"/>
              </w:rPr>
              <w:t>：</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 4-1    施工场地洒水抑尘试验结果</w:t>
            </w:r>
          </w:p>
          <w:tbl>
            <w:tblPr>
              <w:tblStyle w:val="76"/>
              <w:tblW w:w="485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1"/>
              <w:gridCol w:w="1483"/>
              <w:gridCol w:w="1479"/>
              <w:gridCol w:w="1479"/>
              <w:gridCol w:w="1479"/>
              <w:gridCol w:w="13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738" w:type="pct"/>
                  <w:gridSpan w:val="2"/>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b/>
                      <w:bCs/>
                      <w:spacing w:val="4"/>
                      <w:sz w:val="21"/>
                      <w:szCs w:val="21"/>
                    </w:rPr>
                    <w:t>距离（m）</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b/>
                      <w:bCs/>
                      <w:sz w:val="21"/>
                      <w:szCs w:val="21"/>
                    </w:rPr>
                    <w:t>5</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b/>
                      <w:bCs/>
                      <w:spacing w:val="2"/>
                      <w:sz w:val="21"/>
                      <w:szCs w:val="21"/>
                    </w:rPr>
                    <w:t>20</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b/>
                      <w:bCs/>
                      <w:spacing w:val="1"/>
                      <w:sz w:val="21"/>
                      <w:szCs w:val="21"/>
                    </w:rPr>
                    <w:t>50</w:t>
                  </w:r>
                </w:p>
              </w:tc>
              <w:tc>
                <w:tcPr>
                  <w:tcW w:w="7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b/>
                      <w:bCs/>
                      <w:sz w:val="21"/>
                      <w:szCs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2" w:type="pct"/>
                  <w:vMerge w:val="restar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z w:val="21"/>
                      <w:szCs w:val="21"/>
                    </w:rPr>
                    <w:t>TSP</w:t>
                  </w:r>
                  <w:r>
                    <w:rPr>
                      <w:rFonts w:hint="default" w:ascii="Arial" w:hAnsi="Arial" w:eastAsia="宋体" w:cs="Arial"/>
                      <w:spacing w:val="10"/>
                      <w:sz w:val="21"/>
                      <w:szCs w:val="21"/>
                    </w:rPr>
                    <w:t>平均浓</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6"/>
                      <w:sz w:val="21"/>
                      <w:szCs w:val="21"/>
                    </w:rPr>
                    <w:t>度（</w:t>
                  </w:r>
                  <w:r>
                    <w:rPr>
                      <w:rFonts w:hint="default" w:ascii="Arial" w:hAnsi="Arial" w:eastAsia="宋体" w:cs="Arial"/>
                      <w:sz w:val="21"/>
                      <w:szCs w:val="21"/>
                    </w:rPr>
                    <w:t>mg</w:t>
                  </w:r>
                  <w:r>
                    <w:rPr>
                      <w:rFonts w:hint="default" w:ascii="Arial" w:hAnsi="Arial" w:eastAsia="宋体" w:cs="Arial"/>
                      <w:spacing w:val="6"/>
                      <w:sz w:val="21"/>
                      <w:szCs w:val="21"/>
                    </w:rPr>
                    <w:t>/m</w:t>
                  </w:r>
                  <w:r>
                    <w:rPr>
                      <w:rFonts w:hint="eastAsia" w:ascii="Arial" w:hAnsi="Arial" w:eastAsia="宋体" w:cs="Arial"/>
                      <w:spacing w:val="6"/>
                      <w:sz w:val="21"/>
                      <w:szCs w:val="21"/>
                      <w:vertAlign w:val="superscript"/>
                      <w:lang w:val="en-US" w:eastAsia="zh-CN"/>
                    </w:rPr>
                    <w:t>3</w:t>
                  </w:r>
                  <w:r>
                    <w:rPr>
                      <w:rFonts w:hint="default" w:ascii="Arial" w:hAnsi="Arial" w:eastAsia="宋体" w:cs="Arial"/>
                      <w:spacing w:val="6"/>
                      <w:sz w:val="21"/>
                      <w:szCs w:val="21"/>
                    </w:rPr>
                    <w:t>）</w:t>
                  </w:r>
                </w:p>
              </w:tc>
              <w:tc>
                <w:tcPr>
                  <w:tcW w:w="83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3"/>
                      <w:sz w:val="21"/>
                      <w:szCs w:val="21"/>
                    </w:rPr>
                    <w:t>不洒</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6"/>
                      <w:sz w:val="21"/>
                      <w:szCs w:val="21"/>
                    </w:rPr>
                    <w:t>10.14</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3"/>
                      <w:sz w:val="21"/>
                      <w:szCs w:val="21"/>
                    </w:rPr>
                    <w:t>2.89</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2"/>
                      <w:sz w:val="21"/>
                      <w:szCs w:val="21"/>
                    </w:rPr>
                    <w:t>1.15</w:t>
                  </w:r>
                </w:p>
              </w:tc>
              <w:tc>
                <w:tcPr>
                  <w:tcW w:w="7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2"/>
                      <w:sz w:val="21"/>
                      <w:szCs w:val="21"/>
                    </w:rPr>
                    <w:t>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02" w:type="pct"/>
                  <w:vMerge w:val="continue"/>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p>
              </w:tc>
              <w:tc>
                <w:tcPr>
                  <w:tcW w:w="835"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3"/>
                      <w:sz w:val="21"/>
                      <w:szCs w:val="21"/>
                    </w:rPr>
                    <w:t>洒水</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3"/>
                      <w:sz w:val="21"/>
                      <w:szCs w:val="21"/>
                    </w:rPr>
                    <w:t>2.01</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2"/>
                      <w:sz w:val="21"/>
                      <w:szCs w:val="21"/>
                    </w:rPr>
                    <w:t>1.40</w:t>
                  </w:r>
                </w:p>
              </w:tc>
              <w:tc>
                <w:tcPr>
                  <w:tcW w:w="8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2"/>
                      <w:sz w:val="21"/>
                      <w:szCs w:val="21"/>
                    </w:rPr>
                    <w:t>0.67</w:t>
                  </w:r>
                </w:p>
              </w:tc>
              <w:tc>
                <w:tcPr>
                  <w:tcW w:w="7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Arial" w:hAnsi="Arial" w:eastAsia="宋体" w:cs="Arial"/>
                      <w:sz w:val="21"/>
                      <w:szCs w:val="21"/>
                    </w:rPr>
                  </w:pPr>
                  <w:r>
                    <w:rPr>
                      <w:rFonts w:hint="default" w:ascii="Arial" w:hAnsi="Arial" w:eastAsia="宋体" w:cs="Arial"/>
                      <w:spacing w:val="2"/>
                      <w:sz w:val="21"/>
                      <w:szCs w:val="21"/>
                    </w:rPr>
                    <w:t>0.60</w:t>
                  </w:r>
                </w:p>
              </w:tc>
            </w:tr>
          </w:tbl>
          <w:p>
            <w:pPr>
              <w:pStyle w:val="75"/>
              <w:spacing w:before="113" w:line="351" w:lineRule="auto"/>
              <w:ind w:left="118" w:firstLine="483"/>
              <w:jc w:val="both"/>
            </w:pPr>
            <w:r>
              <w:rPr>
                <w:rFonts w:hint="default" w:ascii="Arial" w:hAnsi="Arial" w:eastAsia="宋体" w:cs="Arial"/>
                <w:spacing w:val="-1"/>
                <w:sz w:val="24"/>
                <w:szCs w:val="24"/>
              </w:rPr>
              <w:t>结果表明采取每天洒水4~5次进行抑尘，可有效地控制施工扬尘，可将TSP污染距离缩小到20~50m范围。因此，限速行驶及保持路面清洁，同时适当洒水是减少汽车扬尘的有效手段</w:t>
            </w:r>
            <w:r>
              <w:rPr>
                <w:spacing w:val="-1"/>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ascii="Times New Roman" w:hAnsi="Times New Roman" w:eastAsia="Times New Roman" w:cs="Times New Roman"/>
                <w:b/>
                <w:bCs/>
                <w:spacing w:val="-9"/>
                <w:sz w:val="24"/>
                <w:szCs w:val="24"/>
              </w:rPr>
            </w:pPr>
            <w:r>
              <w:rPr>
                <w:rFonts w:hint="eastAsia" w:ascii="Times New Roman" w:hAnsi="Times New Roman" w:eastAsia="宋体" w:cs="Times New Roman"/>
                <w:b/>
                <w:bCs/>
                <w:spacing w:val="-9"/>
                <w:sz w:val="24"/>
                <w:szCs w:val="24"/>
                <w:lang w:val="en-US" w:eastAsia="zh-CN"/>
              </w:rPr>
              <w:t>3</w:t>
            </w:r>
            <w:r>
              <w:rPr>
                <w:rFonts w:ascii="Times New Roman" w:hAnsi="Times New Roman" w:eastAsia="Times New Roman" w:cs="Times New Roman"/>
                <w:b/>
                <w:bCs/>
                <w:spacing w:val="-9"/>
                <w:sz w:val="24"/>
                <w:szCs w:val="24"/>
              </w:rPr>
              <w:t>、混凝土拌和站废气</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default" w:ascii="Times New Roman" w:hAnsi="Times New Roman" w:eastAsia="宋体" w:cs="Times New Roman"/>
                <w:b/>
                <w:bCs/>
                <w:spacing w:val="-9"/>
                <w:sz w:val="24"/>
                <w:szCs w:val="24"/>
                <w:lang w:val="en-US" w:eastAsia="zh-CN"/>
              </w:rPr>
            </w:pPr>
            <w:r>
              <w:rPr>
                <w:rFonts w:hint="eastAsia" w:ascii="Times New Roman" w:hAnsi="Times New Roman" w:eastAsia="宋体" w:cs="Times New Roman"/>
                <w:b/>
                <w:bCs/>
                <w:spacing w:val="-9"/>
                <w:sz w:val="24"/>
                <w:szCs w:val="24"/>
                <w:lang w:val="en-US" w:eastAsia="zh-CN"/>
              </w:rPr>
              <w:t xml:space="preserve">⑴ </w:t>
            </w:r>
            <w:r>
              <w:rPr>
                <w:rFonts w:hint="eastAsia" w:ascii="Times New Roman" w:hAnsi="Times New Roman" w:cs="Times New Roman"/>
                <w:b/>
                <w:bCs/>
                <w:spacing w:val="-9"/>
                <w:sz w:val="24"/>
                <w:szCs w:val="24"/>
                <w:lang w:val="en-US" w:eastAsia="zh-CN"/>
              </w:rPr>
              <w:t>砂石料堆场粉尘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spacing w:val="-1"/>
                <w:sz w:val="24"/>
                <w:szCs w:val="24"/>
              </w:rPr>
            </w:pPr>
            <w:r>
              <w:rPr>
                <w:rFonts w:hint="default" w:ascii="Arial" w:hAnsi="Arial" w:eastAsia="宋体" w:cs="Arial"/>
                <w:spacing w:val="-1"/>
                <w:sz w:val="24"/>
                <w:szCs w:val="24"/>
              </w:rPr>
              <w:t>本项目采用的砂石料为中度水洗，砂石中夹杂的粉尘颗粒在1.0~500μm之间，落料点与输送时产生少量扬尘，主要包括物料堆放时随风扬尘，</w:t>
            </w:r>
            <w:r>
              <w:rPr>
                <w:rFonts w:hint="eastAsia" w:ascii="Arial" w:hAnsi="Arial" w:eastAsia="宋体" w:cs="Arial"/>
                <w:spacing w:val="-1"/>
                <w:sz w:val="24"/>
                <w:szCs w:val="24"/>
              </w:rPr>
              <w:t>本</w:t>
            </w:r>
            <w:r>
              <w:rPr>
                <w:rFonts w:hint="default" w:ascii="Arial" w:hAnsi="Arial" w:eastAsia="宋体" w:cs="Arial"/>
                <w:spacing w:val="-1"/>
                <w:sz w:val="24"/>
                <w:szCs w:val="24"/>
              </w:rPr>
              <w:t>评价采用清华大学在霍州发电厂现场试验的模式进行估算：</w:t>
            </w:r>
          </w:p>
          <w:p>
            <w:pPr>
              <w:spacing w:line="360" w:lineRule="auto"/>
              <w:jc w:val="center"/>
              <w:rPr>
                <w:rFonts w:hint="eastAsia" w:ascii="宋体" w:hAnsi="宋体" w:cs="宋体"/>
                <w:color w:val="000000"/>
                <w:sz w:val="24"/>
                <w:szCs w:val="24"/>
              </w:rPr>
            </w:pPr>
            <w:r>
              <w:rPr>
                <w:rFonts w:ascii="Times New Roman" w:hAnsi="Times New Roman" w:eastAsia="Times New Roman"/>
                <w:color w:val="000000"/>
                <w:sz w:val="24"/>
                <w:szCs w:val="24"/>
              </w:rPr>
              <w:t>Q</w:t>
            </w:r>
            <w:r>
              <w:rPr>
                <w:rFonts w:hint="eastAsia" w:ascii="Times New Roman" w:hAnsi="Times New Roman"/>
                <w:color w:val="000000"/>
                <w:sz w:val="24"/>
                <w:szCs w:val="24"/>
                <w:vertAlign w:val="subscript"/>
              </w:rPr>
              <w:t>堆</w:t>
            </w:r>
            <w:r>
              <w:rPr>
                <w:rFonts w:ascii="Times New Roman" w:hAnsi="Times New Roman" w:eastAsia="Times New Roman"/>
                <w:color w:val="000000"/>
                <w:sz w:val="24"/>
                <w:szCs w:val="24"/>
              </w:rPr>
              <w:t>=11.7U</w:t>
            </w:r>
            <w:r>
              <w:rPr>
                <w:rFonts w:ascii="Times New Roman" w:hAnsi="Times New Roman" w:eastAsia="Times New Roman"/>
                <w:color w:val="000000"/>
                <w:sz w:val="24"/>
                <w:szCs w:val="24"/>
                <w:vertAlign w:val="superscript"/>
              </w:rPr>
              <w:t>2.45</w:t>
            </w:r>
            <w:r>
              <w:rPr>
                <w:rFonts w:ascii="Times New Roman" w:hAnsi="Times New Roman"/>
                <w:color w:val="000000"/>
                <w:sz w:val="24"/>
                <w:szCs w:val="24"/>
              </w:rPr>
              <w:t>·</w:t>
            </w:r>
            <w:r>
              <w:rPr>
                <w:rFonts w:ascii="Times New Roman" w:hAnsi="Times New Roman" w:eastAsia="Times New Roman"/>
                <w:color w:val="000000"/>
                <w:sz w:val="24"/>
                <w:szCs w:val="24"/>
              </w:rPr>
              <w:t>S</w:t>
            </w:r>
            <w:r>
              <w:rPr>
                <w:rFonts w:ascii="Times New Roman" w:hAnsi="Times New Roman" w:eastAsia="Times New Roman"/>
                <w:color w:val="000000"/>
                <w:sz w:val="24"/>
                <w:szCs w:val="24"/>
                <w:vertAlign w:val="superscript"/>
              </w:rPr>
              <w:t>0.345</w:t>
            </w:r>
            <w:r>
              <w:rPr>
                <w:rFonts w:ascii="Times New Roman" w:hAnsi="Times New Roman"/>
                <w:color w:val="000000"/>
                <w:sz w:val="24"/>
                <w:szCs w:val="24"/>
              </w:rPr>
              <w:t>·</w:t>
            </w:r>
            <w:r>
              <w:rPr>
                <w:rFonts w:ascii="Times New Roman" w:hAnsi="Times New Roman" w:eastAsia="Times New Roman"/>
                <w:color w:val="000000"/>
                <w:sz w:val="24"/>
                <w:szCs w:val="24"/>
              </w:rPr>
              <w:t>e</w:t>
            </w:r>
            <w:r>
              <w:rPr>
                <w:rFonts w:ascii="Times New Roman" w:hAnsi="Times New Roman" w:eastAsia="Times New Roman"/>
                <w:color w:val="000000"/>
                <w:sz w:val="24"/>
                <w:szCs w:val="24"/>
                <w:vertAlign w:val="superscript"/>
              </w:rPr>
              <w:t>-0.5</w:t>
            </w:r>
            <w:r>
              <w:rPr>
                <w:rFonts w:hint="eastAsia" w:ascii="Times New Roman" w:hAnsi="Times New Roman"/>
                <w:color w:val="000000"/>
                <w:sz w:val="24"/>
                <w:szCs w:val="24"/>
                <w:vertAlign w:val="superscript"/>
              </w:rPr>
              <w:t>w</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eastAsia="Times New Roman"/>
                <w:color w:val="000000"/>
                <w:sz w:val="24"/>
                <w:szCs w:val="24"/>
              </w:rPr>
              <w:t>Q</w:t>
            </w:r>
            <w:r>
              <w:rPr>
                <w:rFonts w:hint="eastAsia" w:ascii="Times New Roman" w:hAnsi="Times New Roman"/>
                <w:color w:val="000000"/>
                <w:sz w:val="24"/>
                <w:szCs w:val="24"/>
                <w:vertAlign w:val="subscript"/>
              </w:rPr>
              <w:t>堆</w:t>
            </w:r>
            <w:r>
              <w:rPr>
                <w:rFonts w:ascii="Times New Roman" w:hAnsi="Times New Roman" w:eastAsia="Times New Roman"/>
                <w:color w:val="000000"/>
                <w:sz w:val="24"/>
                <w:szCs w:val="24"/>
              </w:rPr>
              <w:t>-</w:t>
            </w:r>
            <w:r>
              <w:rPr>
                <w:rFonts w:ascii="Times New Roman" w:hAnsi="Times New Roman"/>
                <w:color w:val="000000"/>
                <w:sz w:val="24"/>
                <w:szCs w:val="24"/>
              </w:rPr>
              <w:t>堆放起尘，</w:t>
            </w:r>
            <w:r>
              <w:rPr>
                <w:rFonts w:ascii="Times New Roman" w:hAnsi="Times New Roman" w:eastAsia="Times New Roman"/>
                <w:color w:val="000000"/>
                <w:sz w:val="24"/>
                <w:szCs w:val="24"/>
              </w:rPr>
              <w:t>mg/s</w:t>
            </w:r>
            <w:r>
              <w:rPr>
                <w:rFonts w:ascii="Times New Roman" w:hAnsi="Times New Roman"/>
                <w:color w:val="000000"/>
                <w:sz w:val="24"/>
                <w:szCs w:val="24"/>
              </w:rPr>
              <w:t>；</w:t>
            </w:r>
          </w:p>
          <w:p>
            <w:pPr>
              <w:spacing w:line="360" w:lineRule="auto"/>
              <w:ind w:firstLine="1200" w:firstLineChars="500"/>
              <w:jc w:val="left"/>
              <w:rPr>
                <w:rFonts w:ascii="Times New Roman" w:hAnsi="Times New Roman"/>
                <w:color w:val="000000"/>
                <w:sz w:val="24"/>
                <w:szCs w:val="24"/>
              </w:rPr>
            </w:pPr>
            <w:r>
              <w:rPr>
                <w:rFonts w:ascii="Times New Roman" w:hAnsi="Times New Roman" w:eastAsia="Times New Roman"/>
                <w:color w:val="000000"/>
                <w:sz w:val="24"/>
                <w:szCs w:val="24"/>
              </w:rPr>
              <w:t>U-</w:t>
            </w:r>
            <w:r>
              <w:rPr>
                <w:rFonts w:hint="eastAsia" w:ascii="Times New Roman" w:hAnsi="Times New Roman"/>
                <w:color w:val="000000"/>
                <w:sz w:val="24"/>
                <w:szCs w:val="24"/>
              </w:rPr>
              <w:t>平均</w:t>
            </w:r>
            <w:r>
              <w:rPr>
                <w:rFonts w:ascii="Times New Roman" w:hAnsi="Times New Roman"/>
                <w:color w:val="000000"/>
                <w:sz w:val="24"/>
                <w:szCs w:val="24"/>
              </w:rPr>
              <w:t>风速，</w:t>
            </w:r>
            <w:r>
              <w:rPr>
                <w:rFonts w:ascii="Times New Roman" w:hAnsi="Times New Roman" w:eastAsia="Times New Roman"/>
                <w:color w:val="000000"/>
                <w:sz w:val="24"/>
                <w:szCs w:val="24"/>
              </w:rPr>
              <w:t>m/s</w:t>
            </w:r>
            <w:r>
              <w:rPr>
                <w:rFonts w:ascii="Times New Roman" w:hAnsi="Times New Roman"/>
                <w:color w:val="000000"/>
                <w:sz w:val="24"/>
                <w:szCs w:val="24"/>
              </w:rPr>
              <w:t>；</w:t>
            </w:r>
          </w:p>
          <w:p>
            <w:pPr>
              <w:spacing w:line="360" w:lineRule="auto"/>
              <w:ind w:firstLine="1200" w:firstLineChars="500"/>
              <w:jc w:val="left"/>
              <w:rPr>
                <w:rFonts w:ascii="Times New Roman" w:hAnsi="Times New Roman"/>
                <w:color w:val="000000"/>
                <w:sz w:val="24"/>
                <w:szCs w:val="24"/>
              </w:rPr>
            </w:pPr>
            <w:r>
              <w:rPr>
                <w:rFonts w:ascii="Times New Roman" w:hAnsi="Times New Roman" w:eastAsia="Times New Roman"/>
                <w:color w:val="000000"/>
                <w:sz w:val="24"/>
                <w:szCs w:val="24"/>
              </w:rPr>
              <w:t>S-</w:t>
            </w:r>
            <w:r>
              <w:rPr>
                <w:rFonts w:ascii="Times New Roman" w:hAnsi="Times New Roman"/>
                <w:color w:val="000000"/>
                <w:sz w:val="24"/>
                <w:szCs w:val="24"/>
              </w:rPr>
              <w:t>堆场面积，</w:t>
            </w:r>
            <w:r>
              <w:rPr>
                <w:rFonts w:ascii="Times New Roman" w:hAnsi="Times New Roman" w:eastAsia="Times New Roman"/>
                <w:color w:val="000000"/>
                <w:sz w:val="24"/>
                <w:szCs w:val="24"/>
              </w:rPr>
              <w:t>m</w:t>
            </w:r>
            <w:r>
              <w:rPr>
                <w:rFonts w:ascii="Times New Roman" w:hAnsi="Times New Roman" w:eastAsia="Times New Roman"/>
                <w:color w:val="000000"/>
                <w:sz w:val="24"/>
                <w:szCs w:val="24"/>
                <w:vertAlign w:val="superscript"/>
              </w:rPr>
              <w:t>2</w:t>
            </w:r>
            <w:r>
              <w:rPr>
                <w:rFonts w:ascii="Times New Roman" w:hAnsi="Times New Roman"/>
                <w:color w:val="000000"/>
                <w:sz w:val="24"/>
                <w:szCs w:val="24"/>
              </w:rPr>
              <w:t>；</w:t>
            </w:r>
          </w:p>
          <w:p>
            <w:pPr>
              <w:spacing w:line="360" w:lineRule="auto"/>
              <w:ind w:firstLine="1200" w:firstLineChars="500"/>
              <w:jc w:val="left"/>
              <w:rPr>
                <w:rFonts w:ascii="Times New Roman" w:hAnsi="Times New Roman"/>
                <w:color w:val="000000"/>
                <w:sz w:val="24"/>
                <w:szCs w:val="24"/>
              </w:rPr>
            </w:pPr>
            <w:r>
              <w:rPr>
                <w:rFonts w:ascii="Times New Roman" w:hAnsi="Times New Roman" w:eastAsia="Times New Roman"/>
                <w:color w:val="000000"/>
                <w:sz w:val="24"/>
                <w:szCs w:val="24"/>
              </w:rPr>
              <w:t>W-</w:t>
            </w:r>
            <w:r>
              <w:rPr>
                <w:rFonts w:ascii="Times New Roman" w:hAnsi="Times New Roman"/>
                <w:color w:val="000000"/>
                <w:sz w:val="24"/>
                <w:szCs w:val="24"/>
              </w:rPr>
              <w:t>物料湿度，</w:t>
            </w:r>
            <w:r>
              <w:rPr>
                <w:rFonts w:ascii="Times New Roman" w:hAnsi="Times New Roman" w:eastAsia="Times New Roman"/>
                <w:color w:val="000000"/>
                <w:sz w:val="24"/>
                <w:szCs w:val="24"/>
              </w:rPr>
              <w:t>%</w:t>
            </w:r>
            <w:r>
              <w:rPr>
                <w:rFonts w:ascii="Times New Roman" w:hAnsi="Times New Roman"/>
                <w:color w:val="000000"/>
                <w:sz w:val="24"/>
                <w:szCs w:val="24"/>
              </w:rPr>
              <w:t>，由于砂石料为清洗合格的原料，含水率较高，取</w:t>
            </w:r>
            <w:r>
              <w:rPr>
                <w:rFonts w:ascii="Times New Roman" w:hAnsi="Times New Roman" w:eastAsia="Times New Roman"/>
                <w:color w:val="000000"/>
                <w:sz w:val="24"/>
                <w:szCs w:val="24"/>
              </w:rPr>
              <w:t>10%</w:t>
            </w:r>
            <w:r>
              <w:rPr>
                <w:rFonts w:ascii="Times New Roman" w:hAnsi="Times New Roman"/>
                <w:color w:val="000000"/>
                <w:sz w:val="24"/>
                <w:szCs w:val="24"/>
              </w:rPr>
              <w:t>；</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由上述经验公式进行估算，在不采取任何控尘措施的情况下，平均风速取1.1m/s，砂石堆场面积</w:t>
            </w:r>
            <w:r>
              <w:rPr>
                <w:rFonts w:hint="eastAsia"/>
                <w:sz w:val="24"/>
                <w:szCs w:val="24"/>
                <w:lang w:val="en-US" w:eastAsia="zh-CN"/>
              </w:rPr>
              <w:t>约20</w:t>
            </w:r>
            <w:r>
              <w:rPr>
                <w:rFonts w:hint="eastAsia" w:ascii="Times New Roman" w:hAnsi="Times New Roman"/>
                <w:sz w:val="24"/>
                <w:szCs w:val="24"/>
              </w:rPr>
              <w:t>00m</w:t>
            </w:r>
            <w:r>
              <w:rPr>
                <w:rFonts w:hint="eastAsia" w:ascii="Times New Roman" w:hAnsi="Times New Roman"/>
                <w:sz w:val="24"/>
                <w:szCs w:val="24"/>
                <w:vertAlign w:val="superscript"/>
              </w:rPr>
              <w:t>2</w:t>
            </w:r>
            <w:r>
              <w:rPr>
                <w:rFonts w:hint="eastAsia" w:ascii="Times New Roman" w:hAnsi="Times New Roman"/>
                <w:sz w:val="24"/>
                <w:szCs w:val="24"/>
              </w:rPr>
              <w:t>，物料湿度取10%，项目砂石堆场的堆场起尘量约为</w:t>
            </w:r>
            <w:r>
              <w:rPr>
                <w:rFonts w:hint="eastAsia"/>
                <w:sz w:val="24"/>
                <w:szCs w:val="24"/>
                <w:lang w:val="en-US" w:eastAsia="zh-CN"/>
              </w:rPr>
              <w:t>0.71</w:t>
            </w:r>
            <w:r>
              <w:rPr>
                <w:rFonts w:hint="eastAsia" w:ascii="Times New Roman" w:hAnsi="Times New Roman"/>
                <w:sz w:val="24"/>
                <w:szCs w:val="24"/>
              </w:rPr>
              <w:t>t/a。</w:t>
            </w:r>
          </w:p>
          <w:p>
            <w:pPr>
              <w:spacing w:line="360" w:lineRule="auto"/>
              <w:ind w:firstLine="476" w:firstLineChars="200"/>
              <w:jc w:val="left"/>
              <w:rPr>
                <w:rFonts w:ascii="Times New Roman" w:hAnsi="Times New Roman" w:eastAsia="黑体"/>
                <w:b/>
                <w:sz w:val="24"/>
                <w:szCs w:val="24"/>
                <w:lang w:bidi="ar"/>
              </w:rPr>
            </w:pPr>
            <w:r>
              <w:rPr>
                <w:rFonts w:hint="eastAsia" w:ascii="Arial" w:hAnsi="Arial" w:eastAsia="宋体" w:cs="Arial"/>
                <w:spacing w:val="-1"/>
                <w:kern w:val="2"/>
                <w:sz w:val="24"/>
                <w:szCs w:val="24"/>
                <w:lang w:val="en-US" w:eastAsia="zh-CN" w:bidi="ar-SA"/>
              </w:rPr>
              <w:t>通过将</w:t>
            </w:r>
            <w:r>
              <w:rPr>
                <w:rFonts w:hint="eastAsia" w:ascii="宋体" w:hAnsi="宋体" w:cs="宋体"/>
                <w:sz w:val="24"/>
                <w:szCs w:val="24"/>
              </w:rPr>
              <w:t>砂石堆场设置于封闭厂房内，堆场顶棚设自动喷雾装置，定期喷雾控尘，砂在吸收水分后，增加了其自身重量，经重力沉降比例较大，多沉降在厂房范围内，同时加强生产管理，卸料做到慢、轻，并尽量降低运输汽车的卸料高度。</w:t>
            </w:r>
          </w:p>
          <w:p>
            <w:pPr>
              <w:autoSpaceDE w:val="0"/>
              <w:autoSpaceDN w:val="0"/>
              <w:adjustRightInd w:val="0"/>
              <w:spacing w:line="360" w:lineRule="auto"/>
              <w:ind w:firstLine="480" w:firstLineChars="200"/>
              <w:jc w:val="left"/>
              <w:rPr>
                <w:rFonts w:ascii="Times New Roman" w:hAnsi="Times New Roman"/>
                <w:color w:val="000000"/>
                <w:sz w:val="24"/>
                <w:szCs w:val="24"/>
              </w:rPr>
            </w:pPr>
            <w:r>
              <w:rPr>
                <w:rFonts w:hint="eastAsia" w:ascii="Times New Roman" w:hAnsi="Times New Roman" w:eastAsia="宋体"/>
                <w:sz w:val="24"/>
                <w:szCs w:val="24"/>
                <w:lang w:val="en-US" w:eastAsia="zh-CN"/>
              </w:rPr>
              <w:t>经</w:t>
            </w:r>
            <w:r>
              <w:rPr>
                <w:rFonts w:ascii="宋体" w:hAnsi="宋体" w:cs="宋体"/>
                <w:sz w:val="24"/>
                <w:szCs w:val="24"/>
              </w:rPr>
              <w:t>参考《逸散性工业粉尘控制技术》，封</w:t>
            </w:r>
            <w:r>
              <w:rPr>
                <w:rFonts w:ascii="宋体" w:hAnsi="宋体" w:cs="宋体"/>
                <w:color w:val="000000"/>
                <w:sz w:val="24"/>
                <w:szCs w:val="24"/>
              </w:rPr>
              <w:t>闭贮存</w:t>
            </w:r>
            <w:r>
              <w:rPr>
                <w:rFonts w:ascii="Times New Roman" w:hAnsi="Times New Roman"/>
                <w:color w:val="000000"/>
                <w:sz w:val="24"/>
                <w:szCs w:val="24"/>
              </w:rPr>
              <w:t>逸散扬尘控制效率为约90%，</w:t>
            </w:r>
            <w:r>
              <w:rPr>
                <w:rFonts w:ascii="宋体" w:hAnsi="宋体" w:cs="宋体"/>
                <w:color w:val="000000"/>
                <w:sz w:val="24"/>
                <w:szCs w:val="24"/>
              </w:rPr>
              <w:t>洒水降尘控制效率</w:t>
            </w:r>
            <w:r>
              <w:rPr>
                <w:rFonts w:ascii="Times New Roman" w:hAnsi="Times New Roman"/>
                <w:color w:val="000000"/>
                <w:sz w:val="24"/>
                <w:szCs w:val="24"/>
              </w:rPr>
              <w:t>约50%</w:t>
            </w:r>
            <w:r>
              <w:rPr>
                <w:rFonts w:ascii="宋体" w:hAnsi="宋体" w:cs="宋体"/>
                <w:color w:val="000000"/>
                <w:sz w:val="24"/>
                <w:szCs w:val="24"/>
              </w:rPr>
              <w:t>。则本项目砂石料</w:t>
            </w:r>
            <w:r>
              <w:rPr>
                <w:rFonts w:hint="eastAsia" w:ascii="宋体" w:hAnsi="宋体" w:cs="宋体"/>
                <w:color w:val="000000"/>
                <w:sz w:val="24"/>
                <w:szCs w:val="24"/>
              </w:rPr>
              <w:t>堆场扬尘</w:t>
            </w:r>
            <w:r>
              <w:rPr>
                <w:rFonts w:ascii="宋体" w:hAnsi="宋体" w:cs="宋体"/>
                <w:color w:val="000000"/>
                <w:sz w:val="24"/>
                <w:szCs w:val="24"/>
              </w:rPr>
              <w:t>产生排放情况见</w:t>
            </w:r>
            <w:r>
              <w:rPr>
                <w:rFonts w:ascii="Times New Roman" w:hAnsi="Times New Roman"/>
                <w:color w:val="000000"/>
                <w:sz w:val="24"/>
                <w:szCs w:val="24"/>
              </w:rPr>
              <w:t>表4-</w:t>
            </w:r>
            <w:r>
              <w:rPr>
                <w:rFonts w:hint="eastAsia"/>
                <w:color w:val="000000"/>
                <w:sz w:val="24"/>
                <w:szCs w:val="24"/>
                <w:lang w:val="en-US" w:eastAsia="zh-CN"/>
              </w:rPr>
              <w:t>2</w:t>
            </w:r>
            <w:r>
              <w:rPr>
                <w:rFonts w:ascii="Times New Roman" w:hAnsi="Times New Roman"/>
                <w:color w:val="000000"/>
                <w:sz w:val="24"/>
                <w:szCs w:val="24"/>
              </w:rPr>
              <w:t>。</w:t>
            </w:r>
          </w:p>
          <w:p>
            <w:pPr>
              <w:autoSpaceDE w:val="0"/>
              <w:autoSpaceDN w:val="0"/>
              <w:adjustRightInd w:val="0"/>
              <w:spacing w:line="360" w:lineRule="auto"/>
              <w:ind w:firstLine="480" w:firstLineChars="200"/>
              <w:jc w:val="left"/>
              <w:rPr>
                <w:rFonts w:ascii="Times New Roman" w:hAnsi="Times New Roman"/>
                <w:color w:val="000000"/>
                <w:sz w:val="24"/>
                <w:szCs w:val="24"/>
              </w:rPr>
            </w:pPr>
          </w:p>
          <w:p>
            <w:pPr>
              <w:autoSpaceDE w:val="0"/>
              <w:autoSpaceDN w:val="0"/>
              <w:adjustRightInd w:val="0"/>
              <w:spacing w:line="360" w:lineRule="auto"/>
              <w:ind w:firstLine="480" w:firstLineChars="200"/>
              <w:jc w:val="left"/>
              <w:rPr>
                <w:rFonts w:ascii="Times New Roman" w:hAnsi="Times New Roman"/>
                <w:color w:val="000000"/>
                <w:sz w:val="24"/>
                <w:szCs w:val="24"/>
              </w:rPr>
            </w:pPr>
          </w:p>
          <w:p>
            <w:pPr>
              <w:autoSpaceDE w:val="0"/>
              <w:autoSpaceDN w:val="0"/>
              <w:adjustRightInd w:val="0"/>
              <w:spacing w:line="360" w:lineRule="auto"/>
              <w:ind w:firstLine="480" w:firstLineChars="200"/>
              <w:jc w:val="left"/>
              <w:rPr>
                <w:rFonts w:ascii="Times New Roman" w:hAnsi="Times New Roman"/>
                <w:color w:val="000000"/>
                <w:sz w:val="24"/>
                <w:szCs w:val="24"/>
              </w:rPr>
            </w:pPr>
          </w:p>
          <w:p>
            <w:pPr>
              <w:autoSpaceDE w:val="0"/>
              <w:autoSpaceDN w:val="0"/>
              <w:spacing w:line="360" w:lineRule="auto"/>
              <w:jc w:val="center"/>
              <w:rPr>
                <w:rFonts w:hint="eastAsia" w:ascii="Times New Roman" w:hAnsi="宋体" w:eastAsia="宋体" w:cs="Times New Roman"/>
                <w:b/>
                <w:szCs w:val="21"/>
                <w:lang w:val="zh-CN"/>
              </w:rPr>
            </w:pPr>
            <w:r>
              <w:rPr>
                <w:rFonts w:hint="eastAsia" w:hAnsi="宋体" w:eastAsia="宋体" w:cs="Times New Roman"/>
                <w:b/>
                <w:szCs w:val="21"/>
                <w:lang w:val="en-US" w:eastAsia="zh-CN"/>
              </w:rPr>
              <w:t>表4-2  混凝土搅拌站</w:t>
            </w:r>
            <w:r>
              <w:rPr>
                <w:rFonts w:hint="eastAsia" w:ascii="Times New Roman" w:hAnsi="宋体" w:eastAsia="宋体" w:cs="Times New Roman"/>
                <w:b/>
                <w:szCs w:val="21"/>
                <w:lang w:val="zh-CN"/>
              </w:rPr>
              <w:t>砂石堆场粉尘产排情况一览表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978"/>
              <w:gridCol w:w="948"/>
              <w:gridCol w:w="1182"/>
              <w:gridCol w:w="1550"/>
              <w:gridCol w:w="1148"/>
              <w:gridCol w:w="1189"/>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5" w:type="pct"/>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排放源</w:t>
                  </w:r>
                </w:p>
              </w:tc>
              <w:tc>
                <w:tcPr>
                  <w:tcW w:w="535" w:type="pct"/>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污染物</w:t>
                  </w:r>
                </w:p>
              </w:tc>
              <w:tc>
                <w:tcPr>
                  <w:tcW w:w="519" w:type="pct"/>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主要污染因子</w:t>
                  </w:r>
                </w:p>
              </w:tc>
              <w:tc>
                <w:tcPr>
                  <w:tcW w:w="1497" w:type="pct"/>
                  <w:gridSpan w:val="2"/>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产生情况</w:t>
                  </w:r>
                </w:p>
              </w:tc>
              <w:tc>
                <w:tcPr>
                  <w:tcW w:w="1280" w:type="pct"/>
                  <w:gridSpan w:val="2"/>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排放情况</w:t>
                  </w:r>
                </w:p>
              </w:tc>
              <w:tc>
                <w:tcPr>
                  <w:tcW w:w="522" w:type="pct"/>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45" w:type="pct"/>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535" w:type="pct"/>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519" w:type="pct"/>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645" w:type="pc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产生量</w:t>
                  </w:r>
                  <w:r>
                    <w:rPr>
                      <w:rFonts w:hint="eastAsia" w:ascii="Times New Roman" w:hAnsi="Times New Roman"/>
                      <w:b/>
                      <w:szCs w:val="21"/>
                    </w:rPr>
                    <w:t>t/a</w:t>
                  </w:r>
                </w:p>
              </w:tc>
              <w:tc>
                <w:tcPr>
                  <w:tcW w:w="852" w:type="pc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产生速率</w:t>
                  </w:r>
                  <w:r>
                    <w:rPr>
                      <w:rFonts w:hint="eastAsia" w:ascii="Times New Roman" w:hAnsi="Times New Roman"/>
                      <w:b/>
                      <w:szCs w:val="21"/>
                    </w:rPr>
                    <w:t>kg/h</w:t>
                  </w:r>
                </w:p>
              </w:tc>
              <w:tc>
                <w:tcPr>
                  <w:tcW w:w="625" w:type="pc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排放量</w:t>
                  </w:r>
                  <w:r>
                    <w:rPr>
                      <w:rFonts w:hint="eastAsia" w:ascii="Times New Roman" w:hAnsi="Times New Roman"/>
                      <w:b/>
                      <w:szCs w:val="21"/>
                    </w:rPr>
                    <w:t>t/a</w:t>
                  </w:r>
                </w:p>
              </w:tc>
              <w:tc>
                <w:tcPr>
                  <w:tcW w:w="655" w:type="pc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排放速率</w:t>
                  </w:r>
                  <w:r>
                    <w:rPr>
                      <w:rFonts w:hint="eastAsia" w:ascii="Times New Roman" w:hAnsi="Times New Roman"/>
                      <w:b/>
                      <w:szCs w:val="21"/>
                    </w:rPr>
                    <w:t>kg/h</w:t>
                  </w:r>
                </w:p>
              </w:tc>
              <w:tc>
                <w:tcPr>
                  <w:tcW w:w="522" w:type="pct"/>
                  <w:vMerge w:val="continue"/>
                  <w:tcBorders>
                    <w:tl2br w:val="nil"/>
                    <w:tr2bl w:val="nil"/>
                  </w:tcBorders>
                  <w:noWrap w:val="0"/>
                  <w:vAlign w:val="center"/>
                </w:tcPr>
                <w:p>
                  <w:pPr>
                    <w:ind w:left="-105" w:leftChars="-50" w:right="-105" w:rightChars="-50"/>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5"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砂石堆场</w:t>
                  </w:r>
                </w:p>
              </w:tc>
              <w:tc>
                <w:tcPr>
                  <w:tcW w:w="535"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颗粒物</w:t>
                  </w:r>
                </w:p>
              </w:tc>
              <w:tc>
                <w:tcPr>
                  <w:tcW w:w="519"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颗粒物</w:t>
                  </w:r>
                </w:p>
              </w:tc>
              <w:tc>
                <w:tcPr>
                  <w:tcW w:w="645"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2.2865</w:t>
                  </w:r>
                </w:p>
              </w:tc>
              <w:tc>
                <w:tcPr>
                  <w:tcW w:w="852"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0.29</w:t>
                  </w:r>
                </w:p>
              </w:tc>
              <w:tc>
                <w:tcPr>
                  <w:tcW w:w="625"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0.</w:t>
                  </w:r>
                  <w:r>
                    <w:rPr>
                      <w:rFonts w:hint="eastAsia"/>
                      <w:bCs/>
                      <w:szCs w:val="21"/>
                      <w:lang w:val="en-US" w:eastAsia="zh-CN"/>
                    </w:rPr>
                    <w:t>0</w:t>
                  </w:r>
                  <w:r>
                    <w:rPr>
                      <w:rFonts w:hint="eastAsia" w:ascii="Times New Roman" w:hAnsi="Times New Roman"/>
                      <w:bCs/>
                      <w:szCs w:val="21"/>
                    </w:rPr>
                    <w:t>4</w:t>
                  </w:r>
                </w:p>
              </w:tc>
              <w:tc>
                <w:tcPr>
                  <w:tcW w:w="655" w:type="pct"/>
                  <w:tcBorders>
                    <w:tl2br w:val="nil"/>
                    <w:tr2bl w:val="nil"/>
                  </w:tcBorders>
                  <w:noWrap w:val="0"/>
                  <w:vAlign w:val="center"/>
                </w:tcPr>
                <w:p>
                  <w:pPr>
                    <w:ind w:left="-105" w:leftChars="-50" w:right="-105" w:rightChars="-50"/>
                    <w:jc w:val="center"/>
                    <w:rPr>
                      <w:rFonts w:hint="eastAsia" w:ascii="Times New Roman" w:hAnsi="Times New Roman" w:eastAsia="宋体"/>
                      <w:bCs/>
                      <w:szCs w:val="21"/>
                      <w:lang w:eastAsia="zh-CN"/>
                    </w:rPr>
                  </w:pPr>
                  <w:r>
                    <w:rPr>
                      <w:rFonts w:hint="eastAsia" w:ascii="Times New Roman" w:hAnsi="Times New Roman"/>
                      <w:bCs/>
                      <w:szCs w:val="21"/>
                    </w:rPr>
                    <w:t>0.01</w:t>
                  </w:r>
                  <w:r>
                    <w:rPr>
                      <w:rFonts w:hint="eastAsia"/>
                      <w:bCs/>
                      <w:szCs w:val="21"/>
                      <w:lang w:val="en-US" w:eastAsia="zh-CN"/>
                    </w:rPr>
                    <w:t>6</w:t>
                  </w:r>
                </w:p>
              </w:tc>
              <w:tc>
                <w:tcPr>
                  <w:tcW w:w="522" w:type="pc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szCs w:val="21"/>
                    </w:rPr>
                    <w:t>DB51/2864</w:t>
                  </w:r>
                  <w:r>
                    <w:rPr>
                      <w:rFonts w:ascii="Times New Roman" w:hAnsi="Times New Roman"/>
                      <w:szCs w:val="21"/>
                    </w:rPr>
                    <w:t>-</w:t>
                  </w:r>
                  <w:r>
                    <w:rPr>
                      <w:rFonts w:hint="eastAsia"/>
                      <w:szCs w:val="21"/>
                    </w:rPr>
                    <w:t>2021</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⑵ 输送粉尘</w:t>
            </w:r>
          </w:p>
          <w:p>
            <w:pPr>
              <w:autoSpaceDE w:val="0"/>
              <w:autoSpaceDN w:val="0"/>
              <w:adjustRightInd w:val="0"/>
              <w:spacing w:line="360" w:lineRule="auto"/>
              <w:ind w:firstLine="480" w:firstLineChars="200"/>
              <w:jc w:val="lef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混凝土拌和站骨料（砂、石）经铲车从料场将其运输至各个料斗，再由称量斗下的皮带输送机输送到搅拌机内，骨料（砂、石）在计量过程中为全密闭，计量过程中产生的粉尘落入料仓内，</w:t>
            </w:r>
            <w:r>
              <w:rPr>
                <w:rFonts w:hint="eastAsia" w:eastAsia="宋体"/>
                <w:sz w:val="24"/>
                <w:szCs w:val="24"/>
                <w:lang w:val="en-US" w:eastAsia="zh-CN"/>
              </w:rPr>
              <w:t>因整个输送过程均处于密闭状态，因此，对于砂石料输送过程中</w:t>
            </w:r>
            <w:r>
              <w:rPr>
                <w:rFonts w:hint="eastAsia" w:ascii="Times New Roman" w:hAnsi="Times New Roman" w:eastAsia="宋体"/>
                <w:sz w:val="24"/>
                <w:szCs w:val="24"/>
                <w:lang w:val="en-US" w:eastAsia="zh-CN"/>
              </w:rPr>
              <w:t>产生的计量粉尘可忽略不计，本次不做定量分析。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default"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⑶ 粉料卸料粉尘</w:t>
            </w:r>
          </w:p>
          <w:p>
            <w:pPr>
              <w:autoSpaceDE w:val="0"/>
              <w:autoSpaceDN w:val="0"/>
              <w:adjustRightInd w:val="0"/>
              <w:spacing w:line="360" w:lineRule="auto"/>
              <w:ind w:firstLine="480" w:firstLineChars="200"/>
              <w:jc w:val="lef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混凝土拌和站粉料由运输车辆卸入筒仓时会产生卸料粉尘。本项目水泥用量约为</w:t>
            </w:r>
            <w:r>
              <w:rPr>
                <w:rFonts w:hint="eastAsia"/>
                <w:spacing w:val="0"/>
                <w:sz w:val="24"/>
                <w:szCs w:val="24"/>
                <w:lang w:val="en-US" w:eastAsia="zh-CN"/>
              </w:rPr>
              <w:t>6369</w:t>
            </w:r>
            <w:r>
              <w:rPr>
                <w:rFonts w:ascii="Times New Roman" w:hAnsi="Times New Roman" w:eastAsia="Times New Roman" w:cs="Times New Roman"/>
                <w:spacing w:val="0"/>
                <w:sz w:val="24"/>
                <w:szCs w:val="24"/>
              </w:rPr>
              <w:t>t/a</w:t>
            </w:r>
            <w:r>
              <w:rPr>
                <w:spacing w:val="0"/>
                <w:sz w:val="24"/>
                <w:szCs w:val="24"/>
              </w:rPr>
              <w:t>，</w:t>
            </w:r>
            <w:r>
              <w:rPr>
                <w:rFonts w:hint="eastAsia" w:ascii="Times New Roman" w:hAnsi="Times New Roman" w:eastAsia="宋体"/>
                <w:sz w:val="24"/>
                <w:szCs w:val="24"/>
                <w:lang w:val="en-US" w:eastAsia="zh-CN"/>
              </w:rPr>
              <w:t>筒仓容积为200t，配备水泥筒仓</w:t>
            </w:r>
            <w:r>
              <w:rPr>
                <w:rFonts w:hint="eastAsia" w:eastAsia="宋体"/>
                <w:sz w:val="24"/>
                <w:szCs w:val="24"/>
                <w:lang w:val="en-US" w:eastAsia="zh-CN"/>
              </w:rPr>
              <w:t>2</w:t>
            </w:r>
            <w:r>
              <w:rPr>
                <w:rFonts w:hint="eastAsia" w:ascii="Times New Roman" w:hAnsi="Times New Roman" w:eastAsia="宋体"/>
                <w:sz w:val="24"/>
                <w:szCs w:val="24"/>
                <w:lang w:val="en-US" w:eastAsia="zh-CN"/>
              </w:rPr>
              <w:t>个，则本项目平均每个筒仓每年进料次数为</w:t>
            </w:r>
            <w:r>
              <w:rPr>
                <w:rFonts w:hint="eastAsia" w:eastAsia="宋体"/>
                <w:sz w:val="24"/>
                <w:szCs w:val="24"/>
                <w:lang w:val="en-US" w:eastAsia="zh-CN"/>
              </w:rPr>
              <w:t>16</w:t>
            </w:r>
            <w:r>
              <w:rPr>
                <w:rFonts w:hint="eastAsia" w:ascii="Times New Roman" w:hAnsi="Times New Roman" w:eastAsia="宋体"/>
                <w:sz w:val="24"/>
                <w:szCs w:val="24"/>
                <w:lang w:val="en-US" w:eastAsia="zh-CN"/>
              </w:rPr>
              <w:t>次，每次进料时间约为3.5h，则每年每个水泥筒仓总卸料时间约为</w:t>
            </w:r>
            <w:r>
              <w:rPr>
                <w:rFonts w:hint="eastAsia" w:eastAsia="宋体"/>
                <w:sz w:val="24"/>
                <w:szCs w:val="24"/>
                <w:lang w:val="en-US" w:eastAsia="zh-CN"/>
              </w:rPr>
              <w:t>56</w:t>
            </w:r>
            <w:r>
              <w:rPr>
                <w:rFonts w:hint="eastAsia" w:ascii="Times New Roman" w:hAnsi="Times New Roman" w:eastAsia="宋体"/>
                <w:sz w:val="24"/>
                <w:szCs w:val="24"/>
                <w:lang w:val="en-US" w:eastAsia="zh-CN"/>
              </w:rPr>
              <w:t>h。</w:t>
            </w:r>
          </w:p>
          <w:p>
            <w:pPr>
              <w:autoSpaceDE w:val="0"/>
              <w:autoSpaceDN w:val="0"/>
              <w:adjustRightInd w:val="0"/>
              <w:spacing w:line="360" w:lineRule="auto"/>
              <w:ind w:firstLine="480" w:firstLineChars="200"/>
              <w:jc w:val="lef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粉煤灰用量约为</w:t>
            </w:r>
            <w:r>
              <w:rPr>
                <w:rFonts w:hint="eastAsia" w:eastAsia="宋体"/>
                <w:sz w:val="24"/>
                <w:szCs w:val="24"/>
                <w:lang w:val="en-US" w:eastAsia="zh-CN"/>
              </w:rPr>
              <w:t>1900</w:t>
            </w:r>
            <w:r>
              <w:rPr>
                <w:rFonts w:hint="eastAsia" w:ascii="Times New Roman" w:hAnsi="Times New Roman" w:eastAsia="宋体"/>
                <w:sz w:val="24"/>
                <w:szCs w:val="24"/>
                <w:lang w:val="en-US" w:eastAsia="zh-CN"/>
              </w:rPr>
              <w:t>t/a，每个粉煤灰筒仓容积为200t，配备</w:t>
            </w:r>
            <w:r>
              <w:rPr>
                <w:rFonts w:hint="eastAsia" w:eastAsia="宋体"/>
                <w:sz w:val="24"/>
                <w:szCs w:val="24"/>
                <w:lang w:val="en-US" w:eastAsia="zh-CN"/>
              </w:rPr>
              <w:t>1</w:t>
            </w:r>
            <w:r>
              <w:rPr>
                <w:rFonts w:hint="eastAsia" w:ascii="Times New Roman" w:hAnsi="Times New Roman" w:eastAsia="宋体"/>
                <w:sz w:val="24"/>
                <w:szCs w:val="24"/>
                <w:lang w:val="en-US" w:eastAsia="zh-CN"/>
              </w:rPr>
              <w:t>个粉煤灰筒仓，平均每个筒仓每年进料次数为</w:t>
            </w:r>
            <w:r>
              <w:rPr>
                <w:rFonts w:hint="eastAsia" w:eastAsia="宋体"/>
                <w:sz w:val="24"/>
                <w:szCs w:val="24"/>
                <w:lang w:val="en-US" w:eastAsia="zh-CN"/>
              </w:rPr>
              <w:t>10</w:t>
            </w:r>
            <w:r>
              <w:rPr>
                <w:rFonts w:hint="eastAsia" w:ascii="Times New Roman" w:hAnsi="Times New Roman" w:eastAsia="宋体"/>
                <w:sz w:val="24"/>
                <w:szCs w:val="24"/>
                <w:lang w:val="en-US" w:eastAsia="zh-CN"/>
              </w:rPr>
              <w:t>次，每次进料时间约为3.5h，则每年每个粉煤灰筒仓总卸料时间约为</w:t>
            </w:r>
            <w:r>
              <w:rPr>
                <w:rFonts w:hint="eastAsia" w:eastAsia="宋体"/>
                <w:sz w:val="24"/>
                <w:szCs w:val="24"/>
                <w:lang w:val="en-US" w:eastAsia="zh-CN"/>
              </w:rPr>
              <w:t>35</w:t>
            </w:r>
            <w:r>
              <w:rPr>
                <w:rFonts w:hint="eastAsia" w:ascii="Times New Roman" w:hAnsi="Times New Roman" w:eastAsia="宋体"/>
                <w:sz w:val="24"/>
                <w:szCs w:val="24"/>
                <w:lang w:val="en-US" w:eastAsia="zh-CN"/>
              </w:rPr>
              <w:t>h。</w:t>
            </w:r>
          </w:p>
          <w:p>
            <w:pPr>
              <w:autoSpaceDE w:val="0"/>
              <w:autoSpaceDN w:val="0"/>
              <w:adjustRightInd w:val="0"/>
              <w:spacing w:line="360" w:lineRule="auto"/>
              <w:ind w:firstLine="480" w:firstLineChars="200"/>
              <w:jc w:val="lef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参考《逸散性工业粉尘控制技术》表22-1关于混凝土分批搅拌厂粉料进料过程筒仓排气逸散粉尘产生系数为0.12kg/t，本项目水泥用量为</w:t>
            </w:r>
            <w:r>
              <w:rPr>
                <w:rFonts w:hint="eastAsia" w:eastAsia="宋体"/>
                <w:sz w:val="24"/>
                <w:szCs w:val="24"/>
                <w:lang w:val="en-US" w:eastAsia="zh-CN"/>
              </w:rPr>
              <w:t>6369</w:t>
            </w:r>
            <w:r>
              <w:rPr>
                <w:rFonts w:hint="eastAsia" w:ascii="Times New Roman" w:hAnsi="Times New Roman" w:eastAsia="宋体"/>
                <w:sz w:val="24"/>
                <w:szCs w:val="24"/>
                <w:lang w:val="en-US" w:eastAsia="zh-CN"/>
              </w:rPr>
              <w:t>t/a，则水泥筒仓粉尘产生量为</w:t>
            </w:r>
            <w:r>
              <w:rPr>
                <w:rFonts w:hint="eastAsia" w:eastAsia="宋体"/>
                <w:sz w:val="24"/>
                <w:szCs w:val="24"/>
                <w:lang w:val="en-US" w:eastAsia="zh-CN"/>
              </w:rPr>
              <w:t>0.76</w:t>
            </w:r>
            <w:r>
              <w:rPr>
                <w:rFonts w:hint="eastAsia" w:ascii="Times New Roman" w:hAnsi="Times New Roman" w:eastAsia="宋体"/>
                <w:sz w:val="24"/>
                <w:szCs w:val="24"/>
                <w:lang w:val="en-US" w:eastAsia="zh-CN"/>
              </w:rPr>
              <w:t>t/a；粉煤灰用量为</w:t>
            </w:r>
            <w:r>
              <w:rPr>
                <w:rFonts w:hint="eastAsia" w:eastAsia="宋体"/>
                <w:sz w:val="24"/>
                <w:szCs w:val="24"/>
                <w:lang w:val="en-US" w:eastAsia="zh-CN"/>
              </w:rPr>
              <w:t>1900</w:t>
            </w:r>
            <w:r>
              <w:rPr>
                <w:rFonts w:hint="eastAsia" w:ascii="Times New Roman" w:hAnsi="Times New Roman" w:eastAsia="宋体"/>
                <w:sz w:val="24"/>
                <w:szCs w:val="24"/>
                <w:lang w:val="en-US" w:eastAsia="zh-CN"/>
              </w:rPr>
              <w:t>t/a，粉煤灰筒仓粉尘产生量为</w:t>
            </w:r>
            <w:r>
              <w:rPr>
                <w:rFonts w:hint="eastAsia" w:eastAsia="宋体"/>
                <w:sz w:val="24"/>
                <w:szCs w:val="24"/>
                <w:lang w:val="en-US" w:eastAsia="zh-CN"/>
              </w:rPr>
              <w:t>0.23</w:t>
            </w:r>
            <w:r>
              <w:rPr>
                <w:rFonts w:hint="eastAsia" w:ascii="Times New Roman" w:hAnsi="Times New Roman" w:eastAsia="宋体"/>
                <w:sz w:val="24"/>
                <w:szCs w:val="24"/>
                <w:lang w:val="en-US" w:eastAsia="zh-CN"/>
              </w:rPr>
              <w:t>t/a</w:t>
            </w:r>
            <w:r>
              <w:rPr>
                <w:rFonts w:hint="eastAsia" w:eastAsia="宋体"/>
                <w:sz w:val="24"/>
                <w:szCs w:val="24"/>
                <w:lang w:val="en-US" w:eastAsia="zh-CN"/>
              </w:rPr>
              <w:t>，合计卸料</w:t>
            </w:r>
            <w:r>
              <w:rPr>
                <w:rFonts w:hint="eastAsia" w:ascii="Times New Roman" w:hAnsi="Times New Roman" w:eastAsia="宋体"/>
                <w:sz w:val="24"/>
                <w:szCs w:val="24"/>
                <w:lang w:val="en-US" w:eastAsia="zh-CN"/>
              </w:rPr>
              <w:t>粉尘产生量</w:t>
            </w:r>
            <w:r>
              <w:rPr>
                <w:rFonts w:hint="eastAsia" w:eastAsia="宋体"/>
                <w:sz w:val="24"/>
                <w:szCs w:val="24"/>
                <w:lang w:val="en-US" w:eastAsia="zh-CN"/>
              </w:rPr>
              <w:t>0.99</w:t>
            </w:r>
            <w:r>
              <w:rPr>
                <w:rFonts w:hint="eastAsia" w:ascii="Times New Roman" w:hAnsi="Times New Roman" w:eastAsia="宋体"/>
                <w:sz w:val="24"/>
                <w:szCs w:val="24"/>
                <w:lang w:val="en-US" w:eastAsia="zh-CN"/>
              </w:rPr>
              <w:t>t/a。</w:t>
            </w:r>
          </w:p>
          <w:p>
            <w:pPr>
              <w:autoSpaceDE w:val="0"/>
              <w:autoSpaceDN w:val="0"/>
              <w:adjustRightInd w:val="0"/>
              <w:spacing w:line="360" w:lineRule="auto"/>
              <w:ind w:firstLine="480" w:firstLineChars="200"/>
              <w:jc w:val="left"/>
              <w:rPr>
                <w:rFonts w:hint="default" w:ascii="Times New Roman" w:hAnsi="Times New Roman" w:eastAsia="宋体"/>
                <w:sz w:val="24"/>
                <w:szCs w:val="24"/>
                <w:lang w:val="en-US" w:eastAsia="zh-CN"/>
              </w:rPr>
            </w:pPr>
            <w:r>
              <w:rPr>
                <w:rFonts w:hint="eastAsia" w:eastAsia="宋体"/>
                <w:sz w:val="24"/>
                <w:szCs w:val="24"/>
                <w:lang w:val="en-US" w:eastAsia="zh-CN"/>
              </w:rPr>
              <w:t>针对该部分粉尘，通过在各卸料部位</w:t>
            </w:r>
            <w:r>
              <w:rPr>
                <w:rFonts w:hint="eastAsia" w:ascii="Times New Roman" w:hAnsi="Times New Roman" w:eastAsia="宋体"/>
                <w:sz w:val="24"/>
                <w:szCs w:val="24"/>
                <w:lang w:val="en-US" w:eastAsia="zh-CN"/>
              </w:rPr>
              <w:t>配备料位控制系统，同时通过负压收集连接管道收集粉尘</w:t>
            </w:r>
            <w:r>
              <w:rPr>
                <w:rFonts w:hint="eastAsia" w:eastAsia="宋体"/>
                <w:sz w:val="24"/>
                <w:szCs w:val="24"/>
                <w:lang w:val="en-US" w:eastAsia="zh-CN"/>
              </w:rPr>
              <w:t>（配套风机风量均为5500m</w:t>
            </w:r>
            <w:r>
              <w:rPr>
                <w:rFonts w:hint="eastAsia" w:eastAsia="宋体"/>
                <w:sz w:val="24"/>
                <w:szCs w:val="24"/>
                <w:vertAlign w:val="superscript"/>
                <w:lang w:val="en-US" w:eastAsia="zh-CN"/>
              </w:rPr>
              <w:t>3</w:t>
            </w:r>
            <w:r>
              <w:rPr>
                <w:rFonts w:hint="eastAsia" w:eastAsia="宋体"/>
                <w:sz w:val="24"/>
                <w:szCs w:val="24"/>
                <w:lang w:val="en-US" w:eastAsia="zh-CN"/>
              </w:rPr>
              <w:t>/h）</w:t>
            </w:r>
            <w:r>
              <w:rPr>
                <w:rFonts w:hint="eastAsia" w:ascii="Times New Roman" w:hAnsi="Times New Roman" w:eastAsia="宋体"/>
                <w:sz w:val="24"/>
                <w:szCs w:val="24"/>
                <w:lang w:val="en-US" w:eastAsia="zh-CN"/>
              </w:rPr>
              <w:t>，粉尘收集后进入筒仓自带的脉冲布袋除尘器</w:t>
            </w:r>
            <w:r>
              <w:rPr>
                <w:rFonts w:hint="eastAsia" w:eastAsia="宋体"/>
                <w:sz w:val="24"/>
                <w:szCs w:val="24"/>
                <w:lang w:val="en-US" w:eastAsia="zh-CN"/>
              </w:rPr>
              <w:t>（除尘效率在99.7%以上）</w:t>
            </w:r>
            <w:r>
              <w:rPr>
                <w:rFonts w:hint="eastAsia" w:ascii="Times New Roman" w:hAnsi="Times New Roman" w:eastAsia="宋体"/>
                <w:sz w:val="24"/>
                <w:szCs w:val="24"/>
                <w:lang w:val="en-US" w:eastAsia="zh-CN"/>
              </w:rPr>
              <w:t>处理达标后在各筒仓顶经排气口排放，不单独设置排气筒，除尘器收集的粉尘全部回用于生产。项目共设置</w:t>
            </w:r>
            <w:r>
              <w:rPr>
                <w:rFonts w:hint="eastAsia" w:eastAsia="宋体"/>
                <w:sz w:val="24"/>
                <w:szCs w:val="24"/>
                <w:lang w:val="en-US" w:eastAsia="zh-CN"/>
              </w:rPr>
              <w:t>3</w:t>
            </w:r>
            <w:r>
              <w:rPr>
                <w:rFonts w:hint="eastAsia" w:ascii="Times New Roman" w:hAnsi="Times New Roman" w:eastAsia="宋体"/>
                <w:sz w:val="24"/>
                <w:szCs w:val="24"/>
                <w:lang w:val="en-US" w:eastAsia="zh-CN"/>
              </w:rPr>
              <w:t>台脉冲袋式除尘器（水泥筒仓</w:t>
            </w:r>
            <w:r>
              <w:rPr>
                <w:rFonts w:hint="eastAsia" w:eastAsia="宋体"/>
                <w:sz w:val="24"/>
                <w:szCs w:val="24"/>
                <w:lang w:val="en-US" w:eastAsia="zh-CN"/>
              </w:rPr>
              <w:t>2</w:t>
            </w:r>
            <w:r>
              <w:rPr>
                <w:rFonts w:hint="eastAsia" w:ascii="Times New Roman" w:hAnsi="Times New Roman" w:eastAsia="宋体"/>
                <w:sz w:val="24"/>
                <w:szCs w:val="24"/>
                <w:lang w:val="en-US" w:eastAsia="zh-CN"/>
              </w:rPr>
              <w:t>个，粉煤灰筒仓</w:t>
            </w:r>
            <w:r>
              <w:rPr>
                <w:rFonts w:hint="eastAsia" w:eastAsia="宋体"/>
                <w:sz w:val="24"/>
                <w:szCs w:val="24"/>
                <w:lang w:val="en-US" w:eastAsia="zh-CN"/>
              </w:rPr>
              <w:t>1</w:t>
            </w:r>
            <w:r>
              <w:rPr>
                <w:rFonts w:hint="eastAsia" w:ascii="Times New Roman" w:hAnsi="Times New Roman" w:eastAsia="宋体"/>
                <w:sz w:val="24"/>
                <w:szCs w:val="24"/>
                <w:lang w:val="en-US" w:eastAsia="zh-CN"/>
              </w:rPr>
              <w:t>个）用于筒仓粉尘治理。</w:t>
            </w:r>
          </w:p>
          <w:p>
            <w:pPr>
              <w:autoSpaceDE w:val="0"/>
              <w:autoSpaceDN w:val="0"/>
              <w:adjustRightInd w:val="0"/>
              <w:spacing w:line="360" w:lineRule="auto"/>
              <w:ind w:firstLine="480" w:firstLineChars="200"/>
              <w:jc w:val="left"/>
              <w:rPr>
                <w:rFonts w:hint="eastAsia" w:eastAsia="宋体"/>
                <w:sz w:val="24"/>
                <w:szCs w:val="24"/>
                <w:lang w:val="en-US" w:eastAsia="zh-CN"/>
              </w:rPr>
            </w:pPr>
            <w:r>
              <w:rPr>
                <w:rFonts w:hint="eastAsia" w:eastAsia="宋体"/>
                <w:sz w:val="24"/>
                <w:szCs w:val="24"/>
                <w:lang w:val="en-US" w:eastAsia="zh-CN"/>
              </w:rPr>
              <w:t>各筒仓粉尘产生及排放情况见下表：</w:t>
            </w:r>
          </w:p>
          <w:p>
            <w:pPr>
              <w:autoSpaceDE w:val="0"/>
              <w:autoSpaceDN w:val="0"/>
              <w:adjustRightInd w:val="0"/>
              <w:spacing w:line="360" w:lineRule="auto"/>
              <w:ind w:firstLine="480" w:firstLineChars="200"/>
              <w:jc w:val="left"/>
              <w:rPr>
                <w:rFonts w:hint="eastAsia" w:eastAsia="宋体"/>
                <w:sz w:val="24"/>
                <w:szCs w:val="24"/>
                <w:lang w:val="en-US" w:eastAsia="zh-CN"/>
              </w:rPr>
            </w:pPr>
          </w:p>
          <w:p>
            <w:pPr>
              <w:autoSpaceDE w:val="0"/>
              <w:autoSpaceDN w:val="0"/>
              <w:adjustRightInd w:val="0"/>
              <w:spacing w:line="360" w:lineRule="auto"/>
              <w:ind w:firstLine="480" w:firstLineChars="200"/>
              <w:jc w:val="left"/>
              <w:rPr>
                <w:rFonts w:hint="eastAsia" w:eastAsia="宋体"/>
                <w:sz w:val="24"/>
                <w:szCs w:val="24"/>
                <w:lang w:val="en-US" w:eastAsia="zh-CN"/>
              </w:rPr>
            </w:pPr>
          </w:p>
          <w:p>
            <w:pPr>
              <w:autoSpaceDE w:val="0"/>
              <w:autoSpaceDN w:val="0"/>
              <w:adjustRightInd w:val="0"/>
              <w:spacing w:line="360" w:lineRule="auto"/>
              <w:ind w:firstLine="480" w:firstLineChars="200"/>
              <w:jc w:val="left"/>
              <w:rPr>
                <w:rFonts w:hint="eastAsia" w:eastAsia="宋体"/>
                <w:sz w:val="24"/>
                <w:szCs w:val="24"/>
                <w:lang w:val="en-US" w:eastAsia="zh-CN"/>
              </w:rPr>
            </w:pPr>
          </w:p>
          <w:p>
            <w:pPr>
              <w:autoSpaceDE w:val="0"/>
              <w:autoSpaceDN w:val="0"/>
              <w:spacing w:line="360" w:lineRule="auto"/>
              <w:jc w:val="center"/>
              <w:rPr>
                <w:rFonts w:hint="eastAsia" w:hAnsi="宋体" w:eastAsia="宋体" w:cs="Times New Roman"/>
                <w:b/>
                <w:szCs w:val="21"/>
                <w:lang w:val="en-US" w:eastAsia="zh-CN"/>
              </w:rPr>
            </w:pPr>
            <w:r>
              <w:rPr>
                <w:rFonts w:hint="eastAsia" w:hAnsi="宋体" w:eastAsia="宋体" w:cs="Times New Roman"/>
                <w:b/>
                <w:szCs w:val="21"/>
                <w:lang w:val="en-US" w:eastAsia="zh-CN"/>
              </w:rPr>
              <w:t>表4-3   本项目粉料卸料粉尘产排情况一览表</w:t>
            </w:r>
          </w:p>
          <w:tbl>
            <w:tblPr>
              <w:tblStyle w:val="23"/>
              <w:tblW w:w="47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95"/>
              <w:gridCol w:w="822"/>
              <w:gridCol w:w="1113"/>
              <w:gridCol w:w="967"/>
              <w:gridCol w:w="835"/>
              <w:gridCol w:w="1061"/>
              <w:gridCol w:w="100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36" w:type="dxa"/>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排放源</w:t>
                  </w:r>
                </w:p>
              </w:tc>
              <w:tc>
                <w:tcPr>
                  <w:tcW w:w="795" w:type="dxa"/>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主要污染因子</w:t>
                  </w:r>
                </w:p>
              </w:tc>
              <w:tc>
                <w:tcPr>
                  <w:tcW w:w="2902" w:type="dxa"/>
                  <w:gridSpan w:val="3"/>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产生情况</w:t>
                  </w:r>
                </w:p>
              </w:tc>
              <w:tc>
                <w:tcPr>
                  <w:tcW w:w="2904" w:type="dxa"/>
                  <w:gridSpan w:val="3"/>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排放情况</w:t>
                  </w:r>
                </w:p>
              </w:tc>
              <w:tc>
                <w:tcPr>
                  <w:tcW w:w="845" w:type="dxa"/>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w:t>
                  </w:r>
                </w:p>
                <w:p>
                  <w:pPr>
                    <w:ind w:left="-105" w:leftChars="-50" w:right="-105" w:rightChars="-50"/>
                    <w:jc w:val="center"/>
                    <w:rPr>
                      <w:rFonts w:ascii="Times New Roman" w:hAnsi="Times New Roman"/>
                      <w:b/>
                      <w:szCs w:val="21"/>
                    </w:rPr>
                  </w:pPr>
                  <w:r>
                    <w:rPr>
                      <w:rFonts w:ascii="Times New Roman" w:hAnsi="Times New Roman"/>
                      <w:b/>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36"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795"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822"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产生量</w:t>
                  </w:r>
                  <w:r>
                    <w:rPr>
                      <w:rFonts w:hint="eastAsia" w:ascii="Times New Roman" w:hAnsi="Times New Roman"/>
                      <w:b/>
                      <w:szCs w:val="21"/>
                    </w:rPr>
                    <w:t>t/a</w:t>
                  </w:r>
                </w:p>
              </w:tc>
              <w:tc>
                <w:tcPr>
                  <w:tcW w:w="1113"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产生速率</w:t>
                  </w:r>
                  <w:r>
                    <w:rPr>
                      <w:rFonts w:hint="eastAsia" w:ascii="Times New Roman" w:hAnsi="Times New Roman"/>
                      <w:b/>
                      <w:szCs w:val="21"/>
                    </w:rPr>
                    <w:t>kg/h</w:t>
                  </w:r>
                </w:p>
              </w:tc>
              <w:tc>
                <w:tcPr>
                  <w:tcW w:w="967"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产生浓度</w:t>
                  </w:r>
                  <w:r>
                    <w:rPr>
                      <w:rFonts w:hint="eastAsia" w:ascii="Times New Roman" w:hAnsi="Times New Roman"/>
                      <w:b/>
                      <w:szCs w:val="21"/>
                    </w:rPr>
                    <w:t>mg/m</w:t>
                  </w:r>
                  <w:r>
                    <w:rPr>
                      <w:rFonts w:hint="eastAsia" w:ascii="Times New Roman" w:hAnsi="Times New Roman"/>
                      <w:b/>
                      <w:szCs w:val="21"/>
                      <w:vertAlign w:val="superscript"/>
                    </w:rPr>
                    <w:t>3</w:t>
                  </w:r>
                </w:p>
              </w:tc>
              <w:tc>
                <w:tcPr>
                  <w:tcW w:w="835"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排放量</w:t>
                  </w:r>
                  <w:r>
                    <w:rPr>
                      <w:rFonts w:hint="eastAsia" w:ascii="Times New Roman" w:hAnsi="Times New Roman"/>
                      <w:b/>
                      <w:szCs w:val="21"/>
                    </w:rPr>
                    <w:t>t/a</w:t>
                  </w:r>
                </w:p>
              </w:tc>
              <w:tc>
                <w:tcPr>
                  <w:tcW w:w="1061"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排放速率</w:t>
                  </w:r>
                  <w:r>
                    <w:rPr>
                      <w:rFonts w:hint="eastAsia" w:ascii="Times New Roman" w:hAnsi="Times New Roman"/>
                      <w:b/>
                      <w:szCs w:val="21"/>
                    </w:rPr>
                    <w:t>kg/h</w:t>
                  </w:r>
                </w:p>
              </w:tc>
              <w:tc>
                <w:tcPr>
                  <w:tcW w:w="1008"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排放浓度</w:t>
                  </w:r>
                  <w:r>
                    <w:rPr>
                      <w:rFonts w:hint="eastAsia" w:ascii="Times New Roman" w:hAnsi="Times New Roman"/>
                      <w:b/>
                      <w:szCs w:val="21"/>
                    </w:rPr>
                    <w:t>mg/m</w:t>
                  </w:r>
                  <w:r>
                    <w:rPr>
                      <w:rFonts w:hint="eastAsia" w:ascii="Times New Roman" w:hAnsi="Times New Roman"/>
                      <w:b/>
                      <w:szCs w:val="21"/>
                      <w:vertAlign w:val="superscript"/>
                    </w:rPr>
                    <w:t>3</w:t>
                  </w:r>
                </w:p>
              </w:tc>
              <w:tc>
                <w:tcPr>
                  <w:tcW w:w="845"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236"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水泥筒仓1#</w:t>
                  </w:r>
                </w:p>
              </w:tc>
              <w:tc>
                <w:tcPr>
                  <w:tcW w:w="795"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0.38</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6.</w:t>
                  </w:r>
                  <w:r>
                    <w:rPr>
                      <w:rFonts w:hint="eastAsia"/>
                      <w:bCs/>
                      <w:szCs w:val="21"/>
                      <w:lang w:val="en-US" w:eastAsia="zh-CN"/>
                    </w:rPr>
                    <w:t>78</w:t>
                  </w:r>
                </w:p>
              </w:tc>
              <w:tc>
                <w:tcPr>
                  <w:tcW w:w="967"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12</w:t>
                  </w:r>
                  <w:r>
                    <w:rPr>
                      <w:rFonts w:hint="eastAsia"/>
                      <w:bCs/>
                      <w:szCs w:val="21"/>
                      <w:lang w:val="en-US" w:eastAsia="zh-CN"/>
                    </w:rPr>
                    <w:t>32.7</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04</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68</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1.3</w:t>
                  </w:r>
                </w:p>
              </w:tc>
              <w:tc>
                <w:tcPr>
                  <w:tcW w:w="845" w:type="dxa"/>
                  <w:vMerge w:val="restar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szCs w:val="21"/>
                    </w:rPr>
                    <w:t>DB51/2864</w:t>
                  </w:r>
                  <w:r>
                    <w:rPr>
                      <w:rFonts w:ascii="Times New Roman" w:hAnsi="Times New Roman"/>
                      <w:szCs w:val="21"/>
                    </w:rPr>
                    <w:t>-</w:t>
                  </w:r>
                  <w:r>
                    <w:rPr>
                      <w:rFonts w:hint="eastAsia"/>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236"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水泥筒仓2#</w:t>
                  </w:r>
                </w:p>
              </w:tc>
              <w:tc>
                <w:tcPr>
                  <w:tcW w:w="795"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0.38</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6.</w:t>
                  </w:r>
                  <w:r>
                    <w:rPr>
                      <w:rFonts w:hint="eastAsia"/>
                      <w:bCs/>
                      <w:szCs w:val="21"/>
                      <w:lang w:val="en-US" w:eastAsia="zh-CN"/>
                    </w:rPr>
                    <w:t>78</w:t>
                  </w:r>
                </w:p>
              </w:tc>
              <w:tc>
                <w:tcPr>
                  <w:tcW w:w="967"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12</w:t>
                  </w:r>
                  <w:r>
                    <w:rPr>
                      <w:rFonts w:hint="eastAsia"/>
                      <w:bCs/>
                      <w:szCs w:val="21"/>
                      <w:lang w:val="en-US" w:eastAsia="zh-CN"/>
                    </w:rPr>
                    <w:t>32.7</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04</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68</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1.3</w:t>
                  </w:r>
                </w:p>
              </w:tc>
              <w:tc>
                <w:tcPr>
                  <w:tcW w:w="845" w:type="dxa"/>
                  <w:vMerge w:val="continue"/>
                  <w:tcBorders>
                    <w:tl2br w:val="nil"/>
                    <w:tr2bl w:val="nil"/>
                  </w:tcBorders>
                  <w:noWrap w:val="0"/>
                  <w:vAlign w:val="center"/>
                </w:tcPr>
                <w:p>
                  <w:pPr>
                    <w:ind w:left="-105" w:leftChars="-50" w:right="-105" w:rightChars="-50"/>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236"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水泥筒仓3#</w:t>
                  </w:r>
                </w:p>
              </w:tc>
              <w:tc>
                <w:tcPr>
                  <w:tcW w:w="795"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0.23</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6.</w:t>
                  </w:r>
                  <w:r>
                    <w:rPr>
                      <w:rFonts w:hint="eastAsia"/>
                      <w:bCs/>
                      <w:szCs w:val="21"/>
                      <w:lang w:val="en-US" w:eastAsia="zh-CN"/>
                    </w:rPr>
                    <w:t>57</w:t>
                  </w:r>
                </w:p>
              </w:tc>
              <w:tc>
                <w:tcPr>
                  <w:tcW w:w="967"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1194.5</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023</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66</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1.2</w:t>
                  </w:r>
                </w:p>
              </w:tc>
              <w:tc>
                <w:tcPr>
                  <w:tcW w:w="845" w:type="dxa"/>
                  <w:vMerge w:val="continue"/>
                  <w:tcBorders>
                    <w:tl2br w:val="nil"/>
                    <w:tr2bl w:val="nil"/>
                  </w:tcBorders>
                  <w:noWrap w:val="0"/>
                  <w:vAlign w:val="center"/>
                </w:tcPr>
                <w:p>
                  <w:pPr>
                    <w:ind w:left="-105" w:leftChars="-50" w:right="-105" w:rightChars="-50"/>
                    <w:jc w:val="center"/>
                    <w:rPr>
                      <w:rFonts w:hint="eastAsia" w:ascii="Times New Roman" w:hAnsi="Times New Roman"/>
                      <w:szCs w:val="21"/>
                    </w:rPr>
                  </w:pP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jc w:val="both"/>
              <w:textAlignment w:val="auto"/>
              <w:rPr>
                <w:rFonts w:hint="eastAsia" w:ascii="Arial" w:hAnsi="Arial" w:eastAsia="宋体" w:cs="Arial"/>
                <w:spacing w:val="-1"/>
                <w:sz w:val="24"/>
                <w:szCs w:val="24"/>
                <w:lang w:val="en-US" w:eastAsia="zh-CN"/>
              </w:rPr>
            </w:pPr>
            <w:r>
              <w:rPr>
                <w:rFonts w:hint="eastAsia" w:ascii="Arial" w:hAnsi="Arial" w:eastAsia="宋体" w:cs="Arial"/>
                <w:spacing w:val="-1"/>
                <w:sz w:val="24"/>
                <w:szCs w:val="24"/>
              </w:rPr>
              <w:t>根据上表可知，本项目粉料卸料粉尘经布袋除尘器处理后满足</w:t>
            </w:r>
            <w:r>
              <w:rPr>
                <w:rFonts w:hint="default" w:ascii="Arial" w:hAnsi="Arial" w:eastAsia="宋体" w:cs="Arial"/>
                <w:spacing w:val="-1"/>
                <w:sz w:val="24"/>
                <w:szCs w:val="24"/>
              </w:rPr>
              <w:t>《</w:t>
            </w:r>
            <w:r>
              <w:rPr>
                <w:rFonts w:hint="eastAsia" w:ascii="Arial" w:hAnsi="Arial" w:eastAsia="宋体" w:cs="Arial"/>
                <w:spacing w:val="-1"/>
                <w:sz w:val="24"/>
                <w:szCs w:val="24"/>
              </w:rPr>
              <w:t>四川省水泥工业大气污染物排放标准</w:t>
            </w:r>
            <w:r>
              <w:rPr>
                <w:rFonts w:hint="default" w:ascii="Arial" w:hAnsi="Arial" w:eastAsia="宋体" w:cs="Arial"/>
                <w:spacing w:val="-1"/>
                <w:sz w:val="24"/>
                <w:szCs w:val="24"/>
              </w:rPr>
              <w:t>》</w:t>
            </w:r>
            <w:r>
              <w:rPr>
                <w:rFonts w:hint="eastAsia" w:ascii="Arial" w:hAnsi="Arial" w:eastAsia="宋体" w:cs="Arial"/>
                <w:spacing w:val="-1"/>
                <w:sz w:val="24"/>
                <w:szCs w:val="24"/>
              </w:rPr>
              <w:t>（DB51/2864</w:t>
            </w:r>
            <w:r>
              <w:rPr>
                <w:rFonts w:hint="default" w:ascii="Arial" w:hAnsi="Arial" w:eastAsia="宋体" w:cs="Arial"/>
                <w:spacing w:val="-1"/>
                <w:sz w:val="24"/>
                <w:szCs w:val="24"/>
              </w:rPr>
              <w:t>-</w:t>
            </w:r>
            <w:r>
              <w:rPr>
                <w:rFonts w:hint="eastAsia" w:ascii="Arial" w:hAnsi="Arial" w:eastAsia="宋体" w:cs="Arial"/>
                <w:spacing w:val="-1"/>
                <w:sz w:val="24"/>
                <w:szCs w:val="24"/>
              </w:rPr>
              <w:t>2021）表1中相关浓度排放限值（10mg/m</w:t>
            </w:r>
            <w:r>
              <w:rPr>
                <w:rFonts w:hint="eastAsia" w:ascii="Arial" w:hAnsi="Arial" w:eastAsia="宋体" w:cs="Arial"/>
                <w:spacing w:val="-1"/>
                <w:sz w:val="24"/>
                <w:szCs w:val="24"/>
                <w:vertAlign w:val="superscript"/>
              </w:rPr>
              <w:t>3</w:t>
            </w:r>
            <w:r>
              <w:rPr>
                <w:rFonts w:hint="eastAsia" w:ascii="Arial" w:hAnsi="Arial" w:eastAsia="宋体" w:cs="Arial"/>
                <w:spacing w:val="-1"/>
                <w:sz w:val="24"/>
                <w:szCs w:val="24"/>
              </w:rPr>
              <w:t>）要求。</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ascii="Times New Roman" w:hAnsi="Times New Roman" w:eastAsia="Times New Roman" w:cs="Times New Roman"/>
                <w:b/>
                <w:bCs/>
                <w:spacing w:val="-9"/>
                <w:sz w:val="24"/>
                <w:szCs w:val="24"/>
              </w:rPr>
            </w:pPr>
            <w:r>
              <w:rPr>
                <w:rFonts w:hint="eastAsia" w:ascii="Times New Roman" w:hAnsi="Times New Roman" w:eastAsia="宋体" w:cs="Times New Roman"/>
                <w:b/>
                <w:bCs/>
                <w:spacing w:val="-9"/>
                <w:sz w:val="24"/>
                <w:szCs w:val="24"/>
                <w:lang w:val="en-US" w:eastAsia="zh-CN"/>
              </w:rPr>
              <w:t xml:space="preserve">⑷ </w:t>
            </w:r>
            <w:r>
              <w:rPr>
                <w:rFonts w:ascii="Times New Roman" w:hAnsi="Times New Roman" w:eastAsia="Times New Roman" w:cs="Times New Roman"/>
                <w:b/>
                <w:bCs/>
                <w:spacing w:val="-9"/>
                <w:sz w:val="24"/>
                <w:szCs w:val="24"/>
              </w:rPr>
              <w:t>筒仓呼吸粉尘</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jc w:val="both"/>
              <w:textAlignment w:val="auto"/>
              <w:rPr>
                <w:rFonts w:hint="default" w:ascii="Arial" w:hAnsi="Arial" w:eastAsia="宋体" w:cs="Arial"/>
                <w:spacing w:val="-1"/>
                <w:sz w:val="24"/>
                <w:szCs w:val="24"/>
              </w:rPr>
            </w:pPr>
            <w:r>
              <w:rPr>
                <w:rFonts w:hint="default" w:ascii="Arial" w:hAnsi="Arial" w:eastAsia="宋体" w:cs="Arial"/>
                <w:spacing w:val="-1"/>
                <w:sz w:val="24"/>
                <w:szCs w:val="24"/>
              </w:rPr>
              <w:t>本项目外购水泥经罐车卸料至立式筒仓，筒仓内会产生粉尘。根据设计，粉料均采用密封输送的方式输送至筒仓，气力输送过程中筒仓排气将带走大量的粉尘，进料过程采用气力输送，其筒仓内压力大于大气压，为了保持压力平衡，一般在筒仓顶部设置排气孔，其排气过程将会有粉尘产生，属间断排放。</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jc w:val="both"/>
              <w:textAlignment w:val="auto"/>
              <w:rPr>
                <w:spacing w:val="0"/>
                <w:sz w:val="24"/>
                <w:szCs w:val="24"/>
              </w:rPr>
            </w:pPr>
            <w:r>
              <w:rPr>
                <w:spacing w:val="-1"/>
                <w:sz w:val="24"/>
                <w:szCs w:val="24"/>
              </w:rPr>
              <w:t>在粉料装料进筒仓过程中，由于粉料通过管道进入</w:t>
            </w:r>
            <w:r>
              <w:rPr>
                <w:spacing w:val="-2"/>
                <w:sz w:val="24"/>
                <w:szCs w:val="24"/>
              </w:rPr>
              <w:t>筒仓时，粉料通过气力输</w:t>
            </w:r>
            <w:r>
              <w:rPr>
                <w:spacing w:val="-1"/>
                <w:sz w:val="24"/>
                <w:szCs w:val="24"/>
              </w:rPr>
              <w:t>送将粉料送至筒仓，此时粉尘会随筒仓里的空气从筒仓顶部</w:t>
            </w:r>
            <w:r>
              <w:rPr>
                <w:spacing w:val="-2"/>
                <w:sz w:val="24"/>
                <w:szCs w:val="24"/>
              </w:rPr>
              <w:t>的放空孔中排出。矿</w:t>
            </w:r>
            <w:r>
              <w:rPr>
                <w:spacing w:val="-1"/>
                <w:sz w:val="24"/>
                <w:szCs w:val="24"/>
              </w:rPr>
              <w:t>粉筒仓呼吸粉尘参照《逸散性工业粉尘控制技术》中</w:t>
            </w:r>
            <w:r>
              <w:rPr>
                <w:rFonts w:ascii="Times New Roman" w:hAnsi="Times New Roman" w:eastAsia="Times New Roman" w:cs="Times New Roman"/>
                <w:spacing w:val="-1"/>
                <w:sz w:val="24"/>
                <w:szCs w:val="24"/>
              </w:rPr>
              <w:t>“</w:t>
            </w:r>
            <w:r>
              <w:rPr>
                <w:spacing w:val="-1"/>
                <w:sz w:val="24"/>
                <w:szCs w:val="24"/>
              </w:rPr>
              <w:t>装水泥</w:t>
            </w:r>
            <w:r>
              <w:rPr>
                <w:spacing w:val="-2"/>
                <w:sz w:val="24"/>
                <w:szCs w:val="24"/>
              </w:rPr>
              <w:t>入搅拌机</w:t>
            </w:r>
            <w:r>
              <w:rPr>
                <w:rFonts w:ascii="Times New Roman" w:hAnsi="Times New Roman" w:eastAsia="Times New Roman" w:cs="Times New Roman"/>
                <w:spacing w:val="-2"/>
                <w:sz w:val="24"/>
                <w:szCs w:val="24"/>
              </w:rPr>
              <w:t>”</w:t>
            </w:r>
            <w:r>
              <w:rPr>
                <w:spacing w:val="-2"/>
                <w:sz w:val="24"/>
                <w:szCs w:val="24"/>
              </w:rPr>
              <w:t>，粉尘产量为</w:t>
            </w:r>
            <w:r>
              <w:rPr>
                <w:spacing w:val="-41"/>
                <w:sz w:val="24"/>
                <w:szCs w:val="24"/>
              </w:rPr>
              <w:t xml:space="preserve"> </w:t>
            </w:r>
            <w:r>
              <w:rPr>
                <w:rFonts w:ascii="Times New Roman" w:hAnsi="Times New Roman" w:eastAsia="Times New Roman" w:cs="Times New Roman"/>
                <w:spacing w:val="-2"/>
                <w:sz w:val="24"/>
                <w:szCs w:val="24"/>
              </w:rPr>
              <w:t>0.02kg/t</w:t>
            </w:r>
            <w:r>
              <w:rPr>
                <w:spacing w:val="-2"/>
                <w:sz w:val="24"/>
                <w:szCs w:val="24"/>
              </w:rPr>
              <w:t>物料。</w:t>
            </w:r>
            <w:r>
              <w:rPr>
                <w:spacing w:val="0"/>
                <w:sz w:val="24"/>
                <w:szCs w:val="24"/>
              </w:rPr>
              <w:t>本项目水泥年用量</w:t>
            </w:r>
            <w:r>
              <w:rPr>
                <w:rFonts w:hint="eastAsia"/>
                <w:spacing w:val="0"/>
                <w:sz w:val="24"/>
                <w:szCs w:val="24"/>
                <w:lang w:val="en-US" w:eastAsia="zh-CN"/>
              </w:rPr>
              <w:t>6369</w:t>
            </w:r>
            <w:r>
              <w:rPr>
                <w:rFonts w:ascii="Times New Roman" w:hAnsi="Times New Roman" w:eastAsia="Times New Roman" w:cs="Times New Roman"/>
                <w:spacing w:val="0"/>
                <w:sz w:val="24"/>
                <w:szCs w:val="24"/>
              </w:rPr>
              <w:t>t/a</w:t>
            </w:r>
            <w:r>
              <w:rPr>
                <w:spacing w:val="0"/>
                <w:sz w:val="24"/>
                <w:szCs w:val="24"/>
              </w:rPr>
              <w:t>，则此工序</w:t>
            </w:r>
            <w:r>
              <w:rPr>
                <w:rFonts w:hint="eastAsia"/>
                <w:spacing w:val="0"/>
                <w:sz w:val="24"/>
                <w:szCs w:val="24"/>
                <w:lang w:val="en-US" w:eastAsia="zh-CN"/>
              </w:rPr>
              <w:t>每个筒仓的</w:t>
            </w:r>
            <w:r>
              <w:rPr>
                <w:spacing w:val="0"/>
                <w:sz w:val="24"/>
                <w:szCs w:val="24"/>
              </w:rPr>
              <w:t>粉尘产生量共</w:t>
            </w:r>
            <w:r>
              <w:rPr>
                <w:rFonts w:ascii="Times New Roman" w:hAnsi="Times New Roman" w:eastAsia="Times New Roman" w:cs="Times New Roman"/>
                <w:spacing w:val="0"/>
                <w:sz w:val="24"/>
                <w:szCs w:val="24"/>
              </w:rPr>
              <w:t>0.</w:t>
            </w:r>
            <w:r>
              <w:rPr>
                <w:rFonts w:hint="eastAsia" w:ascii="Times New Roman" w:hAnsi="Times New Roman" w:eastAsia="宋体" w:cs="Times New Roman"/>
                <w:spacing w:val="0"/>
                <w:sz w:val="24"/>
                <w:szCs w:val="24"/>
                <w:lang w:val="en-US" w:eastAsia="zh-CN"/>
              </w:rPr>
              <w:t>065</w:t>
            </w:r>
            <w:r>
              <w:rPr>
                <w:rFonts w:ascii="Times New Roman" w:hAnsi="Times New Roman" w:eastAsia="Times New Roman" w:cs="Times New Roman"/>
                <w:spacing w:val="0"/>
                <w:sz w:val="24"/>
                <w:szCs w:val="24"/>
              </w:rPr>
              <w:t>t/a</w:t>
            </w:r>
            <w:r>
              <w:rPr>
                <w:spacing w:val="0"/>
                <w:sz w:val="24"/>
                <w:szCs w:val="24"/>
              </w:rPr>
              <w:t>，产生速率为</w:t>
            </w:r>
            <w:r>
              <w:rPr>
                <w:rFonts w:ascii="Times New Roman" w:hAnsi="Times New Roman" w:eastAsia="Times New Roman" w:cs="Times New Roman"/>
                <w:spacing w:val="0"/>
                <w:sz w:val="24"/>
                <w:szCs w:val="24"/>
              </w:rPr>
              <w:t>0.0</w:t>
            </w:r>
            <w:r>
              <w:rPr>
                <w:rFonts w:hint="eastAsia" w:ascii="Times New Roman" w:hAnsi="Times New Roman" w:eastAsia="宋体" w:cs="Times New Roman"/>
                <w:spacing w:val="0"/>
                <w:sz w:val="24"/>
                <w:szCs w:val="24"/>
                <w:lang w:val="en-US" w:eastAsia="zh-CN"/>
              </w:rPr>
              <w:t>27</w:t>
            </w:r>
            <w:r>
              <w:rPr>
                <w:rFonts w:ascii="Times New Roman" w:hAnsi="Times New Roman" w:eastAsia="Times New Roman" w:cs="Times New Roman"/>
                <w:spacing w:val="0"/>
                <w:sz w:val="24"/>
                <w:szCs w:val="24"/>
              </w:rPr>
              <w:t>kg/h</w:t>
            </w:r>
            <w:r>
              <w:rPr>
                <w:rFonts w:hint="eastAsia" w:ascii="Times New Roman" w:hAnsi="Times New Roman" w:eastAsia="宋体" w:cs="Times New Roman"/>
                <w:spacing w:val="0"/>
                <w:sz w:val="24"/>
                <w:szCs w:val="24"/>
                <w:lang w:eastAsia="zh-CN"/>
              </w:rPr>
              <w:t>，</w:t>
            </w:r>
            <w:r>
              <w:rPr>
                <w:rFonts w:hint="eastAsia" w:ascii="Times New Roman" w:hAnsi="Times New Roman" w:eastAsia="宋体" w:cs="Times New Roman"/>
                <w:spacing w:val="0"/>
                <w:sz w:val="24"/>
                <w:szCs w:val="24"/>
                <w:lang w:val="en-US" w:eastAsia="zh-CN"/>
              </w:rPr>
              <w:t>合计水泥筒仓</w:t>
            </w:r>
            <w:r>
              <w:rPr>
                <w:spacing w:val="0"/>
                <w:sz w:val="24"/>
                <w:szCs w:val="24"/>
              </w:rPr>
              <w:t>粉尘产生量共</w:t>
            </w:r>
            <w:r>
              <w:rPr>
                <w:rFonts w:ascii="Times New Roman" w:hAnsi="Times New Roman" w:eastAsia="Times New Roman" w:cs="Times New Roman"/>
                <w:spacing w:val="0"/>
                <w:sz w:val="24"/>
                <w:szCs w:val="24"/>
              </w:rPr>
              <w:t>0.</w:t>
            </w:r>
            <w:r>
              <w:rPr>
                <w:rFonts w:hint="eastAsia" w:ascii="Times New Roman" w:hAnsi="Times New Roman" w:eastAsia="宋体" w:cs="Times New Roman"/>
                <w:spacing w:val="0"/>
                <w:sz w:val="24"/>
                <w:szCs w:val="24"/>
                <w:lang w:val="en-US" w:eastAsia="zh-CN"/>
              </w:rPr>
              <w:t>13</w:t>
            </w:r>
            <w:r>
              <w:rPr>
                <w:rFonts w:ascii="Times New Roman" w:hAnsi="Times New Roman" w:eastAsia="Times New Roman" w:cs="Times New Roman"/>
                <w:spacing w:val="0"/>
                <w:sz w:val="24"/>
                <w:szCs w:val="24"/>
              </w:rPr>
              <w:t>t/a</w:t>
            </w:r>
            <w:r>
              <w:rPr>
                <w:spacing w:val="0"/>
                <w:sz w:val="24"/>
                <w:szCs w:val="24"/>
              </w:rPr>
              <w:t>，产生速率为</w:t>
            </w:r>
            <w:r>
              <w:rPr>
                <w:rFonts w:ascii="Times New Roman" w:hAnsi="Times New Roman" w:eastAsia="Times New Roman" w:cs="Times New Roman"/>
                <w:spacing w:val="0"/>
                <w:sz w:val="24"/>
                <w:szCs w:val="24"/>
              </w:rPr>
              <w:t>0.0</w:t>
            </w:r>
            <w:r>
              <w:rPr>
                <w:rFonts w:hint="eastAsia" w:ascii="Times New Roman" w:hAnsi="Times New Roman" w:eastAsia="宋体" w:cs="Times New Roman"/>
                <w:spacing w:val="0"/>
                <w:sz w:val="24"/>
                <w:szCs w:val="24"/>
                <w:lang w:val="en-US" w:eastAsia="zh-CN"/>
              </w:rPr>
              <w:t>54</w:t>
            </w:r>
            <w:r>
              <w:rPr>
                <w:rFonts w:ascii="Times New Roman" w:hAnsi="Times New Roman" w:eastAsia="Times New Roman" w:cs="Times New Roman"/>
                <w:spacing w:val="0"/>
                <w:sz w:val="24"/>
                <w:szCs w:val="24"/>
              </w:rPr>
              <w:t>kg/h</w:t>
            </w:r>
            <w:r>
              <w:rPr>
                <w:rFonts w:hint="eastAsia" w:eastAsia="宋体"/>
                <w:spacing w:val="0"/>
                <w:sz w:val="24"/>
                <w:szCs w:val="24"/>
                <w:lang w:eastAsia="zh-CN"/>
              </w:rPr>
              <w:t>；</w:t>
            </w:r>
            <w:r>
              <w:rPr>
                <w:rFonts w:hint="eastAsia" w:ascii="Times New Roman" w:hAnsi="Times New Roman" w:eastAsia="宋体"/>
                <w:sz w:val="24"/>
                <w:szCs w:val="24"/>
                <w:lang w:val="en-US" w:eastAsia="zh-CN"/>
              </w:rPr>
              <w:t>粉煤灰用量约为</w:t>
            </w:r>
            <w:r>
              <w:rPr>
                <w:rFonts w:hint="eastAsia" w:eastAsia="宋体"/>
                <w:sz w:val="24"/>
                <w:szCs w:val="24"/>
                <w:lang w:val="en-US" w:eastAsia="zh-CN"/>
              </w:rPr>
              <w:t>1900</w:t>
            </w:r>
            <w:r>
              <w:rPr>
                <w:rFonts w:hint="eastAsia" w:ascii="Times New Roman" w:hAnsi="Times New Roman" w:eastAsia="宋体"/>
                <w:sz w:val="24"/>
                <w:szCs w:val="24"/>
                <w:lang w:val="en-US" w:eastAsia="zh-CN"/>
              </w:rPr>
              <w:t>t/a，</w:t>
            </w:r>
            <w:r>
              <w:rPr>
                <w:spacing w:val="0"/>
                <w:sz w:val="24"/>
                <w:szCs w:val="24"/>
              </w:rPr>
              <w:t>则此工序</w:t>
            </w:r>
            <w:r>
              <w:rPr>
                <w:rFonts w:hint="eastAsia"/>
                <w:spacing w:val="0"/>
                <w:sz w:val="24"/>
                <w:szCs w:val="24"/>
                <w:lang w:val="en-US" w:eastAsia="zh-CN"/>
              </w:rPr>
              <w:t>粉煤灰筒仓的</w:t>
            </w:r>
            <w:r>
              <w:rPr>
                <w:spacing w:val="0"/>
                <w:sz w:val="24"/>
                <w:szCs w:val="24"/>
              </w:rPr>
              <w:t>粉尘产生量共</w:t>
            </w:r>
            <w:r>
              <w:rPr>
                <w:rFonts w:ascii="Times New Roman" w:hAnsi="Times New Roman" w:eastAsia="Times New Roman" w:cs="Times New Roman"/>
                <w:spacing w:val="0"/>
                <w:sz w:val="24"/>
                <w:szCs w:val="24"/>
              </w:rPr>
              <w:t>0.</w:t>
            </w:r>
            <w:r>
              <w:rPr>
                <w:rFonts w:hint="eastAsia" w:ascii="Times New Roman" w:hAnsi="Times New Roman" w:eastAsia="宋体" w:cs="Times New Roman"/>
                <w:spacing w:val="0"/>
                <w:sz w:val="24"/>
                <w:szCs w:val="24"/>
                <w:lang w:val="en-US" w:eastAsia="zh-CN"/>
              </w:rPr>
              <w:t>038</w:t>
            </w:r>
            <w:r>
              <w:rPr>
                <w:rFonts w:ascii="Times New Roman" w:hAnsi="Times New Roman" w:eastAsia="Times New Roman" w:cs="Times New Roman"/>
                <w:spacing w:val="0"/>
                <w:sz w:val="24"/>
                <w:szCs w:val="24"/>
              </w:rPr>
              <w:t>t/a</w:t>
            </w:r>
            <w:r>
              <w:rPr>
                <w:spacing w:val="0"/>
                <w:sz w:val="24"/>
                <w:szCs w:val="24"/>
              </w:rPr>
              <w:t>，产生速率为</w:t>
            </w:r>
            <w:r>
              <w:rPr>
                <w:rFonts w:ascii="Times New Roman" w:hAnsi="Times New Roman" w:eastAsia="Times New Roman" w:cs="Times New Roman"/>
                <w:spacing w:val="0"/>
                <w:sz w:val="24"/>
                <w:szCs w:val="24"/>
              </w:rPr>
              <w:t>0.0</w:t>
            </w:r>
            <w:r>
              <w:rPr>
                <w:rFonts w:hint="eastAsia" w:ascii="Times New Roman" w:hAnsi="Times New Roman" w:eastAsia="宋体" w:cs="Times New Roman"/>
                <w:spacing w:val="0"/>
                <w:sz w:val="24"/>
                <w:szCs w:val="24"/>
                <w:lang w:val="en-US" w:eastAsia="zh-CN"/>
              </w:rPr>
              <w:t>15</w:t>
            </w:r>
            <w:r>
              <w:rPr>
                <w:rFonts w:ascii="Times New Roman" w:hAnsi="Times New Roman" w:eastAsia="Times New Roman" w:cs="Times New Roman"/>
                <w:spacing w:val="0"/>
                <w:sz w:val="24"/>
                <w:szCs w:val="24"/>
              </w:rPr>
              <w:t>kg/h</w:t>
            </w:r>
            <w:r>
              <w:rPr>
                <w:rFonts w:hint="eastAsia" w:ascii="Times New Roman" w:hAnsi="Times New Roman" w:eastAsia="宋体" w:cs="Times New Roman"/>
                <w:spacing w:val="0"/>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spacing w:val="0"/>
                <w:sz w:val="24"/>
                <w:szCs w:val="24"/>
                <w:lang w:eastAsia="zh-CN"/>
              </w:rPr>
            </w:pPr>
            <w:r>
              <w:rPr>
                <w:spacing w:val="0"/>
                <w:sz w:val="24"/>
                <w:szCs w:val="24"/>
              </w:rPr>
              <w:t>本项目水泥为筒仓储存，</w:t>
            </w:r>
            <w:r>
              <w:rPr>
                <w:rFonts w:hint="eastAsia"/>
                <w:spacing w:val="0"/>
                <w:sz w:val="24"/>
                <w:szCs w:val="24"/>
                <w:lang w:val="en-US" w:eastAsia="zh-CN"/>
              </w:rPr>
              <w:t>共</w:t>
            </w:r>
            <w:r>
              <w:rPr>
                <w:spacing w:val="0"/>
                <w:sz w:val="24"/>
                <w:szCs w:val="24"/>
              </w:rPr>
              <w:t>设置</w:t>
            </w:r>
            <w:r>
              <w:rPr>
                <w:rFonts w:hint="eastAsia" w:ascii="Times New Roman" w:hAnsi="Times New Roman" w:eastAsia="宋体" w:cs="Times New Roman"/>
                <w:spacing w:val="0"/>
                <w:sz w:val="24"/>
                <w:szCs w:val="24"/>
                <w:lang w:val="en-US" w:eastAsia="zh-CN"/>
              </w:rPr>
              <w:t>3</w:t>
            </w:r>
            <w:r>
              <w:rPr>
                <w:spacing w:val="0"/>
                <w:sz w:val="24"/>
                <w:szCs w:val="24"/>
              </w:rPr>
              <w:t>个水泥筒仓，每个水泥筒仓仓顶均设置</w:t>
            </w:r>
            <w:r>
              <w:rPr>
                <w:rFonts w:ascii="Times New Roman" w:hAnsi="Times New Roman" w:eastAsia="Times New Roman" w:cs="Times New Roman"/>
                <w:spacing w:val="0"/>
                <w:sz w:val="24"/>
                <w:szCs w:val="24"/>
              </w:rPr>
              <w:t>1</w:t>
            </w:r>
            <w:r>
              <w:rPr>
                <w:spacing w:val="0"/>
                <w:sz w:val="24"/>
                <w:szCs w:val="24"/>
              </w:rPr>
              <w:t>台仓顶布袋除尘器，呼吸粉尘处理后通过除尘器上排口无组织排放。根据《排放源统计调查产排污核算方法和系数手册》中《</w:t>
            </w:r>
            <w:r>
              <w:rPr>
                <w:rFonts w:ascii="Times New Roman" w:hAnsi="Times New Roman" w:eastAsia="Times New Roman" w:cs="Times New Roman"/>
                <w:spacing w:val="0"/>
                <w:sz w:val="24"/>
                <w:szCs w:val="24"/>
              </w:rPr>
              <w:t>3021</w:t>
            </w:r>
            <w:r>
              <w:rPr>
                <w:spacing w:val="0"/>
                <w:sz w:val="24"/>
                <w:szCs w:val="24"/>
              </w:rPr>
              <w:t>、</w:t>
            </w:r>
            <w:r>
              <w:rPr>
                <w:rFonts w:ascii="Times New Roman" w:hAnsi="Times New Roman" w:eastAsia="Times New Roman" w:cs="Times New Roman"/>
                <w:spacing w:val="0"/>
                <w:sz w:val="24"/>
                <w:szCs w:val="24"/>
              </w:rPr>
              <w:t>3022</w:t>
            </w:r>
            <w:r>
              <w:rPr>
                <w:spacing w:val="0"/>
                <w:sz w:val="24"/>
                <w:szCs w:val="24"/>
              </w:rPr>
              <w:t>、</w:t>
            </w:r>
            <w:r>
              <w:rPr>
                <w:rFonts w:ascii="Times New Roman" w:hAnsi="Times New Roman" w:eastAsia="Times New Roman" w:cs="Times New Roman"/>
                <w:spacing w:val="0"/>
                <w:sz w:val="24"/>
                <w:szCs w:val="24"/>
              </w:rPr>
              <w:t>3029</w:t>
            </w:r>
            <w:r>
              <w:rPr>
                <w:spacing w:val="0"/>
                <w:sz w:val="24"/>
                <w:szCs w:val="24"/>
              </w:rPr>
              <w:t>水泥制品制造行业系数手册》中</w:t>
            </w:r>
            <w:r>
              <w:rPr>
                <w:rFonts w:ascii="Times New Roman" w:hAnsi="Times New Roman" w:eastAsia="Times New Roman" w:cs="Times New Roman"/>
                <w:spacing w:val="0"/>
                <w:sz w:val="24"/>
                <w:szCs w:val="24"/>
              </w:rPr>
              <w:t>“3021</w:t>
            </w:r>
            <w:r>
              <w:rPr>
                <w:spacing w:val="0"/>
                <w:sz w:val="24"/>
                <w:szCs w:val="24"/>
              </w:rPr>
              <w:t>混凝土制品制造（含</w:t>
            </w:r>
            <w:r>
              <w:rPr>
                <w:rFonts w:ascii="Times New Roman" w:hAnsi="Times New Roman" w:eastAsia="Times New Roman" w:cs="Times New Roman"/>
                <w:spacing w:val="0"/>
                <w:sz w:val="24"/>
                <w:szCs w:val="24"/>
              </w:rPr>
              <w:t>3022</w:t>
            </w:r>
            <w:r>
              <w:rPr>
                <w:spacing w:val="0"/>
                <w:sz w:val="24"/>
                <w:szCs w:val="24"/>
              </w:rPr>
              <w:t>砼结构构件、</w:t>
            </w:r>
            <w:r>
              <w:rPr>
                <w:rFonts w:ascii="Times New Roman" w:hAnsi="Times New Roman" w:eastAsia="Times New Roman" w:cs="Times New Roman"/>
                <w:spacing w:val="0"/>
                <w:sz w:val="24"/>
                <w:szCs w:val="24"/>
              </w:rPr>
              <w:t>3029</w:t>
            </w:r>
            <w:r>
              <w:rPr>
                <w:spacing w:val="0"/>
                <w:sz w:val="24"/>
                <w:szCs w:val="24"/>
              </w:rPr>
              <w:t>其他水泥类似制品制造）</w:t>
            </w:r>
            <w:r>
              <w:rPr>
                <w:rFonts w:ascii="Times New Roman" w:hAnsi="Times New Roman" w:eastAsia="Times New Roman" w:cs="Times New Roman"/>
                <w:spacing w:val="0"/>
                <w:sz w:val="24"/>
                <w:szCs w:val="24"/>
              </w:rPr>
              <w:t>”</w:t>
            </w:r>
            <w:r>
              <w:rPr>
                <w:spacing w:val="0"/>
                <w:sz w:val="24"/>
                <w:szCs w:val="24"/>
              </w:rPr>
              <w:t>采用</w:t>
            </w:r>
            <w:r>
              <w:rPr>
                <w:rFonts w:ascii="Times New Roman" w:hAnsi="Times New Roman" w:eastAsia="Times New Roman" w:cs="Times New Roman"/>
                <w:spacing w:val="0"/>
                <w:sz w:val="24"/>
                <w:szCs w:val="24"/>
              </w:rPr>
              <w:t>“</w:t>
            </w:r>
            <w:r>
              <w:rPr>
                <w:spacing w:val="0"/>
                <w:sz w:val="24"/>
                <w:szCs w:val="24"/>
              </w:rPr>
              <w:t>袋式除尘</w:t>
            </w:r>
            <w:r>
              <w:rPr>
                <w:rFonts w:ascii="Times New Roman" w:hAnsi="Times New Roman" w:eastAsia="Times New Roman" w:cs="Times New Roman"/>
                <w:spacing w:val="0"/>
                <w:sz w:val="24"/>
                <w:szCs w:val="24"/>
              </w:rPr>
              <w:t>”</w:t>
            </w:r>
            <w:r>
              <w:rPr>
                <w:spacing w:val="0"/>
                <w:sz w:val="24"/>
                <w:szCs w:val="24"/>
              </w:rPr>
              <w:t>治理效率为</w:t>
            </w:r>
            <w:r>
              <w:rPr>
                <w:rFonts w:ascii="Times New Roman" w:hAnsi="Times New Roman" w:eastAsia="Times New Roman" w:cs="Times New Roman"/>
                <w:spacing w:val="0"/>
                <w:sz w:val="24"/>
                <w:szCs w:val="24"/>
              </w:rPr>
              <w:t>99.7%</w:t>
            </w:r>
            <w:r>
              <w:rPr>
                <w:rFonts w:hint="eastAsia" w:ascii="Times New Roman" w:hAnsi="Times New Roman" w:eastAsia="宋体" w:cs="Times New Roman"/>
                <w:spacing w:val="0"/>
                <w:sz w:val="24"/>
                <w:szCs w:val="24"/>
                <w:lang w:eastAsia="zh-CN"/>
              </w:rPr>
              <w:t>，</w:t>
            </w:r>
            <w:r>
              <w:rPr>
                <w:rFonts w:hint="eastAsia" w:ascii="Times New Roman" w:hAnsi="Times New Roman" w:eastAsia="宋体" w:cs="Times New Roman"/>
                <w:spacing w:val="0"/>
                <w:sz w:val="24"/>
                <w:szCs w:val="24"/>
                <w:lang w:val="en-US" w:eastAsia="zh-CN"/>
              </w:rPr>
              <w:t>收集效率按100%统计</w:t>
            </w:r>
            <w:r>
              <w:rPr>
                <w:spacing w:val="0"/>
                <w:sz w:val="24"/>
                <w:szCs w:val="24"/>
              </w:rPr>
              <w:t>。本项目水泥筒仓顶呼吸粉尘排放情况见下表所示</w:t>
            </w:r>
            <w:r>
              <w:rPr>
                <w:rFonts w:hint="eastAsia"/>
                <w:spacing w:val="0"/>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spacing w:val="0"/>
                <w:sz w:val="24"/>
                <w:szCs w:val="24"/>
                <w:lang w:eastAsia="zh-CN"/>
              </w:rPr>
            </w:pP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spacing w:val="0"/>
                <w:sz w:val="24"/>
                <w:szCs w:val="24"/>
                <w:lang w:eastAsia="zh-CN"/>
              </w:rPr>
            </w:pP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 4-</w:t>
            </w:r>
            <w:r>
              <w:rPr>
                <w:rFonts w:hint="eastAsia" w:hAnsi="宋体" w:cs="Times New Roman"/>
                <w:b/>
                <w:szCs w:val="21"/>
                <w:lang w:val="en-US" w:eastAsia="zh-CN"/>
              </w:rPr>
              <w:t>4</w:t>
            </w:r>
            <w:r>
              <w:rPr>
                <w:rFonts w:hint="eastAsia" w:ascii="Times New Roman" w:hAnsi="宋体" w:eastAsia="宋体" w:cs="Times New Roman"/>
                <w:b/>
                <w:szCs w:val="21"/>
                <w:lang w:val="zh-CN"/>
              </w:rPr>
              <w:t xml:space="preserve">   筒仓顶呼吸粉尘产排情况</w:t>
            </w:r>
          </w:p>
          <w:tbl>
            <w:tblPr>
              <w:tblStyle w:val="23"/>
              <w:tblW w:w="46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835"/>
              <w:gridCol w:w="822"/>
              <w:gridCol w:w="1113"/>
              <w:gridCol w:w="967"/>
              <w:gridCol w:w="835"/>
              <w:gridCol w:w="1061"/>
              <w:gridCol w:w="1008"/>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19" w:type="dxa"/>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排放源</w:t>
                  </w:r>
                </w:p>
              </w:tc>
              <w:tc>
                <w:tcPr>
                  <w:tcW w:w="835" w:type="dxa"/>
                  <w:vMerge w:val="restart"/>
                  <w:tcBorders>
                    <w:tl2br w:val="nil"/>
                    <w:tr2bl w:val="nil"/>
                  </w:tcBorders>
                  <w:noWrap w:val="0"/>
                  <w:vAlign w:val="center"/>
                </w:tcPr>
                <w:p>
                  <w:pPr>
                    <w:ind w:left="-105" w:leftChars="-50" w:right="-105" w:rightChars="-50"/>
                    <w:jc w:val="center"/>
                    <w:rPr>
                      <w:rFonts w:hint="eastAsia" w:ascii="Times New Roman" w:hAnsi="Times New Roman" w:eastAsia="宋体"/>
                      <w:b/>
                      <w:szCs w:val="21"/>
                      <w:lang w:eastAsia="zh-CN"/>
                    </w:rPr>
                  </w:pPr>
                  <w:r>
                    <w:rPr>
                      <w:rFonts w:ascii="Times New Roman" w:hAnsi="Times New Roman"/>
                      <w:b/>
                      <w:szCs w:val="21"/>
                    </w:rPr>
                    <w:t>污染</w:t>
                  </w:r>
                  <w:r>
                    <w:rPr>
                      <w:rFonts w:hint="eastAsia"/>
                      <w:b/>
                      <w:szCs w:val="21"/>
                      <w:lang w:val="en-US" w:eastAsia="zh-CN"/>
                    </w:rPr>
                    <w:t>因子</w:t>
                  </w:r>
                </w:p>
              </w:tc>
              <w:tc>
                <w:tcPr>
                  <w:tcW w:w="2902" w:type="dxa"/>
                  <w:gridSpan w:val="3"/>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产生情况</w:t>
                  </w:r>
                </w:p>
              </w:tc>
              <w:tc>
                <w:tcPr>
                  <w:tcW w:w="2904" w:type="dxa"/>
                  <w:gridSpan w:val="3"/>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排放情况</w:t>
                  </w:r>
                </w:p>
              </w:tc>
              <w:tc>
                <w:tcPr>
                  <w:tcW w:w="690" w:type="dxa"/>
                  <w:vMerge w:val="restart"/>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19"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835"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c>
                <w:tcPr>
                  <w:tcW w:w="822"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产生量</w:t>
                  </w:r>
                  <w:r>
                    <w:rPr>
                      <w:rFonts w:hint="eastAsia" w:ascii="Times New Roman" w:hAnsi="Times New Roman"/>
                      <w:b/>
                      <w:szCs w:val="21"/>
                    </w:rPr>
                    <w:t>t/a</w:t>
                  </w:r>
                </w:p>
              </w:tc>
              <w:tc>
                <w:tcPr>
                  <w:tcW w:w="1113"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产生速率</w:t>
                  </w:r>
                  <w:r>
                    <w:rPr>
                      <w:rFonts w:hint="eastAsia" w:ascii="Times New Roman" w:hAnsi="Times New Roman"/>
                      <w:b/>
                      <w:szCs w:val="21"/>
                    </w:rPr>
                    <w:t>kg/h</w:t>
                  </w:r>
                </w:p>
              </w:tc>
              <w:tc>
                <w:tcPr>
                  <w:tcW w:w="967"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产生浓度</w:t>
                  </w:r>
                  <w:r>
                    <w:rPr>
                      <w:rFonts w:hint="eastAsia" w:ascii="Times New Roman" w:hAnsi="Times New Roman"/>
                      <w:b/>
                      <w:szCs w:val="21"/>
                    </w:rPr>
                    <w:t>mg/m</w:t>
                  </w:r>
                  <w:r>
                    <w:rPr>
                      <w:rFonts w:hint="eastAsia" w:ascii="Times New Roman" w:hAnsi="Times New Roman"/>
                      <w:b/>
                      <w:szCs w:val="21"/>
                      <w:vertAlign w:val="superscript"/>
                    </w:rPr>
                    <w:t>3</w:t>
                  </w:r>
                </w:p>
              </w:tc>
              <w:tc>
                <w:tcPr>
                  <w:tcW w:w="835"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排放量</w:t>
                  </w:r>
                  <w:r>
                    <w:rPr>
                      <w:rFonts w:hint="eastAsia" w:ascii="Times New Roman" w:hAnsi="Times New Roman"/>
                      <w:b/>
                      <w:szCs w:val="21"/>
                    </w:rPr>
                    <w:t>t/a</w:t>
                  </w:r>
                </w:p>
              </w:tc>
              <w:tc>
                <w:tcPr>
                  <w:tcW w:w="1061"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排放速率</w:t>
                  </w:r>
                  <w:r>
                    <w:rPr>
                      <w:rFonts w:hint="eastAsia" w:ascii="Times New Roman" w:hAnsi="Times New Roman"/>
                      <w:b/>
                      <w:szCs w:val="21"/>
                    </w:rPr>
                    <w:t>kg/h</w:t>
                  </w:r>
                </w:p>
              </w:tc>
              <w:tc>
                <w:tcPr>
                  <w:tcW w:w="1008" w:type="dxa"/>
                  <w:tcBorders>
                    <w:tl2br w:val="nil"/>
                    <w:tr2bl w:val="nil"/>
                  </w:tcBorders>
                  <w:noWrap w:val="0"/>
                  <w:vAlign w:val="center"/>
                </w:tcPr>
                <w:p>
                  <w:pPr>
                    <w:ind w:left="-105" w:leftChars="-50" w:right="-105" w:rightChars="-50"/>
                    <w:jc w:val="center"/>
                    <w:rPr>
                      <w:rFonts w:ascii="Times New Roman" w:hAnsi="Times New Roman"/>
                      <w:b/>
                      <w:szCs w:val="21"/>
                    </w:rPr>
                  </w:pPr>
                  <w:r>
                    <w:rPr>
                      <w:rFonts w:ascii="Times New Roman" w:hAnsi="Times New Roman"/>
                      <w:b/>
                      <w:szCs w:val="21"/>
                    </w:rPr>
                    <w:t>排放浓度</w:t>
                  </w:r>
                  <w:r>
                    <w:rPr>
                      <w:rFonts w:hint="eastAsia" w:ascii="Times New Roman" w:hAnsi="Times New Roman"/>
                      <w:b/>
                      <w:szCs w:val="21"/>
                    </w:rPr>
                    <w:t>mg/m</w:t>
                  </w:r>
                  <w:r>
                    <w:rPr>
                      <w:rFonts w:hint="eastAsia" w:ascii="Times New Roman" w:hAnsi="Times New Roman"/>
                      <w:b/>
                      <w:szCs w:val="21"/>
                      <w:vertAlign w:val="superscript"/>
                    </w:rPr>
                    <w:t>3</w:t>
                  </w:r>
                </w:p>
              </w:tc>
              <w:tc>
                <w:tcPr>
                  <w:tcW w:w="690" w:type="dxa"/>
                  <w:vMerge w:val="continue"/>
                  <w:tcBorders>
                    <w:tl2br w:val="nil"/>
                    <w:tr2bl w:val="nil"/>
                  </w:tcBorders>
                  <w:noWrap w:val="0"/>
                  <w:vAlign w:val="center"/>
                </w:tcPr>
                <w:p>
                  <w:pPr>
                    <w:ind w:left="-105" w:leftChars="-50" w:right="-105" w:rightChars="-50"/>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1219"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水泥筒仓1#</w:t>
                  </w:r>
                </w:p>
              </w:tc>
              <w:tc>
                <w:tcPr>
                  <w:tcW w:w="835"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0.13</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eastAsia="宋体"/>
                      <w:bCs/>
                      <w:szCs w:val="21"/>
                      <w:lang w:val="en-US" w:eastAsia="zh-CN"/>
                    </w:rPr>
                    <w:t>0.054</w:t>
                  </w:r>
                </w:p>
              </w:tc>
              <w:tc>
                <w:tcPr>
                  <w:tcW w:w="967"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12</w:t>
                  </w:r>
                  <w:r>
                    <w:rPr>
                      <w:rFonts w:hint="eastAsia"/>
                      <w:bCs/>
                      <w:szCs w:val="21"/>
                      <w:lang w:val="en-US" w:eastAsia="zh-CN"/>
                    </w:rPr>
                    <w:t>32.7</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004</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0017</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1.3</w:t>
                  </w:r>
                </w:p>
              </w:tc>
              <w:tc>
                <w:tcPr>
                  <w:tcW w:w="690" w:type="dxa"/>
                  <w:vMerge w:val="restart"/>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szCs w:val="21"/>
                    </w:rPr>
                    <w:t>DB51/2864</w:t>
                  </w:r>
                  <w:r>
                    <w:rPr>
                      <w:rFonts w:ascii="Times New Roman" w:hAnsi="Times New Roman"/>
                      <w:szCs w:val="21"/>
                    </w:rPr>
                    <w:t>-</w:t>
                  </w:r>
                  <w:r>
                    <w:rPr>
                      <w:rFonts w:hint="eastAsia"/>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1219"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水泥筒仓2#</w:t>
                  </w:r>
                </w:p>
              </w:tc>
              <w:tc>
                <w:tcPr>
                  <w:tcW w:w="835"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0.13</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eastAsia="宋体"/>
                      <w:bCs/>
                      <w:szCs w:val="21"/>
                      <w:lang w:val="en-US" w:eastAsia="zh-CN"/>
                    </w:rPr>
                    <w:t>0.054</w:t>
                  </w:r>
                </w:p>
              </w:tc>
              <w:tc>
                <w:tcPr>
                  <w:tcW w:w="967" w:type="dxa"/>
                  <w:tcBorders>
                    <w:tl2br w:val="nil"/>
                    <w:tr2bl w:val="nil"/>
                  </w:tcBorders>
                  <w:noWrap w:val="0"/>
                  <w:vAlign w:val="center"/>
                </w:tcPr>
                <w:p>
                  <w:pPr>
                    <w:ind w:left="-105" w:leftChars="-50" w:right="-105" w:rightChars="-50"/>
                    <w:jc w:val="center"/>
                    <w:rPr>
                      <w:rFonts w:ascii="Times New Roman" w:hAnsi="Times New Roman"/>
                      <w:bCs/>
                      <w:szCs w:val="21"/>
                    </w:rPr>
                  </w:pPr>
                  <w:r>
                    <w:rPr>
                      <w:rFonts w:hint="eastAsia" w:ascii="Times New Roman" w:hAnsi="Times New Roman"/>
                      <w:bCs/>
                      <w:szCs w:val="21"/>
                    </w:rPr>
                    <w:t>12</w:t>
                  </w:r>
                  <w:r>
                    <w:rPr>
                      <w:rFonts w:hint="eastAsia"/>
                      <w:bCs/>
                      <w:szCs w:val="21"/>
                      <w:lang w:val="en-US" w:eastAsia="zh-CN"/>
                    </w:rPr>
                    <w:t>32.7</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004</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0017</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1.3</w:t>
                  </w:r>
                </w:p>
              </w:tc>
              <w:tc>
                <w:tcPr>
                  <w:tcW w:w="690" w:type="dxa"/>
                  <w:vMerge w:val="continue"/>
                  <w:tcBorders>
                    <w:tl2br w:val="nil"/>
                    <w:tr2bl w:val="nil"/>
                  </w:tcBorders>
                  <w:noWrap w:val="0"/>
                  <w:vAlign w:val="center"/>
                </w:tcPr>
                <w:p>
                  <w:pPr>
                    <w:ind w:left="-105" w:leftChars="-50" w:right="-105" w:rightChars="-50"/>
                    <w:jc w:val="center"/>
                    <w:rPr>
                      <w:rFonts w:hint="eastAsia"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1219"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水泥筒仓3#</w:t>
                  </w:r>
                </w:p>
              </w:tc>
              <w:tc>
                <w:tcPr>
                  <w:tcW w:w="835" w:type="dxa"/>
                  <w:tcBorders>
                    <w:tl2br w:val="nil"/>
                    <w:tr2bl w:val="nil"/>
                  </w:tcBorders>
                  <w:noWrap w:val="0"/>
                  <w:vAlign w:val="center"/>
                </w:tcPr>
                <w:p>
                  <w:pPr>
                    <w:ind w:left="-105" w:leftChars="-50" w:right="-105" w:rightChars="-50"/>
                    <w:jc w:val="center"/>
                    <w:rPr>
                      <w:rFonts w:hint="eastAsia" w:ascii="Times New Roman" w:hAnsi="Times New Roman"/>
                      <w:bCs/>
                      <w:szCs w:val="21"/>
                    </w:rPr>
                  </w:pPr>
                  <w:r>
                    <w:rPr>
                      <w:rFonts w:hint="eastAsia" w:ascii="Times New Roman" w:hAnsi="Times New Roman"/>
                      <w:bCs/>
                      <w:szCs w:val="21"/>
                    </w:rPr>
                    <w:t>颗粒物</w:t>
                  </w:r>
                </w:p>
              </w:tc>
              <w:tc>
                <w:tcPr>
                  <w:tcW w:w="822"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0.038</w:t>
                  </w:r>
                </w:p>
              </w:tc>
              <w:tc>
                <w:tcPr>
                  <w:tcW w:w="1113"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eastAsia="宋体"/>
                      <w:bCs/>
                      <w:szCs w:val="21"/>
                      <w:lang w:val="en-US" w:eastAsia="zh-CN"/>
                    </w:rPr>
                    <w:t>0.015</w:t>
                  </w:r>
                </w:p>
              </w:tc>
              <w:tc>
                <w:tcPr>
                  <w:tcW w:w="967"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1194.5</w:t>
                  </w:r>
                </w:p>
              </w:tc>
              <w:tc>
                <w:tcPr>
                  <w:tcW w:w="835"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001</w:t>
                  </w:r>
                </w:p>
              </w:tc>
              <w:tc>
                <w:tcPr>
                  <w:tcW w:w="1061"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ascii="Times New Roman" w:hAnsi="Times New Roman"/>
                      <w:bCs/>
                      <w:szCs w:val="21"/>
                    </w:rPr>
                    <w:t>0.0</w:t>
                  </w:r>
                  <w:r>
                    <w:rPr>
                      <w:rFonts w:hint="eastAsia"/>
                      <w:bCs/>
                      <w:szCs w:val="21"/>
                      <w:lang w:val="en-US" w:eastAsia="zh-CN"/>
                    </w:rPr>
                    <w:t>0004</w:t>
                  </w:r>
                </w:p>
              </w:tc>
              <w:tc>
                <w:tcPr>
                  <w:tcW w:w="1008" w:type="dxa"/>
                  <w:tcBorders>
                    <w:tl2br w:val="nil"/>
                    <w:tr2bl w:val="nil"/>
                  </w:tcBorders>
                  <w:noWrap w:val="0"/>
                  <w:vAlign w:val="center"/>
                </w:tcPr>
                <w:p>
                  <w:pPr>
                    <w:ind w:left="-105" w:leftChars="-50" w:right="-105" w:rightChars="-50"/>
                    <w:jc w:val="center"/>
                    <w:rPr>
                      <w:rFonts w:hint="default" w:ascii="Times New Roman" w:hAnsi="Times New Roman" w:eastAsia="宋体"/>
                      <w:bCs/>
                      <w:szCs w:val="21"/>
                      <w:lang w:val="en-US" w:eastAsia="zh-CN"/>
                    </w:rPr>
                  </w:pPr>
                  <w:r>
                    <w:rPr>
                      <w:rFonts w:hint="eastAsia"/>
                      <w:bCs/>
                      <w:szCs w:val="21"/>
                      <w:lang w:val="en-US" w:eastAsia="zh-CN"/>
                    </w:rPr>
                    <w:t>1.2</w:t>
                  </w:r>
                </w:p>
              </w:tc>
              <w:tc>
                <w:tcPr>
                  <w:tcW w:w="690" w:type="dxa"/>
                  <w:vMerge w:val="continue"/>
                  <w:tcBorders>
                    <w:tl2br w:val="nil"/>
                    <w:tr2bl w:val="nil"/>
                  </w:tcBorders>
                  <w:noWrap w:val="0"/>
                  <w:vAlign w:val="center"/>
                </w:tcPr>
                <w:p>
                  <w:pPr>
                    <w:ind w:left="-105" w:leftChars="-50" w:right="-105" w:rightChars="-50"/>
                    <w:jc w:val="center"/>
                    <w:rPr>
                      <w:rFonts w:hint="eastAsia" w:ascii="Times New Roman" w:hAnsi="Times New Roman"/>
                      <w:szCs w:val="21"/>
                    </w:rPr>
                  </w:pP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firstLine="476" w:firstLineChars="200"/>
              <w:jc w:val="both"/>
              <w:textAlignment w:val="auto"/>
              <w:rPr>
                <w:rFonts w:hint="eastAsia" w:ascii="Arial" w:hAnsi="Arial" w:eastAsia="宋体" w:cs="Arial"/>
                <w:spacing w:val="-1"/>
                <w:sz w:val="24"/>
                <w:szCs w:val="24"/>
                <w:lang w:val="en-US" w:eastAsia="zh-CN"/>
              </w:rPr>
            </w:pPr>
            <w:r>
              <w:rPr>
                <w:rFonts w:hint="eastAsia" w:ascii="Arial" w:hAnsi="Arial" w:eastAsia="宋体" w:cs="Arial"/>
                <w:spacing w:val="-1"/>
                <w:sz w:val="24"/>
                <w:szCs w:val="24"/>
              </w:rPr>
              <w:t>根据上表可知，本项目粉料卸料粉尘经布袋除尘器处理后满足</w:t>
            </w:r>
            <w:r>
              <w:rPr>
                <w:rFonts w:hint="default" w:ascii="Arial" w:hAnsi="Arial" w:eastAsia="宋体" w:cs="Arial"/>
                <w:spacing w:val="-1"/>
                <w:sz w:val="24"/>
                <w:szCs w:val="24"/>
              </w:rPr>
              <w:t>《</w:t>
            </w:r>
            <w:r>
              <w:rPr>
                <w:rFonts w:hint="eastAsia" w:ascii="Arial" w:hAnsi="Arial" w:eastAsia="宋体" w:cs="Arial"/>
                <w:spacing w:val="-1"/>
                <w:sz w:val="24"/>
                <w:szCs w:val="24"/>
              </w:rPr>
              <w:t>四川省水泥工业大气污染物排放标准</w:t>
            </w:r>
            <w:r>
              <w:rPr>
                <w:rFonts w:hint="default" w:ascii="Arial" w:hAnsi="Arial" w:eastAsia="宋体" w:cs="Arial"/>
                <w:spacing w:val="-1"/>
                <w:sz w:val="24"/>
                <w:szCs w:val="24"/>
              </w:rPr>
              <w:t>》</w:t>
            </w:r>
            <w:r>
              <w:rPr>
                <w:rFonts w:hint="eastAsia" w:ascii="Arial" w:hAnsi="Arial" w:eastAsia="宋体" w:cs="Arial"/>
                <w:spacing w:val="-1"/>
                <w:sz w:val="24"/>
                <w:szCs w:val="24"/>
              </w:rPr>
              <w:t>（DB51/2864</w:t>
            </w:r>
            <w:r>
              <w:rPr>
                <w:rFonts w:hint="default" w:ascii="Arial" w:hAnsi="Arial" w:eastAsia="宋体" w:cs="Arial"/>
                <w:spacing w:val="-1"/>
                <w:sz w:val="24"/>
                <w:szCs w:val="24"/>
              </w:rPr>
              <w:t>-</w:t>
            </w:r>
            <w:r>
              <w:rPr>
                <w:rFonts w:hint="eastAsia" w:ascii="Arial" w:hAnsi="Arial" w:eastAsia="宋体" w:cs="Arial"/>
                <w:spacing w:val="-1"/>
                <w:sz w:val="24"/>
                <w:szCs w:val="24"/>
              </w:rPr>
              <w:t>2021）表1中相关浓度排放限值（10mg/m</w:t>
            </w:r>
            <w:r>
              <w:rPr>
                <w:rFonts w:hint="eastAsia" w:ascii="Arial" w:hAnsi="Arial" w:eastAsia="宋体" w:cs="Arial"/>
                <w:spacing w:val="-1"/>
                <w:sz w:val="24"/>
                <w:szCs w:val="24"/>
                <w:vertAlign w:val="superscript"/>
              </w:rPr>
              <w:t>3</w:t>
            </w:r>
            <w:r>
              <w:rPr>
                <w:rFonts w:hint="eastAsia" w:ascii="Arial" w:hAnsi="Arial" w:eastAsia="宋体" w:cs="Arial"/>
                <w:spacing w:val="-1"/>
                <w:sz w:val="24"/>
                <w:szCs w:val="24"/>
              </w:rPr>
              <w:t>）要求。</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eastAsia="宋体"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⑷ 配料、</w:t>
            </w:r>
            <w:r>
              <w:rPr>
                <w:rFonts w:hint="eastAsia" w:ascii="Times New Roman" w:hAnsi="Times New Roman" w:eastAsia="宋体" w:cs="Times New Roman"/>
                <w:b/>
                <w:bCs/>
                <w:spacing w:val="-9"/>
                <w:sz w:val="24"/>
                <w:szCs w:val="24"/>
                <w:lang w:val="en-US" w:eastAsia="zh-CN"/>
              </w:rPr>
              <w:t>搅拌粉尘</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8" w:firstLineChars="200"/>
              <w:jc w:val="both"/>
              <w:textAlignment w:val="auto"/>
              <w:rPr>
                <w:rFonts w:hint="default" w:ascii="Arial" w:hAnsi="Arial" w:cs="Arial"/>
                <w:spacing w:val="-3"/>
                <w:sz w:val="24"/>
                <w:szCs w:val="24"/>
              </w:rPr>
            </w:pPr>
            <w:r>
              <w:rPr>
                <w:rFonts w:hint="default" w:ascii="Arial" w:hAnsi="Arial" w:cs="Arial"/>
                <w:color w:val="0000FF"/>
                <w:spacing w:val="-3"/>
                <w:sz w:val="24"/>
                <w:szCs w:val="24"/>
              </w:rPr>
              <w:t>混凝土生产时，搅拌机配料与混合时会产生粉尘</w:t>
            </w:r>
            <w:r>
              <w:rPr>
                <w:rFonts w:hint="default" w:ascii="Arial" w:hAnsi="Arial" w:cs="Arial"/>
                <w:spacing w:val="-3"/>
                <w:sz w:val="24"/>
                <w:szCs w:val="24"/>
              </w:rPr>
              <w:t>。此工序粉尘产生量参照《排放源统计调查产排污核算方法和系数手册》“3021水泥制品制造（含3022砼结构构件、3029其他水泥类似制品制造）”中“混凝土制品——物料混合搅拌”产污</w:t>
            </w:r>
            <w:r>
              <w:rPr>
                <w:rFonts w:hint="default" w:ascii="Arial" w:hAnsi="Arial" w:cs="Arial"/>
                <w:spacing w:val="-3"/>
                <w:sz w:val="24"/>
                <w:szCs w:val="24"/>
                <w:lang w:val="en-US" w:eastAsia="zh-CN"/>
              </w:rPr>
              <w:t>系数</w:t>
            </w:r>
            <w:r>
              <w:rPr>
                <w:rFonts w:hint="default" w:ascii="Arial" w:hAnsi="Arial" w:cs="Arial"/>
                <w:spacing w:val="-3"/>
                <w:sz w:val="24"/>
                <w:szCs w:val="24"/>
              </w:rPr>
              <w:t>确定，为0.13kg/t-产品</w:t>
            </w:r>
            <w:r>
              <w:rPr>
                <w:rFonts w:hint="eastAsia" w:ascii="Arial" w:hAnsi="Arial" w:cs="Arial"/>
                <w:spacing w:val="-3"/>
                <w:sz w:val="24"/>
                <w:szCs w:val="24"/>
                <w:lang w:eastAsia="zh-CN"/>
              </w:rPr>
              <w:t>，</w:t>
            </w:r>
            <w:r>
              <w:rPr>
                <w:rFonts w:hint="eastAsia" w:ascii="Arial" w:hAnsi="Arial" w:cs="Arial"/>
                <w:spacing w:val="-3"/>
                <w:sz w:val="24"/>
                <w:szCs w:val="24"/>
                <w:lang w:val="en-US" w:eastAsia="zh-CN"/>
              </w:rPr>
              <w:t>本项目</w:t>
            </w:r>
            <w:r>
              <w:rPr>
                <w:rFonts w:hint="default" w:ascii="Arial" w:hAnsi="Arial" w:cs="Arial"/>
                <w:spacing w:val="-3"/>
                <w:sz w:val="24"/>
                <w:szCs w:val="24"/>
              </w:rPr>
              <w:t>拌和站生产混凝土7.2万吨，则搅拌粉尘产生量9.36t/a，产生速率为1.18kg/h。</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8" w:firstLineChars="200"/>
              <w:jc w:val="both"/>
              <w:textAlignment w:val="auto"/>
              <w:rPr>
                <w:rFonts w:hint="default" w:ascii="Arial" w:hAnsi="Arial" w:cs="Arial"/>
                <w:spacing w:val="-3"/>
                <w:sz w:val="24"/>
                <w:szCs w:val="24"/>
              </w:rPr>
            </w:pPr>
            <w:r>
              <w:rPr>
                <w:rFonts w:hint="default" w:ascii="Arial" w:hAnsi="Arial" w:cs="Arial"/>
                <w:spacing w:val="-3"/>
                <w:sz w:val="24"/>
                <w:szCs w:val="24"/>
              </w:rPr>
              <w:t>本项目共设置</w:t>
            </w:r>
            <w:r>
              <w:rPr>
                <w:rFonts w:hint="eastAsia" w:ascii="Arial" w:hAnsi="Arial" w:cs="Arial"/>
                <w:spacing w:val="-3"/>
                <w:sz w:val="24"/>
                <w:szCs w:val="24"/>
                <w:lang w:val="en-US" w:eastAsia="zh-CN"/>
              </w:rPr>
              <w:t>1套搅拌站，2</w:t>
            </w:r>
            <w:r>
              <w:rPr>
                <w:rFonts w:hint="default" w:ascii="Arial" w:hAnsi="Arial" w:cs="Arial"/>
                <w:spacing w:val="-3"/>
                <w:sz w:val="24"/>
                <w:szCs w:val="24"/>
              </w:rPr>
              <w:t>台</w:t>
            </w:r>
            <w:r>
              <w:rPr>
                <w:rFonts w:hint="eastAsia" w:ascii="Arial" w:hAnsi="Arial" w:cs="Arial"/>
                <w:spacing w:val="-3"/>
                <w:sz w:val="24"/>
                <w:szCs w:val="24"/>
                <w:lang w:val="en-US" w:eastAsia="zh-CN"/>
              </w:rPr>
              <w:t>搅拌机</w:t>
            </w:r>
            <w:r>
              <w:rPr>
                <w:rFonts w:hint="default" w:ascii="Arial" w:hAnsi="Arial" w:cs="Arial"/>
                <w:spacing w:val="-3"/>
                <w:sz w:val="24"/>
                <w:szCs w:val="24"/>
              </w:rPr>
              <w:t>（枢纽工程），搅拌罐为密闭搅拌，</w:t>
            </w:r>
            <w:r>
              <w:rPr>
                <w:rFonts w:hint="eastAsia" w:ascii="Arial" w:hAnsi="Arial" w:cs="Arial"/>
                <w:spacing w:val="-3"/>
                <w:sz w:val="24"/>
                <w:szCs w:val="24"/>
                <w:lang w:val="en-US" w:eastAsia="zh-CN"/>
              </w:rPr>
              <w:t>通过</w:t>
            </w:r>
            <w:r>
              <w:rPr>
                <w:rFonts w:hint="default" w:ascii="Arial" w:hAnsi="Arial" w:cs="Arial"/>
                <w:spacing w:val="-3"/>
                <w:sz w:val="24"/>
                <w:szCs w:val="24"/>
              </w:rPr>
              <w:t>在</w:t>
            </w:r>
            <w:r>
              <w:rPr>
                <w:rFonts w:hint="eastAsia" w:ascii="Arial" w:hAnsi="Arial" w:cs="Arial"/>
                <w:spacing w:val="-3"/>
                <w:sz w:val="24"/>
                <w:szCs w:val="24"/>
                <w:lang w:val="en-US" w:eastAsia="zh-CN"/>
              </w:rPr>
              <w:t>搅拌站</w:t>
            </w:r>
            <w:r>
              <w:rPr>
                <w:rFonts w:hint="default" w:ascii="Arial" w:hAnsi="Arial" w:cs="Arial"/>
                <w:spacing w:val="-3"/>
                <w:sz w:val="24"/>
                <w:szCs w:val="24"/>
              </w:rPr>
              <w:t>拌和机</w:t>
            </w:r>
            <w:r>
              <w:rPr>
                <w:rFonts w:hint="eastAsia" w:ascii="Arial" w:hAnsi="Arial" w:cs="Arial"/>
                <w:spacing w:val="-3"/>
                <w:sz w:val="24"/>
                <w:szCs w:val="24"/>
                <w:lang w:val="en-US" w:eastAsia="zh-CN"/>
              </w:rPr>
              <w:t>上方设置集气罩将其收集至配套的</w:t>
            </w:r>
            <w:r>
              <w:rPr>
                <w:rFonts w:hint="default" w:ascii="Arial" w:hAnsi="Arial" w:cs="Arial"/>
                <w:spacing w:val="-3"/>
                <w:sz w:val="24"/>
                <w:szCs w:val="24"/>
              </w:rPr>
              <w:t>布袋除尘器处理后通过除尘器上排口无组织排放袋式除尘器的净化效率为99.7%</w:t>
            </w:r>
            <w:r>
              <w:rPr>
                <w:rFonts w:hint="eastAsia" w:ascii="Arial" w:hAnsi="Arial" w:cs="Arial"/>
                <w:spacing w:val="-3"/>
                <w:sz w:val="24"/>
                <w:szCs w:val="24"/>
                <w:lang w:eastAsia="zh-CN"/>
              </w:rPr>
              <w:t>，</w:t>
            </w:r>
            <w:r>
              <w:rPr>
                <w:rFonts w:hint="eastAsia" w:ascii="Arial" w:hAnsi="Arial" w:cs="Arial"/>
                <w:spacing w:val="-3"/>
                <w:sz w:val="24"/>
                <w:szCs w:val="24"/>
                <w:lang w:val="en-US" w:eastAsia="zh-CN"/>
              </w:rPr>
              <w:t>粉尘收集效率按90%统计。</w:t>
            </w:r>
            <w:r>
              <w:rPr>
                <w:rFonts w:hint="default" w:ascii="Arial" w:hAnsi="Arial" w:cs="Arial"/>
                <w:spacing w:val="-3"/>
                <w:sz w:val="24"/>
                <w:szCs w:val="24"/>
              </w:rPr>
              <w:t>同时</w:t>
            </w:r>
            <w:r>
              <w:rPr>
                <w:rFonts w:hint="eastAsia" w:ascii="Arial" w:hAnsi="Arial" w:cs="Arial"/>
                <w:spacing w:val="-3"/>
                <w:sz w:val="24"/>
                <w:szCs w:val="24"/>
                <w:lang w:val="en-US" w:eastAsia="zh-CN"/>
              </w:rPr>
              <w:t>对于灌区工程配套的移动式搅拌机和搅拌站拌合机</w:t>
            </w:r>
            <w:r>
              <w:rPr>
                <w:rFonts w:hint="default" w:ascii="Arial" w:hAnsi="Arial" w:cs="Arial"/>
                <w:spacing w:val="-3"/>
                <w:sz w:val="24"/>
                <w:szCs w:val="24"/>
              </w:rPr>
              <w:t>搅拌过程中</w:t>
            </w:r>
            <w:r>
              <w:rPr>
                <w:rFonts w:hint="eastAsia" w:ascii="Arial" w:hAnsi="Arial" w:cs="Arial"/>
                <w:spacing w:val="-3"/>
                <w:sz w:val="24"/>
                <w:szCs w:val="24"/>
                <w:lang w:val="en-US" w:eastAsia="zh-CN"/>
              </w:rPr>
              <w:t>先</w:t>
            </w:r>
            <w:r>
              <w:rPr>
                <w:rFonts w:hint="default" w:ascii="Arial" w:hAnsi="Arial" w:cs="Arial"/>
                <w:spacing w:val="-3"/>
                <w:sz w:val="24"/>
                <w:szCs w:val="24"/>
              </w:rPr>
              <w:t>加水，</w:t>
            </w:r>
            <w:r>
              <w:rPr>
                <w:rFonts w:hint="eastAsia" w:ascii="Arial" w:hAnsi="Arial" w:cs="Arial"/>
                <w:spacing w:val="-3"/>
                <w:sz w:val="24"/>
                <w:szCs w:val="24"/>
                <w:lang w:val="en-US" w:eastAsia="zh-CN"/>
              </w:rPr>
              <w:t>可有效</w:t>
            </w:r>
            <w:r>
              <w:rPr>
                <w:rFonts w:hint="default" w:ascii="Arial" w:hAnsi="Arial" w:cs="Arial"/>
                <w:spacing w:val="-3"/>
                <w:sz w:val="24"/>
                <w:szCs w:val="24"/>
              </w:rPr>
              <w:t>阻隔粉尘逸散。</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8" w:firstLineChars="200"/>
              <w:jc w:val="both"/>
              <w:textAlignment w:val="auto"/>
              <w:rPr>
                <w:rFonts w:hint="eastAsia" w:ascii="Arial" w:hAnsi="Arial" w:eastAsia="宋体" w:cs="Arial"/>
                <w:spacing w:val="-3"/>
                <w:sz w:val="24"/>
                <w:szCs w:val="24"/>
                <w:lang w:eastAsia="zh-CN"/>
              </w:rPr>
            </w:pPr>
            <w:r>
              <w:rPr>
                <w:rFonts w:hint="default" w:ascii="Arial" w:hAnsi="Arial" w:cs="Arial"/>
                <w:spacing w:val="-3"/>
                <w:sz w:val="24"/>
                <w:szCs w:val="24"/>
              </w:rPr>
              <w:t>本项目搅拌粉尘排放情况见下表所示</w:t>
            </w:r>
            <w:r>
              <w:rPr>
                <w:rFonts w:hint="eastAsia" w:ascii="Arial" w:hAnsi="Arial" w:cs="Arial"/>
                <w:spacing w:val="-3"/>
                <w:sz w:val="24"/>
                <w:szCs w:val="24"/>
                <w:lang w:eastAsia="zh-CN"/>
              </w:rPr>
              <w:t>：</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表4-</w:t>
            </w:r>
            <w:r>
              <w:rPr>
                <w:rFonts w:hint="eastAsia" w:hAnsi="宋体" w:cs="Times New Roman"/>
                <w:b/>
                <w:szCs w:val="21"/>
                <w:lang w:val="en-US" w:eastAsia="zh-CN"/>
              </w:rPr>
              <w:t>5</w:t>
            </w:r>
            <w:r>
              <w:rPr>
                <w:rFonts w:hint="eastAsia" w:ascii="Times New Roman" w:hAnsi="宋体" w:eastAsia="宋体" w:cs="Times New Roman"/>
                <w:b/>
                <w:szCs w:val="21"/>
                <w:lang w:val="zh-CN"/>
              </w:rPr>
              <w:t xml:space="preserve">  搅拌粉尘产排情况</w:t>
            </w:r>
          </w:p>
          <w:tbl>
            <w:tblPr>
              <w:tblStyle w:val="76"/>
              <w:tblW w:w="482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977"/>
              <w:gridCol w:w="1157"/>
              <w:gridCol w:w="995"/>
              <w:gridCol w:w="1267"/>
              <w:gridCol w:w="1419"/>
              <w:gridCol w:w="1267"/>
              <w:gridCol w:w="9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450" w:type="pct"/>
                  <w:vMerge w:val="restart"/>
                  <w:tcBorders>
                    <w:bottom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5"/>
                      <w:sz w:val="21"/>
                      <w:szCs w:val="21"/>
                    </w:rPr>
                    <w:t>污染物</w:t>
                  </w:r>
                </w:p>
              </w:tc>
              <w:tc>
                <w:tcPr>
                  <w:tcW w:w="554" w:type="pct"/>
                  <w:vMerge w:val="restart"/>
                  <w:tcBorders>
                    <w:bottom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5"/>
                      <w:sz w:val="21"/>
                      <w:szCs w:val="21"/>
                    </w:rPr>
                    <w:t>污染物</w:t>
                  </w:r>
                </w:p>
              </w:tc>
              <w:tc>
                <w:tcPr>
                  <w:tcW w:w="1220" w:type="pct"/>
                  <w:gridSpan w:val="2"/>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6"/>
                      <w:sz w:val="21"/>
                      <w:szCs w:val="21"/>
                    </w:rPr>
                    <w:t>产生情况</w:t>
                  </w:r>
                </w:p>
              </w:tc>
              <w:tc>
                <w:tcPr>
                  <w:tcW w:w="719" w:type="pct"/>
                  <w:vMerge w:val="restart"/>
                  <w:tcBorders>
                    <w:bottom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4"/>
                      <w:sz w:val="21"/>
                      <w:szCs w:val="21"/>
                    </w:rPr>
                    <w:t>收集方式</w:t>
                  </w:r>
                </w:p>
              </w:tc>
              <w:tc>
                <w:tcPr>
                  <w:tcW w:w="805" w:type="pct"/>
                  <w:vMerge w:val="restart"/>
                  <w:tcBorders>
                    <w:bottom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5"/>
                      <w:sz w:val="21"/>
                      <w:szCs w:val="21"/>
                    </w:rPr>
                    <w:t>处理措施</w:t>
                  </w:r>
                </w:p>
              </w:tc>
              <w:tc>
                <w:tcPr>
                  <w:tcW w:w="1249" w:type="pct"/>
                  <w:gridSpan w:val="2"/>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6"/>
                      <w:sz w:val="21"/>
                      <w:szCs w:val="21"/>
                    </w:rPr>
                    <w:t>排放情况（无组织）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450"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szCs w:val="21"/>
                    </w:rPr>
                  </w:pPr>
                </w:p>
              </w:tc>
              <w:tc>
                <w:tcPr>
                  <w:tcW w:w="554"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szCs w:val="21"/>
                    </w:rPr>
                  </w:pPr>
                </w:p>
              </w:tc>
              <w:tc>
                <w:tcPr>
                  <w:tcW w:w="656"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6"/>
                      <w:sz w:val="21"/>
                      <w:szCs w:val="21"/>
                    </w:rPr>
                    <w:t>产生速率</w:t>
                  </w:r>
                  <w:r>
                    <w:rPr>
                      <w:spacing w:val="1"/>
                      <w:sz w:val="21"/>
                      <w:szCs w:val="21"/>
                    </w:rPr>
                    <w:t xml:space="preserve"> </w:t>
                  </w:r>
                  <w:r>
                    <w:rPr>
                      <w:b/>
                      <w:bCs/>
                      <w:spacing w:val="1"/>
                      <w:sz w:val="21"/>
                      <w:szCs w:val="21"/>
                    </w:rPr>
                    <w:t>（</w:t>
                  </w:r>
                  <w:r>
                    <w:rPr>
                      <w:rFonts w:ascii="Times New Roman" w:hAnsi="Times New Roman" w:eastAsia="Times New Roman" w:cs="Times New Roman"/>
                      <w:b/>
                      <w:bCs/>
                      <w:sz w:val="21"/>
                      <w:szCs w:val="21"/>
                    </w:rPr>
                    <w:t>kg</w:t>
                  </w:r>
                  <w:r>
                    <w:rPr>
                      <w:rFonts w:ascii="Times New Roman" w:hAnsi="Times New Roman" w:eastAsia="Times New Roman" w:cs="Times New Roman"/>
                      <w:b/>
                      <w:bCs/>
                      <w:spacing w:val="1"/>
                      <w:sz w:val="21"/>
                      <w:szCs w:val="21"/>
                    </w:rPr>
                    <w:t>/h</w:t>
                  </w:r>
                  <w:r>
                    <w:rPr>
                      <w:b/>
                      <w:bCs/>
                      <w:spacing w:val="1"/>
                      <w:sz w:val="21"/>
                      <w:szCs w:val="21"/>
                    </w:rPr>
                    <w:t>）</w:t>
                  </w:r>
                </w:p>
              </w:tc>
              <w:tc>
                <w:tcPr>
                  <w:tcW w:w="563"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5"/>
                      <w:sz w:val="21"/>
                      <w:szCs w:val="21"/>
                    </w:rPr>
                    <w:t>产生量</w:t>
                  </w:r>
                  <w:r>
                    <w:rPr>
                      <w:sz w:val="21"/>
                      <w:szCs w:val="21"/>
                    </w:rPr>
                    <w:t xml:space="preserve"> </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1"/>
                      <w:sz w:val="21"/>
                      <w:szCs w:val="21"/>
                    </w:rPr>
                    <w:t>（</w:t>
                  </w:r>
                  <w:r>
                    <w:rPr>
                      <w:rFonts w:ascii="Times New Roman" w:hAnsi="Times New Roman" w:eastAsia="Times New Roman" w:cs="Times New Roman"/>
                      <w:b/>
                      <w:bCs/>
                      <w:spacing w:val="-1"/>
                      <w:sz w:val="21"/>
                      <w:szCs w:val="21"/>
                    </w:rPr>
                    <w:t>t/a</w:t>
                  </w:r>
                  <w:r>
                    <w:rPr>
                      <w:b/>
                      <w:bCs/>
                      <w:spacing w:val="-1"/>
                      <w:sz w:val="21"/>
                      <w:szCs w:val="21"/>
                    </w:rPr>
                    <w:t>）</w:t>
                  </w:r>
                </w:p>
              </w:tc>
              <w:tc>
                <w:tcPr>
                  <w:tcW w:w="719"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szCs w:val="21"/>
                    </w:rPr>
                  </w:pPr>
                </w:p>
              </w:tc>
              <w:tc>
                <w:tcPr>
                  <w:tcW w:w="805"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ascii="Arial"/>
                      <w:sz w:val="21"/>
                      <w:szCs w:val="21"/>
                    </w:rPr>
                  </w:pPr>
                </w:p>
              </w:tc>
              <w:tc>
                <w:tcPr>
                  <w:tcW w:w="719"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b/>
                      <w:bCs/>
                      <w:spacing w:val="6"/>
                      <w:sz w:val="21"/>
                      <w:szCs w:val="21"/>
                    </w:rPr>
                  </w:pPr>
                  <w:r>
                    <w:rPr>
                      <w:b/>
                      <w:bCs/>
                      <w:spacing w:val="6"/>
                      <w:sz w:val="21"/>
                      <w:szCs w:val="21"/>
                    </w:rPr>
                    <w:t>排放速率</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1"/>
                      <w:sz w:val="21"/>
                      <w:szCs w:val="21"/>
                    </w:rPr>
                    <w:t>（</w:t>
                  </w:r>
                  <w:r>
                    <w:rPr>
                      <w:rFonts w:ascii="Times New Roman" w:hAnsi="Times New Roman" w:eastAsia="Times New Roman" w:cs="Times New Roman"/>
                      <w:b/>
                      <w:bCs/>
                      <w:sz w:val="21"/>
                      <w:szCs w:val="21"/>
                    </w:rPr>
                    <w:t>kg</w:t>
                  </w:r>
                  <w:r>
                    <w:rPr>
                      <w:rFonts w:ascii="Times New Roman" w:hAnsi="Times New Roman" w:eastAsia="Times New Roman" w:cs="Times New Roman"/>
                      <w:b/>
                      <w:bCs/>
                      <w:spacing w:val="1"/>
                      <w:sz w:val="21"/>
                      <w:szCs w:val="21"/>
                    </w:rPr>
                    <w:t>/h</w:t>
                  </w:r>
                  <w:r>
                    <w:rPr>
                      <w:b/>
                      <w:bCs/>
                      <w:spacing w:val="1"/>
                      <w:sz w:val="21"/>
                      <w:szCs w:val="21"/>
                    </w:rPr>
                    <w:t>）</w:t>
                  </w:r>
                </w:p>
              </w:tc>
              <w:tc>
                <w:tcPr>
                  <w:tcW w:w="530"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5"/>
                      <w:sz w:val="21"/>
                      <w:szCs w:val="21"/>
                    </w:rPr>
                    <w:t>排放量</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b/>
                      <w:bCs/>
                      <w:spacing w:val="-1"/>
                      <w:sz w:val="21"/>
                      <w:szCs w:val="21"/>
                    </w:rPr>
                    <w:t>（</w:t>
                  </w:r>
                  <w:r>
                    <w:rPr>
                      <w:rFonts w:ascii="Times New Roman" w:hAnsi="Times New Roman" w:eastAsia="Times New Roman" w:cs="Times New Roman"/>
                      <w:b/>
                      <w:bCs/>
                      <w:spacing w:val="-1"/>
                      <w:sz w:val="21"/>
                      <w:szCs w:val="21"/>
                    </w:rPr>
                    <w:t>t/a</w:t>
                  </w:r>
                  <w:r>
                    <w:rPr>
                      <w:b/>
                      <w:bCs/>
                      <w:spacing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450"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spacing w:val="5"/>
                      <w:sz w:val="21"/>
                      <w:szCs w:val="21"/>
                      <w:lang w:val="en-US" w:eastAsia="zh-CN"/>
                    </w:rPr>
                  </w:pPr>
                  <w:r>
                    <w:rPr>
                      <w:rFonts w:hint="eastAsia"/>
                      <w:spacing w:val="5"/>
                      <w:sz w:val="21"/>
                      <w:szCs w:val="21"/>
                      <w:lang w:val="en-US" w:eastAsia="zh-CN"/>
                    </w:rPr>
                    <w:t>搅拌</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4"/>
                      <w:sz w:val="21"/>
                      <w:szCs w:val="21"/>
                    </w:rPr>
                    <w:t>粉尘</w:t>
                  </w:r>
                </w:p>
              </w:tc>
              <w:tc>
                <w:tcPr>
                  <w:tcW w:w="554"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颗粒物</w:t>
                  </w:r>
                </w:p>
              </w:tc>
              <w:tc>
                <w:tcPr>
                  <w:tcW w:w="65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1.18</w:t>
                  </w:r>
                </w:p>
              </w:tc>
              <w:tc>
                <w:tcPr>
                  <w:tcW w:w="563"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3"/>
                      <w:sz w:val="21"/>
                      <w:szCs w:val="21"/>
                      <w:lang w:val="en-US" w:eastAsia="zh-CN"/>
                    </w:rPr>
                    <w:t>9.36</w:t>
                  </w:r>
                </w:p>
              </w:tc>
              <w:tc>
                <w:tcPr>
                  <w:tcW w:w="719"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7"/>
                      <w:sz w:val="21"/>
                      <w:szCs w:val="21"/>
                    </w:rPr>
                    <w:t>密闭收集</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1"/>
                      <w:sz w:val="21"/>
                      <w:szCs w:val="21"/>
                    </w:rPr>
                    <w:t>（</w:t>
                  </w:r>
                  <w:r>
                    <w:rPr>
                      <w:rFonts w:hint="eastAsia" w:ascii="Times New Roman" w:hAnsi="Times New Roman" w:eastAsia="宋体" w:cs="Times New Roman"/>
                      <w:spacing w:val="1"/>
                      <w:sz w:val="21"/>
                      <w:szCs w:val="21"/>
                      <w:lang w:val="en-US" w:eastAsia="zh-CN"/>
                    </w:rPr>
                    <w:t>9</w:t>
                  </w:r>
                  <w:r>
                    <w:rPr>
                      <w:rFonts w:ascii="Times New Roman" w:hAnsi="Times New Roman" w:eastAsia="Times New Roman" w:cs="Times New Roman"/>
                      <w:spacing w:val="1"/>
                      <w:sz w:val="21"/>
                      <w:szCs w:val="21"/>
                    </w:rPr>
                    <w:t>0%</w:t>
                  </w:r>
                  <w:r>
                    <w:rPr>
                      <w:spacing w:val="1"/>
                      <w:sz w:val="21"/>
                      <w:szCs w:val="21"/>
                    </w:rPr>
                    <w:t>）</w:t>
                  </w:r>
                </w:p>
              </w:tc>
              <w:tc>
                <w:tcPr>
                  <w:tcW w:w="805" w:type="pct"/>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8"/>
                      <w:sz w:val="21"/>
                      <w:szCs w:val="21"/>
                    </w:rPr>
                  </w:pPr>
                  <w:r>
                    <w:rPr>
                      <w:spacing w:val="8"/>
                      <w:sz w:val="21"/>
                      <w:szCs w:val="21"/>
                    </w:rPr>
                    <w:t>布袋除尘器</w:t>
                  </w:r>
                </w:p>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1"/>
                      <w:szCs w:val="21"/>
                    </w:rPr>
                  </w:pPr>
                  <w:r>
                    <w:rPr>
                      <w:spacing w:val="2"/>
                      <w:sz w:val="21"/>
                      <w:szCs w:val="21"/>
                    </w:rPr>
                    <w:t>（</w:t>
                  </w:r>
                  <w:r>
                    <w:rPr>
                      <w:rFonts w:ascii="Times New Roman" w:hAnsi="Times New Roman" w:eastAsia="Times New Roman" w:cs="Times New Roman"/>
                      <w:spacing w:val="2"/>
                      <w:sz w:val="21"/>
                      <w:szCs w:val="21"/>
                    </w:rPr>
                    <w:t>99.7%</w:t>
                  </w:r>
                  <w:r>
                    <w:rPr>
                      <w:spacing w:val="2"/>
                      <w:sz w:val="21"/>
                      <w:szCs w:val="21"/>
                    </w:rPr>
                    <w:t>）</w:t>
                  </w:r>
                </w:p>
              </w:tc>
              <w:tc>
                <w:tcPr>
                  <w:tcW w:w="71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12</w:t>
                  </w:r>
                </w:p>
              </w:tc>
              <w:tc>
                <w:tcPr>
                  <w:tcW w:w="53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3"/>
                      <w:sz w:val="21"/>
                      <w:szCs w:val="21"/>
                    </w:rPr>
                    <w:t>0.</w:t>
                  </w:r>
                  <w:r>
                    <w:rPr>
                      <w:rFonts w:hint="eastAsia" w:ascii="Times New Roman" w:hAnsi="Times New Roman" w:eastAsia="宋体" w:cs="Times New Roman"/>
                      <w:spacing w:val="3"/>
                      <w:sz w:val="21"/>
                      <w:szCs w:val="21"/>
                      <w:lang w:val="en-US" w:eastAsia="zh-CN"/>
                    </w:rPr>
                    <w:t>961</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4、施工扬尘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both"/>
              <w:textAlignment w:val="auto"/>
              <w:rPr>
                <w:rFonts w:hint="default" w:ascii="Arial" w:hAnsi="Arial" w:cs="Arial"/>
                <w:spacing w:val="-3"/>
                <w:sz w:val="24"/>
                <w:szCs w:val="24"/>
              </w:rPr>
            </w:pPr>
            <w:r>
              <w:rPr>
                <w:rFonts w:hint="default" w:ascii="Arial" w:hAnsi="Arial" w:cs="Arial"/>
                <w:spacing w:val="-3"/>
                <w:sz w:val="24"/>
                <w:szCs w:val="24"/>
              </w:rPr>
              <w:t>施工期产生的扬尘主要集中在土建施工阶段，其主要来源于基础施工挖掘过程，建筑材料（钢材、商品混凝土、少量的砂、石水泥等）运输进场、装卸及堆放工序及场地。各工序产生的扬尘，具有量多、点多、面广的特点，为项目施工期的主要环境影响因素之一。</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sz w:val="24"/>
                <w:szCs w:val="24"/>
              </w:rPr>
            </w:pPr>
            <w:r>
              <w:rPr>
                <w:b/>
                <w:bCs/>
                <w:spacing w:val="-2"/>
                <w:sz w:val="24"/>
                <w:szCs w:val="24"/>
              </w:rPr>
              <w:t>露天堆场扬尘：</w:t>
            </w:r>
            <w:r>
              <w:rPr>
                <w:spacing w:val="-2"/>
                <w:sz w:val="24"/>
                <w:szCs w:val="24"/>
              </w:rPr>
              <w:t>露天堆场扬尘主要是项目露天堆放的建材及裸露的施工区表</w:t>
            </w:r>
            <w:r>
              <w:rPr>
                <w:spacing w:val="-1"/>
                <w:sz w:val="24"/>
                <w:szCs w:val="24"/>
              </w:rPr>
              <w:t>层浮尘，在气候干燥且有风的情况下可能会产生扬尘，其主要影</w:t>
            </w:r>
            <w:r>
              <w:rPr>
                <w:spacing w:val="-2"/>
                <w:sz w:val="24"/>
                <w:szCs w:val="24"/>
              </w:rPr>
              <w:t>响范围是扬尘点</w:t>
            </w:r>
            <w:r>
              <w:rPr>
                <w:spacing w:val="-1"/>
                <w:sz w:val="24"/>
                <w:szCs w:val="24"/>
              </w:rPr>
              <w:t>下风向近距离的地点，其扬尘可按堆放处起尘的经验公式计算：</w:t>
            </w:r>
          </w:p>
          <w:p>
            <w:pPr>
              <w:spacing w:before="4" w:line="397" w:lineRule="exact"/>
              <w:ind w:left="3397"/>
              <w:rPr>
                <w:rFonts w:ascii="Times New Roman" w:hAnsi="Times New Roman" w:eastAsia="Times New Roman" w:cs="Times New Roman"/>
                <w:sz w:val="13"/>
                <w:szCs w:val="13"/>
              </w:rPr>
            </w:pPr>
            <w:r>
              <w:rPr>
                <w:rFonts w:ascii="Times New Roman" w:hAnsi="Times New Roman" w:eastAsia="Times New Roman" w:cs="Times New Roman"/>
                <w:i/>
                <w:iCs/>
                <w:spacing w:val="-12"/>
                <w:position w:val="4"/>
                <w:sz w:val="23"/>
                <w:szCs w:val="23"/>
              </w:rPr>
              <w:t>Q</w:t>
            </w:r>
            <w:r>
              <w:rPr>
                <w:rFonts w:ascii="Times New Roman" w:hAnsi="Times New Roman" w:eastAsia="Times New Roman" w:cs="Times New Roman"/>
                <w:i/>
                <w:iCs/>
                <w:spacing w:val="13"/>
                <w:position w:val="4"/>
                <w:sz w:val="23"/>
                <w:szCs w:val="23"/>
              </w:rPr>
              <w:t xml:space="preserve"> </w:t>
            </w:r>
            <w:r>
              <w:rPr>
                <w:rFonts w:ascii="Arial" w:hAnsi="Arial" w:eastAsia="Arial" w:cs="Arial"/>
                <w:spacing w:val="-12"/>
                <w:position w:val="4"/>
                <w:sz w:val="23"/>
                <w:szCs w:val="23"/>
              </w:rPr>
              <w:t>=</w:t>
            </w:r>
            <w:r>
              <w:rPr>
                <w:rFonts w:ascii="Arial" w:hAnsi="Arial" w:eastAsia="Arial" w:cs="Arial"/>
                <w:spacing w:val="2"/>
                <w:position w:val="4"/>
                <w:sz w:val="23"/>
                <w:szCs w:val="23"/>
              </w:rPr>
              <w:t xml:space="preserve"> </w:t>
            </w:r>
            <w:r>
              <w:rPr>
                <w:rFonts w:ascii="Times New Roman" w:hAnsi="Times New Roman" w:eastAsia="Times New Roman" w:cs="Times New Roman"/>
                <w:spacing w:val="-12"/>
                <w:position w:val="4"/>
                <w:sz w:val="23"/>
                <w:szCs w:val="23"/>
              </w:rPr>
              <w:t>2.</w:t>
            </w:r>
            <w:r>
              <w:rPr>
                <w:rFonts w:ascii="Times New Roman" w:hAnsi="Times New Roman" w:eastAsia="Times New Roman" w:cs="Times New Roman"/>
                <w:spacing w:val="-28"/>
                <w:position w:val="4"/>
                <w:sz w:val="23"/>
                <w:szCs w:val="23"/>
              </w:rPr>
              <w:t xml:space="preserve"> </w:t>
            </w:r>
            <w:r>
              <w:rPr>
                <w:rFonts w:ascii="Times New Roman" w:hAnsi="Times New Roman" w:eastAsia="Times New Roman" w:cs="Times New Roman"/>
                <w:spacing w:val="-12"/>
                <w:position w:val="4"/>
                <w:sz w:val="23"/>
                <w:szCs w:val="23"/>
              </w:rPr>
              <w:t>1</w:t>
            </w:r>
            <w:r>
              <w:rPr>
                <w:rFonts w:ascii="Arial" w:hAnsi="Arial" w:eastAsia="Arial" w:cs="Arial"/>
                <w:spacing w:val="-12"/>
                <w:position w:val="4"/>
                <w:sz w:val="30"/>
                <w:szCs w:val="30"/>
              </w:rPr>
              <w:t>(</w:t>
            </w:r>
            <w:r>
              <w:rPr>
                <w:rFonts w:ascii="Times New Roman" w:hAnsi="Times New Roman" w:eastAsia="Times New Roman" w:cs="Times New Roman"/>
                <w:i/>
                <w:iCs/>
                <w:spacing w:val="-12"/>
                <w:position w:val="4"/>
                <w:sz w:val="23"/>
                <w:szCs w:val="23"/>
              </w:rPr>
              <w:t>V</w:t>
            </w:r>
            <w:r>
              <w:rPr>
                <w:rFonts w:ascii="Times New Roman" w:hAnsi="Times New Roman" w:eastAsia="Times New Roman" w:cs="Times New Roman"/>
                <w:spacing w:val="-12"/>
                <w:position w:val="-2"/>
                <w:sz w:val="13"/>
                <w:szCs w:val="13"/>
              </w:rPr>
              <w:t>50</w:t>
            </w:r>
            <w:r>
              <w:rPr>
                <w:rFonts w:ascii="Times New Roman" w:hAnsi="Times New Roman" w:eastAsia="Times New Roman" w:cs="Times New Roman"/>
                <w:spacing w:val="4"/>
                <w:position w:val="-2"/>
                <w:sz w:val="13"/>
                <w:szCs w:val="13"/>
              </w:rPr>
              <w:t xml:space="preserve">  </w:t>
            </w:r>
            <w:r>
              <w:rPr>
                <w:rFonts w:ascii="Arial" w:hAnsi="Arial" w:eastAsia="Arial" w:cs="Arial"/>
                <w:spacing w:val="8"/>
                <w:position w:val="4"/>
                <w:sz w:val="23"/>
                <w:szCs w:val="23"/>
              </w:rPr>
              <w:t>-</w:t>
            </w:r>
            <w:r>
              <w:rPr>
                <w:rFonts w:ascii="Times New Roman" w:hAnsi="Times New Roman" w:eastAsia="Times New Roman" w:cs="Times New Roman"/>
                <w:i/>
                <w:iCs/>
                <w:spacing w:val="8"/>
                <w:position w:val="4"/>
                <w:sz w:val="23"/>
                <w:szCs w:val="23"/>
              </w:rPr>
              <w:t>V</w:t>
            </w:r>
            <w:r>
              <w:rPr>
                <w:rFonts w:ascii="Times New Roman" w:hAnsi="Times New Roman" w:eastAsia="Times New Roman" w:cs="Times New Roman"/>
                <w:spacing w:val="8"/>
                <w:position w:val="-2"/>
                <w:sz w:val="13"/>
                <w:szCs w:val="13"/>
              </w:rPr>
              <w:t xml:space="preserve">0 </w:t>
            </w:r>
            <w:r>
              <w:rPr>
                <w:rFonts w:ascii="Arial" w:hAnsi="Arial" w:eastAsia="Arial" w:cs="Arial"/>
                <w:spacing w:val="8"/>
                <w:position w:val="4"/>
                <w:sz w:val="30"/>
                <w:szCs w:val="30"/>
              </w:rPr>
              <w:t>)</w:t>
            </w:r>
            <w:r>
              <w:rPr>
                <w:rFonts w:ascii="Times New Roman" w:hAnsi="Times New Roman" w:eastAsia="Times New Roman" w:cs="Times New Roman"/>
                <w:spacing w:val="8"/>
                <w:position w:val="15"/>
                <w:sz w:val="13"/>
                <w:szCs w:val="13"/>
              </w:rPr>
              <w:t xml:space="preserve">3 </w:t>
            </w:r>
            <w:r>
              <w:rPr>
                <w:rFonts w:ascii="Times New Roman" w:hAnsi="Times New Roman" w:eastAsia="Times New Roman" w:cs="Times New Roman"/>
                <w:i/>
                <w:iCs/>
                <w:spacing w:val="8"/>
                <w:position w:val="4"/>
                <w:sz w:val="23"/>
                <w:szCs w:val="23"/>
              </w:rPr>
              <w:t>e</w:t>
            </w:r>
            <w:r>
              <w:rPr>
                <w:rFonts w:ascii="Arial" w:hAnsi="Arial" w:eastAsia="Arial" w:cs="Arial"/>
                <w:spacing w:val="8"/>
                <w:position w:val="13"/>
                <w:sz w:val="13"/>
                <w:szCs w:val="13"/>
              </w:rPr>
              <w:t>-</w:t>
            </w:r>
            <w:r>
              <w:rPr>
                <w:rFonts w:ascii="Times New Roman" w:hAnsi="Times New Roman" w:eastAsia="Times New Roman" w:cs="Times New Roman"/>
                <w:spacing w:val="8"/>
                <w:position w:val="13"/>
                <w:sz w:val="13"/>
                <w:szCs w:val="13"/>
              </w:rPr>
              <w:t>1.023</w:t>
            </w:r>
            <w:r>
              <w:rPr>
                <w:rFonts w:ascii="Times New Roman" w:hAnsi="Times New Roman" w:eastAsia="Times New Roman" w:cs="Times New Roman"/>
                <w:i/>
                <w:iCs/>
                <w:spacing w:val="8"/>
                <w:position w:val="13"/>
                <w:sz w:val="13"/>
                <w:szCs w:val="13"/>
              </w:rPr>
              <w:t>w</w:t>
            </w:r>
          </w:p>
          <w:p>
            <w:pPr>
              <w:pStyle w:val="75"/>
              <w:spacing w:before="257" w:line="220" w:lineRule="auto"/>
              <w:ind w:left="597"/>
              <w:rPr>
                <w:rFonts w:hint="default" w:ascii="Arial" w:hAnsi="Arial" w:cs="Arial"/>
                <w:sz w:val="24"/>
                <w:szCs w:val="24"/>
              </w:rPr>
            </w:pPr>
            <w:r>
              <w:rPr>
                <w:rFonts w:hint="default" w:ascii="Arial" w:hAnsi="Arial" w:cs="Arial"/>
                <w:spacing w:val="-5"/>
                <w:sz w:val="24"/>
                <w:szCs w:val="24"/>
              </w:rPr>
              <w:t>式中：</w:t>
            </w:r>
          </w:p>
          <w:p>
            <w:pPr>
              <w:pStyle w:val="75"/>
              <w:spacing w:before="182" w:line="212" w:lineRule="auto"/>
              <w:ind w:left="594"/>
              <w:rPr>
                <w:rFonts w:hint="default" w:ascii="Arial" w:hAnsi="Arial" w:cs="Arial"/>
                <w:sz w:val="24"/>
                <w:szCs w:val="24"/>
              </w:rPr>
            </w:pPr>
            <w:r>
              <w:rPr>
                <w:rFonts w:hint="default" w:ascii="Arial" w:hAnsi="Arial" w:eastAsia="Times New Roman" w:cs="Arial"/>
                <w:i/>
                <w:iCs/>
                <w:spacing w:val="-1"/>
                <w:sz w:val="24"/>
                <w:szCs w:val="24"/>
              </w:rPr>
              <w:t>Q</w:t>
            </w:r>
            <w:r>
              <w:rPr>
                <w:rFonts w:hint="default" w:ascii="Arial" w:hAnsi="Arial" w:eastAsia="Times New Roman" w:cs="Arial"/>
                <w:spacing w:val="-1"/>
                <w:sz w:val="24"/>
                <w:szCs w:val="24"/>
              </w:rPr>
              <w:t>——</w:t>
            </w:r>
            <w:r>
              <w:rPr>
                <w:rFonts w:hint="default" w:ascii="Arial" w:hAnsi="Arial" w:cs="Arial"/>
                <w:spacing w:val="-1"/>
                <w:sz w:val="24"/>
                <w:szCs w:val="24"/>
              </w:rPr>
              <w:t>起尘量，</w:t>
            </w:r>
            <w:r>
              <w:rPr>
                <w:rFonts w:hint="default" w:ascii="Arial" w:hAnsi="Arial" w:eastAsia="Times New Roman" w:cs="Arial"/>
                <w:spacing w:val="-1"/>
                <w:sz w:val="24"/>
                <w:szCs w:val="24"/>
              </w:rPr>
              <w:t>kg/t·a</w:t>
            </w:r>
            <w:r>
              <w:rPr>
                <w:rFonts w:hint="default" w:ascii="Arial" w:hAnsi="Arial" w:cs="Arial"/>
                <w:spacing w:val="-1"/>
                <w:sz w:val="24"/>
                <w:szCs w:val="24"/>
              </w:rPr>
              <w:t>；</w:t>
            </w:r>
          </w:p>
          <w:p>
            <w:pPr>
              <w:pStyle w:val="75"/>
              <w:spacing w:before="193" w:line="220" w:lineRule="auto"/>
              <w:ind w:left="613"/>
              <w:rPr>
                <w:rFonts w:hint="default" w:ascii="Arial" w:hAnsi="Arial" w:cs="Arial"/>
                <w:sz w:val="24"/>
                <w:szCs w:val="24"/>
              </w:rPr>
            </w:pPr>
            <w:r>
              <w:rPr>
                <w:rFonts w:hint="default" w:ascii="Arial" w:hAnsi="Arial" w:eastAsia="Times New Roman" w:cs="Arial"/>
                <w:i/>
                <w:iCs/>
                <w:spacing w:val="-3"/>
                <w:sz w:val="24"/>
                <w:szCs w:val="24"/>
              </w:rPr>
              <w:t>V</w:t>
            </w:r>
            <w:r>
              <w:rPr>
                <w:rFonts w:hint="default" w:ascii="Arial" w:hAnsi="Arial" w:eastAsia="Times New Roman" w:cs="Arial"/>
                <w:i/>
                <w:iCs/>
                <w:spacing w:val="-3"/>
                <w:position w:val="-1"/>
                <w:sz w:val="24"/>
                <w:szCs w:val="24"/>
              </w:rPr>
              <w:t>50</w:t>
            </w:r>
            <w:r>
              <w:rPr>
                <w:rFonts w:hint="default" w:ascii="Arial" w:hAnsi="Arial" w:eastAsia="Times New Roman" w:cs="Arial"/>
                <w:spacing w:val="-3"/>
                <w:sz w:val="24"/>
                <w:szCs w:val="24"/>
              </w:rPr>
              <w:t>——</w:t>
            </w:r>
            <w:r>
              <w:rPr>
                <w:rFonts w:hint="default" w:ascii="Arial" w:hAnsi="Arial" w:cs="Arial"/>
                <w:spacing w:val="-3"/>
                <w:sz w:val="24"/>
                <w:szCs w:val="24"/>
              </w:rPr>
              <w:t>距地面</w:t>
            </w:r>
            <w:r>
              <w:rPr>
                <w:rFonts w:hint="default" w:ascii="Arial" w:hAnsi="Arial" w:cs="Arial"/>
                <w:spacing w:val="-42"/>
                <w:sz w:val="24"/>
                <w:szCs w:val="24"/>
              </w:rPr>
              <w:t xml:space="preserve"> </w:t>
            </w:r>
            <w:r>
              <w:rPr>
                <w:rFonts w:hint="default" w:ascii="Arial" w:hAnsi="Arial" w:eastAsia="Times New Roman" w:cs="Arial"/>
                <w:spacing w:val="-3"/>
                <w:sz w:val="24"/>
                <w:szCs w:val="24"/>
              </w:rPr>
              <w:t>50m</w:t>
            </w:r>
            <w:r>
              <w:rPr>
                <w:rFonts w:hint="default" w:ascii="Arial" w:hAnsi="Arial" w:eastAsia="Times New Roman" w:cs="Arial"/>
                <w:spacing w:val="15"/>
                <w:sz w:val="24"/>
                <w:szCs w:val="24"/>
              </w:rPr>
              <w:t xml:space="preserve"> </w:t>
            </w:r>
            <w:r>
              <w:rPr>
                <w:rFonts w:hint="default" w:ascii="Arial" w:hAnsi="Arial" w:cs="Arial"/>
                <w:spacing w:val="-3"/>
                <w:sz w:val="24"/>
                <w:szCs w:val="24"/>
              </w:rPr>
              <w:t>处风速，</w:t>
            </w:r>
            <w:r>
              <w:rPr>
                <w:rFonts w:hint="default" w:ascii="Arial" w:hAnsi="Arial" w:eastAsia="Times New Roman" w:cs="Arial"/>
                <w:spacing w:val="-3"/>
                <w:sz w:val="24"/>
                <w:szCs w:val="24"/>
              </w:rPr>
              <w:t>m/s</w:t>
            </w:r>
            <w:r>
              <w:rPr>
                <w:rFonts w:hint="default" w:ascii="Arial" w:hAnsi="Arial" w:cs="Arial"/>
                <w:spacing w:val="-3"/>
                <w:sz w:val="24"/>
                <w:szCs w:val="24"/>
              </w:rPr>
              <w:t>；</w:t>
            </w:r>
          </w:p>
          <w:p>
            <w:pPr>
              <w:pStyle w:val="75"/>
              <w:spacing w:before="182" w:line="220" w:lineRule="auto"/>
              <w:ind w:left="613"/>
              <w:rPr>
                <w:rFonts w:hint="default" w:ascii="Arial" w:hAnsi="Arial" w:cs="Arial"/>
                <w:sz w:val="24"/>
                <w:szCs w:val="24"/>
              </w:rPr>
            </w:pPr>
            <w:r>
              <w:rPr>
                <w:rFonts w:hint="default" w:ascii="Arial" w:hAnsi="Arial" w:eastAsia="Times New Roman" w:cs="Arial"/>
                <w:i/>
                <w:iCs/>
                <w:spacing w:val="-4"/>
                <w:sz w:val="24"/>
                <w:szCs w:val="24"/>
              </w:rPr>
              <w:t>V</w:t>
            </w:r>
            <w:r>
              <w:rPr>
                <w:rFonts w:hint="default" w:ascii="Arial" w:hAnsi="Arial" w:eastAsia="Times New Roman" w:cs="Arial"/>
                <w:i/>
                <w:iCs/>
                <w:spacing w:val="-2"/>
                <w:position w:val="-1"/>
                <w:sz w:val="24"/>
                <w:szCs w:val="24"/>
              </w:rPr>
              <w:t>0</w:t>
            </w:r>
            <w:r>
              <w:rPr>
                <w:rFonts w:hint="default" w:ascii="Arial" w:hAnsi="Arial" w:eastAsia="Times New Roman" w:cs="Arial"/>
                <w:spacing w:val="-2"/>
                <w:sz w:val="24"/>
                <w:szCs w:val="24"/>
              </w:rPr>
              <w:t>——</w:t>
            </w:r>
            <w:r>
              <w:rPr>
                <w:rFonts w:hint="default" w:ascii="Arial" w:hAnsi="Arial" w:cs="Arial"/>
                <w:spacing w:val="-2"/>
                <w:sz w:val="24"/>
                <w:szCs w:val="24"/>
              </w:rPr>
              <w:t>起尘风速，</w:t>
            </w:r>
            <w:r>
              <w:rPr>
                <w:rFonts w:hint="default" w:ascii="Arial" w:hAnsi="Arial" w:eastAsia="Times New Roman" w:cs="Arial"/>
                <w:spacing w:val="-2"/>
                <w:sz w:val="24"/>
                <w:szCs w:val="24"/>
              </w:rPr>
              <w:t>m/s</w:t>
            </w:r>
            <w:r>
              <w:rPr>
                <w:rFonts w:hint="default" w:ascii="Arial" w:hAnsi="Arial" w:cs="Arial"/>
                <w:spacing w:val="-2"/>
                <w:sz w:val="24"/>
                <w:szCs w:val="24"/>
              </w:rPr>
              <w:t>；</w:t>
            </w:r>
          </w:p>
          <w:p>
            <w:pPr>
              <w:pStyle w:val="75"/>
              <w:spacing w:before="182" w:line="219" w:lineRule="auto"/>
              <w:ind w:left="612"/>
              <w:rPr>
                <w:rFonts w:hint="default" w:ascii="Arial" w:hAnsi="Arial" w:cs="Arial"/>
                <w:sz w:val="24"/>
                <w:szCs w:val="24"/>
              </w:rPr>
            </w:pPr>
            <w:r>
              <w:rPr>
                <w:rFonts w:hint="default" w:ascii="Arial" w:hAnsi="Arial" w:eastAsia="Times New Roman" w:cs="Arial"/>
                <w:i/>
                <w:iCs/>
                <w:spacing w:val="-3"/>
                <w:sz w:val="24"/>
                <w:szCs w:val="24"/>
              </w:rPr>
              <w:t>W——</w:t>
            </w:r>
            <w:r>
              <w:rPr>
                <w:rFonts w:hint="default" w:ascii="Arial" w:hAnsi="Arial" w:cs="Arial"/>
                <w:spacing w:val="-3"/>
                <w:sz w:val="24"/>
                <w:szCs w:val="24"/>
              </w:rPr>
              <w:t>尘粒含水率，</w:t>
            </w:r>
            <w:r>
              <w:rPr>
                <w:rFonts w:hint="default" w:ascii="Arial" w:hAnsi="Arial" w:eastAsia="Times New Roman" w:cs="Arial"/>
                <w:spacing w:val="-3"/>
                <w:sz w:val="24"/>
                <w:szCs w:val="24"/>
              </w:rPr>
              <w:t>%</w:t>
            </w:r>
            <w:r>
              <w:rPr>
                <w:rFonts w:hint="default" w:ascii="Arial" w:hAnsi="Arial" w:cs="Arial"/>
                <w:spacing w:val="-3"/>
                <w:sz w:val="24"/>
                <w:szCs w:val="24"/>
              </w:rPr>
              <w:t>。</w:t>
            </w:r>
          </w:p>
          <w:p>
            <w:pPr>
              <w:pStyle w:val="75"/>
              <w:spacing w:before="183" w:line="351" w:lineRule="auto"/>
              <w:ind w:left="111" w:right="107" w:firstLine="473"/>
              <w:rPr>
                <w:rFonts w:hint="eastAsia" w:ascii="Arial" w:hAnsi="Arial" w:eastAsia="宋体" w:cs="Arial"/>
                <w:spacing w:val="-1"/>
                <w:sz w:val="24"/>
                <w:szCs w:val="24"/>
                <w:lang w:eastAsia="zh-CN"/>
              </w:rPr>
            </w:pPr>
            <w:r>
              <w:rPr>
                <w:rFonts w:hint="default" w:ascii="Arial" w:hAnsi="Arial" w:eastAsia="Times New Roman" w:cs="Arial"/>
                <w:spacing w:val="-3"/>
                <w:sz w:val="24"/>
                <w:szCs w:val="24"/>
              </w:rPr>
              <w:t>V</w:t>
            </w:r>
            <w:r>
              <w:rPr>
                <w:rFonts w:hint="default" w:ascii="Arial" w:hAnsi="Arial" w:eastAsia="Times New Roman" w:cs="Arial"/>
                <w:spacing w:val="-3"/>
                <w:position w:val="-1"/>
                <w:sz w:val="24"/>
                <w:szCs w:val="24"/>
              </w:rPr>
              <w:t>0</w:t>
            </w:r>
            <w:r>
              <w:rPr>
                <w:rFonts w:hint="default" w:ascii="Arial" w:hAnsi="Arial" w:cs="Arial"/>
                <w:spacing w:val="-3"/>
                <w:sz w:val="24"/>
                <w:szCs w:val="24"/>
              </w:rPr>
              <w:t>与粒径和含水率有关，因此减少建材露天堆放时间、保证建材中一定的含</w:t>
            </w:r>
            <w:r>
              <w:rPr>
                <w:rFonts w:hint="default" w:ascii="Arial" w:hAnsi="Arial" w:cs="Arial"/>
                <w:spacing w:val="-1"/>
                <w:sz w:val="24"/>
                <w:szCs w:val="24"/>
              </w:rPr>
              <w:t>水率是减少风力起尘的有效手段。尘粒在空气中的传播扩散情况与</w:t>
            </w:r>
            <w:r>
              <w:rPr>
                <w:rFonts w:hint="default" w:ascii="Arial" w:hAnsi="Arial" w:cs="Arial"/>
                <w:spacing w:val="-2"/>
                <w:sz w:val="24"/>
                <w:szCs w:val="24"/>
              </w:rPr>
              <w:t>风速等气象条</w:t>
            </w:r>
            <w:r>
              <w:rPr>
                <w:rFonts w:hint="default" w:ascii="Arial" w:hAnsi="Arial" w:cs="Arial"/>
                <w:sz w:val="24"/>
                <w:szCs w:val="24"/>
              </w:rPr>
              <w:t>件有关，也与本身的沉降速度有关，不同尘</w:t>
            </w:r>
            <w:r>
              <w:rPr>
                <w:rFonts w:hint="default" w:ascii="Arial" w:hAnsi="Arial" w:cs="Arial"/>
                <w:spacing w:val="-1"/>
                <w:sz w:val="24"/>
                <w:szCs w:val="24"/>
              </w:rPr>
              <w:t>粒的沉降速度见下表</w:t>
            </w:r>
            <w:r>
              <w:rPr>
                <w:rFonts w:hint="eastAsia" w:ascii="Arial" w:hAnsi="Arial" w:cs="Arial"/>
                <w:spacing w:val="-1"/>
                <w:sz w:val="24"/>
                <w:szCs w:val="24"/>
                <w:lang w:eastAsia="zh-CN"/>
              </w:rPr>
              <w:t>：</w:t>
            </w:r>
          </w:p>
          <w:p>
            <w:pPr>
              <w:autoSpaceDE w:val="0"/>
              <w:autoSpaceDN w:val="0"/>
              <w:spacing w:line="360" w:lineRule="auto"/>
              <w:jc w:val="center"/>
              <w:rPr>
                <w:rFonts w:hint="eastAsia" w:ascii="Times New Roman" w:hAnsi="宋体" w:eastAsia="宋体" w:cs="Times New Roman"/>
                <w:b/>
                <w:szCs w:val="21"/>
                <w:lang w:val="en-US" w:eastAsia="zh-CN"/>
              </w:rPr>
            </w:pPr>
            <w:r>
              <w:rPr>
                <w:rFonts w:hint="eastAsia" w:ascii="Times New Roman" w:hAnsi="宋体" w:eastAsia="宋体" w:cs="Times New Roman"/>
                <w:b/>
                <w:szCs w:val="21"/>
                <w:lang w:val="zh-CN"/>
              </w:rPr>
              <w:t>表4-</w:t>
            </w:r>
            <w:r>
              <w:rPr>
                <w:rFonts w:hint="eastAsia" w:hAnsi="宋体" w:cs="Times New Roman"/>
                <w:b/>
                <w:szCs w:val="21"/>
                <w:lang w:val="en-US" w:eastAsia="zh-CN"/>
              </w:rPr>
              <w:t>6</w:t>
            </w:r>
            <w:r>
              <w:rPr>
                <w:rFonts w:hint="eastAsia" w:ascii="Times New Roman" w:hAnsi="宋体" w:eastAsia="宋体" w:cs="Times New Roman"/>
                <w:b/>
                <w:szCs w:val="21"/>
                <w:lang w:val="zh-CN"/>
              </w:rPr>
              <w:t xml:space="preserve">   不同粒径尘粒的沉降速度</w:t>
            </w:r>
          </w:p>
          <w:tbl>
            <w:tblPr>
              <w:tblStyle w:val="76"/>
              <w:tblW w:w="485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4"/>
              <w:gridCol w:w="747"/>
              <w:gridCol w:w="749"/>
              <w:gridCol w:w="750"/>
              <w:gridCol w:w="750"/>
              <w:gridCol w:w="750"/>
              <w:gridCol w:w="750"/>
              <w:gridCol w:w="750"/>
              <w:gridCol w:w="750"/>
              <w:gridCol w:w="750"/>
              <w:gridCol w:w="6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jc w:val="center"/>
              </w:trPr>
              <w:tc>
                <w:tcPr>
                  <w:tcW w:w="853"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b/>
                      <w:bCs/>
                      <w:spacing w:val="3"/>
                      <w:sz w:val="18"/>
                      <w:szCs w:val="18"/>
                    </w:rPr>
                    <w:t>粒径</w:t>
                  </w:r>
                  <w:r>
                    <w:rPr>
                      <w:b/>
                      <w:bCs/>
                      <w:spacing w:val="-1"/>
                      <w:sz w:val="18"/>
                      <w:szCs w:val="18"/>
                    </w:rPr>
                    <w:t>（</w:t>
                  </w:r>
                  <w:r>
                    <w:rPr>
                      <w:rFonts w:ascii="Times New Roman" w:hAnsi="Times New Roman" w:eastAsia="Times New Roman" w:cs="Times New Roman"/>
                      <w:b/>
                      <w:bCs/>
                      <w:spacing w:val="-1"/>
                      <w:sz w:val="18"/>
                      <w:szCs w:val="18"/>
                    </w:rPr>
                    <w:t>mm</w:t>
                  </w:r>
                  <w:r>
                    <w:rPr>
                      <w:b/>
                      <w:bCs/>
                      <w:spacing w:val="-1"/>
                      <w:sz w:val="18"/>
                      <w:szCs w:val="18"/>
                    </w:rPr>
                    <w:t>）</w:t>
                  </w:r>
                </w:p>
              </w:tc>
              <w:tc>
                <w:tcPr>
                  <w:tcW w:w="42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10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20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30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40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60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70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80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1"/>
                      <w:sz w:val="18"/>
                      <w:szCs w:val="18"/>
                    </w:rPr>
                    <w:t>90</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853"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7"/>
                      <w:sz w:val="18"/>
                      <w:szCs w:val="18"/>
                    </w:rPr>
                    <w:t>沉降速度</w:t>
                  </w:r>
                  <w:r>
                    <w:rPr>
                      <w:spacing w:val="1"/>
                      <w:sz w:val="18"/>
                      <w:szCs w:val="18"/>
                    </w:rPr>
                    <w:t>（</w:t>
                  </w:r>
                  <w:r>
                    <w:rPr>
                      <w:rFonts w:ascii="Times New Roman" w:hAnsi="Times New Roman" w:eastAsia="Times New Roman" w:cs="Times New Roman"/>
                      <w:spacing w:val="1"/>
                      <w:sz w:val="18"/>
                      <w:szCs w:val="18"/>
                    </w:rPr>
                    <w:t>m/s</w:t>
                  </w:r>
                  <w:r>
                    <w:rPr>
                      <w:spacing w:val="1"/>
                      <w:sz w:val="18"/>
                      <w:szCs w:val="18"/>
                    </w:rPr>
                    <w:t>）</w:t>
                  </w:r>
                </w:p>
              </w:tc>
              <w:tc>
                <w:tcPr>
                  <w:tcW w:w="42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0.012</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0.027</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0.048</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0.075</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0.108</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0.147</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0.158</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0.170</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853"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b/>
                      <w:bCs/>
                      <w:spacing w:val="3"/>
                      <w:sz w:val="18"/>
                      <w:szCs w:val="18"/>
                    </w:rPr>
                    <w:t>粒径</w:t>
                  </w:r>
                  <w:r>
                    <w:rPr>
                      <w:b/>
                      <w:bCs/>
                      <w:spacing w:val="-1"/>
                      <w:sz w:val="18"/>
                      <w:szCs w:val="18"/>
                    </w:rPr>
                    <w:t>（</w:t>
                  </w:r>
                  <w:r>
                    <w:rPr>
                      <w:rFonts w:ascii="Times New Roman" w:hAnsi="Times New Roman" w:eastAsia="Times New Roman" w:cs="Times New Roman"/>
                      <w:b/>
                      <w:bCs/>
                      <w:spacing w:val="-1"/>
                      <w:sz w:val="18"/>
                      <w:szCs w:val="18"/>
                    </w:rPr>
                    <w:t>mm</w:t>
                  </w:r>
                  <w:r>
                    <w:rPr>
                      <w:b/>
                      <w:bCs/>
                      <w:spacing w:val="-1"/>
                      <w:sz w:val="18"/>
                      <w:szCs w:val="18"/>
                    </w:rPr>
                    <w:t>）</w:t>
                  </w:r>
                </w:p>
              </w:tc>
              <w:tc>
                <w:tcPr>
                  <w:tcW w:w="42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z w:val="18"/>
                      <w:szCs w:val="18"/>
                    </w:rPr>
                    <w:t>150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200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250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4"/>
                      <w:sz w:val="18"/>
                      <w:szCs w:val="18"/>
                    </w:rPr>
                    <w:t>300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450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550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650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750</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850</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950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jc w:val="center"/>
              </w:trPr>
              <w:tc>
                <w:tcPr>
                  <w:tcW w:w="853" w:type="pct"/>
                  <w:tcBorders>
                    <w:tl2br w:val="nil"/>
                    <w:tr2bl w:val="nil"/>
                  </w:tcBorders>
                  <w:vAlign w:val="center"/>
                </w:tcPr>
                <w:p>
                  <w:pPr>
                    <w:pStyle w:val="7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7"/>
                      <w:sz w:val="18"/>
                      <w:szCs w:val="18"/>
                    </w:rPr>
                    <w:t>沉降速度</w:t>
                  </w:r>
                  <w:r>
                    <w:rPr>
                      <w:spacing w:val="1"/>
                      <w:sz w:val="18"/>
                      <w:szCs w:val="18"/>
                    </w:rPr>
                    <w:t>（</w:t>
                  </w:r>
                  <w:r>
                    <w:rPr>
                      <w:rFonts w:ascii="Times New Roman" w:hAnsi="Times New Roman" w:eastAsia="Times New Roman" w:cs="Times New Roman"/>
                      <w:spacing w:val="1"/>
                      <w:sz w:val="18"/>
                      <w:szCs w:val="18"/>
                    </w:rPr>
                    <w:t>m/s</w:t>
                  </w:r>
                  <w:r>
                    <w:rPr>
                      <w:spacing w:val="1"/>
                      <w:sz w:val="18"/>
                      <w:szCs w:val="18"/>
                    </w:rPr>
                    <w:t>）</w:t>
                  </w:r>
                </w:p>
              </w:tc>
              <w:tc>
                <w:tcPr>
                  <w:tcW w:w="42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0.239</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0.804</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1.005</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1.829</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2.211</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2.</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3"/>
                      <w:sz w:val="18"/>
                      <w:szCs w:val="18"/>
                    </w:rPr>
                    <w:t>14</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3.016</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3.418</w:t>
                  </w:r>
                </w:p>
              </w:tc>
              <w:tc>
                <w:tcPr>
                  <w:tcW w:w="4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3.820</w:t>
                  </w:r>
                </w:p>
              </w:tc>
              <w:tc>
                <w:tcPr>
                  <w:tcW w:w="34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4.222</w:t>
                  </w: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eastAsia="Times New Roman" w:cs="Arial"/>
                <w:spacing w:val="-3"/>
                <w:sz w:val="24"/>
                <w:szCs w:val="24"/>
              </w:rPr>
            </w:pPr>
            <w:r>
              <w:rPr>
                <w:rFonts w:hint="default" w:ascii="Arial" w:hAnsi="Arial" w:eastAsia="Times New Roman" w:cs="Arial"/>
                <w:spacing w:val="-3"/>
                <w:sz w:val="24"/>
                <w:szCs w:val="24"/>
              </w:rPr>
              <w:t>由上表可知，尘粒的沉降速度随粒径的增大而迅速增大。当粒径为250mm时，主要影响范围在扬尘点下风向近距离范围内，而真正对外环境产生影响的是一些微小尘粒。根据施工作业现场气候的不同情况，扬尘影响范围也有所不同。</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eastAsia="Times New Roman" w:cs="Arial"/>
                <w:spacing w:val="-3"/>
                <w:sz w:val="24"/>
                <w:szCs w:val="24"/>
              </w:rPr>
            </w:pPr>
            <w:r>
              <w:rPr>
                <w:rFonts w:hint="default" w:ascii="Arial" w:hAnsi="Arial" w:eastAsia="Times New Roman" w:cs="Arial"/>
                <w:spacing w:val="-3"/>
                <w:sz w:val="24"/>
                <w:szCs w:val="24"/>
              </w:rPr>
              <w:t>本次要求建设单位施工时应注意在施工区的裸露地面覆盖防尘布或防尘网，同时在施工现场设置施工围挡、洒水降尘装置等措施对扬尘进行治理。采取以上措施后，本项目的露天堆场扬尘影响将降至最低。</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spacing w:val="0"/>
                <w:sz w:val="24"/>
                <w:szCs w:val="24"/>
              </w:rPr>
            </w:pPr>
            <w:r>
              <w:rPr>
                <w:rFonts w:hint="eastAsia" w:ascii="Times New Roman" w:hAnsi="Times New Roman" w:cs="Times New Roman"/>
                <w:b/>
                <w:bCs/>
                <w:spacing w:val="0"/>
                <w:sz w:val="24"/>
                <w:szCs w:val="24"/>
                <w:lang w:val="en-US" w:eastAsia="zh-CN"/>
              </w:rPr>
              <w:t>5、</w:t>
            </w:r>
            <w:r>
              <w:rPr>
                <w:b/>
                <w:bCs/>
                <w:spacing w:val="0"/>
                <w:sz w:val="24"/>
                <w:szCs w:val="24"/>
              </w:rPr>
              <w:t>工程爆破粉尘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eastAsia="宋体" w:cs="Arial"/>
                <w:b/>
                <w:bCs/>
                <w:spacing w:val="0"/>
                <w:sz w:val="24"/>
                <w:szCs w:val="24"/>
                <w:lang w:eastAsia="zh-CN"/>
              </w:rPr>
            </w:pPr>
            <w:r>
              <w:rPr>
                <w:rFonts w:hint="default" w:ascii="Arial" w:hAnsi="Arial" w:cs="Arial"/>
                <w:spacing w:val="0"/>
                <w:sz w:val="24"/>
                <w:szCs w:val="24"/>
              </w:rPr>
              <w:t>炸药爆破过程中产生的主要污染物是</w:t>
            </w:r>
            <w:r>
              <w:rPr>
                <w:rFonts w:hint="default" w:ascii="Arial" w:hAnsi="Arial" w:eastAsia="Times New Roman" w:cs="Arial"/>
                <w:spacing w:val="0"/>
                <w:sz w:val="24"/>
                <w:szCs w:val="24"/>
              </w:rPr>
              <w:t>TSP</w:t>
            </w:r>
            <w:r>
              <w:rPr>
                <w:rFonts w:hint="default" w:ascii="Arial" w:hAnsi="Arial" w:cs="Arial"/>
                <w:spacing w:val="0"/>
                <w:sz w:val="24"/>
                <w:szCs w:val="24"/>
              </w:rPr>
              <w:t>、</w:t>
            </w:r>
            <w:r>
              <w:rPr>
                <w:rFonts w:hint="default" w:ascii="Arial" w:hAnsi="Arial" w:eastAsia="Times New Roman" w:cs="Arial"/>
                <w:spacing w:val="0"/>
                <w:sz w:val="24"/>
                <w:szCs w:val="24"/>
              </w:rPr>
              <w:t>CO</w:t>
            </w:r>
            <w:r>
              <w:rPr>
                <w:rFonts w:hint="default" w:ascii="Arial" w:hAnsi="Arial" w:cs="Arial"/>
                <w:spacing w:val="0"/>
                <w:sz w:val="24"/>
                <w:szCs w:val="24"/>
              </w:rPr>
              <w:t>、</w:t>
            </w:r>
            <w:r>
              <w:rPr>
                <w:rFonts w:hint="default" w:ascii="Arial" w:hAnsi="Arial" w:eastAsia="Times New Roman" w:cs="Arial"/>
                <w:spacing w:val="0"/>
                <w:sz w:val="24"/>
                <w:szCs w:val="24"/>
              </w:rPr>
              <w:t>NOx</w:t>
            </w:r>
            <w:r>
              <w:rPr>
                <w:rFonts w:hint="default" w:ascii="Arial" w:hAnsi="Arial" w:cs="Arial"/>
                <w:spacing w:val="0"/>
                <w:sz w:val="24"/>
                <w:szCs w:val="24"/>
              </w:rPr>
              <w:t>，根据同类工程实测数据，炸药爆破产污系数</w:t>
            </w:r>
            <w:r>
              <w:rPr>
                <w:rFonts w:hint="default" w:ascii="Arial" w:hAnsi="Arial" w:eastAsia="Times New Roman" w:cs="Arial"/>
                <w:spacing w:val="0"/>
                <w:sz w:val="24"/>
                <w:szCs w:val="24"/>
              </w:rPr>
              <w:t>TSP</w:t>
            </w:r>
            <w:r>
              <w:rPr>
                <w:rFonts w:hint="default" w:ascii="Arial" w:hAnsi="Arial" w:cs="Arial"/>
                <w:spacing w:val="0"/>
                <w:sz w:val="24"/>
                <w:szCs w:val="24"/>
              </w:rPr>
              <w:t>为</w:t>
            </w:r>
            <w:r>
              <w:rPr>
                <w:rFonts w:hint="default" w:ascii="Arial" w:hAnsi="Arial" w:eastAsia="Times New Roman" w:cs="Arial"/>
                <w:spacing w:val="0"/>
                <w:sz w:val="24"/>
                <w:szCs w:val="24"/>
              </w:rPr>
              <w:t>206.13kg/t</w:t>
            </w:r>
            <w:r>
              <w:rPr>
                <w:rFonts w:hint="default" w:ascii="Arial" w:hAnsi="Arial" w:cs="Arial"/>
                <w:spacing w:val="0"/>
                <w:sz w:val="24"/>
                <w:szCs w:val="24"/>
              </w:rPr>
              <w:t>、</w:t>
            </w:r>
            <w:r>
              <w:rPr>
                <w:rFonts w:hint="default" w:ascii="Arial" w:hAnsi="Arial" w:eastAsia="Times New Roman" w:cs="Arial"/>
                <w:spacing w:val="0"/>
                <w:sz w:val="24"/>
                <w:szCs w:val="24"/>
              </w:rPr>
              <w:t>CO</w:t>
            </w:r>
            <w:r>
              <w:rPr>
                <w:rFonts w:hint="default" w:ascii="Arial" w:hAnsi="Arial" w:cs="Arial"/>
                <w:spacing w:val="0"/>
                <w:sz w:val="24"/>
                <w:szCs w:val="24"/>
              </w:rPr>
              <w:t>为</w:t>
            </w:r>
            <w:r>
              <w:rPr>
                <w:rFonts w:hint="default" w:ascii="Arial" w:hAnsi="Arial" w:eastAsia="Times New Roman" w:cs="Arial"/>
                <w:spacing w:val="0"/>
                <w:sz w:val="24"/>
                <w:szCs w:val="24"/>
              </w:rPr>
              <w:t>41.75kg/t</w:t>
            </w:r>
            <w:r>
              <w:rPr>
                <w:rFonts w:hint="default" w:ascii="Arial" w:hAnsi="Arial" w:cs="Arial"/>
                <w:spacing w:val="0"/>
                <w:sz w:val="24"/>
                <w:szCs w:val="24"/>
              </w:rPr>
              <w:t>、</w:t>
            </w:r>
            <w:r>
              <w:rPr>
                <w:rFonts w:hint="default" w:ascii="Arial" w:hAnsi="Arial" w:eastAsia="Times New Roman" w:cs="Arial"/>
                <w:spacing w:val="0"/>
                <w:sz w:val="24"/>
                <w:szCs w:val="24"/>
              </w:rPr>
              <w:t>NOx</w:t>
            </w:r>
            <w:r>
              <w:rPr>
                <w:rFonts w:hint="default" w:ascii="Arial" w:hAnsi="Arial" w:cs="Arial"/>
                <w:spacing w:val="0"/>
                <w:sz w:val="24"/>
                <w:szCs w:val="24"/>
              </w:rPr>
              <w:t>为</w:t>
            </w:r>
            <w:r>
              <w:rPr>
                <w:rFonts w:hint="default" w:ascii="Arial" w:hAnsi="Arial" w:eastAsia="Times New Roman" w:cs="Arial"/>
                <w:spacing w:val="0"/>
                <w:sz w:val="24"/>
                <w:szCs w:val="24"/>
              </w:rPr>
              <w:t>15.27kg/t</w:t>
            </w:r>
            <w:r>
              <w:rPr>
                <w:rFonts w:hint="default" w:ascii="Arial" w:hAnsi="Arial" w:eastAsia="宋体" w:cs="Arial"/>
                <w:spacing w:val="0"/>
                <w:sz w:val="24"/>
                <w:szCs w:val="24"/>
                <w:lang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spacing w:val="0"/>
                <w:sz w:val="24"/>
                <w:szCs w:val="24"/>
              </w:rPr>
            </w:pPr>
            <w:r>
              <w:rPr>
                <w:rFonts w:hint="default" w:ascii="Arial" w:hAnsi="Arial" w:cs="Arial"/>
                <w:spacing w:val="0"/>
                <w:sz w:val="24"/>
                <w:szCs w:val="24"/>
              </w:rPr>
              <w:t>工程施工期炸药消耗总量为</w:t>
            </w:r>
            <w:r>
              <w:rPr>
                <w:rFonts w:hint="default" w:ascii="Arial" w:hAnsi="Arial" w:eastAsia="宋体" w:cs="Arial"/>
                <w:spacing w:val="0"/>
                <w:sz w:val="24"/>
                <w:szCs w:val="24"/>
                <w:lang w:val="en-US" w:eastAsia="zh-CN"/>
              </w:rPr>
              <w:t>179</w:t>
            </w:r>
            <w:r>
              <w:rPr>
                <w:rFonts w:hint="default" w:ascii="Arial" w:hAnsi="Arial" w:eastAsia="Times New Roman" w:cs="Arial"/>
                <w:spacing w:val="0"/>
                <w:sz w:val="24"/>
                <w:szCs w:val="24"/>
              </w:rPr>
              <w:t>t</w:t>
            </w:r>
            <w:r>
              <w:rPr>
                <w:rFonts w:hint="default" w:ascii="Arial" w:hAnsi="Arial" w:cs="Arial"/>
                <w:spacing w:val="0"/>
                <w:sz w:val="24"/>
                <w:szCs w:val="24"/>
              </w:rPr>
              <w:t>，爆破过程</w:t>
            </w:r>
            <w:r>
              <w:rPr>
                <w:rFonts w:hint="default" w:ascii="Arial" w:hAnsi="Arial" w:eastAsia="Times New Roman" w:cs="Arial"/>
                <w:spacing w:val="0"/>
                <w:sz w:val="24"/>
                <w:szCs w:val="24"/>
              </w:rPr>
              <w:t>TSP</w:t>
            </w:r>
            <w:r>
              <w:rPr>
                <w:rFonts w:hint="default" w:ascii="Arial" w:hAnsi="Arial" w:cs="Arial"/>
                <w:spacing w:val="0"/>
                <w:sz w:val="24"/>
                <w:szCs w:val="24"/>
              </w:rPr>
              <w:t>产生量为</w:t>
            </w:r>
            <w:r>
              <w:rPr>
                <w:rFonts w:hint="default" w:ascii="Arial" w:hAnsi="Arial" w:cs="Arial"/>
                <w:spacing w:val="0"/>
                <w:sz w:val="24"/>
                <w:szCs w:val="24"/>
                <w:lang w:val="en-US" w:eastAsia="zh-CN"/>
              </w:rPr>
              <w:t>36.9</w:t>
            </w:r>
            <w:r>
              <w:rPr>
                <w:rFonts w:hint="default" w:ascii="Arial" w:hAnsi="Arial" w:eastAsia="Times New Roman" w:cs="Arial"/>
                <w:spacing w:val="0"/>
                <w:sz w:val="24"/>
                <w:szCs w:val="24"/>
              </w:rPr>
              <w:t>t</w:t>
            </w:r>
            <w:r>
              <w:rPr>
                <w:rFonts w:hint="default" w:ascii="Arial" w:hAnsi="Arial" w:cs="Arial"/>
                <w:spacing w:val="0"/>
                <w:sz w:val="24"/>
                <w:szCs w:val="24"/>
              </w:rPr>
              <w:t>、</w:t>
            </w:r>
            <w:r>
              <w:rPr>
                <w:rFonts w:hint="default" w:ascii="Arial" w:hAnsi="Arial" w:eastAsia="Times New Roman" w:cs="Arial"/>
                <w:spacing w:val="0"/>
                <w:sz w:val="24"/>
                <w:szCs w:val="24"/>
              </w:rPr>
              <w:t>CO</w:t>
            </w:r>
            <w:r>
              <w:rPr>
                <w:rFonts w:hint="default" w:ascii="Arial" w:hAnsi="Arial" w:cs="Arial"/>
                <w:spacing w:val="0"/>
                <w:sz w:val="24"/>
                <w:szCs w:val="24"/>
              </w:rPr>
              <w:t>产生量为</w:t>
            </w:r>
            <w:r>
              <w:rPr>
                <w:rFonts w:hint="default" w:ascii="Arial" w:hAnsi="Arial" w:eastAsia="宋体" w:cs="Arial"/>
                <w:spacing w:val="0"/>
                <w:sz w:val="24"/>
                <w:szCs w:val="24"/>
                <w:lang w:val="en-US" w:eastAsia="zh-CN"/>
              </w:rPr>
              <w:t>7.47</w:t>
            </w:r>
            <w:r>
              <w:rPr>
                <w:rFonts w:hint="default" w:ascii="Arial" w:hAnsi="Arial" w:eastAsia="Times New Roman" w:cs="Arial"/>
                <w:spacing w:val="0"/>
                <w:sz w:val="24"/>
                <w:szCs w:val="24"/>
              </w:rPr>
              <w:t>t</w:t>
            </w:r>
            <w:r>
              <w:rPr>
                <w:rFonts w:hint="default" w:ascii="Arial" w:hAnsi="Arial" w:cs="Arial"/>
                <w:spacing w:val="0"/>
                <w:sz w:val="24"/>
                <w:szCs w:val="24"/>
              </w:rPr>
              <w:t>、</w:t>
            </w:r>
            <w:r>
              <w:rPr>
                <w:rFonts w:hint="default" w:ascii="Arial" w:hAnsi="Arial" w:eastAsia="Times New Roman" w:cs="Arial"/>
                <w:spacing w:val="0"/>
                <w:sz w:val="24"/>
                <w:szCs w:val="24"/>
              </w:rPr>
              <w:t>NOx</w:t>
            </w:r>
            <w:r>
              <w:rPr>
                <w:rFonts w:hint="default" w:ascii="Arial" w:hAnsi="Arial" w:cs="Arial"/>
                <w:spacing w:val="0"/>
                <w:sz w:val="24"/>
                <w:szCs w:val="24"/>
              </w:rPr>
              <w:t>产生量为</w:t>
            </w:r>
            <w:r>
              <w:rPr>
                <w:rFonts w:hint="default" w:ascii="Arial" w:hAnsi="Arial" w:cs="Arial"/>
                <w:spacing w:val="0"/>
                <w:sz w:val="24"/>
                <w:szCs w:val="24"/>
                <w:lang w:val="en-US" w:eastAsia="zh-CN"/>
              </w:rPr>
              <w:t>2.73</w:t>
            </w:r>
            <w:r>
              <w:rPr>
                <w:rFonts w:hint="default" w:ascii="Arial" w:hAnsi="Arial" w:eastAsia="Times New Roman" w:cs="Arial"/>
                <w:spacing w:val="0"/>
                <w:sz w:val="24"/>
                <w:szCs w:val="24"/>
              </w:rPr>
              <w:t>t</w:t>
            </w:r>
            <w:r>
              <w:rPr>
                <w:rFonts w:hint="default" w:ascii="Arial" w:hAnsi="Arial" w:cs="Arial"/>
                <w:spacing w:val="0"/>
                <w:sz w:val="24"/>
                <w:szCs w:val="24"/>
              </w:rPr>
              <w:t>。爆破烟尘属于瞬时排放，主要影响爆破源区域，爆破结束后及时洒水降尘，减少烟尘对周围环境的影响。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Arial" w:hAnsi="Arial" w:cs="Arial"/>
                <w:sz w:val="24"/>
                <w:szCs w:val="24"/>
              </w:rPr>
            </w:pPr>
            <w:r>
              <w:rPr>
                <w:rFonts w:hint="default" w:ascii="Arial" w:hAnsi="Arial" w:cs="Arial"/>
                <w:spacing w:val="-1"/>
                <w:sz w:val="24"/>
                <w:szCs w:val="24"/>
              </w:rPr>
              <w:t>爆破粉尘对周边居民点可能造成影响，为了减轻粉尘对</w:t>
            </w:r>
            <w:r>
              <w:rPr>
                <w:rFonts w:hint="default" w:ascii="Arial" w:hAnsi="Arial" w:cs="Arial"/>
                <w:spacing w:val="-2"/>
                <w:sz w:val="24"/>
                <w:szCs w:val="24"/>
              </w:rPr>
              <w:t>其影响，报告要求选</w:t>
            </w:r>
            <w:r>
              <w:rPr>
                <w:rFonts w:hint="default" w:ascii="Arial" w:hAnsi="Arial" w:cs="Arial"/>
                <w:spacing w:val="-1"/>
                <w:sz w:val="24"/>
                <w:szCs w:val="24"/>
              </w:rPr>
              <w:t>择粉尘产生量较少的工艺进行，并提前向预爆体表面洒水，在</w:t>
            </w:r>
            <w:r>
              <w:rPr>
                <w:rFonts w:hint="default" w:ascii="Arial" w:hAnsi="Arial" w:cs="Arial"/>
                <w:spacing w:val="-2"/>
                <w:sz w:val="24"/>
                <w:szCs w:val="24"/>
              </w:rPr>
              <w:t>预爆区钻孔采用高</w:t>
            </w:r>
            <w:r>
              <w:rPr>
                <w:rFonts w:hint="default" w:ascii="Arial" w:hAnsi="Arial" w:cs="Arial"/>
                <w:spacing w:val="-1"/>
                <w:sz w:val="24"/>
                <w:szCs w:val="24"/>
              </w:rPr>
              <w:t>压注水</w:t>
            </w:r>
            <w:r>
              <w:rPr>
                <w:rFonts w:hint="eastAsia" w:ascii="Arial" w:hAnsi="Arial" w:cs="Arial"/>
                <w:spacing w:val="-1"/>
                <w:sz w:val="24"/>
                <w:szCs w:val="24"/>
                <w:lang w:eastAsia="zh-CN"/>
              </w:rPr>
              <w:t>。</w:t>
            </w:r>
            <w:r>
              <w:rPr>
                <w:rFonts w:hint="default" w:ascii="Arial" w:hAnsi="Arial" w:cs="Arial"/>
                <w:spacing w:val="-1"/>
                <w:sz w:val="24"/>
                <w:szCs w:val="24"/>
              </w:rPr>
              <w:t>同时，针对料场开挖作业，在各个易产生扬尘的开挖</w:t>
            </w:r>
            <w:r>
              <w:rPr>
                <w:rFonts w:hint="default" w:ascii="Arial" w:hAnsi="Arial" w:cs="Arial"/>
                <w:spacing w:val="-2"/>
                <w:sz w:val="24"/>
                <w:szCs w:val="24"/>
              </w:rPr>
              <w:t>、装卸作业面在</w:t>
            </w:r>
            <w:r>
              <w:rPr>
                <w:rFonts w:hint="eastAsia" w:ascii="Arial" w:hAnsi="Arial" w:cs="Arial"/>
                <w:spacing w:val="-2"/>
                <w:sz w:val="24"/>
                <w:szCs w:val="24"/>
                <w:lang w:val="en-US" w:eastAsia="zh-CN"/>
              </w:rPr>
              <w:t>无</w:t>
            </w:r>
            <w:r>
              <w:rPr>
                <w:rFonts w:hint="default" w:ascii="Arial" w:hAnsi="Arial" w:cs="Arial"/>
                <w:spacing w:val="-1"/>
                <w:sz w:val="24"/>
                <w:szCs w:val="24"/>
              </w:rPr>
              <w:t>雨日采取洒水措施，加速粉尘沉降。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rFonts w:hint="default" w:ascii="Arial" w:hAnsi="Arial" w:cs="Arial"/>
                <w:spacing w:val="-1"/>
                <w:sz w:val="24"/>
                <w:szCs w:val="24"/>
              </w:rPr>
              <w:t>综上所述，只要建设单位严格执行本评价提出的</w:t>
            </w:r>
            <w:r>
              <w:rPr>
                <w:rFonts w:hint="default" w:ascii="Arial" w:hAnsi="Arial" w:cs="Arial"/>
                <w:spacing w:val="-2"/>
                <w:sz w:val="24"/>
                <w:szCs w:val="24"/>
              </w:rPr>
              <w:t>各项环保措施，本项目施工</w:t>
            </w:r>
            <w:r>
              <w:rPr>
                <w:rFonts w:hint="default" w:ascii="Arial" w:hAnsi="Arial" w:cs="Arial"/>
                <w:spacing w:val="-1"/>
                <w:sz w:val="24"/>
                <w:szCs w:val="24"/>
              </w:rPr>
              <w:t>期各类废气均会得到有效处置，对周边大气环境的影响将降低</w:t>
            </w:r>
            <w:r>
              <w:rPr>
                <w:rFonts w:hint="default" w:ascii="Arial" w:hAnsi="Arial" w:cs="Arial"/>
                <w:spacing w:val="-2"/>
                <w:sz w:val="24"/>
                <w:szCs w:val="24"/>
              </w:rPr>
              <w:t>至可接受范围，环境影响较小。</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6、沥青拌合站废气</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Arial" w:hAnsi="Arial" w:cs="Arial"/>
                <w:spacing w:val="-1"/>
                <w:sz w:val="24"/>
                <w:szCs w:val="24"/>
              </w:rPr>
            </w:pPr>
            <w:r>
              <w:rPr>
                <w:rFonts w:hint="eastAsia" w:ascii="Arial" w:hAnsi="Arial" w:cs="Arial"/>
                <w:spacing w:val="-1"/>
                <w:sz w:val="24"/>
                <w:szCs w:val="24"/>
                <w:lang w:val="en-US" w:eastAsia="zh-CN"/>
              </w:rPr>
              <w:t>根据项目设计方案，</w:t>
            </w:r>
            <w:r>
              <w:rPr>
                <w:rFonts w:hint="eastAsia" w:ascii="Arial" w:hAnsi="Arial" w:cs="Arial"/>
                <w:color w:val="0000FF"/>
                <w:spacing w:val="-1"/>
                <w:sz w:val="24"/>
                <w:szCs w:val="24"/>
                <w:lang w:val="en-US" w:eastAsia="zh-CN"/>
              </w:rPr>
              <w:t>本次工程施工期间沥青拌合站配套的导热油炉使用电加热</w:t>
            </w:r>
            <w:r>
              <w:rPr>
                <w:rFonts w:hint="eastAsia" w:ascii="Arial" w:hAnsi="Arial" w:cs="Arial"/>
                <w:spacing w:val="-1"/>
                <w:sz w:val="24"/>
                <w:szCs w:val="24"/>
                <w:lang w:val="en-US" w:eastAsia="zh-CN"/>
              </w:rPr>
              <w:t>，故沥青拌合站在运行期间产生的废气主要为</w:t>
            </w:r>
            <w:r>
              <w:rPr>
                <w:rFonts w:hint="default" w:ascii="Arial" w:hAnsi="Arial" w:cs="Arial"/>
                <w:spacing w:val="-1"/>
                <w:sz w:val="24"/>
                <w:szCs w:val="24"/>
              </w:rPr>
              <w:t>下料和输送粉尘、烘干滚筒烘干粉尘、振动筛筛分粉尘</w:t>
            </w:r>
            <w:r>
              <w:rPr>
                <w:rFonts w:hint="eastAsia" w:ascii="Arial" w:hAnsi="Arial" w:cs="Arial"/>
                <w:spacing w:val="-1"/>
                <w:sz w:val="24"/>
                <w:szCs w:val="24"/>
                <w:lang w:val="en-US" w:eastAsia="zh-CN"/>
              </w:rPr>
              <w:t>以及</w:t>
            </w:r>
            <w:r>
              <w:rPr>
                <w:rFonts w:hint="default" w:ascii="Arial" w:hAnsi="Arial" w:cs="Arial"/>
                <w:spacing w:val="-1"/>
                <w:sz w:val="24"/>
                <w:szCs w:val="24"/>
              </w:rPr>
              <w:t>沥青废气（搅拌混合烟气、主机卸料烟气、成品卸料烟气、沥青加热烟气）</w:t>
            </w:r>
            <w:r>
              <w:rPr>
                <w:rFonts w:hint="eastAsia" w:ascii="Arial" w:hAnsi="Arial" w:cs="Arial"/>
                <w:spacing w:val="-1"/>
                <w:sz w:val="24"/>
                <w:szCs w:val="24"/>
                <w:lang w:val="en-US" w:eastAsia="zh-CN"/>
              </w:rPr>
              <w:t>等</w:t>
            </w:r>
            <w:r>
              <w:rPr>
                <w:rFonts w:hint="default" w:ascii="Arial" w:hAnsi="Arial" w:cs="Arial"/>
                <w:spacing w:val="-1"/>
                <w:sz w:val="24"/>
                <w:szCs w:val="24"/>
              </w:rPr>
              <w:t>。</w:t>
            </w:r>
          </w:p>
          <w:p>
            <w:pPr>
              <w:pStyle w:val="84"/>
              <w:ind w:firstLine="480"/>
              <w:rPr>
                <w:rFonts w:hint="default" w:ascii="Arial" w:hAnsi="Arial" w:eastAsia="宋体" w:cs="Arial"/>
                <w:b/>
                <w:bCs/>
                <w:szCs w:val="24"/>
              </w:rPr>
            </w:pPr>
            <w:r>
              <w:rPr>
                <w:rFonts w:hint="eastAsia" w:ascii="Arial" w:hAnsi="Arial" w:eastAsia="宋体" w:cs="Arial"/>
                <w:b/>
                <w:bCs/>
                <w:szCs w:val="24"/>
                <w:lang w:val="en-US" w:eastAsia="zh-CN"/>
              </w:rPr>
              <w:t xml:space="preserve">⑴ </w:t>
            </w:r>
            <w:r>
              <w:rPr>
                <w:rFonts w:hint="default" w:ascii="Arial" w:hAnsi="Arial" w:eastAsia="宋体" w:cs="Arial"/>
                <w:b/>
                <w:bCs/>
                <w:szCs w:val="24"/>
              </w:rPr>
              <w:t>下料和输送粉尘</w:t>
            </w:r>
          </w:p>
          <w:p>
            <w:pPr>
              <w:pStyle w:val="84"/>
              <w:ind w:firstLine="480"/>
              <w:rPr>
                <w:rFonts w:hint="default" w:ascii="Arial" w:hAnsi="Arial" w:eastAsia="宋体" w:cs="Arial"/>
                <w:color w:val="000000" w:themeColor="text1"/>
                <w:szCs w:val="24"/>
                <w14:textFill>
                  <w14:solidFill>
                    <w14:schemeClr w14:val="tx1"/>
                  </w14:solidFill>
                </w14:textFill>
              </w:rPr>
            </w:pPr>
            <w:r>
              <w:rPr>
                <w:rFonts w:hint="default" w:ascii="Arial" w:hAnsi="Arial" w:eastAsia="宋体" w:cs="Arial"/>
                <w:color w:val="000000" w:themeColor="text1"/>
                <w:szCs w:val="24"/>
                <w14:textFill>
                  <w14:solidFill>
                    <w14:schemeClr w14:val="tx1"/>
                  </w14:solidFill>
                </w14:textFill>
              </w:rPr>
              <w:t>本项目需对骨料（碎石）进行下料及封闭皮带输送，本次评价参考《逸散性工业粉尘控制技术》，沥青混凝土厂表21-1，卸粗、细粒料到贮箱的排放因子为0.05kg/t，本项目骨料（碎石）消耗量为</w:t>
            </w:r>
            <w:r>
              <w:rPr>
                <w:rFonts w:hint="eastAsia" w:ascii="Arial" w:hAnsi="Arial" w:eastAsia="宋体" w:cs="Arial"/>
                <w:color w:val="000000" w:themeColor="text1"/>
                <w:szCs w:val="24"/>
                <w:lang w:val="en-US" w:eastAsia="zh-CN"/>
                <w14:textFill>
                  <w14:solidFill>
                    <w14:schemeClr w14:val="tx1"/>
                  </w14:solidFill>
                </w14:textFill>
              </w:rPr>
              <w:t>6148</w:t>
            </w:r>
            <w:r>
              <w:rPr>
                <w:rFonts w:hint="default" w:ascii="Arial" w:hAnsi="Arial" w:eastAsia="宋体" w:cs="Arial"/>
                <w:color w:val="000000" w:themeColor="text1"/>
                <w:szCs w:val="24"/>
                <w14:textFill>
                  <w14:solidFill>
                    <w14:schemeClr w14:val="tx1"/>
                  </w14:solidFill>
                </w14:textFill>
              </w:rPr>
              <w:t>t/a，则项目上料粉尘产生量为</w:t>
            </w:r>
            <w:r>
              <w:rPr>
                <w:rFonts w:hint="eastAsia" w:ascii="Arial" w:hAnsi="Arial" w:eastAsia="宋体" w:cs="Arial"/>
                <w:color w:val="000000" w:themeColor="text1"/>
                <w:szCs w:val="24"/>
                <w:lang w:val="en-US" w:eastAsia="zh-CN"/>
                <w14:textFill>
                  <w14:solidFill>
                    <w14:schemeClr w14:val="tx1"/>
                  </w14:solidFill>
                </w14:textFill>
              </w:rPr>
              <w:t>0.31</w:t>
            </w:r>
            <w:r>
              <w:rPr>
                <w:rFonts w:hint="default" w:ascii="Arial" w:hAnsi="Arial" w:eastAsia="宋体" w:cs="Arial"/>
                <w:color w:val="000000" w:themeColor="text1"/>
                <w:szCs w:val="24"/>
                <w14:textFill>
                  <w14:solidFill>
                    <w14:schemeClr w14:val="tx1"/>
                  </w14:solidFill>
                </w14:textFill>
              </w:rPr>
              <w:t>t/a。</w:t>
            </w:r>
          </w:p>
          <w:p>
            <w:pPr>
              <w:pStyle w:val="84"/>
              <w:ind w:firstLine="480"/>
              <w:rPr>
                <w:rFonts w:hint="eastAsia" w:ascii="Arial" w:hAnsi="Arial" w:eastAsia="宋体" w:cs="Arial"/>
                <w:szCs w:val="24"/>
                <w:lang w:eastAsia="zh-CN"/>
              </w:rPr>
            </w:pPr>
            <w:r>
              <w:rPr>
                <w:rFonts w:hint="eastAsia" w:ascii="Arial" w:hAnsi="Arial" w:eastAsia="宋体" w:cs="Arial"/>
                <w:szCs w:val="24"/>
                <w:lang w:val="en-US" w:eastAsia="zh-CN"/>
              </w:rPr>
              <w:t>针对下料和输送粉尘粉尘，通过</w:t>
            </w:r>
            <w:r>
              <w:rPr>
                <w:rFonts w:hint="default" w:ascii="Arial" w:hAnsi="Arial" w:eastAsia="宋体" w:cs="Arial"/>
                <w:szCs w:val="24"/>
              </w:rPr>
              <w:t>在冷料仓进料口设置三面围挡的半包围密闭罩进行收集，对下料和输送过程产生的粉尘设置“整体密闭+负压收集”，进行收集布袋除尘处理后经15m 高排气筒排放（风机风量为40000m</w:t>
            </w:r>
            <w:r>
              <w:rPr>
                <w:rFonts w:hint="default" w:ascii="Arial" w:hAnsi="Arial" w:eastAsia="宋体" w:cs="Arial"/>
                <w:szCs w:val="24"/>
                <w:vertAlign w:val="superscript"/>
              </w:rPr>
              <w:t>3</w:t>
            </w:r>
            <w:r>
              <w:rPr>
                <w:rFonts w:hint="default" w:ascii="Arial" w:hAnsi="Arial" w:eastAsia="宋体" w:cs="Arial"/>
                <w:szCs w:val="24"/>
              </w:rPr>
              <w:t>/h），项目下料过程相对封闭且配以大风量使整个冷料供给系统呈负压工况状态，集尘能力按98%计。根据《废气处理工程技术手册》可知：布袋除尘器除尘效率一般可达到99%以上，故本项目布袋除尘器除尘效率取99%。项目下料和输送粉尘产排情况见下表</w:t>
            </w:r>
            <w:r>
              <w:rPr>
                <w:rFonts w:hint="eastAsia" w:ascii="Arial" w:hAnsi="Arial" w:eastAsia="宋体" w:cs="Arial"/>
                <w:szCs w:val="24"/>
                <w:lang w:eastAsia="zh-CN"/>
              </w:rPr>
              <w:t>：</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w:t>
            </w:r>
            <w:r>
              <w:rPr>
                <w:rFonts w:hint="eastAsia" w:ascii="Times New Roman" w:hAnsi="宋体" w:cs="Times New Roman"/>
                <w:b/>
                <w:szCs w:val="21"/>
                <w:lang w:val="en-US" w:eastAsia="zh-CN"/>
              </w:rPr>
              <w:t>4</w:t>
            </w:r>
            <w:r>
              <w:rPr>
                <w:rFonts w:hint="eastAsia" w:ascii="Times New Roman" w:hAnsi="宋体" w:eastAsia="宋体" w:cs="Times New Roman"/>
                <w:b/>
                <w:szCs w:val="21"/>
                <w:lang w:val="zh-CN"/>
              </w:rPr>
              <w:t>-</w:t>
            </w:r>
            <w:r>
              <w:rPr>
                <w:rFonts w:hint="eastAsia" w:hAnsi="宋体" w:cs="Times New Roman"/>
                <w:b/>
                <w:szCs w:val="21"/>
                <w:lang w:val="en-US" w:eastAsia="zh-CN"/>
              </w:rPr>
              <w:t>7</w:t>
            </w:r>
            <w:r>
              <w:rPr>
                <w:rFonts w:hint="eastAsia" w:ascii="Times New Roman" w:hAnsi="宋体" w:eastAsia="宋体" w:cs="Times New Roman"/>
                <w:b/>
                <w:szCs w:val="21"/>
                <w:lang w:val="zh-CN"/>
              </w:rPr>
              <w:t xml:space="preserve">  项目下料和输送粉尘废气产排情况</w:t>
            </w:r>
          </w:p>
          <w:tbl>
            <w:tblPr>
              <w:tblStyle w:val="23"/>
              <w:tblW w:w="48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6"/>
              <w:gridCol w:w="853"/>
              <w:gridCol w:w="1131"/>
              <w:gridCol w:w="1106"/>
              <w:gridCol w:w="925"/>
              <w:gridCol w:w="1041"/>
              <w:gridCol w:w="113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45" w:type="pct"/>
                  <w:vMerge w:val="restar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 w:val="21"/>
                      <w:szCs w:val="21"/>
                    </w:rPr>
                  </w:pPr>
                  <w:r>
                    <w:rPr>
                      <w:rFonts w:hint="default" w:ascii="Arial" w:hAnsi="Arial" w:eastAsia="宋体" w:cs="Arial"/>
                      <w:b/>
                      <w:bCs/>
                      <w:sz w:val="21"/>
                      <w:szCs w:val="21"/>
                    </w:rPr>
                    <w:t>工序</w:t>
                  </w:r>
                </w:p>
              </w:tc>
              <w:tc>
                <w:tcPr>
                  <w:tcW w:w="1743" w:type="pct"/>
                  <w:gridSpan w:val="3"/>
                  <w:noWrap w:val="0"/>
                  <w:vAlign w:val="center"/>
                </w:tcPr>
                <w:p>
                  <w:pPr>
                    <w:pStyle w:val="86"/>
                    <w:rPr>
                      <w:rFonts w:hint="default" w:ascii="Arial" w:hAnsi="Arial" w:eastAsia="宋体" w:cs="Arial"/>
                      <w:b/>
                      <w:bCs/>
                      <w:sz w:val="21"/>
                      <w:szCs w:val="21"/>
                    </w:rPr>
                  </w:pPr>
                  <w:r>
                    <w:rPr>
                      <w:rFonts w:hint="eastAsia" w:ascii="Arial" w:hAnsi="Arial" w:cs="Arial"/>
                      <w:b/>
                      <w:bCs/>
                      <w:sz w:val="21"/>
                      <w:szCs w:val="21"/>
                      <w:lang w:val="en-US" w:eastAsia="zh-CN"/>
                    </w:rPr>
                    <w:t>产生</w:t>
                  </w:r>
                  <w:r>
                    <w:rPr>
                      <w:rFonts w:hint="default" w:ascii="Arial" w:hAnsi="Arial" w:eastAsia="宋体" w:cs="Arial"/>
                      <w:b/>
                      <w:bCs/>
                      <w:sz w:val="21"/>
                      <w:szCs w:val="21"/>
                    </w:rPr>
                    <w:t>情况</w:t>
                  </w:r>
                </w:p>
              </w:tc>
              <w:tc>
                <w:tcPr>
                  <w:tcW w:w="1751" w:type="pct"/>
                  <w:gridSpan w:val="3"/>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有组织</w:t>
                  </w:r>
                  <w:r>
                    <w:rPr>
                      <w:rFonts w:hint="eastAsia" w:ascii="Arial" w:hAnsi="Arial" w:cs="Arial"/>
                      <w:b/>
                      <w:bCs/>
                      <w:sz w:val="21"/>
                      <w:szCs w:val="21"/>
                      <w:lang w:val="en-US" w:eastAsia="zh-CN"/>
                    </w:rPr>
                    <w:t>排放</w:t>
                  </w:r>
                  <w:r>
                    <w:rPr>
                      <w:rFonts w:hint="default" w:ascii="Arial" w:hAnsi="Arial" w:eastAsia="宋体" w:cs="Arial"/>
                      <w:b/>
                      <w:bCs/>
                      <w:sz w:val="21"/>
                      <w:szCs w:val="21"/>
                    </w:rPr>
                    <w:t>排情况</w:t>
                  </w:r>
                </w:p>
              </w:tc>
              <w:tc>
                <w:tcPr>
                  <w:tcW w:w="959"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无组织</w:t>
                  </w:r>
                  <w:r>
                    <w:rPr>
                      <w:rFonts w:hint="eastAsia" w:ascii="Arial" w:hAnsi="Arial" w:cs="Arial"/>
                      <w:b/>
                      <w:bCs/>
                      <w:sz w:val="21"/>
                      <w:szCs w:val="21"/>
                      <w:lang w:val="en-US" w:eastAsia="zh-CN"/>
                    </w:rPr>
                    <w:t>排放</w:t>
                  </w:r>
                  <w:r>
                    <w:rPr>
                      <w:rFonts w:hint="default" w:ascii="Arial" w:hAnsi="Arial" w:eastAsia="宋体" w:cs="Arial"/>
                      <w:b/>
                      <w:bCs/>
                      <w:sz w:val="21"/>
                      <w:szCs w:val="21"/>
                    </w:rPr>
                    <w:t>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45" w:type="pct"/>
                  <w:vMerge w:val="continue"/>
                  <w:noWrap w:val="0"/>
                  <w:vAlign w:val="center"/>
                </w:tcPr>
                <w:p>
                  <w:pPr>
                    <w:pStyle w:val="86"/>
                    <w:rPr>
                      <w:rFonts w:hint="default" w:ascii="Arial" w:hAnsi="Arial" w:eastAsia="宋体" w:cs="Arial"/>
                      <w:b/>
                      <w:bCs/>
                      <w:sz w:val="21"/>
                      <w:szCs w:val="21"/>
                    </w:rPr>
                  </w:pPr>
                </w:p>
              </w:tc>
              <w:tc>
                <w:tcPr>
                  <w:tcW w:w="481"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产生量</w:t>
                  </w:r>
                </w:p>
                <w:p>
                  <w:pPr>
                    <w:pStyle w:val="86"/>
                    <w:rPr>
                      <w:rFonts w:hint="default" w:ascii="Arial" w:hAnsi="Arial" w:eastAsia="宋体" w:cs="Arial"/>
                      <w:b/>
                      <w:bCs/>
                      <w:sz w:val="21"/>
                      <w:szCs w:val="21"/>
                    </w:rPr>
                  </w:pPr>
                  <w:r>
                    <w:rPr>
                      <w:rFonts w:hint="default" w:ascii="Arial" w:hAnsi="Arial" w:eastAsia="宋体" w:cs="Arial"/>
                      <w:b/>
                      <w:bCs/>
                      <w:sz w:val="21"/>
                      <w:szCs w:val="21"/>
                    </w:rPr>
                    <w:t>（t/a）</w:t>
                  </w:r>
                </w:p>
              </w:tc>
              <w:tc>
                <w:tcPr>
                  <w:tcW w:w="638"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产生速率</w:t>
                  </w:r>
                </w:p>
                <w:p>
                  <w:pPr>
                    <w:pStyle w:val="86"/>
                    <w:rPr>
                      <w:rFonts w:hint="default" w:ascii="Arial" w:hAnsi="Arial" w:eastAsia="宋体" w:cs="Arial"/>
                      <w:b/>
                      <w:bCs/>
                      <w:sz w:val="21"/>
                      <w:szCs w:val="21"/>
                    </w:rPr>
                  </w:pPr>
                  <w:r>
                    <w:rPr>
                      <w:rFonts w:hint="default" w:ascii="Arial" w:hAnsi="Arial" w:eastAsia="宋体" w:cs="Arial"/>
                      <w:b/>
                      <w:bCs/>
                      <w:sz w:val="21"/>
                      <w:szCs w:val="21"/>
                    </w:rPr>
                    <w:t>（kg/h）</w:t>
                  </w:r>
                </w:p>
              </w:tc>
              <w:tc>
                <w:tcPr>
                  <w:tcW w:w="623"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产生浓度</w:t>
                  </w:r>
                </w:p>
                <w:p>
                  <w:pPr>
                    <w:pStyle w:val="86"/>
                    <w:rPr>
                      <w:rFonts w:hint="default" w:ascii="Arial" w:hAnsi="Arial" w:eastAsia="宋体" w:cs="Arial"/>
                      <w:b/>
                      <w:bCs/>
                      <w:sz w:val="21"/>
                      <w:szCs w:val="21"/>
                    </w:rPr>
                  </w:pPr>
                  <w:r>
                    <w:rPr>
                      <w:rFonts w:hint="default" w:ascii="Arial" w:hAnsi="Arial" w:eastAsia="宋体" w:cs="Arial"/>
                      <w:b/>
                      <w:bCs/>
                      <w:sz w:val="21"/>
                      <w:szCs w:val="21"/>
                    </w:rPr>
                    <w:t>（mg/m</w:t>
                  </w:r>
                  <w:r>
                    <w:rPr>
                      <w:rFonts w:hint="default" w:ascii="Arial" w:hAnsi="Arial" w:eastAsia="宋体" w:cs="Arial"/>
                      <w:b/>
                      <w:bCs/>
                      <w:sz w:val="21"/>
                      <w:szCs w:val="21"/>
                      <w:vertAlign w:val="superscript"/>
                    </w:rPr>
                    <w:t>3</w:t>
                  </w:r>
                  <w:r>
                    <w:rPr>
                      <w:rFonts w:hint="default" w:ascii="Arial" w:hAnsi="Arial" w:eastAsia="宋体" w:cs="Arial"/>
                      <w:b/>
                      <w:bCs/>
                      <w:sz w:val="21"/>
                      <w:szCs w:val="21"/>
                    </w:rPr>
                    <w:t>）</w:t>
                  </w:r>
                </w:p>
              </w:tc>
              <w:tc>
                <w:tcPr>
                  <w:tcW w:w="522"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排放量</w:t>
                  </w:r>
                </w:p>
                <w:p>
                  <w:pPr>
                    <w:pStyle w:val="86"/>
                    <w:rPr>
                      <w:rFonts w:hint="default" w:ascii="Arial" w:hAnsi="Arial" w:eastAsia="宋体" w:cs="Arial"/>
                      <w:b/>
                      <w:bCs/>
                      <w:sz w:val="21"/>
                      <w:szCs w:val="21"/>
                    </w:rPr>
                  </w:pPr>
                  <w:r>
                    <w:rPr>
                      <w:rFonts w:hint="default" w:ascii="Arial" w:hAnsi="Arial" w:eastAsia="宋体" w:cs="Arial"/>
                      <w:b/>
                      <w:bCs/>
                      <w:sz w:val="21"/>
                      <w:szCs w:val="21"/>
                    </w:rPr>
                    <w:t>（t/a）</w:t>
                  </w:r>
                </w:p>
              </w:tc>
              <w:tc>
                <w:tcPr>
                  <w:tcW w:w="588"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排放速率</w:t>
                  </w:r>
                </w:p>
                <w:p>
                  <w:pPr>
                    <w:pStyle w:val="86"/>
                    <w:rPr>
                      <w:rFonts w:hint="default" w:ascii="Arial" w:hAnsi="Arial" w:eastAsia="宋体" w:cs="Arial"/>
                      <w:b/>
                      <w:bCs/>
                      <w:sz w:val="21"/>
                      <w:szCs w:val="21"/>
                    </w:rPr>
                  </w:pPr>
                  <w:r>
                    <w:rPr>
                      <w:rFonts w:hint="default" w:ascii="Arial" w:hAnsi="Arial" w:eastAsia="宋体" w:cs="Arial"/>
                      <w:b/>
                      <w:bCs/>
                      <w:sz w:val="21"/>
                      <w:szCs w:val="21"/>
                    </w:rPr>
                    <w:t>（kg/h）</w:t>
                  </w:r>
                </w:p>
              </w:tc>
              <w:tc>
                <w:tcPr>
                  <w:tcW w:w="640"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排放浓度</w:t>
                  </w:r>
                </w:p>
                <w:p>
                  <w:pPr>
                    <w:pStyle w:val="86"/>
                    <w:rPr>
                      <w:rFonts w:hint="default" w:ascii="Arial" w:hAnsi="Arial" w:eastAsia="宋体" w:cs="Arial"/>
                      <w:b/>
                      <w:bCs/>
                      <w:sz w:val="21"/>
                      <w:szCs w:val="21"/>
                    </w:rPr>
                  </w:pPr>
                  <w:r>
                    <w:rPr>
                      <w:rFonts w:hint="default" w:ascii="Arial" w:hAnsi="Arial" w:eastAsia="宋体" w:cs="Arial"/>
                      <w:b/>
                      <w:bCs/>
                      <w:sz w:val="21"/>
                      <w:szCs w:val="21"/>
                    </w:rPr>
                    <w:t>（mg/m</w:t>
                  </w:r>
                  <w:r>
                    <w:rPr>
                      <w:rFonts w:hint="default" w:ascii="Arial" w:hAnsi="Arial" w:eastAsia="宋体" w:cs="Arial"/>
                      <w:b/>
                      <w:bCs/>
                      <w:sz w:val="21"/>
                      <w:szCs w:val="21"/>
                      <w:vertAlign w:val="superscript"/>
                    </w:rPr>
                    <w:t>3</w:t>
                  </w:r>
                  <w:r>
                    <w:rPr>
                      <w:rFonts w:hint="default" w:ascii="Arial" w:hAnsi="Arial" w:eastAsia="宋体" w:cs="Arial"/>
                      <w:b/>
                      <w:bCs/>
                      <w:sz w:val="21"/>
                      <w:szCs w:val="21"/>
                    </w:rPr>
                    <w:t>）</w:t>
                  </w:r>
                </w:p>
              </w:tc>
              <w:tc>
                <w:tcPr>
                  <w:tcW w:w="959" w:type="pct"/>
                  <w:noWrap w:val="0"/>
                  <w:vAlign w:val="center"/>
                </w:tcPr>
                <w:p>
                  <w:pPr>
                    <w:pStyle w:val="86"/>
                    <w:rPr>
                      <w:rFonts w:hint="default" w:ascii="Arial" w:hAnsi="Arial" w:eastAsia="宋体" w:cs="Arial"/>
                      <w:b/>
                      <w:bCs/>
                      <w:sz w:val="21"/>
                      <w:szCs w:val="21"/>
                    </w:rPr>
                  </w:pPr>
                  <w:r>
                    <w:rPr>
                      <w:rFonts w:hint="eastAsia" w:ascii="Arial" w:hAnsi="Arial" w:cs="Arial"/>
                      <w:b/>
                      <w:bCs/>
                      <w:sz w:val="21"/>
                      <w:szCs w:val="21"/>
                      <w:lang w:val="en-US" w:eastAsia="zh-CN"/>
                    </w:rPr>
                    <w:t>排放</w:t>
                  </w:r>
                  <w:r>
                    <w:rPr>
                      <w:rFonts w:hint="default" w:ascii="Arial" w:hAnsi="Arial" w:eastAsia="宋体" w:cs="Arial"/>
                      <w:b/>
                      <w:bCs/>
                      <w:sz w:val="21"/>
                      <w:szCs w:val="21"/>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545" w:type="pct"/>
                  <w:noWrap w:val="0"/>
                  <w:vAlign w:val="center"/>
                </w:tcPr>
                <w:p>
                  <w:pPr>
                    <w:pStyle w:val="86"/>
                    <w:rPr>
                      <w:rFonts w:hint="default" w:ascii="Arial" w:hAnsi="Arial" w:eastAsia="宋体" w:cs="Arial"/>
                      <w:sz w:val="21"/>
                      <w:szCs w:val="21"/>
                    </w:rPr>
                  </w:pPr>
                  <w:r>
                    <w:rPr>
                      <w:rFonts w:hint="default" w:ascii="Arial" w:hAnsi="Arial" w:eastAsia="宋体" w:cs="Arial"/>
                      <w:sz w:val="21"/>
                      <w:szCs w:val="21"/>
                    </w:rPr>
                    <w:t>下料和输送粉尘</w:t>
                  </w:r>
                </w:p>
              </w:tc>
              <w:tc>
                <w:tcPr>
                  <w:tcW w:w="481"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0.31</w:t>
                  </w:r>
                </w:p>
              </w:tc>
              <w:tc>
                <w:tcPr>
                  <w:tcW w:w="638"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0.13</w:t>
                  </w:r>
                </w:p>
              </w:tc>
              <w:tc>
                <w:tcPr>
                  <w:tcW w:w="623"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3.25</w:t>
                  </w:r>
                </w:p>
              </w:tc>
              <w:tc>
                <w:tcPr>
                  <w:tcW w:w="522" w:type="pct"/>
                  <w:noWrap w:val="0"/>
                  <w:vAlign w:val="center"/>
                </w:tcPr>
                <w:p>
                  <w:pPr>
                    <w:pStyle w:val="86"/>
                    <w:rPr>
                      <w:rFonts w:hint="default" w:ascii="Arial" w:hAnsi="Arial" w:eastAsia="宋体" w:cs="Arial"/>
                      <w:sz w:val="21"/>
                      <w:szCs w:val="21"/>
                      <w:lang w:val="en-US" w:eastAsia="zh-CN"/>
                    </w:rPr>
                  </w:pPr>
                  <w:r>
                    <w:rPr>
                      <w:rFonts w:hint="default" w:ascii="Arial" w:hAnsi="Arial" w:eastAsia="宋体" w:cs="Arial"/>
                      <w:sz w:val="21"/>
                      <w:szCs w:val="21"/>
                    </w:rPr>
                    <w:t>0.0</w:t>
                  </w:r>
                  <w:r>
                    <w:rPr>
                      <w:rFonts w:hint="eastAsia" w:ascii="Arial" w:hAnsi="Arial" w:cs="Arial"/>
                      <w:sz w:val="21"/>
                      <w:szCs w:val="21"/>
                      <w:lang w:val="en-US" w:eastAsia="zh-CN"/>
                    </w:rPr>
                    <w:t>03</w:t>
                  </w:r>
                </w:p>
              </w:tc>
              <w:tc>
                <w:tcPr>
                  <w:tcW w:w="588" w:type="pct"/>
                  <w:noWrap w:val="0"/>
                  <w:vAlign w:val="center"/>
                </w:tcPr>
                <w:p>
                  <w:pPr>
                    <w:pStyle w:val="86"/>
                    <w:rPr>
                      <w:rFonts w:hint="default" w:ascii="Arial" w:hAnsi="Arial" w:eastAsia="宋体" w:cs="Arial"/>
                      <w:sz w:val="21"/>
                      <w:szCs w:val="21"/>
                      <w:lang w:val="en-US" w:eastAsia="zh-CN"/>
                    </w:rPr>
                  </w:pPr>
                  <w:r>
                    <w:rPr>
                      <w:rFonts w:hint="default" w:ascii="Arial" w:hAnsi="Arial" w:eastAsia="宋体" w:cs="Arial"/>
                      <w:sz w:val="21"/>
                      <w:szCs w:val="21"/>
                    </w:rPr>
                    <w:t>0.0</w:t>
                  </w:r>
                  <w:r>
                    <w:rPr>
                      <w:rFonts w:hint="eastAsia" w:ascii="Arial" w:hAnsi="Arial" w:cs="Arial"/>
                      <w:sz w:val="21"/>
                      <w:szCs w:val="21"/>
                      <w:lang w:val="en-US" w:eastAsia="zh-CN"/>
                    </w:rPr>
                    <w:t>013</w:t>
                  </w:r>
                </w:p>
              </w:tc>
              <w:tc>
                <w:tcPr>
                  <w:tcW w:w="640"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0.53</w:t>
                  </w:r>
                </w:p>
              </w:tc>
              <w:tc>
                <w:tcPr>
                  <w:tcW w:w="959"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0.006</w:t>
                  </w:r>
                </w:p>
              </w:tc>
            </w:tr>
          </w:tbl>
          <w:p>
            <w:pPr>
              <w:pStyle w:val="84"/>
              <w:ind w:firstLine="480"/>
              <w:rPr>
                <w:rFonts w:hint="eastAsia" w:ascii="Arial" w:hAnsi="Arial" w:eastAsia="宋体" w:cs="Arial"/>
                <w:b/>
                <w:bCs/>
                <w:szCs w:val="24"/>
                <w:lang w:val="en-US" w:eastAsia="zh-CN"/>
              </w:rPr>
            </w:pPr>
            <w:r>
              <w:rPr>
                <w:rFonts w:hint="eastAsia" w:ascii="Arial" w:hAnsi="Arial" w:cs="Arial"/>
                <w:b/>
                <w:bCs/>
                <w:szCs w:val="24"/>
                <w:lang w:val="en-US" w:eastAsia="zh-CN"/>
              </w:rPr>
              <w:t xml:space="preserve">⑵ </w:t>
            </w:r>
            <w:r>
              <w:rPr>
                <w:rFonts w:hint="eastAsia" w:ascii="Arial" w:hAnsi="Arial" w:eastAsia="宋体" w:cs="Arial"/>
                <w:b/>
                <w:bCs/>
                <w:szCs w:val="24"/>
                <w:lang w:val="en-US" w:eastAsia="zh-CN"/>
              </w:rPr>
              <w:t>烘干滚筒烘干粉尘、振动筛筛分粉尘</w:t>
            </w:r>
          </w:p>
          <w:p>
            <w:pPr>
              <w:pStyle w:val="84"/>
              <w:ind w:firstLine="480"/>
              <w:rPr>
                <w:rFonts w:hint="default" w:ascii="Arial" w:hAnsi="Arial" w:eastAsia="宋体" w:cs="Arial"/>
                <w:szCs w:val="24"/>
                <w:lang w:val="en-US" w:eastAsia="zh-CN"/>
              </w:rPr>
            </w:pPr>
            <w:r>
              <w:rPr>
                <w:rFonts w:hint="default" w:ascii="Arial" w:hAnsi="Arial" w:eastAsia="宋体" w:cs="Arial"/>
                <w:szCs w:val="24"/>
                <w:lang w:val="en-US" w:eastAsia="zh-CN"/>
              </w:rPr>
              <w:t>烘干滚筒烘干过程产生的粉尘主要是物料随着滚筒运行上升至一定高度然后再回落，此过程中物料与物料之间的碰撞产生粉尘，产生粉尘的原理与卸粗、细粒料到贮箱相同，参考《逸散性工业粉尘控制技术》，沥青混凝土厂表21-1，卸粗、细粒料到贮箱的排放因子为0.05kg/t。本项目骨料（碎石）消耗量为</w:t>
            </w:r>
            <w:r>
              <w:rPr>
                <w:rFonts w:hint="default" w:ascii="Arial" w:hAnsi="Arial" w:cs="Arial"/>
                <w:szCs w:val="24"/>
                <w:lang w:val="en-US" w:eastAsia="zh-CN"/>
              </w:rPr>
              <w:t>6148</w:t>
            </w:r>
            <w:r>
              <w:rPr>
                <w:rFonts w:hint="default" w:ascii="Arial" w:hAnsi="Arial" w:eastAsia="宋体" w:cs="Arial"/>
                <w:szCs w:val="24"/>
                <w:lang w:val="en-US" w:eastAsia="zh-CN"/>
              </w:rPr>
              <w:t>t/a，则项目上料粉尘产生量为</w:t>
            </w:r>
            <w:r>
              <w:rPr>
                <w:rFonts w:hint="default" w:ascii="Arial" w:hAnsi="Arial" w:cs="Arial"/>
                <w:szCs w:val="24"/>
                <w:lang w:val="en-US" w:eastAsia="zh-CN"/>
              </w:rPr>
              <w:t>0.31</w:t>
            </w:r>
            <w:r>
              <w:rPr>
                <w:rFonts w:hint="default" w:ascii="Arial" w:hAnsi="Arial" w:eastAsia="宋体" w:cs="Arial"/>
                <w:szCs w:val="24"/>
                <w:lang w:val="en-US" w:eastAsia="zh-CN"/>
              </w:rPr>
              <w:t>t/a。</w:t>
            </w:r>
          </w:p>
          <w:p>
            <w:pPr>
              <w:pStyle w:val="84"/>
              <w:ind w:firstLine="480"/>
              <w:rPr>
                <w:rFonts w:hint="default" w:ascii="Arial" w:hAnsi="Arial" w:eastAsia="宋体" w:cs="Arial"/>
                <w:szCs w:val="24"/>
                <w:lang w:val="en-US" w:eastAsia="zh-CN"/>
              </w:rPr>
            </w:pPr>
            <w:r>
              <w:rPr>
                <w:rFonts w:hint="default" w:ascii="Arial" w:hAnsi="Arial" w:eastAsia="宋体" w:cs="Arial"/>
                <w:szCs w:val="24"/>
                <w:lang w:val="en-US" w:eastAsia="zh-CN"/>
              </w:rPr>
              <w:t>项目筛分过程的粉尘产生量参考《逸散性工业粉尘控制技术》表13-2水泥生产的逸散尘排放因子中的震动筛和二级破碎机0.75kg/t。本项目骨料（碎石）消耗量为</w:t>
            </w:r>
            <w:r>
              <w:rPr>
                <w:rFonts w:hint="default" w:ascii="Arial" w:hAnsi="Arial" w:cs="Arial"/>
                <w:szCs w:val="24"/>
                <w:lang w:val="en-US" w:eastAsia="zh-CN"/>
              </w:rPr>
              <w:t>6148</w:t>
            </w:r>
            <w:r>
              <w:rPr>
                <w:rFonts w:hint="default" w:ascii="Arial" w:hAnsi="Arial" w:eastAsia="宋体" w:cs="Arial"/>
                <w:szCs w:val="24"/>
                <w:lang w:val="en-US" w:eastAsia="zh-CN"/>
              </w:rPr>
              <w:t>t/a，则项目上料粉尘产生量为</w:t>
            </w:r>
            <w:r>
              <w:rPr>
                <w:rFonts w:hint="default" w:ascii="Arial" w:hAnsi="Arial" w:cs="Arial"/>
                <w:szCs w:val="24"/>
                <w:lang w:val="en-US" w:eastAsia="zh-CN"/>
              </w:rPr>
              <w:t>4.61</w:t>
            </w:r>
            <w:r>
              <w:rPr>
                <w:rFonts w:hint="default" w:ascii="Arial" w:hAnsi="Arial" w:eastAsia="宋体" w:cs="Arial"/>
                <w:szCs w:val="24"/>
                <w:lang w:val="en-US" w:eastAsia="zh-CN"/>
              </w:rPr>
              <w:t>t/a。</w:t>
            </w:r>
          </w:p>
          <w:p>
            <w:pPr>
              <w:pStyle w:val="84"/>
              <w:ind w:firstLine="480"/>
              <w:rPr>
                <w:rFonts w:hint="default" w:ascii="Arial" w:hAnsi="Arial" w:eastAsia="宋体" w:cs="Arial"/>
                <w:szCs w:val="24"/>
                <w:lang w:val="en-US" w:eastAsia="zh-CN"/>
              </w:rPr>
            </w:pPr>
            <w:r>
              <w:rPr>
                <w:rFonts w:hint="default" w:ascii="Arial" w:hAnsi="Arial" w:cs="Arial"/>
                <w:szCs w:val="24"/>
                <w:lang w:val="en-US" w:eastAsia="zh-CN"/>
              </w:rPr>
              <w:t>针对沥青拌合站在</w:t>
            </w:r>
            <w:r>
              <w:rPr>
                <w:rFonts w:hint="default" w:ascii="Arial" w:hAnsi="Arial" w:eastAsia="宋体" w:cs="Arial"/>
                <w:szCs w:val="24"/>
                <w:lang w:val="en-US" w:eastAsia="zh-CN"/>
              </w:rPr>
              <w:t>烘干、筛分过程</w:t>
            </w:r>
            <w:r>
              <w:rPr>
                <w:rFonts w:hint="default" w:ascii="Arial" w:hAnsi="Arial" w:cs="Arial"/>
                <w:szCs w:val="24"/>
                <w:lang w:val="en-US" w:eastAsia="zh-CN"/>
              </w:rPr>
              <w:t>中产生的粉尘，通过设置密闭的烘干和筛分设备，其在烘干和筛分过程中产生的粉尘</w:t>
            </w:r>
            <w:r>
              <w:rPr>
                <w:rFonts w:hint="default" w:ascii="Arial" w:hAnsi="Arial" w:eastAsia="宋体" w:cs="Arial"/>
                <w:szCs w:val="24"/>
                <w:lang w:val="en-US" w:eastAsia="zh-CN"/>
              </w:rPr>
              <w:t>经密闭收集</w:t>
            </w:r>
            <w:r>
              <w:rPr>
                <w:rFonts w:hint="default" w:ascii="Arial" w:hAnsi="Arial" w:cs="Arial"/>
                <w:szCs w:val="24"/>
                <w:lang w:val="en-US" w:eastAsia="zh-CN"/>
              </w:rPr>
              <w:t>至下料和输送过程中配套的布袋除尘器处理后通过共用一根15m的排气筒排放</w:t>
            </w:r>
            <w:r>
              <w:rPr>
                <w:rFonts w:hint="default" w:ascii="Arial" w:hAnsi="Arial" w:eastAsia="宋体" w:cs="Arial"/>
                <w:szCs w:val="24"/>
                <w:lang w:val="en-US" w:eastAsia="zh-CN"/>
              </w:rPr>
              <w:t>（风量为</w:t>
            </w:r>
            <w:r>
              <w:rPr>
                <w:rFonts w:hint="default" w:ascii="Arial" w:hAnsi="Arial" w:cs="Arial"/>
                <w:szCs w:val="24"/>
                <w:lang w:val="en-US" w:eastAsia="zh-CN"/>
              </w:rPr>
              <w:t>40</w:t>
            </w:r>
            <w:r>
              <w:rPr>
                <w:rFonts w:hint="default" w:ascii="Arial" w:hAnsi="Arial" w:eastAsia="宋体" w:cs="Arial"/>
                <w:szCs w:val="24"/>
                <w:lang w:val="en-US" w:eastAsia="zh-CN"/>
              </w:rPr>
              <w:t>000m</w:t>
            </w:r>
            <w:r>
              <w:rPr>
                <w:rFonts w:hint="default" w:ascii="Arial" w:hAnsi="Arial" w:eastAsia="宋体" w:cs="Arial"/>
                <w:szCs w:val="24"/>
                <w:vertAlign w:val="superscript"/>
                <w:lang w:val="en-US" w:eastAsia="zh-CN"/>
              </w:rPr>
              <w:t>3</w:t>
            </w:r>
            <w:r>
              <w:rPr>
                <w:rFonts w:hint="default" w:ascii="Arial" w:hAnsi="Arial" w:eastAsia="宋体" w:cs="Arial"/>
                <w:szCs w:val="24"/>
                <w:lang w:val="en-US" w:eastAsia="zh-CN"/>
              </w:rPr>
              <w:t>/h，处理效率99%）。</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w:t>
            </w:r>
            <w:r>
              <w:rPr>
                <w:rFonts w:hint="eastAsia" w:ascii="Times New Roman" w:hAnsi="宋体" w:cs="Times New Roman"/>
                <w:b/>
                <w:szCs w:val="21"/>
                <w:lang w:val="en-US" w:eastAsia="zh-CN"/>
              </w:rPr>
              <w:t>4</w:t>
            </w:r>
            <w:r>
              <w:rPr>
                <w:rFonts w:hint="eastAsia" w:ascii="Times New Roman" w:hAnsi="宋体" w:eastAsia="宋体" w:cs="Times New Roman"/>
                <w:b/>
                <w:szCs w:val="21"/>
                <w:lang w:val="zh-CN"/>
              </w:rPr>
              <w:t>-</w:t>
            </w:r>
            <w:r>
              <w:rPr>
                <w:rFonts w:hint="eastAsia" w:hAnsi="宋体" w:cs="Times New Roman"/>
                <w:b/>
                <w:szCs w:val="21"/>
                <w:lang w:val="en-US" w:eastAsia="zh-CN"/>
              </w:rPr>
              <w:t>8</w:t>
            </w:r>
            <w:r>
              <w:rPr>
                <w:rFonts w:hint="eastAsia" w:ascii="Times New Roman" w:hAnsi="宋体" w:cs="Times New Roman"/>
                <w:b/>
                <w:szCs w:val="21"/>
                <w:lang w:val="en-US" w:eastAsia="zh-CN"/>
              </w:rPr>
              <w:t xml:space="preserve">  </w:t>
            </w:r>
            <w:r>
              <w:rPr>
                <w:rFonts w:hint="eastAsia" w:ascii="Times New Roman" w:hAnsi="宋体" w:eastAsia="宋体" w:cs="Times New Roman"/>
                <w:b/>
                <w:szCs w:val="21"/>
                <w:lang w:val="zh-CN"/>
              </w:rPr>
              <w:t xml:space="preserve"> 项目</w:t>
            </w:r>
            <w:r>
              <w:rPr>
                <w:rFonts w:hint="eastAsia" w:ascii="Times New Roman" w:hAnsi="宋体" w:cs="Times New Roman"/>
                <w:b/>
                <w:szCs w:val="21"/>
                <w:lang w:val="en-US" w:eastAsia="zh-CN"/>
              </w:rPr>
              <w:t>烘干</w:t>
            </w:r>
            <w:r>
              <w:rPr>
                <w:rFonts w:hint="eastAsia" w:ascii="Times New Roman" w:hAnsi="宋体" w:eastAsia="宋体" w:cs="Times New Roman"/>
                <w:b/>
                <w:szCs w:val="21"/>
                <w:lang w:val="zh-CN"/>
              </w:rPr>
              <w:t>、筛分粉尘废气产排情况</w:t>
            </w:r>
          </w:p>
          <w:tbl>
            <w:tblPr>
              <w:tblStyle w:val="23"/>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6"/>
              <w:gridCol w:w="822"/>
              <w:gridCol w:w="1051"/>
              <w:gridCol w:w="1109"/>
              <w:gridCol w:w="924"/>
              <w:gridCol w:w="1039"/>
              <w:gridCol w:w="1075"/>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642" w:type="pct"/>
                  <w:vMerge w:val="restar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 w:val="21"/>
                      <w:szCs w:val="21"/>
                    </w:rPr>
                  </w:pPr>
                  <w:r>
                    <w:rPr>
                      <w:rFonts w:hint="default" w:ascii="Arial" w:hAnsi="Arial" w:eastAsia="宋体" w:cs="Arial"/>
                      <w:b/>
                      <w:bCs/>
                      <w:sz w:val="21"/>
                      <w:szCs w:val="21"/>
                    </w:rPr>
                    <w:t>工序</w:t>
                  </w:r>
                </w:p>
              </w:tc>
              <w:tc>
                <w:tcPr>
                  <w:tcW w:w="1684" w:type="pct"/>
                  <w:gridSpan w:val="3"/>
                  <w:noWrap w:val="0"/>
                  <w:vAlign w:val="center"/>
                </w:tcPr>
                <w:p>
                  <w:pPr>
                    <w:pStyle w:val="86"/>
                    <w:rPr>
                      <w:rFonts w:hint="default" w:ascii="Arial" w:hAnsi="Arial" w:eastAsia="宋体" w:cs="Arial"/>
                      <w:b/>
                      <w:bCs/>
                      <w:sz w:val="21"/>
                      <w:szCs w:val="21"/>
                    </w:rPr>
                  </w:pPr>
                  <w:r>
                    <w:rPr>
                      <w:rFonts w:hint="eastAsia" w:ascii="Arial" w:hAnsi="Arial" w:cs="Arial"/>
                      <w:b/>
                      <w:bCs/>
                      <w:sz w:val="21"/>
                      <w:szCs w:val="21"/>
                      <w:lang w:val="en-US" w:eastAsia="zh-CN"/>
                    </w:rPr>
                    <w:t>产生</w:t>
                  </w:r>
                  <w:r>
                    <w:rPr>
                      <w:rFonts w:hint="default" w:ascii="Arial" w:hAnsi="Arial" w:eastAsia="宋体" w:cs="Arial"/>
                      <w:b/>
                      <w:bCs/>
                      <w:sz w:val="21"/>
                      <w:szCs w:val="21"/>
                    </w:rPr>
                    <w:t>情况</w:t>
                  </w:r>
                </w:p>
              </w:tc>
              <w:tc>
                <w:tcPr>
                  <w:tcW w:w="1716" w:type="pct"/>
                  <w:gridSpan w:val="3"/>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有组织</w:t>
                  </w:r>
                  <w:r>
                    <w:rPr>
                      <w:rFonts w:hint="eastAsia" w:ascii="Arial" w:hAnsi="Arial" w:cs="Arial"/>
                      <w:b/>
                      <w:bCs/>
                      <w:sz w:val="21"/>
                      <w:szCs w:val="21"/>
                      <w:lang w:val="en-US" w:eastAsia="zh-CN"/>
                    </w:rPr>
                    <w:t>排放</w:t>
                  </w:r>
                  <w:r>
                    <w:rPr>
                      <w:rFonts w:hint="default" w:ascii="Arial" w:hAnsi="Arial" w:eastAsia="宋体" w:cs="Arial"/>
                      <w:b/>
                      <w:bCs/>
                      <w:sz w:val="21"/>
                      <w:szCs w:val="21"/>
                    </w:rPr>
                    <w:t>排情况</w:t>
                  </w:r>
                </w:p>
              </w:tc>
              <w:tc>
                <w:tcPr>
                  <w:tcW w:w="956" w:type="pct"/>
                  <w:noWrap w:val="0"/>
                  <w:vAlign w:val="center"/>
                </w:tcPr>
                <w:p>
                  <w:pPr>
                    <w:pStyle w:val="86"/>
                    <w:rPr>
                      <w:rFonts w:hint="default" w:ascii="Arial" w:hAnsi="Arial" w:eastAsia="宋体" w:cs="Arial"/>
                      <w:b/>
                      <w:bCs/>
                      <w:sz w:val="21"/>
                      <w:szCs w:val="21"/>
                    </w:rPr>
                  </w:pPr>
                  <w:r>
                    <w:rPr>
                      <w:rFonts w:hint="default" w:ascii="Arial" w:hAnsi="Arial" w:eastAsia="宋体" w:cs="Arial"/>
                      <w:b/>
                      <w:bCs/>
                      <w:spacing w:val="-17"/>
                      <w:sz w:val="21"/>
                      <w:szCs w:val="21"/>
                    </w:rPr>
                    <w:t>无组织</w:t>
                  </w:r>
                  <w:r>
                    <w:rPr>
                      <w:rFonts w:hint="eastAsia" w:ascii="Arial" w:hAnsi="Arial" w:cs="Arial"/>
                      <w:b/>
                      <w:bCs/>
                      <w:spacing w:val="-17"/>
                      <w:sz w:val="21"/>
                      <w:szCs w:val="21"/>
                      <w:lang w:val="en-US" w:eastAsia="zh-CN"/>
                    </w:rPr>
                    <w:t>排放</w:t>
                  </w:r>
                  <w:r>
                    <w:rPr>
                      <w:rFonts w:hint="default" w:ascii="Arial" w:hAnsi="Arial" w:eastAsia="宋体" w:cs="Arial"/>
                      <w:b/>
                      <w:bCs/>
                      <w:spacing w:val="-17"/>
                      <w:sz w:val="21"/>
                      <w:szCs w:val="21"/>
                    </w:rPr>
                    <w:t>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42" w:type="pct"/>
                  <w:vMerge w:val="continue"/>
                  <w:noWrap w:val="0"/>
                  <w:vAlign w:val="center"/>
                </w:tcPr>
                <w:p>
                  <w:pPr>
                    <w:pStyle w:val="86"/>
                    <w:rPr>
                      <w:rFonts w:hint="default" w:ascii="Arial" w:hAnsi="Arial" w:eastAsia="宋体" w:cs="Arial"/>
                      <w:b/>
                      <w:bCs/>
                      <w:sz w:val="21"/>
                      <w:szCs w:val="21"/>
                    </w:rPr>
                  </w:pPr>
                </w:p>
              </w:tc>
              <w:tc>
                <w:tcPr>
                  <w:tcW w:w="464"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产生量</w:t>
                  </w:r>
                </w:p>
                <w:p>
                  <w:pPr>
                    <w:pStyle w:val="86"/>
                    <w:rPr>
                      <w:rFonts w:hint="default" w:ascii="Arial" w:hAnsi="Arial" w:eastAsia="宋体" w:cs="Arial"/>
                      <w:b/>
                      <w:bCs/>
                      <w:sz w:val="21"/>
                      <w:szCs w:val="21"/>
                    </w:rPr>
                  </w:pPr>
                  <w:r>
                    <w:rPr>
                      <w:rFonts w:hint="default" w:ascii="Arial" w:hAnsi="Arial" w:eastAsia="宋体" w:cs="Arial"/>
                      <w:b/>
                      <w:bCs/>
                      <w:sz w:val="21"/>
                      <w:szCs w:val="21"/>
                    </w:rPr>
                    <w:t>（t/a）</w:t>
                  </w:r>
                </w:p>
              </w:tc>
              <w:tc>
                <w:tcPr>
                  <w:tcW w:w="594"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产生速率</w:t>
                  </w:r>
                </w:p>
                <w:p>
                  <w:pPr>
                    <w:pStyle w:val="86"/>
                    <w:rPr>
                      <w:rFonts w:hint="default" w:ascii="Arial" w:hAnsi="Arial" w:eastAsia="宋体" w:cs="Arial"/>
                      <w:b/>
                      <w:bCs/>
                      <w:sz w:val="21"/>
                      <w:szCs w:val="21"/>
                    </w:rPr>
                  </w:pPr>
                  <w:r>
                    <w:rPr>
                      <w:rFonts w:hint="default" w:ascii="Arial" w:hAnsi="Arial" w:eastAsia="宋体" w:cs="Arial"/>
                      <w:b/>
                      <w:bCs/>
                      <w:sz w:val="21"/>
                      <w:szCs w:val="21"/>
                    </w:rPr>
                    <w:t>（kg/h）</w:t>
                  </w:r>
                </w:p>
              </w:tc>
              <w:tc>
                <w:tcPr>
                  <w:tcW w:w="625"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产生浓度</w:t>
                  </w:r>
                </w:p>
                <w:p>
                  <w:pPr>
                    <w:pStyle w:val="86"/>
                    <w:rPr>
                      <w:rFonts w:hint="default" w:ascii="Arial" w:hAnsi="Arial" w:eastAsia="宋体" w:cs="Arial"/>
                      <w:b/>
                      <w:bCs/>
                      <w:sz w:val="21"/>
                      <w:szCs w:val="21"/>
                    </w:rPr>
                  </w:pPr>
                  <w:r>
                    <w:rPr>
                      <w:rFonts w:hint="default" w:ascii="Arial" w:hAnsi="Arial" w:eastAsia="宋体" w:cs="Arial"/>
                      <w:b/>
                      <w:bCs/>
                      <w:sz w:val="21"/>
                      <w:szCs w:val="21"/>
                    </w:rPr>
                    <w:t>（mg/m</w:t>
                  </w:r>
                  <w:r>
                    <w:rPr>
                      <w:rFonts w:hint="default" w:ascii="Arial" w:hAnsi="Arial" w:eastAsia="宋体" w:cs="Arial"/>
                      <w:b/>
                      <w:bCs/>
                      <w:sz w:val="21"/>
                      <w:szCs w:val="21"/>
                      <w:vertAlign w:val="superscript"/>
                    </w:rPr>
                    <w:t>3</w:t>
                  </w:r>
                  <w:r>
                    <w:rPr>
                      <w:rFonts w:hint="default" w:ascii="Arial" w:hAnsi="Arial" w:eastAsia="宋体" w:cs="Arial"/>
                      <w:b/>
                      <w:bCs/>
                      <w:sz w:val="21"/>
                      <w:szCs w:val="21"/>
                    </w:rPr>
                    <w:t>）</w:t>
                  </w:r>
                </w:p>
              </w:tc>
              <w:tc>
                <w:tcPr>
                  <w:tcW w:w="522"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排放量</w:t>
                  </w:r>
                </w:p>
                <w:p>
                  <w:pPr>
                    <w:pStyle w:val="86"/>
                    <w:rPr>
                      <w:rFonts w:hint="default" w:ascii="Arial" w:hAnsi="Arial" w:eastAsia="宋体" w:cs="Arial"/>
                      <w:b/>
                      <w:bCs/>
                      <w:sz w:val="21"/>
                      <w:szCs w:val="21"/>
                    </w:rPr>
                  </w:pPr>
                  <w:r>
                    <w:rPr>
                      <w:rFonts w:hint="default" w:ascii="Arial" w:hAnsi="Arial" w:eastAsia="宋体" w:cs="Arial"/>
                      <w:b/>
                      <w:bCs/>
                      <w:sz w:val="21"/>
                      <w:szCs w:val="21"/>
                    </w:rPr>
                    <w:t>（t/a）</w:t>
                  </w:r>
                </w:p>
              </w:tc>
              <w:tc>
                <w:tcPr>
                  <w:tcW w:w="587"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排放速率</w:t>
                  </w:r>
                </w:p>
                <w:p>
                  <w:pPr>
                    <w:pStyle w:val="86"/>
                    <w:rPr>
                      <w:rFonts w:hint="default" w:ascii="Arial" w:hAnsi="Arial" w:eastAsia="宋体" w:cs="Arial"/>
                      <w:b/>
                      <w:bCs/>
                      <w:sz w:val="21"/>
                      <w:szCs w:val="21"/>
                    </w:rPr>
                  </w:pPr>
                  <w:r>
                    <w:rPr>
                      <w:rFonts w:hint="default" w:ascii="Arial" w:hAnsi="Arial" w:eastAsia="宋体" w:cs="Arial"/>
                      <w:b/>
                      <w:bCs/>
                      <w:sz w:val="21"/>
                      <w:szCs w:val="21"/>
                    </w:rPr>
                    <w:t>（kg/h）</w:t>
                  </w:r>
                </w:p>
              </w:tc>
              <w:tc>
                <w:tcPr>
                  <w:tcW w:w="606" w:type="pct"/>
                  <w:noWrap w:val="0"/>
                  <w:vAlign w:val="center"/>
                </w:tcPr>
                <w:p>
                  <w:pPr>
                    <w:pStyle w:val="86"/>
                    <w:rPr>
                      <w:rFonts w:hint="default" w:ascii="Arial" w:hAnsi="Arial" w:eastAsia="宋体" w:cs="Arial"/>
                      <w:b/>
                      <w:bCs/>
                      <w:sz w:val="21"/>
                      <w:szCs w:val="21"/>
                    </w:rPr>
                  </w:pPr>
                  <w:r>
                    <w:rPr>
                      <w:rFonts w:hint="default" w:ascii="Arial" w:hAnsi="Arial" w:eastAsia="宋体" w:cs="Arial"/>
                      <w:b/>
                      <w:bCs/>
                      <w:sz w:val="21"/>
                      <w:szCs w:val="21"/>
                    </w:rPr>
                    <w:t>排放浓度</w:t>
                  </w:r>
                </w:p>
                <w:p>
                  <w:pPr>
                    <w:pStyle w:val="86"/>
                    <w:rPr>
                      <w:rFonts w:hint="default" w:ascii="Arial" w:hAnsi="Arial" w:eastAsia="宋体" w:cs="Arial"/>
                      <w:b/>
                      <w:bCs/>
                      <w:sz w:val="21"/>
                      <w:szCs w:val="21"/>
                    </w:rPr>
                  </w:pPr>
                  <w:r>
                    <w:rPr>
                      <w:rFonts w:hint="default" w:ascii="Arial" w:hAnsi="Arial" w:eastAsia="宋体" w:cs="Arial"/>
                      <w:b/>
                      <w:bCs/>
                      <w:sz w:val="21"/>
                      <w:szCs w:val="21"/>
                    </w:rPr>
                    <w:t>（mg/m</w:t>
                  </w:r>
                  <w:r>
                    <w:rPr>
                      <w:rFonts w:hint="default" w:ascii="Arial" w:hAnsi="Arial" w:eastAsia="宋体" w:cs="Arial"/>
                      <w:b/>
                      <w:bCs/>
                      <w:sz w:val="21"/>
                      <w:szCs w:val="21"/>
                      <w:vertAlign w:val="superscript"/>
                    </w:rPr>
                    <w:t>3</w:t>
                  </w:r>
                  <w:r>
                    <w:rPr>
                      <w:rFonts w:hint="default" w:ascii="Arial" w:hAnsi="Arial" w:eastAsia="宋体" w:cs="Arial"/>
                      <w:b/>
                      <w:bCs/>
                      <w:sz w:val="21"/>
                      <w:szCs w:val="21"/>
                    </w:rPr>
                    <w:t>）</w:t>
                  </w:r>
                </w:p>
              </w:tc>
              <w:tc>
                <w:tcPr>
                  <w:tcW w:w="956" w:type="pct"/>
                  <w:noWrap w:val="0"/>
                  <w:vAlign w:val="center"/>
                </w:tcPr>
                <w:p>
                  <w:pPr>
                    <w:pStyle w:val="86"/>
                    <w:rPr>
                      <w:rFonts w:hint="default" w:ascii="Arial" w:hAnsi="Arial" w:eastAsia="宋体" w:cs="Arial"/>
                      <w:b/>
                      <w:bCs/>
                      <w:sz w:val="21"/>
                      <w:szCs w:val="21"/>
                    </w:rPr>
                  </w:pPr>
                  <w:r>
                    <w:rPr>
                      <w:rFonts w:hint="eastAsia" w:ascii="Arial" w:hAnsi="Arial" w:cs="Arial"/>
                      <w:b/>
                      <w:bCs/>
                      <w:sz w:val="21"/>
                      <w:szCs w:val="21"/>
                      <w:lang w:val="en-US" w:eastAsia="zh-CN"/>
                    </w:rPr>
                    <w:t>排放</w:t>
                  </w:r>
                  <w:r>
                    <w:rPr>
                      <w:rFonts w:hint="default" w:ascii="Arial" w:hAnsi="Arial" w:eastAsia="宋体" w:cs="Arial"/>
                      <w:b/>
                      <w:bCs/>
                      <w:sz w:val="21"/>
                      <w:szCs w:val="21"/>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642" w:type="pct"/>
                  <w:noWrap w:val="0"/>
                  <w:vAlign w:val="center"/>
                </w:tcPr>
                <w:p>
                  <w:pPr>
                    <w:pStyle w:val="86"/>
                    <w:rPr>
                      <w:rFonts w:hint="default" w:ascii="Arial" w:hAnsi="Arial" w:eastAsia="宋体" w:cs="Arial"/>
                      <w:sz w:val="21"/>
                      <w:szCs w:val="21"/>
                    </w:rPr>
                  </w:pPr>
                  <w:r>
                    <w:rPr>
                      <w:rFonts w:hint="eastAsia" w:ascii="Arial" w:hAnsi="Arial" w:cs="Arial"/>
                      <w:sz w:val="21"/>
                      <w:szCs w:val="21"/>
                      <w:lang w:val="en-US" w:eastAsia="zh-CN"/>
                    </w:rPr>
                    <w:t>烘干</w:t>
                  </w:r>
                  <w:r>
                    <w:rPr>
                      <w:rFonts w:hint="default" w:ascii="Arial" w:hAnsi="Arial" w:eastAsia="宋体" w:cs="Arial"/>
                      <w:sz w:val="21"/>
                      <w:szCs w:val="21"/>
                    </w:rPr>
                    <w:t>和</w:t>
                  </w:r>
                  <w:r>
                    <w:rPr>
                      <w:rFonts w:hint="eastAsia" w:ascii="Arial" w:hAnsi="Arial" w:cs="Arial"/>
                      <w:sz w:val="21"/>
                      <w:szCs w:val="21"/>
                      <w:lang w:val="en-US" w:eastAsia="zh-CN"/>
                    </w:rPr>
                    <w:t>筛分工序</w:t>
                  </w:r>
                  <w:r>
                    <w:rPr>
                      <w:rFonts w:hint="default" w:ascii="Arial" w:hAnsi="Arial" w:eastAsia="宋体" w:cs="Arial"/>
                      <w:sz w:val="21"/>
                      <w:szCs w:val="21"/>
                    </w:rPr>
                    <w:t>粉尘</w:t>
                  </w:r>
                </w:p>
              </w:tc>
              <w:tc>
                <w:tcPr>
                  <w:tcW w:w="464"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4.92</w:t>
                  </w:r>
                </w:p>
              </w:tc>
              <w:tc>
                <w:tcPr>
                  <w:tcW w:w="594"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2.05</w:t>
                  </w:r>
                </w:p>
              </w:tc>
              <w:tc>
                <w:tcPr>
                  <w:tcW w:w="625"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54.5</w:t>
                  </w:r>
                </w:p>
              </w:tc>
              <w:tc>
                <w:tcPr>
                  <w:tcW w:w="522"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0.05</w:t>
                  </w:r>
                </w:p>
              </w:tc>
              <w:tc>
                <w:tcPr>
                  <w:tcW w:w="587"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0.02</w:t>
                  </w:r>
                </w:p>
              </w:tc>
              <w:tc>
                <w:tcPr>
                  <w:tcW w:w="606"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0.53</w:t>
                  </w:r>
                </w:p>
              </w:tc>
              <w:tc>
                <w:tcPr>
                  <w:tcW w:w="956" w:type="pct"/>
                  <w:noWrap w:val="0"/>
                  <w:vAlign w:val="center"/>
                </w:tcPr>
                <w:p>
                  <w:pPr>
                    <w:pStyle w:val="86"/>
                    <w:rPr>
                      <w:rFonts w:hint="default" w:ascii="Arial" w:hAnsi="Arial" w:eastAsia="宋体" w:cs="Arial"/>
                      <w:sz w:val="21"/>
                      <w:szCs w:val="21"/>
                      <w:lang w:val="en-US" w:eastAsia="zh-CN"/>
                    </w:rPr>
                  </w:pPr>
                  <w:r>
                    <w:rPr>
                      <w:rFonts w:hint="eastAsia" w:ascii="Arial" w:hAnsi="Arial" w:cs="Arial"/>
                      <w:sz w:val="21"/>
                      <w:szCs w:val="21"/>
                      <w:lang w:val="en-US" w:eastAsia="zh-CN"/>
                    </w:rPr>
                    <w:t>0</w:t>
                  </w:r>
                </w:p>
              </w:tc>
            </w:tr>
          </w:tbl>
          <w:p>
            <w:pPr>
              <w:pStyle w:val="84"/>
              <w:ind w:firstLine="480"/>
              <w:rPr>
                <w:rFonts w:hint="default" w:ascii="Arial" w:hAnsi="Arial" w:eastAsia="宋体" w:cs="Arial"/>
                <w:szCs w:val="24"/>
              </w:rPr>
            </w:pPr>
            <w:r>
              <w:rPr>
                <w:rFonts w:hint="default" w:ascii="Arial" w:hAnsi="Arial" w:eastAsia="宋体" w:cs="Arial"/>
                <w:b/>
                <w:bCs/>
                <w:szCs w:val="24"/>
                <w:lang w:val="en-US" w:eastAsia="zh-CN"/>
              </w:rPr>
              <w:t xml:space="preserve">⑶ </w:t>
            </w:r>
            <w:r>
              <w:rPr>
                <w:rFonts w:hint="default" w:ascii="Arial" w:hAnsi="Arial" w:eastAsia="宋体" w:cs="Arial"/>
                <w:b/>
                <w:bCs/>
                <w:szCs w:val="24"/>
              </w:rPr>
              <w:t>沥青废气（搅拌混合烟气、主机卸料烟气、成品卸料烟气、沥青加热烟气）</w:t>
            </w:r>
          </w:p>
          <w:p>
            <w:pPr>
              <w:pStyle w:val="84"/>
              <w:ind w:firstLine="480"/>
              <w:rPr>
                <w:rFonts w:hint="default" w:ascii="Arial" w:hAnsi="Arial" w:eastAsia="宋体" w:cs="Arial"/>
                <w:sz w:val="24"/>
                <w:szCs w:val="24"/>
              </w:rPr>
            </w:pPr>
            <w:r>
              <w:rPr>
                <w:rFonts w:hint="default" w:ascii="Arial" w:hAnsi="Arial" w:eastAsia="宋体" w:cs="Arial"/>
                <w:sz w:val="24"/>
                <w:szCs w:val="24"/>
              </w:rPr>
              <w:t>沥青在加热和搅拌过程中会产生多种化学物质的混合烟气——沥青烟，其主要污染因子为非甲烷总烃和苯并[a]芘。</w:t>
            </w:r>
          </w:p>
          <w:p>
            <w:pPr>
              <w:pStyle w:val="84"/>
              <w:ind w:firstLine="480"/>
              <w:rPr>
                <w:rFonts w:hint="default" w:ascii="Arial" w:hAnsi="Arial" w:eastAsia="宋体" w:cs="Arial"/>
                <w:sz w:val="24"/>
                <w:szCs w:val="24"/>
              </w:rPr>
            </w:pPr>
            <w:r>
              <w:rPr>
                <w:rFonts w:hint="default" w:ascii="Arial" w:hAnsi="Arial" w:eastAsia="宋体" w:cs="Arial"/>
                <w:sz w:val="24"/>
                <w:szCs w:val="24"/>
              </w:rPr>
              <w:t>本项目沥青采用导热油炉间接加热，经过导热油炉加热的导热油对储罐内的沥青进行间接加热，直至150～180℃左右，沥青加热后通过密闭管道输送至封闭搅拌器与预热后的骨料、粉料进行搅拌混合。沥青储罐呼吸口在沥青加热和保温状态是密封状态的，储罐中因加热而产生的沥青烟经密闭管道输送至搅拌器内。</w:t>
            </w:r>
          </w:p>
          <w:p>
            <w:pPr>
              <w:pStyle w:val="84"/>
              <w:ind w:firstLine="480"/>
              <w:rPr>
                <w:rFonts w:hint="default" w:ascii="Arial" w:hAnsi="Arial" w:eastAsia="宋体" w:cs="Arial"/>
                <w:szCs w:val="24"/>
              </w:rPr>
            </w:pPr>
            <w:r>
              <w:rPr>
                <w:rFonts w:hint="default" w:ascii="Arial" w:hAnsi="Arial" w:eastAsia="宋体" w:cs="Arial"/>
                <w:szCs w:val="24"/>
              </w:rPr>
              <w:t>本项目沥青加热过程、搅拌过程的产物系数参考前苏联拉扎列夫主编的《工业生产中有害物物质手册》第一卷（化学工业出版社，1987 年 12 月出版）及金相灿主编的《有机化合物污染化学》（清华大学出版社，1990年8月出版），石油沥青在加热（150℃～170℃）过程中苯并[a]芘气体的产生量为0.10~0.15g/t（本次环评取0.125g/t），沥青烟产生系数为56.25g/t沥青。本项目沥青废气产生的异味主要为非甲烷总烃，根据《壳牌沥青手册》（壳牌大中华集团，1995年9月初版）的有关资料，石油沥青中非甲烷总烃气体含量约为2.5g/t沥青。</w:t>
            </w:r>
          </w:p>
          <w:p>
            <w:pPr>
              <w:pStyle w:val="84"/>
              <w:ind w:firstLine="480"/>
              <w:rPr>
                <w:rFonts w:eastAsia="仿宋"/>
                <w:szCs w:val="24"/>
              </w:rPr>
            </w:pPr>
            <w:r>
              <w:rPr>
                <w:rFonts w:hint="default" w:ascii="Arial" w:hAnsi="Arial" w:eastAsia="宋体" w:cs="Arial"/>
                <w:szCs w:val="24"/>
              </w:rPr>
              <w:t>本项目生产系统为全封闭结构，项目沥青废气基本可做到完全收集，收集后的沥青废气经负压管道密闭输送至</w:t>
            </w:r>
            <w:r>
              <w:rPr>
                <w:rFonts w:hint="default" w:ascii="Arial" w:hAnsi="Arial" w:eastAsia="宋体" w:cs="Arial"/>
                <w:szCs w:val="24"/>
                <w:highlight w:val="none"/>
              </w:rPr>
              <w:t>“活性炭吸附装置</w:t>
            </w:r>
            <w:r>
              <w:rPr>
                <w:rFonts w:hint="eastAsia" w:ascii="Arial" w:hAnsi="Arial" w:cs="Arial"/>
                <w:szCs w:val="24"/>
                <w:highlight w:val="none"/>
                <w:lang w:val="en-US" w:eastAsia="zh-CN"/>
              </w:rPr>
              <w:t>+UV光氧</w:t>
            </w:r>
            <w:r>
              <w:rPr>
                <w:rFonts w:hint="default" w:ascii="Arial" w:hAnsi="Arial" w:eastAsia="宋体" w:cs="Arial"/>
                <w:szCs w:val="24"/>
              </w:rPr>
              <w:t>”处理，然后经过1根15m高排气筒（风量为</w:t>
            </w:r>
            <w:r>
              <w:rPr>
                <w:rFonts w:hint="eastAsia" w:ascii="Arial" w:hAnsi="Arial" w:eastAsia="宋体" w:cs="Arial"/>
                <w:szCs w:val="24"/>
                <w:lang w:val="en-US" w:eastAsia="zh-CN"/>
              </w:rPr>
              <w:t>1</w:t>
            </w:r>
            <w:r>
              <w:rPr>
                <w:rFonts w:hint="default" w:ascii="Arial" w:hAnsi="Arial" w:eastAsia="宋体" w:cs="Arial"/>
                <w:szCs w:val="24"/>
              </w:rPr>
              <w:t>5000m</w:t>
            </w:r>
            <w:r>
              <w:rPr>
                <w:rFonts w:hint="default" w:ascii="Arial" w:hAnsi="Arial" w:eastAsia="宋体" w:cs="Arial"/>
                <w:szCs w:val="24"/>
                <w:vertAlign w:val="superscript"/>
              </w:rPr>
              <w:t>3</w:t>
            </w:r>
            <w:r>
              <w:rPr>
                <w:rFonts w:hint="default" w:ascii="Arial" w:hAnsi="Arial" w:eastAsia="宋体" w:cs="Arial"/>
                <w:szCs w:val="24"/>
              </w:rPr>
              <w:t>/h，处理效率</w:t>
            </w:r>
            <w:r>
              <w:rPr>
                <w:rFonts w:hint="eastAsia" w:ascii="Arial" w:hAnsi="Arial" w:eastAsia="宋体" w:cs="Arial"/>
                <w:szCs w:val="24"/>
                <w:lang w:val="en-US" w:eastAsia="zh-CN"/>
              </w:rPr>
              <w:t>80</w:t>
            </w:r>
            <w:r>
              <w:rPr>
                <w:rFonts w:hint="default" w:ascii="Arial" w:hAnsi="Arial" w:eastAsia="宋体" w:cs="Arial"/>
                <w:szCs w:val="24"/>
              </w:rPr>
              <w:t>%）排放。</w:t>
            </w:r>
          </w:p>
          <w:p>
            <w:pPr>
              <w:pStyle w:val="84"/>
              <w:keepNext w:val="0"/>
              <w:keepLines w:val="0"/>
              <w:pageBreakBefore w:val="0"/>
              <w:widowControl w:val="0"/>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default" w:ascii="Arial" w:hAnsi="Arial" w:eastAsia="宋体" w:cs="Arial"/>
                <w:szCs w:val="24"/>
              </w:rPr>
              <w:t>本项目每年使用沥青</w:t>
            </w:r>
            <w:r>
              <w:rPr>
                <w:rFonts w:hint="eastAsia" w:ascii="Arial" w:hAnsi="Arial" w:cs="Arial"/>
                <w:szCs w:val="24"/>
                <w:lang w:val="en-US" w:eastAsia="zh-CN"/>
              </w:rPr>
              <w:t>55</w:t>
            </w:r>
            <w:r>
              <w:rPr>
                <w:rFonts w:hint="default" w:ascii="Arial" w:hAnsi="Arial" w:eastAsia="宋体" w:cs="Arial"/>
                <w:szCs w:val="24"/>
              </w:rPr>
              <w:t>t，则本项目沥青废气产生量为：苯并[a]芘0.0000</w:t>
            </w:r>
            <w:r>
              <w:rPr>
                <w:rFonts w:hint="eastAsia" w:ascii="Arial" w:hAnsi="Arial" w:cs="Arial"/>
                <w:szCs w:val="24"/>
                <w:lang w:val="en-US" w:eastAsia="zh-CN"/>
              </w:rPr>
              <w:t>07</w:t>
            </w:r>
            <w:r>
              <w:rPr>
                <w:rFonts w:hint="default" w:ascii="Arial" w:hAnsi="Arial" w:eastAsia="宋体" w:cs="Arial"/>
                <w:szCs w:val="24"/>
              </w:rPr>
              <w:t>t/a，沥青烟0.0</w:t>
            </w:r>
            <w:r>
              <w:rPr>
                <w:rFonts w:hint="eastAsia" w:ascii="Arial" w:hAnsi="Arial" w:cs="Arial"/>
                <w:szCs w:val="24"/>
                <w:lang w:val="en-US" w:eastAsia="zh-CN"/>
              </w:rPr>
              <w:t>03</w:t>
            </w:r>
            <w:r>
              <w:rPr>
                <w:rFonts w:hint="default" w:ascii="Arial" w:hAnsi="Arial" w:eastAsia="宋体" w:cs="Arial"/>
                <w:szCs w:val="24"/>
              </w:rPr>
              <w:t>t/a，非甲烷总烃0.00</w:t>
            </w:r>
            <w:r>
              <w:rPr>
                <w:rFonts w:hint="eastAsia" w:ascii="Arial" w:hAnsi="Arial" w:cs="Arial"/>
                <w:szCs w:val="24"/>
                <w:lang w:val="en-US" w:eastAsia="zh-CN"/>
              </w:rPr>
              <w:t>014</w:t>
            </w:r>
            <w:r>
              <w:rPr>
                <w:rFonts w:hint="default" w:ascii="Arial" w:hAnsi="Arial" w:eastAsia="宋体" w:cs="Arial"/>
                <w:szCs w:val="24"/>
              </w:rPr>
              <w:t>t/a</w:t>
            </w:r>
            <w:r>
              <w:rPr>
                <w:rFonts w:hint="eastAsia" w:ascii="Arial" w:hAnsi="Arial" w:cs="Arial"/>
                <w:szCs w:val="24"/>
                <w:lang w:eastAsia="zh-CN"/>
              </w:rPr>
              <w:t>，</w:t>
            </w:r>
            <w:r>
              <w:rPr>
                <w:rFonts w:hint="eastAsia" w:ascii="Arial" w:hAnsi="Arial" w:cs="Arial"/>
                <w:szCs w:val="24"/>
                <w:lang w:val="en-US" w:eastAsia="zh-CN"/>
              </w:rPr>
              <w:t>则经采取上述措施后，沥青搅拌站运行过程中沥青烟气的产生和排放情况分别如下：</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w:t>
            </w:r>
            <w:r>
              <w:rPr>
                <w:rFonts w:hint="eastAsia" w:ascii="Times New Roman" w:hAnsi="宋体" w:cs="Times New Roman"/>
                <w:b/>
                <w:szCs w:val="21"/>
                <w:lang w:val="en-US" w:eastAsia="zh-CN"/>
              </w:rPr>
              <w:t>4</w:t>
            </w:r>
            <w:r>
              <w:rPr>
                <w:rFonts w:hint="eastAsia" w:ascii="Times New Roman" w:hAnsi="宋体" w:eastAsia="宋体" w:cs="Times New Roman"/>
                <w:b/>
                <w:szCs w:val="21"/>
                <w:lang w:val="zh-CN"/>
              </w:rPr>
              <w:t>-</w:t>
            </w:r>
            <w:r>
              <w:rPr>
                <w:rFonts w:hint="eastAsia" w:hAnsi="宋体" w:cs="Times New Roman"/>
                <w:b/>
                <w:szCs w:val="21"/>
                <w:lang w:val="en-US" w:eastAsia="zh-CN"/>
              </w:rPr>
              <w:t>9</w:t>
            </w:r>
            <w:r>
              <w:rPr>
                <w:rFonts w:hint="eastAsia" w:ascii="Times New Roman" w:hAnsi="宋体" w:cs="Times New Roman"/>
                <w:b/>
                <w:szCs w:val="21"/>
                <w:lang w:val="en-US" w:eastAsia="zh-CN"/>
              </w:rPr>
              <w:t xml:space="preserve">  </w:t>
            </w:r>
            <w:r>
              <w:rPr>
                <w:rFonts w:hint="eastAsia" w:ascii="Times New Roman" w:hAnsi="宋体" w:eastAsia="宋体" w:cs="Times New Roman"/>
                <w:b/>
                <w:szCs w:val="21"/>
                <w:lang w:val="zh-CN"/>
              </w:rPr>
              <w:t xml:space="preserve"> </w:t>
            </w:r>
            <w:r>
              <w:rPr>
                <w:rFonts w:hint="eastAsia" w:ascii="Times New Roman" w:hAnsi="宋体" w:cs="Times New Roman"/>
                <w:b/>
                <w:szCs w:val="21"/>
                <w:lang w:val="en-US" w:eastAsia="zh-CN"/>
              </w:rPr>
              <w:t>沥青拌合站</w:t>
            </w:r>
            <w:r>
              <w:rPr>
                <w:rFonts w:hint="eastAsia" w:ascii="Times New Roman" w:hAnsi="宋体" w:eastAsia="宋体" w:cs="Times New Roman"/>
                <w:b/>
                <w:szCs w:val="21"/>
                <w:lang w:val="zh-CN"/>
              </w:rPr>
              <w:t>沥青废气产排情况</w:t>
            </w:r>
          </w:p>
          <w:tbl>
            <w:tblPr>
              <w:tblStyle w:val="23"/>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4"/>
              <w:gridCol w:w="1190"/>
              <w:gridCol w:w="1167"/>
              <w:gridCol w:w="1170"/>
              <w:gridCol w:w="1169"/>
              <w:gridCol w:w="1170"/>
              <w:gridCol w:w="1167"/>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3" w:type="pct"/>
                  <w:vMerge w:val="restart"/>
                  <w:noWrap w:val="0"/>
                  <w:vAlign w:val="center"/>
                </w:tcPr>
                <w:p>
                  <w:pPr>
                    <w:pStyle w:val="86"/>
                    <w:rPr>
                      <w:rFonts w:hint="default" w:ascii="Arial" w:hAnsi="Arial" w:eastAsia="宋体" w:cs="Arial"/>
                      <w:b/>
                      <w:bCs/>
                      <w:szCs w:val="21"/>
                    </w:rPr>
                  </w:pPr>
                  <w:r>
                    <w:rPr>
                      <w:rFonts w:hint="default" w:ascii="Arial" w:hAnsi="Arial" w:eastAsia="宋体" w:cs="Arial"/>
                      <w:b/>
                      <w:bCs/>
                      <w:szCs w:val="21"/>
                    </w:rPr>
                    <w:t>污染源</w:t>
                  </w:r>
                </w:p>
              </w:tc>
              <w:tc>
                <w:tcPr>
                  <w:tcW w:w="676" w:type="pct"/>
                  <w:vMerge w:val="restart"/>
                  <w:noWrap w:val="0"/>
                  <w:vAlign w:val="center"/>
                </w:tcPr>
                <w:p>
                  <w:pPr>
                    <w:pStyle w:val="86"/>
                    <w:rPr>
                      <w:rFonts w:hint="default" w:ascii="Arial" w:hAnsi="Arial" w:eastAsia="宋体" w:cs="Arial"/>
                      <w:b/>
                      <w:bCs/>
                      <w:szCs w:val="21"/>
                    </w:rPr>
                  </w:pPr>
                  <w:r>
                    <w:rPr>
                      <w:rFonts w:hint="default" w:ascii="Arial" w:hAnsi="Arial" w:eastAsia="宋体" w:cs="Arial"/>
                      <w:b/>
                      <w:bCs/>
                      <w:szCs w:val="21"/>
                    </w:rPr>
                    <w:t>污染物</w:t>
                  </w:r>
                </w:p>
              </w:tc>
              <w:tc>
                <w:tcPr>
                  <w:tcW w:w="1992" w:type="pct"/>
                  <w:gridSpan w:val="3"/>
                  <w:noWrap w:val="0"/>
                  <w:vAlign w:val="center"/>
                </w:tcPr>
                <w:p>
                  <w:pPr>
                    <w:pStyle w:val="86"/>
                    <w:rPr>
                      <w:rFonts w:hint="default" w:ascii="Arial" w:hAnsi="Arial" w:eastAsia="宋体" w:cs="Arial"/>
                      <w:b/>
                      <w:bCs/>
                      <w:szCs w:val="21"/>
                    </w:rPr>
                  </w:pPr>
                  <w:r>
                    <w:rPr>
                      <w:rFonts w:hint="default" w:ascii="Arial" w:hAnsi="Arial" w:eastAsia="宋体" w:cs="Arial"/>
                      <w:b/>
                      <w:bCs/>
                      <w:szCs w:val="21"/>
                      <w:lang w:val="en-US" w:eastAsia="zh-CN"/>
                    </w:rPr>
                    <w:t>沥青</w:t>
                  </w:r>
                  <w:r>
                    <w:rPr>
                      <w:rFonts w:hint="eastAsia" w:ascii="Arial" w:hAnsi="Arial" w:eastAsia="宋体" w:cs="Arial"/>
                      <w:b/>
                      <w:bCs/>
                      <w:szCs w:val="21"/>
                      <w:lang w:val="en-US" w:eastAsia="zh-CN"/>
                    </w:rPr>
                    <w:t>烟气</w:t>
                  </w:r>
                  <w:r>
                    <w:rPr>
                      <w:rFonts w:hint="default" w:ascii="Arial" w:hAnsi="Arial" w:eastAsia="宋体" w:cs="Arial"/>
                      <w:b/>
                      <w:bCs/>
                      <w:szCs w:val="21"/>
                      <w:lang w:val="en-US" w:eastAsia="zh-CN"/>
                    </w:rPr>
                    <w:t>产生</w:t>
                  </w:r>
                  <w:r>
                    <w:rPr>
                      <w:rFonts w:hint="default" w:ascii="Arial" w:hAnsi="Arial" w:eastAsia="宋体" w:cs="Arial"/>
                      <w:b/>
                      <w:bCs/>
                      <w:szCs w:val="21"/>
                    </w:rPr>
                    <w:t>情况</w:t>
                  </w:r>
                </w:p>
              </w:tc>
              <w:tc>
                <w:tcPr>
                  <w:tcW w:w="1947" w:type="pct"/>
                  <w:gridSpan w:val="3"/>
                  <w:noWrap w:val="0"/>
                  <w:vAlign w:val="center"/>
                </w:tcPr>
                <w:p>
                  <w:pPr>
                    <w:pStyle w:val="86"/>
                    <w:rPr>
                      <w:rFonts w:hint="default" w:ascii="Arial" w:hAnsi="Arial" w:eastAsia="宋体" w:cs="Arial"/>
                      <w:b/>
                      <w:bCs/>
                      <w:szCs w:val="21"/>
                    </w:rPr>
                  </w:pPr>
                  <w:r>
                    <w:rPr>
                      <w:rFonts w:hint="default" w:ascii="Arial" w:hAnsi="Arial" w:eastAsia="宋体" w:cs="Arial"/>
                      <w:b/>
                      <w:bCs/>
                      <w:szCs w:val="21"/>
                    </w:rPr>
                    <w:t>有组织产排情况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3" w:type="pct"/>
                  <w:vMerge w:val="continue"/>
                  <w:noWrap w:val="0"/>
                  <w:vAlign w:val="center"/>
                </w:tcPr>
                <w:p>
                  <w:pPr>
                    <w:pStyle w:val="86"/>
                    <w:rPr>
                      <w:rFonts w:hint="default" w:ascii="Arial" w:hAnsi="Arial" w:eastAsia="宋体" w:cs="Arial"/>
                      <w:b/>
                      <w:bCs/>
                      <w:szCs w:val="21"/>
                    </w:rPr>
                  </w:pPr>
                </w:p>
              </w:tc>
              <w:tc>
                <w:tcPr>
                  <w:tcW w:w="676" w:type="pct"/>
                  <w:vMerge w:val="continue"/>
                  <w:noWrap w:val="0"/>
                  <w:vAlign w:val="center"/>
                </w:tcPr>
                <w:p>
                  <w:pPr>
                    <w:pStyle w:val="86"/>
                    <w:rPr>
                      <w:rFonts w:hint="default" w:ascii="Arial" w:hAnsi="Arial" w:eastAsia="宋体" w:cs="Arial"/>
                      <w:b/>
                      <w:bCs/>
                      <w:szCs w:val="21"/>
                    </w:rPr>
                  </w:pPr>
                </w:p>
              </w:tc>
              <w:tc>
                <w:tcPr>
                  <w:tcW w:w="663"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产生量</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（t/a）</w:t>
                  </w:r>
                </w:p>
              </w:tc>
              <w:tc>
                <w:tcPr>
                  <w:tcW w:w="665"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产生速率</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（kg/h）</w:t>
                  </w:r>
                </w:p>
              </w:tc>
              <w:tc>
                <w:tcPr>
                  <w:tcW w:w="663"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产生浓度</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（mg/m</w:t>
                  </w:r>
                  <w:r>
                    <w:rPr>
                      <w:rFonts w:hint="default" w:ascii="Arial" w:hAnsi="Arial" w:eastAsia="宋体" w:cs="Arial"/>
                      <w:b/>
                      <w:bCs/>
                      <w:szCs w:val="21"/>
                      <w:vertAlign w:val="superscript"/>
                    </w:rPr>
                    <w:t>3</w:t>
                  </w:r>
                  <w:r>
                    <w:rPr>
                      <w:rFonts w:hint="default" w:ascii="Arial" w:hAnsi="Arial" w:eastAsia="宋体" w:cs="Arial"/>
                      <w:b/>
                      <w:bCs/>
                      <w:szCs w:val="21"/>
                    </w:rPr>
                    <w:t>）</w:t>
                  </w:r>
                </w:p>
              </w:tc>
              <w:tc>
                <w:tcPr>
                  <w:tcW w:w="665"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排放量</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（t/a）</w:t>
                  </w:r>
                </w:p>
              </w:tc>
              <w:tc>
                <w:tcPr>
                  <w:tcW w:w="663"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排放速率</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（kg/h）</w:t>
                  </w:r>
                </w:p>
              </w:tc>
              <w:tc>
                <w:tcPr>
                  <w:tcW w:w="618" w:type="pct"/>
                  <w:noWrap w:val="0"/>
                  <w:vAlign w:val="center"/>
                </w:tcPr>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排放浓度</w:t>
                  </w:r>
                </w:p>
                <w:p>
                  <w:pPr>
                    <w:pStyle w:val="8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Arial" w:hAnsi="Arial" w:eastAsia="宋体" w:cs="Arial"/>
                      <w:b/>
                      <w:bCs/>
                      <w:szCs w:val="21"/>
                    </w:rPr>
                  </w:pPr>
                  <w:r>
                    <w:rPr>
                      <w:rFonts w:hint="default" w:ascii="Arial" w:hAnsi="Arial" w:eastAsia="宋体" w:cs="Arial"/>
                      <w:b/>
                      <w:bCs/>
                      <w:szCs w:val="21"/>
                    </w:rPr>
                    <w:t>（mg/m</w:t>
                  </w:r>
                  <w:r>
                    <w:rPr>
                      <w:rFonts w:hint="default" w:ascii="Arial" w:hAnsi="Arial" w:eastAsia="宋体" w:cs="Arial"/>
                      <w:b/>
                      <w:bCs/>
                      <w:szCs w:val="21"/>
                      <w:vertAlign w:val="superscript"/>
                    </w:rPr>
                    <w:t>3</w:t>
                  </w:r>
                  <w:r>
                    <w:rPr>
                      <w:rFonts w:hint="default" w:ascii="Arial" w:hAnsi="Arial" w:eastAsia="宋体" w:cs="Arial"/>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3" w:type="pct"/>
                  <w:vMerge w:val="restart"/>
                  <w:noWrap w:val="0"/>
                  <w:vAlign w:val="center"/>
                </w:tcPr>
                <w:p>
                  <w:pPr>
                    <w:pStyle w:val="86"/>
                    <w:rPr>
                      <w:rFonts w:hint="default" w:ascii="Arial" w:hAnsi="Arial" w:eastAsia="宋体" w:cs="Arial"/>
                      <w:b w:val="0"/>
                      <w:bCs w:val="0"/>
                      <w:szCs w:val="21"/>
                    </w:rPr>
                  </w:pPr>
                  <w:r>
                    <w:rPr>
                      <w:rFonts w:hint="default" w:ascii="Arial" w:hAnsi="Arial" w:eastAsia="宋体" w:cs="Arial"/>
                      <w:b w:val="0"/>
                      <w:bCs w:val="0"/>
                      <w:szCs w:val="21"/>
                    </w:rPr>
                    <w:t>沥青</w:t>
                  </w:r>
                </w:p>
                <w:p>
                  <w:pPr>
                    <w:pStyle w:val="86"/>
                    <w:rPr>
                      <w:rFonts w:hint="default" w:ascii="Arial" w:hAnsi="Arial" w:eastAsia="宋体" w:cs="Arial"/>
                      <w:b w:val="0"/>
                      <w:bCs w:val="0"/>
                      <w:szCs w:val="21"/>
                    </w:rPr>
                  </w:pPr>
                  <w:r>
                    <w:rPr>
                      <w:rFonts w:hint="default" w:ascii="Arial" w:hAnsi="Arial" w:eastAsia="宋体" w:cs="Arial"/>
                      <w:b w:val="0"/>
                      <w:bCs w:val="0"/>
                      <w:szCs w:val="21"/>
                    </w:rPr>
                    <w:t>废气</w:t>
                  </w:r>
                </w:p>
              </w:tc>
              <w:tc>
                <w:tcPr>
                  <w:tcW w:w="676" w:type="pct"/>
                  <w:noWrap w:val="0"/>
                  <w:vAlign w:val="center"/>
                </w:tcPr>
                <w:p>
                  <w:pPr>
                    <w:pStyle w:val="86"/>
                    <w:rPr>
                      <w:rFonts w:hint="default" w:ascii="Arial" w:hAnsi="Arial" w:eastAsia="宋体" w:cs="Arial"/>
                      <w:b w:val="0"/>
                      <w:bCs w:val="0"/>
                      <w:szCs w:val="21"/>
                    </w:rPr>
                  </w:pPr>
                  <w:r>
                    <w:rPr>
                      <w:rFonts w:hint="default" w:ascii="Arial" w:hAnsi="Arial" w:eastAsia="宋体" w:cs="Arial"/>
                      <w:b w:val="0"/>
                      <w:bCs w:val="0"/>
                      <w:szCs w:val="21"/>
                    </w:rPr>
                    <w:t>苯并[a]芘</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0.0000</w:t>
                  </w:r>
                  <w:r>
                    <w:rPr>
                      <w:rFonts w:hint="eastAsia" w:ascii="Arial" w:hAnsi="Arial" w:eastAsia="宋体" w:cs="Arial"/>
                      <w:b w:val="0"/>
                      <w:bCs w:val="0"/>
                      <w:szCs w:val="21"/>
                      <w:lang w:val="en-US" w:eastAsia="zh-CN"/>
                    </w:rPr>
                    <w:t>07</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0.000</w:t>
                  </w:r>
                  <w:r>
                    <w:rPr>
                      <w:rFonts w:hint="eastAsia" w:ascii="Arial" w:hAnsi="Arial" w:eastAsia="宋体" w:cs="Arial"/>
                      <w:b w:val="0"/>
                      <w:bCs w:val="0"/>
                      <w:szCs w:val="21"/>
                      <w:lang w:val="en-US" w:eastAsia="zh-CN"/>
                    </w:rPr>
                    <w:t>006</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w:t>
                  </w:r>
                  <w:r>
                    <w:rPr>
                      <w:rFonts w:hint="eastAsia" w:ascii="Arial" w:hAnsi="Arial" w:eastAsia="宋体" w:cs="Arial"/>
                      <w:b w:val="0"/>
                      <w:bCs w:val="0"/>
                      <w:szCs w:val="21"/>
                      <w:lang w:val="en-US" w:eastAsia="zh-CN"/>
                    </w:rPr>
                    <w:t>04</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0.00000</w:t>
                  </w:r>
                  <w:r>
                    <w:rPr>
                      <w:rFonts w:hint="eastAsia" w:ascii="Arial" w:hAnsi="Arial" w:eastAsia="宋体" w:cs="Arial"/>
                      <w:b w:val="0"/>
                      <w:bCs w:val="0"/>
                      <w:szCs w:val="21"/>
                      <w:lang w:val="en-US" w:eastAsia="zh-CN"/>
                    </w:rPr>
                    <w:t>14</w:t>
                  </w:r>
                </w:p>
              </w:tc>
              <w:tc>
                <w:tcPr>
                  <w:tcW w:w="663" w:type="pct"/>
                  <w:noWrap w:val="0"/>
                  <w:vAlign w:val="center"/>
                </w:tcPr>
                <w:p>
                  <w:pPr>
                    <w:pStyle w:val="86"/>
                    <w:rPr>
                      <w:rFonts w:hint="eastAsia" w:ascii="Arial" w:hAnsi="Arial" w:eastAsia="宋体" w:cs="Arial"/>
                      <w:b w:val="0"/>
                      <w:bCs w:val="0"/>
                      <w:szCs w:val="21"/>
                      <w:lang w:eastAsia="zh-CN"/>
                    </w:rPr>
                  </w:pPr>
                  <w:r>
                    <w:rPr>
                      <w:rFonts w:hint="default" w:ascii="Arial" w:hAnsi="Arial" w:eastAsia="宋体" w:cs="Arial"/>
                      <w:b w:val="0"/>
                      <w:bCs w:val="0"/>
                      <w:szCs w:val="21"/>
                    </w:rPr>
                    <w:t>0.00000</w:t>
                  </w:r>
                  <w:r>
                    <w:rPr>
                      <w:rFonts w:hint="eastAsia" w:ascii="Arial" w:hAnsi="Arial" w:eastAsia="宋体" w:cs="Arial"/>
                      <w:b w:val="0"/>
                      <w:bCs w:val="0"/>
                      <w:szCs w:val="21"/>
                      <w:lang w:val="en-US" w:eastAsia="zh-CN"/>
                    </w:rPr>
                    <w:t>2</w:t>
                  </w:r>
                </w:p>
              </w:tc>
              <w:tc>
                <w:tcPr>
                  <w:tcW w:w="618" w:type="pct"/>
                  <w:noWrap w:val="0"/>
                  <w:vAlign w:val="center"/>
                </w:tcPr>
                <w:p>
                  <w:pPr>
                    <w:pStyle w:val="86"/>
                    <w:rPr>
                      <w:rFonts w:hint="eastAsia" w:ascii="Arial" w:hAnsi="Arial" w:eastAsia="宋体" w:cs="Arial"/>
                      <w:b w:val="0"/>
                      <w:bCs w:val="0"/>
                      <w:szCs w:val="21"/>
                      <w:lang w:eastAsia="zh-CN"/>
                    </w:rPr>
                  </w:pPr>
                  <w:r>
                    <w:rPr>
                      <w:rFonts w:hint="default" w:ascii="Arial" w:hAnsi="Arial" w:eastAsia="宋体" w:cs="Arial"/>
                      <w:b w:val="0"/>
                      <w:bCs w:val="0"/>
                      <w:szCs w:val="21"/>
                    </w:rPr>
                    <w:t>0.0000</w:t>
                  </w:r>
                  <w:r>
                    <w:rPr>
                      <w:rFonts w:hint="eastAsia" w:ascii="Arial" w:hAnsi="Arial" w:eastAsia="宋体" w:cs="Arial"/>
                      <w:b w:val="0"/>
                      <w:bCs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3" w:type="pct"/>
                  <w:vMerge w:val="continue"/>
                  <w:noWrap w:val="0"/>
                  <w:vAlign w:val="center"/>
                </w:tcPr>
                <w:p>
                  <w:pPr>
                    <w:pStyle w:val="86"/>
                    <w:rPr>
                      <w:rFonts w:hint="default" w:ascii="Arial" w:hAnsi="Arial" w:eastAsia="宋体" w:cs="Arial"/>
                      <w:b w:val="0"/>
                      <w:bCs w:val="0"/>
                      <w:szCs w:val="21"/>
                    </w:rPr>
                  </w:pPr>
                </w:p>
              </w:tc>
              <w:tc>
                <w:tcPr>
                  <w:tcW w:w="676" w:type="pct"/>
                  <w:noWrap w:val="0"/>
                  <w:vAlign w:val="center"/>
                </w:tcPr>
                <w:p>
                  <w:pPr>
                    <w:pStyle w:val="86"/>
                    <w:rPr>
                      <w:rFonts w:hint="default" w:ascii="Arial" w:hAnsi="Arial" w:eastAsia="宋体" w:cs="Arial"/>
                      <w:b w:val="0"/>
                      <w:bCs w:val="0"/>
                      <w:szCs w:val="21"/>
                    </w:rPr>
                  </w:pPr>
                  <w:r>
                    <w:rPr>
                      <w:rFonts w:hint="default" w:ascii="Arial" w:hAnsi="Arial" w:eastAsia="宋体" w:cs="Arial"/>
                      <w:b w:val="0"/>
                      <w:bCs w:val="0"/>
                      <w:szCs w:val="21"/>
                    </w:rPr>
                    <w:t>沥青烟</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w:t>
                  </w:r>
                  <w:r>
                    <w:rPr>
                      <w:rFonts w:hint="eastAsia" w:ascii="Arial" w:hAnsi="Arial" w:eastAsia="宋体" w:cs="Arial"/>
                      <w:b w:val="0"/>
                      <w:bCs w:val="0"/>
                      <w:szCs w:val="21"/>
                      <w:lang w:val="en-US" w:eastAsia="zh-CN"/>
                    </w:rPr>
                    <w:t>03</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w:t>
                  </w:r>
                  <w:r>
                    <w:rPr>
                      <w:rFonts w:hint="eastAsia" w:ascii="Arial" w:hAnsi="Arial" w:eastAsia="宋体" w:cs="Arial"/>
                      <w:b w:val="0"/>
                      <w:bCs w:val="0"/>
                      <w:szCs w:val="21"/>
                      <w:lang w:val="en-US" w:eastAsia="zh-CN"/>
                    </w:rPr>
                    <w:t>03</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w:t>
                  </w:r>
                  <w:r>
                    <w:rPr>
                      <w:rFonts w:hint="eastAsia" w:ascii="Arial" w:hAnsi="Arial" w:eastAsia="宋体" w:cs="Arial"/>
                      <w:b w:val="0"/>
                      <w:bCs w:val="0"/>
                      <w:szCs w:val="21"/>
                      <w:lang w:val="en-US" w:eastAsia="zh-CN"/>
                    </w:rPr>
                    <w:t>17</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w:t>
                  </w:r>
                  <w:r>
                    <w:rPr>
                      <w:rFonts w:hint="eastAsia" w:ascii="Arial" w:hAnsi="Arial" w:eastAsia="宋体" w:cs="Arial"/>
                      <w:b w:val="0"/>
                      <w:bCs w:val="0"/>
                      <w:szCs w:val="21"/>
                      <w:lang w:val="en-US" w:eastAsia="zh-CN"/>
                    </w:rPr>
                    <w:t>06</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w:t>
                  </w:r>
                  <w:r>
                    <w:rPr>
                      <w:rFonts w:hint="eastAsia" w:ascii="Arial" w:hAnsi="Arial" w:eastAsia="宋体" w:cs="Arial"/>
                      <w:b w:val="0"/>
                      <w:bCs w:val="0"/>
                      <w:szCs w:val="21"/>
                      <w:lang w:val="en-US" w:eastAsia="zh-CN"/>
                    </w:rPr>
                    <w:t>05</w:t>
                  </w:r>
                </w:p>
              </w:tc>
              <w:tc>
                <w:tcPr>
                  <w:tcW w:w="618"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w:t>
                  </w:r>
                  <w:r>
                    <w:rPr>
                      <w:rFonts w:hint="eastAsia" w:ascii="Arial" w:hAnsi="Arial" w:eastAsia="宋体" w:cs="Arial"/>
                      <w:b w:val="0"/>
                      <w:bCs w:val="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83" w:type="pct"/>
                  <w:vMerge w:val="continue"/>
                  <w:noWrap w:val="0"/>
                  <w:vAlign w:val="center"/>
                </w:tcPr>
                <w:p>
                  <w:pPr>
                    <w:pStyle w:val="86"/>
                    <w:rPr>
                      <w:rFonts w:hint="default" w:ascii="Arial" w:hAnsi="Arial" w:eastAsia="宋体" w:cs="Arial"/>
                      <w:b w:val="0"/>
                      <w:bCs w:val="0"/>
                      <w:szCs w:val="21"/>
                    </w:rPr>
                  </w:pPr>
                </w:p>
              </w:tc>
              <w:tc>
                <w:tcPr>
                  <w:tcW w:w="676" w:type="pct"/>
                  <w:noWrap w:val="0"/>
                  <w:vAlign w:val="center"/>
                </w:tcPr>
                <w:p>
                  <w:pPr>
                    <w:pStyle w:val="86"/>
                    <w:rPr>
                      <w:rFonts w:hint="default" w:ascii="Arial" w:hAnsi="Arial" w:eastAsia="宋体" w:cs="Arial"/>
                      <w:b w:val="0"/>
                      <w:bCs w:val="0"/>
                      <w:szCs w:val="21"/>
                    </w:rPr>
                  </w:pPr>
                  <w:r>
                    <w:rPr>
                      <w:rFonts w:hint="default" w:ascii="Arial" w:hAnsi="Arial" w:eastAsia="宋体" w:cs="Arial"/>
                      <w:b w:val="0"/>
                      <w:bCs w:val="0"/>
                      <w:szCs w:val="21"/>
                    </w:rPr>
                    <w:t>非甲烷总烃</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w:t>
                  </w:r>
                  <w:r>
                    <w:rPr>
                      <w:rFonts w:hint="eastAsia" w:ascii="Arial" w:hAnsi="Arial" w:eastAsia="宋体" w:cs="Arial"/>
                      <w:b w:val="0"/>
                      <w:bCs w:val="0"/>
                      <w:szCs w:val="21"/>
                      <w:lang w:val="en-US" w:eastAsia="zh-CN"/>
                    </w:rPr>
                    <w:t>014</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w:t>
                  </w:r>
                  <w:r>
                    <w:rPr>
                      <w:rFonts w:hint="eastAsia" w:ascii="Arial" w:hAnsi="Arial" w:eastAsia="宋体" w:cs="Arial"/>
                      <w:b w:val="0"/>
                      <w:bCs w:val="0"/>
                      <w:szCs w:val="21"/>
                      <w:lang w:val="en-US" w:eastAsia="zh-CN"/>
                    </w:rPr>
                    <w:t>01</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w:t>
                  </w:r>
                  <w:r>
                    <w:rPr>
                      <w:rFonts w:hint="eastAsia" w:ascii="Arial" w:hAnsi="Arial" w:eastAsia="宋体" w:cs="Arial"/>
                      <w:b w:val="0"/>
                      <w:bCs w:val="0"/>
                      <w:szCs w:val="21"/>
                      <w:lang w:val="en-US" w:eastAsia="zh-CN"/>
                    </w:rPr>
                    <w:t>08</w:t>
                  </w:r>
                </w:p>
              </w:tc>
              <w:tc>
                <w:tcPr>
                  <w:tcW w:w="665"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0.0000</w:t>
                  </w:r>
                  <w:r>
                    <w:rPr>
                      <w:rFonts w:hint="eastAsia" w:ascii="Arial" w:hAnsi="Arial" w:eastAsia="宋体" w:cs="Arial"/>
                      <w:b w:val="0"/>
                      <w:bCs w:val="0"/>
                      <w:szCs w:val="21"/>
                      <w:lang w:val="en-US" w:eastAsia="zh-CN"/>
                    </w:rPr>
                    <w:t>28</w:t>
                  </w:r>
                </w:p>
              </w:tc>
              <w:tc>
                <w:tcPr>
                  <w:tcW w:w="663" w:type="pct"/>
                  <w:noWrap w:val="0"/>
                  <w:vAlign w:val="center"/>
                </w:tcPr>
                <w:p>
                  <w:pPr>
                    <w:pStyle w:val="86"/>
                    <w:rPr>
                      <w:rFonts w:hint="default" w:ascii="Arial" w:hAnsi="Arial" w:eastAsia="宋体" w:cs="Arial"/>
                      <w:b w:val="0"/>
                      <w:bCs w:val="0"/>
                      <w:szCs w:val="21"/>
                      <w:lang w:val="en-US" w:eastAsia="zh-CN"/>
                    </w:rPr>
                  </w:pPr>
                  <w:r>
                    <w:rPr>
                      <w:rFonts w:hint="default" w:ascii="Arial" w:hAnsi="Arial" w:eastAsia="宋体" w:cs="Arial"/>
                      <w:b w:val="0"/>
                      <w:bCs w:val="0"/>
                      <w:szCs w:val="21"/>
                    </w:rPr>
                    <w:t>0.000</w:t>
                  </w:r>
                  <w:r>
                    <w:rPr>
                      <w:rFonts w:hint="eastAsia" w:ascii="Arial" w:hAnsi="Arial" w:eastAsia="宋体" w:cs="Arial"/>
                      <w:b w:val="0"/>
                      <w:bCs w:val="0"/>
                      <w:szCs w:val="21"/>
                      <w:lang w:val="en-US" w:eastAsia="zh-CN"/>
                    </w:rPr>
                    <w:t>03</w:t>
                  </w:r>
                </w:p>
              </w:tc>
              <w:tc>
                <w:tcPr>
                  <w:tcW w:w="618" w:type="pct"/>
                  <w:noWrap w:val="0"/>
                  <w:vAlign w:val="center"/>
                </w:tcPr>
                <w:p>
                  <w:pPr>
                    <w:pStyle w:val="86"/>
                    <w:rPr>
                      <w:rFonts w:hint="eastAsia" w:ascii="Arial" w:hAnsi="Arial" w:eastAsia="宋体" w:cs="Arial"/>
                      <w:b w:val="0"/>
                      <w:bCs w:val="0"/>
                      <w:szCs w:val="21"/>
                      <w:lang w:eastAsia="zh-CN"/>
                    </w:rPr>
                  </w:pPr>
                  <w:r>
                    <w:rPr>
                      <w:rFonts w:hint="default" w:ascii="Arial" w:hAnsi="Arial" w:eastAsia="宋体" w:cs="Arial"/>
                      <w:b w:val="0"/>
                      <w:bCs w:val="0"/>
                      <w:szCs w:val="21"/>
                    </w:rPr>
                    <w:t>0.001</w:t>
                  </w:r>
                  <w:r>
                    <w:rPr>
                      <w:rFonts w:hint="eastAsia" w:ascii="Arial" w:hAnsi="Arial" w:eastAsia="宋体" w:cs="Arial"/>
                      <w:b w:val="0"/>
                      <w:bCs w:val="0"/>
                      <w:szCs w:val="21"/>
                      <w:lang w:val="en-US" w:eastAsia="zh-CN"/>
                    </w:rPr>
                    <w:t>6</w:t>
                  </w:r>
                </w:p>
              </w:tc>
            </w:tr>
          </w:tbl>
          <w:p>
            <w:pPr>
              <w:pStyle w:val="84"/>
              <w:ind w:firstLine="480"/>
              <w:rPr>
                <w:rFonts w:hint="default" w:ascii="Arial" w:hAnsi="Arial" w:eastAsia="宋体" w:cs="Arial"/>
                <w:b/>
                <w:bCs/>
                <w:szCs w:val="24"/>
              </w:rPr>
            </w:pPr>
            <w:r>
              <w:rPr>
                <w:rFonts w:hint="eastAsia" w:ascii="Arial" w:hAnsi="Arial" w:cs="Arial"/>
                <w:b/>
                <w:bCs/>
                <w:szCs w:val="24"/>
                <w:lang w:val="en-US" w:eastAsia="zh-CN"/>
              </w:rPr>
              <w:t>⑷ 沥青</w:t>
            </w:r>
            <w:r>
              <w:rPr>
                <w:rFonts w:hint="default" w:ascii="Arial" w:hAnsi="Arial" w:eastAsia="宋体" w:cs="Arial"/>
                <w:b/>
                <w:bCs/>
                <w:szCs w:val="24"/>
              </w:rPr>
              <w:t>骨料堆棚产生的粉尘</w:t>
            </w:r>
          </w:p>
          <w:p>
            <w:pPr>
              <w:pStyle w:val="84"/>
              <w:ind w:firstLine="480"/>
              <w:rPr>
                <w:rFonts w:hint="eastAsia" w:ascii="Arial" w:hAnsi="Arial" w:cs="Arial"/>
                <w:color w:val="0000FF"/>
                <w:szCs w:val="24"/>
                <w:lang w:val="en-US" w:eastAsia="zh-CN"/>
              </w:rPr>
            </w:pPr>
            <w:r>
              <w:rPr>
                <w:rFonts w:hint="eastAsia" w:ascii="Arial" w:hAnsi="Arial" w:cs="Arial"/>
                <w:color w:val="0000FF"/>
                <w:szCs w:val="24"/>
                <w:lang w:val="en-US" w:eastAsia="zh-CN"/>
              </w:rPr>
              <w:t>项目生产时使用的骨料均为清洗后的碎石，避免的灰尘很少，因此，沥青骨料堆场产生的粉尘主要来源于骨料卸料过程。对于卸料过程中产生的粉尘，其产生量参考山西环保科研所、武汉水运工程学院提出的经验公式进行估算，具体如下：</w:t>
            </w:r>
          </w:p>
          <w:p>
            <w:pPr>
              <w:pStyle w:val="84"/>
              <w:ind w:firstLine="480"/>
              <w:rPr>
                <w:rFonts w:hint="default" w:ascii="Arial" w:hAnsi="Arial" w:cs="Arial"/>
                <w:color w:val="0000FF"/>
                <w:szCs w:val="24"/>
                <w:lang w:val="en-US" w:eastAsia="zh-CN"/>
              </w:rPr>
            </w:pPr>
            <w:r>
              <w:rPr>
                <w:rFonts w:hint="eastAsia" w:ascii="Arial" w:hAnsi="Arial" w:cs="Arial"/>
                <w:color w:val="0000FF"/>
                <w:szCs w:val="24"/>
                <w:lang w:val="en-US" w:eastAsia="zh-CN"/>
              </w:rPr>
              <w:t>Q=e</w:t>
            </w:r>
            <w:r>
              <w:rPr>
                <w:rFonts w:hint="eastAsia" w:ascii="Arial" w:hAnsi="Arial" w:cs="Arial"/>
                <w:color w:val="0000FF"/>
                <w:szCs w:val="24"/>
                <w:vertAlign w:val="superscript"/>
                <w:lang w:val="en-US" w:eastAsia="zh-CN"/>
              </w:rPr>
              <w:t>0.61u</w:t>
            </w:r>
            <w:r>
              <w:rPr>
                <w:rFonts w:hint="eastAsia" w:ascii="Arial" w:hAnsi="Arial" w:cs="Arial"/>
                <w:color w:val="0000FF"/>
                <w:szCs w:val="24"/>
                <w:vertAlign w:val="baseline"/>
                <w:lang w:val="en-US" w:eastAsia="zh-CN"/>
              </w:rPr>
              <w:t>×</w:t>
            </w:r>
            <w:r>
              <w:rPr>
                <w:rFonts w:hint="eastAsia" w:ascii="Arial" w:hAnsi="Arial" w:cs="Arial"/>
                <w:color w:val="0000FF"/>
                <w:szCs w:val="24"/>
                <w:lang w:val="en-US" w:eastAsia="zh-CN"/>
              </w:rPr>
              <w:t>M/13.5</w:t>
            </w:r>
          </w:p>
          <w:p>
            <w:pPr>
              <w:pStyle w:val="84"/>
              <w:ind w:firstLine="480"/>
              <w:rPr>
                <w:rFonts w:hint="eastAsia" w:ascii="Arial" w:hAnsi="Arial" w:cs="Arial"/>
                <w:color w:val="0000FF"/>
                <w:szCs w:val="24"/>
                <w:lang w:val="en-US" w:eastAsia="zh-CN"/>
              </w:rPr>
            </w:pPr>
            <w:r>
              <w:rPr>
                <w:rFonts w:hint="eastAsia" w:ascii="Arial" w:hAnsi="Arial" w:cs="Arial"/>
                <w:color w:val="0000FF"/>
                <w:szCs w:val="24"/>
                <w:lang w:val="en-US" w:eastAsia="zh-CN"/>
              </w:rPr>
              <w:t>式中：Q—汽车卸料起尘量，g/次；</w:t>
            </w:r>
          </w:p>
          <w:p>
            <w:pPr>
              <w:pStyle w:val="84"/>
              <w:ind w:firstLine="480"/>
              <w:rPr>
                <w:rFonts w:hint="eastAsia" w:ascii="Arial" w:hAnsi="Arial" w:cs="Arial"/>
                <w:color w:val="0000FF"/>
                <w:szCs w:val="24"/>
                <w:lang w:val="en-US" w:eastAsia="zh-CN"/>
              </w:rPr>
            </w:pPr>
            <w:r>
              <w:rPr>
                <w:rFonts w:hint="eastAsia" w:ascii="Arial" w:hAnsi="Arial" w:cs="Arial"/>
                <w:color w:val="0000FF"/>
                <w:szCs w:val="24"/>
                <w:lang w:val="en-US" w:eastAsia="zh-CN"/>
              </w:rPr>
              <w:t xml:space="preserve">      U—平均风速，m/s，封闭车间内风速取0.2m/s;</w:t>
            </w:r>
          </w:p>
          <w:p>
            <w:pPr>
              <w:pStyle w:val="84"/>
              <w:ind w:firstLine="480"/>
              <w:rPr>
                <w:rFonts w:hint="eastAsia" w:ascii="Arial" w:hAnsi="Arial" w:cs="Arial"/>
                <w:color w:val="0000FF"/>
                <w:szCs w:val="24"/>
                <w:lang w:val="en-US" w:eastAsia="zh-CN"/>
              </w:rPr>
            </w:pPr>
            <w:r>
              <w:rPr>
                <w:rFonts w:hint="eastAsia" w:ascii="Arial" w:hAnsi="Arial" w:cs="Arial"/>
                <w:color w:val="0000FF"/>
                <w:szCs w:val="24"/>
                <w:lang w:val="en-US" w:eastAsia="zh-CN"/>
              </w:rPr>
              <w:t xml:space="preserve">      M—汽车卸料量，t，取35，则年卸料176次</w:t>
            </w:r>
          </w:p>
          <w:p>
            <w:pPr>
              <w:pStyle w:val="84"/>
              <w:ind w:firstLine="480"/>
              <w:rPr>
                <w:rFonts w:hint="default" w:ascii="Arial" w:hAnsi="Arial" w:cs="Arial"/>
                <w:color w:val="0000FF"/>
                <w:szCs w:val="24"/>
                <w:lang w:val="en-US" w:eastAsia="zh-CN"/>
              </w:rPr>
            </w:pPr>
            <w:r>
              <w:rPr>
                <w:rFonts w:hint="eastAsia" w:ascii="Arial" w:hAnsi="Arial" w:cs="Arial"/>
                <w:color w:val="0000FF"/>
                <w:szCs w:val="24"/>
                <w:lang w:val="en-US" w:eastAsia="zh-CN"/>
              </w:rPr>
              <w:t>经计算汽车每次卸料的起尘量约为5.84g，年起车尘量0.001t/a。</w:t>
            </w:r>
          </w:p>
          <w:p>
            <w:pPr>
              <w:pStyle w:val="84"/>
              <w:ind w:firstLine="480"/>
              <w:rPr>
                <w:rFonts w:hint="default" w:ascii="Arial" w:hAnsi="Arial" w:eastAsia="宋体" w:cs="Arial"/>
                <w:color w:val="0000FF"/>
                <w:szCs w:val="24"/>
              </w:rPr>
            </w:pPr>
            <w:r>
              <w:rPr>
                <w:rFonts w:hint="eastAsia" w:ascii="Arial" w:hAnsi="Arial" w:cs="Arial"/>
                <w:color w:val="0000FF"/>
                <w:szCs w:val="24"/>
                <w:lang w:val="en-US" w:eastAsia="zh-CN"/>
              </w:rPr>
              <w:t>卸料过程中产生的粉尘通过</w:t>
            </w:r>
            <w:r>
              <w:rPr>
                <w:rFonts w:hint="default" w:ascii="Arial" w:hAnsi="Arial" w:eastAsia="宋体" w:cs="Arial"/>
                <w:color w:val="0000FF"/>
                <w:szCs w:val="24"/>
              </w:rPr>
              <w:t>骨料堆场设棚，三面围挡</w:t>
            </w:r>
            <w:r>
              <w:rPr>
                <w:rFonts w:hint="eastAsia" w:ascii="Arial" w:hAnsi="Arial" w:eastAsia="宋体" w:cs="Arial"/>
                <w:color w:val="0000FF"/>
                <w:szCs w:val="24"/>
              </w:rPr>
              <w:t>及喷雾降尘装置</w:t>
            </w:r>
            <w:r>
              <w:rPr>
                <w:rFonts w:hint="default" w:ascii="Arial" w:hAnsi="Arial" w:eastAsia="宋体" w:cs="Arial"/>
                <w:color w:val="0000FF"/>
                <w:szCs w:val="24"/>
              </w:rPr>
              <w:t>，</w:t>
            </w:r>
            <w:r>
              <w:rPr>
                <w:rFonts w:hint="eastAsia" w:ascii="Arial" w:hAnsi="Arial" w:eastAsia="宋体" w:cs="Arial"/>
                <w:color w:val="0000FF"/>
                <w:szCs w:val="24"/>
              </w:rPr>
              <w:t>不定期喷雾降尘，</w:t>
            </w:r>
            <w:r>
              <w:rPr>
                <w:rFonts w:hint="default" w:ascii="Arial" w:hAnsi="Arial" w:eastAsia="宋体" w:cs="Arial"/>
                <w:color w:val="0000FF"/>
                <w:szCs w:val="24"/>
              </w:rPr>
              <w:t>粉尘阻隔率可达70%，</w:t>
            </w:r>
            <w:r>
              <w:rPr>
                <w:rFonts w:hint="eastAsia" w:ascii="Arial" w:hAnsi="Arial" w:cs="Arial"/>
                <w:color w:val="0000FF"/>
                <w:szCs w:val="24"/>
                <w:lang w:val="en-US" w:eastAsia="zh-CN"/>
              </w:rPr>
              <w:t>再加上</w:t>
            </w:r>
            <w:r>
              <w:rPr>
                <w:rFonts w:hint="default" w:ascii="Arial" w:hAnsi="Arial" w:eastAsia="宋体" w:cs="Arial"/>
                <w:color w:val="0000FF"/>
                <w:szCs w:val="24"/>
              </w:rPr>
              <w:t>定期对场地进行清扫，粉尘排放量可降低80%，即粉尘无组织排放量为</w:t>
            </w:r>
            <w:r>
              <w:rPr>
                <w:rFonts w:hint="eastAsia" w:ascii="Arial" w:hAnsi="Arial" w:cs="Arial"/>
                <w:color w:val="0000FF"/>
                <w:szCs w:val="24"/>
                <w:lang w:val="en-US" w:eastAsia="zh-CN"/>
              </w:rPr>
              <w:t>0.00006</w:t>
            </w:r>
            <w:r>
              <w:rPr>
                <w:rFonts w:hint="default" w:ascii="Arial" w:hAnsi="Arial" w:eastAsia="宋体" w:cs="Arial"/>
                <w:color w:val="0000FF"/>
                <w:szCs w:val="24"/>
              </w:rPr>
              <w:t>t/a。</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textAlignment w:val="auto"/>
              <w:rPr>
                <w:rFonts w:hint="eastAsia" w:ascii="Times New Roman" w:hAnsi="Times New Roman" w:cs="Times New Roman"/>
                <w:b/>
                <w:bCs/>
                <w:spacing w:val="-9"/>
                <w:sz w:val="24"/>
                <w:szCs w:val="24"/>
                <w:lang w:val="en-US" w:eastAsia="zh-CN"/>
              </w:rPr>
            </w:pPr>
            <w:r>
              <w:rPr>
                <w:rFonts w:hint="eastAsia" w:ascii="Times New Roman" w:hAnsi="Times New Roman" w:cs="Times New Roman"/>
                <w:b/>
                <w:bCs/>
                <w:spacing w:val="-9"/>
                <w:sz w:val="24"/>
                <w:szCs w:val="24"/>
                <w:lang w:val="en-US" w:eastAsia="zh-CN"/>
              </w:rPr>
              <w:t>7、施工机械尾气</w:t>
            </w:r>
          </w:p>
          <w:p>
            <w:pPr>
              <w:pStyle w:val="84"/>
              <w:ind w:firstLine="480"/>
              <w:rPr>
                <w:rFonts w:hint="default" w:ascii="Arial" w:hAnsi="Arial" w:eastAsia="宋体" w:cs="Arial"/>
                <w:sz w:val="24"/>
                <w:szCs w:val="24"/>
              </w:rPr>
            </w:pPr>
            <w:r>
              <w:rPr>
                <w:rFonts w:hint="default" w:ascii="Arial" w:hAnsi="Arial" w:eastAsia="宋体" w:cs="Arial"/>
                <w:sz w:val="24"/>
                <w:szCs w:val="24"/>
              </w:rPr>
              <w:t>施工期间产生的施工机械尾气主要来源于施工机械和运输车辆。施工机械和运输车辆产生的施工机械尾气产生量较小，且属于间断性、分散性排放，主要污染因子以CO、THC和NOx为主，在施工期间会对施工作业点和交通道路附近的大气环境造成一定的污染。由于产生的机械尾气具有暂时性、偶然性、局域性，同时施工区域较为开阔，空气流通性好，因此产生的施工机械尾气能在短时间内扩散，这些影响会随着施工期的结束而消失。本次评价要求建设单位在施工过程中应选择符合国家尾气排放标准的施工机械，强化机械设备的维护、保养，加强管理、合理施工，同时禁止设备超负荷运行；建立施工期非道路移动机械进出场台账和用油台账，禁止使用不符合环保检验要求的施工机械；</w:t>
            </w:r>
            <w:r>
              <w:rPr>
                <w:rFonts w:hint="eastAsia" w:ascii="Arial" w:hAnsi="Arial" w:cs="Arial"/>
                <w:sz w:val="24"/>
                <w:szCs w:val="24"/>
                <w:lang w:val="en-US" w:eastAsia="zh-CN"/>
              </w:rPr>
              <w:t>同时</w:t>
            </w:r>
            <w:r>
              <w:rPr>
                <w:rFonts w:hint="default" w:ascii="Arial" w:hAnsi="Arial" w:eastAsia="宋体" w:cs="Arial"/>
                <w:sz w:val="24"/>
                <w:szCs w:val="24"/>
              </w:rPr>
              <w:t>加强设备的维护和检修，使用合格油品，减少燃油机械、设备及车辆燃油废气的产生，减轻对周围环境的不利影响。</w:t>
            </w:r>
          </w:p>
          <w:p>
            <w:pPr>
              <w:pStyle w:val="75"/>
              <w:keepNext w:val="0"/>
              <w:keepLines w:val="0"/>
              <w:pageBreakBefore w:val="0"/>
              <w:widowControl w:val="0"/>
              <w:kinsoku/>
              <w:wordWrap/>
              <w:overflowPunct/>
              <w:topLinePunct w:val="0"/>
              <w:autoSpaceDE/>
              <w:autoSpaceDN/>
              <w:bidi w:val="0"/>
              <w:adjustRightInd/>
              <w:snapToGrid/>
              <w:spacing w:line="360" w:lineRule="auto"/>
              <w:ind w:right="0"/>
              <w:textAlignment w:val="auto"/>
              <w:rPr>
                <w:sz w:val="24"/>
                <w:szCs w:val="24"/>
              </w:rPr>
            </w:pPr>
            <w:r>
              <w:rPr>
                <w:b/>
                <w:bCs/>
                <w:spacing w:val="-3"/>
                <w:sz w:val="24"/>
                <w:szCs w:val="24"/>
              </w:rPr>
              <w:t>三、噪声环境影响分析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sz w:val="24"/>
                <w:szCs w:val="24"/>
              </w:rPr>
            </w:pPr>
            <w:r>
              <w:rPr>
                <w:rFonts w:ascii="Times New Roman" w:hAnsi="Times New Roman" w:eastAsia="Times New Roman" w:cs="Times New Roman"/>
                <w:b/>
                <w:bCs/>
                <w:spacing w:val="-9"/>
                <w:sz w:val="24"/>
                <w:szCs w:val="24"/>
              </w:rPr>
              <w:t>1</w:t>
            </w:r>
            <w:r>
              <w:rPr>
                <w:b/>
                <w:bCs/>
                <w:spacing w:val="-9"/>
                <w:sz w:val="24"/>
                <w:szCs w:val="24"/>
              </w:rPr>
              <w:t>、交通噪声</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sz w:val="24"/>
                <w:szCs w:val="24"/>
              </w:rPr>
            </w:pPr>
            <w:r>
              <w:rPr>
                <w:spacing w:val="0"/>
                <w:sz w:val="24"/>
                <w:szCs w:val="24"/>
              </w:rPr>
              <w:t>交通运输主要包括土石方、混凝土的运输，以及其他施工材料和物资（如水泥、钢筋、金属结构、机电设备、施工机械等）的场内运输。本工程土石方运输量主要包括开挖弃渣、开挖土石方等材料的运输。施工场内道路主要来往车辆为载重量</w:t>
            </w:r>
            <w:r>
              <w:rPr>
                <w:rFonts w:ascii="Times New Roman" w:hAnsi="Times New Roman" w:eastAsia="Times New Roman" w:cs="Times New Roman"/>
                <w:spacing w:val="0"/>
                <w:sz w:val="24"/>
                <w:szCs w:val="24"/>
              </w:rPr>
              <w:t>10-15t</w:t>
            </w:r>
            <w:r>
              <w:rPr>
                <w:spacing w:val="0"/>
                <w:sz w:val="24"/>
                <w:szCs w:val="24"/>
              </w:rPr>
              <w:t>级自卸汽车，车辆运输会产生交通噪声。交通噪声声源呈线性分布，属流动声源，源强与行车速度和车流量密切相关，一般在</w:t>
            </w:r>
            <w:r>
              <w:rPr>
                <w:rFonts w:ascii="Times New Roman" w:hAnsi="Times New Roman" w:eastAsia="Times New Roman" w:cs="Times New Roman"/>
                <w:spacing w:val="0"/>
                <w:sz w:val="24"/>
                <w:szCs w:val="24"/>
              </w:rPr>
              <w:t>70~90dB</w:t>
            </w:r>
            <w:r>
              <w:rPr>
                <w:spacing w:val="0"/>
                <w:sz w:val="24"/>
                <w:szCs w:val="24"/>
              </w:rPr>
              <w:t>（</w:t>
            </w:r>
            <w:r>
              <w:rPr>
                <w:rFonts w:ascii="Times New Roman" w:hAnsi="Times New Roman" w:eastAsia="Times New Roman" w:cs="Times New Roman"/>
                <w:spacing w:val="0"/>
                <w:sz w:val="24"/>
                <w:szCs w:val="24"/>
              </w:rPr>
              <w:t>A</w:t>
            </w:r>
            <w:r>
              <w:rPr>
                <w:spacing w:val="0"/>
                <w:sz w:val="24"/>
                <w:szCs w:val="24"/>
              </w:rPr>
              <w:t>）之间。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sz w:val="24"/>
                <w:szCs w:val="24"/>
              </w:rPr>
            </w:pPr>
            <w:r>
              <w:rPr>
                <w:rFonts w:ascii="Times New Roman" w:hAnsi="Times New Roman" w:eastAsia="Times New Roman" w:cs="Times New Roman"/>
                <w:b/>
                <w:bCs/>
                <w:spacing w:val="-7"/>
                <w:sz w:val="24"/>
                <w:szCs w:val="24"/>
              </w:rPr>
              <w:t>2</w:t>
            </w:r>
            <w:r>
              <w:rPr>
                <w:b/>
                <w:bCs/>
                <w:spacing w:val="-7"/>
                <w:sz w:val="24"/>
                <w:szCs w:val="24"/>
              </w:rPr>
              <w:t>、爆破作业</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spacing w:val="-1"/>
                <w:sz w:val="24"/>
                <w:szCs w:val="24"/>
              </w:rPr>
              <w:t>爆破噪声强度与爆破点岩性、爆破方法及单孔装药量密</w:t>
            </w:r>
            <w:r>
              <w:rPr>
                <w:spacing w:val="-2"/>
                <w:sz w:val="24"/>
                <w:szCs w:val="24"/>
              </w:rPr>
              <w:t>切相关，最高爆破噪</w:t>
            </w:r>
            <w:r>
              <w:rPr>
                <w:spacing w:val="-6"/>
                <w:sz w:val="24"/>
                <w:szCs w:val="24"/>
              </w:rPr>
              <w:t>声强度可达到</w:t>
            </w:r>
            <w:r>
              <w:rPr>
                <w:rFonts w:ascii="Times New Roman" w:hAnsi="Times New Roman" w:eastAsia="Times New Roman" w:cs="Times New Roman"/>
                <w:spacing w:val="-6"/>
                <w:sz w:val="24"/>
                <w:szCs w:val="24"/>
              </w:rPr>
              <w:t>125~132dB</w:t>
            </w:r>
            <w:r>
              <w:rPr>
                <w:spacing w:val="-6"/>
                <w:sz w:val="24"/>
                <w:szCs w:val="24"/>
              </w:rPr>
              <w:t>（</w:t>
            </w:r>
            <w:r>
              <w:rPr>
                <w:rFonts w:ascii="Times New Roman" w:hAnsi="Times New Roman" w:eastAsia="Times New Roman" w:cs="Times New Roman"/>
                <w:spacing w:val="-6"/>
                <w:sz w:val="24"/>
                <w:szCs w:val="24"/>
              </w:rPr>
              <w:t>A</w:t>
            </w:r>
            <w:r>
              <w:rPr>
                <w:spacing w:val="-6"/>
                <w:sz w:val="24"/>
                <w:szCs w:val="24"/>
              </w:rPr>
              <w:t>）。类比同类工程</w:t>
            </w:r>
            <w:r>
              <w:rPr>
                <w:spacing w:val="-7"/>
                <w:sz w:val="24"/>
                <w:szCs w:val="24"/>
              </w:rPr>
              <w:t>，工程爆破噪声源强将达到</w:t>
            </w:r>
            <w:r>
              <w:rPr>
                <w:rFonts w:ascii="Times New Roman" w:hAnsi="Times New Roman" w:eastAsia="Times New Roman" w:cs="Times New Roman"/>
                <w:spacing w:val="-7"/>
                <w:sz w:val="24"/>
                <w:szCs w:val="24"/>
              </w:rPr>
              <w:t>125dB</w:t>
            </w:r>
            <w:r>
              <w:rPr>
                <w:spacing w:val="-4"/>
                <w:sz w:val="24"/>
                <w:szCs w:val="24"/>
              </w:rPr>
              <w:t>（</w:t>
            </w:r>
            <w:r>
              <w:rPr>
                <w:rFonts w:ascii="Times New Roman" w:hAnsi="Times New Roman" w:eastAsia="Times New Roman" w:cs="Times New Roman"/>
                <w:spacing w:val="-4"/>
                <w:sz w:val="24"/>
                <w:szCs w:val="24"/>
              </w:rPr>
              <w:t>A</w:t>
            </w:r>
            <w:r>
              <w:rPr>
                <w:spacing w:val="-4"/>
                <w:sz w:val="24"/>
                <w:szCs w:val="24"/>
              </w:rPr>
              <w:t>）。为了减轻噪声及振动影响，</w:t>
            </w:r>
            <w:r>
              <w:rPr>
                <w:rFonts w:hint="eastAsia"/>
                <w:spacing w:val="-5"/>
                <w:sz w:val="24"/>
                <w:szCs w:val="24"/>
                <w:lang w:val="en-US" w:eastAsia="zh-CN"/>
              </w:rPr>
              <w:t>经</w:t>
            </w:r>
            <w:r>
              <w:rPr>
                <w:spacing w:val="-1"/>
                <w:sz w:val="24"/>
                <w:szCs w:val="24"/>
              </w:rPr>
              <w:t>采用控制爆破方式，以浅孔爆破为主，辅以预裂爆破、定向爆破、</w:t>
            </w:r>
            <w:r>
              <w:rPr>
                <w:spacing w:val="-2"/>
                <w:sz w:val="24"/>
                <w:szCs w:val="24"/>
              </w:rPr>
              <w:t>静态爆破等方</w:t>
            </w:r>
            <w:r>
              <w:rPr>
                <w:spacing w:val="-1"/>
                <w:sz w:val="24"/>
                <w:szCs w:val="24"/>
              </w:rPr>
              <w:t>案同时需征得周边村民同意后方可进行爆破。</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z w:val="24"/>
                <w:szCs w:val="24"/>
              </w:rPr>
            </w:pPr>
            <w:r>
              <w:rPr>
                <w:rFonts w:ascii="Times New Roman" w:hAnsi="Times New Roman" w:eastAsia="Times New Roman" w:cs="Times New Roman"/>
                <w:b/>
                <w:bCs/>
                <w:spacing w:val="-6"/>
                <w:sz w:val="24"/>
                <w:szCs w:val="24"/>
              </w:rPr>
              <w:t>3</w:t>
            </w:r>
            <w:r>
              <w:rPr>
                <w:b/>
                <w:bCs/>
                <w:spacing w:val="-6"/>
                <w:sz w:val="24"/>
                <w:szCs w:val="24"/>
              </w:rPr>
              <w:t>、工程施工噪声</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spacing w:val="-1"/>
                <w:sz w:val="24"/>
                <w:szCs w:val="24"/>
              </w:rPr>
              <w:t>工程施工噪声主要来自隧洞、渠道的开挖、混凝</w:t>
            </w:r>
            <w:r>
              <w:rPr>
                <w:spacing w:val="-2"/>
                <w:sz w:val="24"/>
                <w:szCs w:val="24"/>
              </w:rPr>
              <w:t>土浇筑等施工活动。开挖过</w:t>
            </w:r>
            <w:r>
              <w:rPr>
                <w:spacing w:val="-1"/>
                <w:sz w:val="24"/>
                <w:szCs w:val="24"/>
              </w:rPr>
              <w:t>程中使用的各种钻机产生的噪声为阵发性噪声，音频高，传播距离</w:t>
            </w:r>
            <w:r>
              <w:rPr>
                <w:spacing w:val="-2"/>
                <w:sz w:val="24"/>
                <w:szCs w:val="24"/>
              </w:rPr>
              <w:t>远，噪声强度</w:t>
            </w:r>
            <w:r>
              <w:rPr>
                <w:spacing w:val="-1"/>
                <w:sz w:val="24"/>
                <w:szCs w:val="24"/>
              </w:rPr>
              <w:t>均大于</w:t>
            </w:r>
            <w:r>
              <w:rPr>
                <w:spacing w:val="-43"/>
                <w:sz w:val="24"/>
                <w:szCs w:val="24"/>
              </w:rPr>
              <w:t xml:space="preserve"> </w:t>
            </w:r>
            <w:r>
              <w:rPr>
                <w:rFonts w:ascii="Times New Roman" w:hAnsi="Times New Roman" w:eastAsia="Times New Roman" w:cs="Times New Roman"/>
                <w:spacing w:val="-1"/>
                <w:sz w:val="24"/>
                <w:szCs w:val="24"/>
              </w:rPr>
              <w:t>85dB(A)</w:t>
            </w:r>
            <w:r>
              <w:rPr>
                <w:rFonts w:ascii="Times New Roman" w:hAnsi="Times New Roman" w:eastAsia="Times New Roman" w:cs="Times New Roman"/>
                <w:spacing w:val="-26"/>
                <w:sz w:val="24"/>
                <w:szCs w:val="24"/>
              </w:rPr>
              <w:t xml:space="preserve"> </w:t>
            </w:r>
            <w:r>
              <w:rPr>
                <w:spacing w:val="-1"/>
                <w:sz w:val="24"/>
                <w:szCs w:val="24"/>
              </w:rPr>
              <w:t>。爆破噪声为瞬时噪声，声强大，主要与</w:t>
            </w:r>
            <w:r>
              <w:rPr>
                <w:spacing w:val="-2"/>
                <w:sz w:val="24"/>
                <w:szCs w:val="24"/>
              </w:rPr>
              <w:t>爆破的单响药量、炮孔</w:t>
            </w:r>
            <w:r>
              <w:rPr>
                <w:spacing w:val="-1"/>
                <w:sz w:val="24"/>
                <w:szCs w:val="24"/>
              </w:rPr>
              <w:t>深度、填埋方式、爆心距离等因素有关。施工单位应尽量选择低噪</w:t>
            </w:r>
            <w:r>
              <w:rPr>
                <w:spacing w:val="-2"/>
                <w:sz w:val="24"/>
                <w:szCs w:val="24"/>
              </w:rPr>
              <w:t>声设备，严格</w:t>
            </w:r>
            <w:r>
              <w:rPr>
                <w:sz w:val="24"/>
                <w:szCs w:val="24"/>
              </w:rPr>
              <w:t>控制施工时间，同时可设置简易隔声墙等降低噪</w:t>
            </w:r>
            <w:r>
              <w:rPr>
                <w:spacing w:val="-1"/>
                <w:sz w:val="24"/>
                <w:szCs w:val="24"/>
              </w:rPr>
              <w:t>声对周边环境的影响。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pacing w:val="-1"/>
              </w:rPr>
            </w:pPr>
            <w:r>
              <w:rPr>
                <w:spacing w:val="-1"/>
                <w:sz w:val="24"/>
                <w:szCs w:val="24"/>
              </w:rPr>
              <w:t>各声源源强、采取的噪声防治措施及治理后噪声声源强度一览表见下表</w:t>
            </w:r>
            <w:r>
              <w:rPr>
                <w:spacing w:val="-1"/>
              </w:rPr>
              <w:t>。</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表4-</w:t>
            </w:r>
            <w:r>
              <w:rPr>
                <w:rFonts w:hint="eastAsia" w:hAnsi="宋体" w:cs="Times New Roman"/>
                <w:b/>
                <w:szCs w:val="21"/>
                <w:lang w:val="en-US" w:eastAsia="zh-CN"/>
              </w:rPr>
              <w:t>10</w:t>
            </w:r>
            <w:r>
              <w:rPr>
                <w:rFonts w:hint="eastAsia" w:ascii="Times New Roman" w:hAnsi="宋体" w:eastAsia="宋体" w:cs="Times New Roman"/>
                <w:b/>
                <w:szCs w:val="21"/>
                <w:lang w:val="zh-CN"/>
              </w:rPr>
              <w:t xml:space="preserve">    主要施工机械噪声声级</w:t>
            </w:r>
            <w:r>
              <w:rPr>
                <w:rFonts w:hint="eastAsia" w:ascii="Times New Roman" w:hAnsi="宋体" w:cs="Times New Roman"/>
                <w:b/>
                <w:szCs w:val="21"/>
                <w:lang w:val="en-US" w:eastAsia="zh-CN"/>
              </w:rPr>
              <w:t xml:space="preserve">   </w:t>
            </w:r>
            <w:r>
              <w:rPr>
                <w:rFonts w:hint="eastAsia" w:ascii="Times New Roman" w:hAnsi="宋体" w:eastAsia="宋体" w:cs="Times New Roman"/>
                <w:b/>
                <w:szCs w:val="21"/>
                <w:lang w:val="zh-CN"/>
              </w:rPr>
              <w:t>单位：dB（A）</w:t>
            </w:r>
          </w:p>
          <w:tbl>
            <w:tblPr>
              <w:tblStyle w:val="76"/>
              <w:tblW w:w="4775" w:type="pct"/>
              <w:tblInd w:w="228"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255"/>
              <w:gridCol w:w="1324"/>
              <w:gridCol w:w="736"/>
              <w:gridCol w:w="1309"/>
              <w:gridCol w:w="2392"/>
              <w:gridCol w:w="1702"/>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2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6"/>
                      <w:sz w:val="21"/>
                      <w:szCs w:val="21"/>
                    </w:rPr>
                    <w:t>施工区域</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2"/>
                      <w:sz w:val="21"/>
                      <w:szCs w:val="21"/>
                    </w:rPr>
                    <w:t>噪声源</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3"/>
                      <w:sz w:val="21"/>
                      <w:szCs w:val="21"/>
                    </w:rPr>
                    <w:t>数量</w:t>
                  </w:r>
                </w:p>
              </w:tc>
              <w:tc>
                <w:tcPr>
                  <w:tcW w:w="75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5"/>
                      <w:sz w:val="21"/>
                      <w:szCs w:val="21"/>
                    </w:rPr>
                    <w:t>声源强度</w:t>
                  </w:r>
                </w:p>
              </w:tc>
              <w:tc>
                <w:tcPr>
                  <w:tcW w:w="137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2"/>
                      <w:sz w:val="21"/>
                      <w:szCs w:val="21"/>
                    </w:rPr>
                    <w:t>降噪措施</w:t>
                  </w:r>
                </w:p>
              </w:tc>
              <w:tc>
                <w:tcPr>
                  <w:tcW w:w="976"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b/>
                      <w:bCs/>
                      <w:spacing w:val="4"/>
                      <w:sz w:val="21"/>
                      <w:szCs w:val="21"/>
                    </w:rPr>
                    <w:t>降噪后声源强度</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720"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r>
                    <w:rPr>
                      <w:rFonts w:hint="default" w:ascii="Arial" w:hAnsi="Arial" w:cs="Arial"/>
                      <w:spacing w:val="7"/>
                      <w:sz w:val="21"/>
                      <w:szCs w:val="21"/>
                    </w:rPr>
                    <w:t>土石方阶段</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挖掘机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2"/>
                      <w:sz w:val="21"/>
                      <w:szCs w:val="21"/>
                    </w:rPr>
                    <w:t>7</w:t>
                  </w:r>
                  <w:r>
                    <w:rPr>
                      <w:rFonts w:hint="default" w:ascii="Arial" w:hAnsi="Arial" w:cs="Arial"/>
                      <w:spacing w:val="-2"/>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选用低噪声设备；施工</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围挡、合理布局、设备</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8"/>
                      <w:sz w:val="21"/>
                      <w:szCs w:val="21"/>
                    </w:rPr>
                    <w:t>及时维护保养等</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32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蛙式夯机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6</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6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推土机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2</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07"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装载机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4</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65"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扒渣机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2</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90"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潜孔钻</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3</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62"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风镐</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5</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4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手风钻</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6</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55"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振动碾</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3</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c>
                <w:tcPr>
                  <w:tcW w:w="137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65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0" w:hRule="atLeast"/>
              </w:trPr>
              <w:tc>
                <w:tcPr>
                  <w:tcW w:w="72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爆破</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3"/>
                      <w:sz w:val="21"/>
                      <w:szCs w:val="21"/>
                    </w:rPr>
                    <w:t>120</w:t>
                  </w:r>
                </w:p>
              </w:tc>
              <w:tc>
                <w:tcPr>
                  <w:tcW w:w="137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2"/>
                      <w:sz w:val="21"/>
                      <w:szCs w:val="21"/>
                    </w:rPr>
                    <w:t>瞬时噪声，设置</w:t>
                  </w:r>
                  <w:r>
                    <w:rPr>
                      <w:rFonts w:hint="default" w:ascii="Arial" w:hAnsi="Arial" w:cs="Arial"/>
                      <w:spacing w:val="-33"/>
                      <w:sz w:val="21"/>
                      <w:szCs w:val="21"/>
                    </w:rPr>
                    <w:t xml:space="preserve"> </w:t>
                  </w:r>
                  <w:r>
                    <w:rPr>
                      <w:rFonts w:hint="default" w:ascii="Arial" w:hAnsi="Arial" w:eastAsia="Times New Roman" w:cs="Arial"/>
                      <w:spacing w:val="-2"/>
                      <w:sz w:val="21"/>
                      <w:szCs w:val="21"/>
                    </w:rPr>
                    <w:t>300m</w:t>
                  </w:r>
                  <w:r>
                    <w:rPr>
                      <w:rFonts w:hint="default" w:ascii="Arial" w:hAnsi="Arial" w:cs="Arial"/>
                      <w:spacing w:val="-2"/>
                      <w:sz w:val="21"/>
                      <w:szCs w:val="21"/>
                    </w:rPr>
                    <w:t>安</w:t>
                  </w:r>
                  <w:r>
                    <w:rPr>
                      <w:rFonts w:hint="default" w:ascii="Arial" w:hAnsi="Arial" w:cs="Arial"/>
                      <w:sz w:val="21"/>
                      <w:szCs w:val="21"/>
                    </w:rPr>
                    <w:t xml:space="preserve"> </w:t>
                  </w:r>
                  <w:r>
                    <w:rPr>
                      <w:rFonts w:hint="default" w:ascii="Arial" w:hAnsi="Arial" w:cs="Arial"/>
                      <w:spacing w:val="6"/>
                      <w:sz w:val="21"/>
                      <w:szCs w:val="21"/>
                    </w:rPr>
                    <w:t>全范围</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80" w:hRule="atLeast"/>
              </w:trPr>
              <w:tc>
                <w:tcPr>
                  <w:tcW w:w="720"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混凝土工程</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搅拌机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eastAsia" w:ascii="Arial" w:hAnsi="Arial" w:cs="Arial"/>
                      <w:spacing w:val="-5"/>
                      <w:sz w:val="21"/>
                      <w:szCs w:val="21"/>
                      <w:lang w:val="en-US" w:eastAsia="zh-CN"/>
                    </w:rPr>
                    <w:t>2</w:t>
                  </w:r>
                  <w:r>
                    <w:rPr>
                      <w:rFonts w:hint="default" w:ascii="Arial" w:hAnsi="Arial" w:cs="Arial"/>
                      <w:spacing w:val="-5"/>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选用低噪声设备；混凝</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8"/>
                      <w:sz w:val="21"/>
                      <w:szCs w:val="21"/>
                    </w:rPr>
                    <w:t>土拌合场密闭设置，减</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低搅拌设备噪声；移动</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及户外设备合理布局及</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时维护保养</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87"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振捣器</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36</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30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混凝土泵</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2</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72"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风水枪</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4</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65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7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灌浆泵</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5</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71" w:hRule="atLeast"/>
              </w:trPr>
              <w:tc>
                <w:tcPr>
                  <w:tcW w:w="72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钻机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5</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92" w:hRule="atLeast"/>
              </w:trPr>
              <w:tc>
                <w:tcPr>
                  <w:tcW w:w="720"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8"/>
                      <w:sz w:val="21"/>
                      <w:szCs w:val="21"/>
                    </w:rPr>
                    <w:t>钢筋木材加工</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断筋机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10"/>
                      <w:sz w:val="21"/>
                      <w:szCs w:val="21"/>
                    </w:rPr>
                    <w:t>1</w:t>
                  </w:r>
                  <w:r>
                    <w:rPr>
                      <w:rFonts w:hint="default" w:ascii="Arial" w:hAnsi="Arial" w:cs="Arial"/>
                      <w:spacing w:val="-10"/>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85</w:t>
                  </w:r>
                </w:p>
              </w:tc>
              <w:tc>
                <w:tcPr>
                  <w:tcW w:w="1371"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选用低噪声设备，密闭</w:t>
                  </w:r>
                  <w:r>
                    <w:rPr>
                      <w:rFonts w:hint="default" w:ascii="Arial" w:hAnsi="Arial" w:cs="Arial"/>
                      <w:spacing w:val="1"/>
                      <w:sz w:val="21"/>
                      <w:szCs w:val="21"/>
                    </w:rPr>
                    <w:t xml:space="preserve"> </w:t>
                  </w:r>
                  <w:r>
                    <w:rPr>
                      <w:rFonts w:hint="default" w:ascii="Arial" w:hAnsi="Arial" w:cs="Arial"/>
                      <w:spacing w:val="8"/>
                      <w:sz w:val="21"/>
                      <w:szCs w:val="21"/>
                    </w:rPr>
                    <w:t>设置，及时维护保养</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0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修钎机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2</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2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调直机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10"/>
                      <w:sz w:val="21"/>
                      <w:szCs w:val="21"/>
                    </w:rPr>
                    <w:t>1</w:t>
                  </w:r>
                  <w:r>
                    <w:rPr>
                      <w:rFonts w:hint="default" w:ascii="Arial" w:hAnsi="Arial" w:cs="Arial"/>
                      <w:spacing w:val="-10"/>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65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47"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焊机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6</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65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131" w:hRule="atLeast"/>
              </w:trPr>
              <w:tc>
                <w:tcPr>
                  <w:tcW w:w="72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5"/>
                      <w:sz w:val="21"/>
                      <w:szCs w:val="21"/>
                    </w:rPr>
                    <w:t>弯筋机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10"/>
                      <w:sz w:val="21"/>
                      <w:szCs w:val="21"/>
                    </w:rPr>
                    <w:t>1</w:t>
                  </w:r>
                  <w:r>
                    <w:rPr>
                      <w:rFonts w:hint="default" w:ascii="Arial" w:hAnsi="Arial" w:cs="Arial"/>
                      <w:spacing w:val="-10"/>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85</w:t>
                  </w:r>
                </w:p>
              </w:tc>
              <w:tc>
                <w:tcPr>
                  <w:tcW w:w="137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41" w:hRule="atLeast"/>
              </w:trPr>
              <w:tc>
                <w:tcPr>
                  <w:tcW w:w="720"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8"/>
                      <w:sz w:val="21"/>
                      <w:szCs w:val="21"/>
                    </w:rPr>
                    <w:t>其他辅助设备</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卷扬机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5"/>
                      <w:sz w:val="21"/>
                      <w:szCs w:val="21"/>
                    </w:rPr>
                    <w:t>12</w:t>
                  </w:r>
                  <w:r>
                    <w:rPr>
                      <w:rFonts w:hint="default" w:ascii="Arial" w:hAnsi="Arial" w:cs="Arial"/>
                      <w:spacing w:val="-5"/>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90</w:t>
                  </w:r>
                </w:p>
              </w:tc>
              <w:tc>
                <w:tcPr>
                  <w:tcW w:w="1371" w:type="pct"/>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9"/>
                      <w:sz w:val="21"/>
                      <w:szCs w:val="21"/>
                    </w:rPr>
                    <w:t>选用低噪声设备、设置</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5"/>
                      <w:sz w:val="21"/>
                      <w:szCs w:val="21"/>
                    </w:rPr>
                    <w:t>减震基础、密闭隔声、</w:t>
                  </w:r>
                  <w:r>
                    <w:rPr>
                      <w:rFonts w:hint="default" w:ascii="Arial" w:hAnsi="Arial" w:cs="Arial"/>
                      <w:spacing w:val="3"/>
                      <w:sz w:val="21"/>
                      <w:szCs w:val="21"/>
                    </w:rPr>
                    <w:t xml:space="preserve"> </w:t>
                  </w:r>
                  <w:r>
                    <w:rPr>
                      <w:rFonts w:hint="default" w:ascii="Arial" w:hAnsi="Arial" w:cs="Arial"/>
                      <w:spacing w:val="8"/>
                      <w:sz w:val="21"/>
                      <w:szCs w:val="21"/>
                    </w:rPr>
                    <w:t>设备维护保养等</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75</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37"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泵类</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5"/>
                      <w:sz w:val="21"/>
                      <w:szCs w:val="21"/>
                    </w:rPr>
                    <w:t>12</w:t>
                  </w:r>
                  <w:r>
                    <w:rPr>
                      <w:rFonts w:hint="default" w:ascii="Arial" w:hAnsi="Arial" w:cs="Arial"/>
                      <w:spacing w:val="-5"/>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46" w:hRule="atLeast"/>
              </w:trPr>
              <w:tc>
                <w:tcPr>
                  <w:tcW w:w="72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4"/>
                      <w:sz w:val="21"/>
                      <w:szCs w:val="21"/>
                    </w:rPr>
                    <w:t>空压机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pacing w:val="-3"/>
                      <w:sz w:val="21"/>
                      <w:szCs w:val="21"/>
                    </w:rPr>
                    <w:t>5</w:t>
                  </w:r>
                  <w:r>
                    <w:rPr>
                      <w:rFonts w:hint="default" w:ascii="Arial" w:hAnsi="Arial" w:cs="Arial"/>
                      <w:spacing w:val="-3"/>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241" w:hRule="atLeast"/>
              </w:trPr>
              <w:tc>
                <w:tcPr>
                  <w:tcW w:w="72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Arial" w:hAnsi="Arial" w:cs="Arial"/>
                      <w:sz w:val="21"/>
                      <w:szCs w:val="21"/>
                    </w:rPr>
                  </w:pP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5"/>
                      <w:sz w:val="21"/>
                      <w:szCs w:val="21"/>
                    </w:rPr>
                    <w:t>发电机</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2</w:t>
                  </w:r>
                  <w:r>
                    <w:rPr>
                      <w:rFonts w:hint="default" w:ascii="Arial" w:hAnsi="Arial" w:cs="Arial"/>
                      <w:sz w:val="21"/>
                      <w:szCs w:val="21"/>
                    </w:rPr>
                    <w:t>台</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z w:val="21"/>
                      <w:szCs w:val="21"/>
                    </w:rPr>
                    <w:t>95</w:t>
                  </w:r>
                </w:p>
              </w:tc>
              <w:tc>
                <w:tcPr>
                  <w:tcW w:w="137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678" w:hRule="atLeast"/>
              </w:trPr>
              <w:tc>
                <w:tcPr>
                  <w:tcW w:w="720"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6"/>
                      <w:sz w:val="21"/>
                      <w:szCs w:val="21"/>
                    </w:rPr>
                    <w:t>交通运输</w:t>
                  </w:r>
                </w:p>
              </w:tc>
              <w:tc>
                <w:tcPr>
                  <w:tcW w:w="759"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7"/>
                      <w:sz w:val="21"/>
                      <w:szCs w:val="21"/>
                    </w:rPr>
                    <w:t>运输车辆</w:t>
                  </w:r>
                </w:p>
              </w:tc>
              <w:tc>
                <w:tcPr>
                  <w:tcW w:w="422"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eastAsia="Times New Roman" w:cs="Arial"/>
                      <w:sz w:val="21"/>
                      <w:szCs w:val="21"/>
                    </w:rPr>
                    <w:t>55</w:t>
                  </w:r>
                  <w:r>
                    <w:rPr>
                      <w:rFonts w:hint="default" w:ascii="Arial" w:hAnsi="Arial" w:cs="Arial"/>
                      <w:sz w:val="21"/>
                      <w:szCs w:val="21"/>
                    </w:rPr>
                    <w:t>辆</w:t>
                  </w:r>
                </w:p>
              </w:tc>
              <w:tc>
                <w:tcPr>
                  <w:tcW w:w="7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2"/>
                      <w:sz w:val="21"/>
                      <w:szCs w:val="21"/>
                    </w:rPr>
                    <w:t>85</w:t>
                  </w:r>
                </w:p>
              </w:tc>
              <w:tc>
                <w:tcPr>
                  <w:tcW w:w="1371" w:type="pct"/>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cs="Arial"/>
                      <w:sz w:val="21"/>
                      <w:szCs w:val="21"/>
                    </w:rPr>
                  </w:pPr>
                  <w:r>
                    <w:rPr>
                      <w:rFonts w:hint="default" w:ascii="Arial" w:hAnsi="Arial" w:cs="Arial"/>
                      <w:spacing w:val="8"/>
                      <w:sz w:val="21"/>
                      <w:szCs w:val="21"/>
                    </w:rPr>
                    <w:t>车辆维护保养、限载限</w:t>
                  </w:r>
                  <w:r>
                    <w:rPr>
                      <w:rFonts w:hint="default" w:ascii="Arial" w:hAnsi="Arial" w:cs="Arial"/>
                      <w:spacing w:val="6"/>
                      <w:sz w:val="21"/>
                      <w:szCs w:val="21"/>
                    </w:rPr>
                    <w:t xml:space="preserve"> </w:t>
                  </w:r>
                  <w:r>
                    <w:rPr>
                      <w:rFonts w:hint="default" w:ascii="Arial" w:hAnsi="Arial" w:cs="Arial"/>
                      <w:spacing w:val="5"/>
                      <w:sz w:val="21"/>
                      <w:szCs w:val="21"/>
                    </w:rPr>
                    <w:t>速等</w:t>
                  </w:r>
                </w:p>
              </w:tc>
              <w:tc>
                <w:tcPr>
                  <w:tcW w:w="97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Arial" w:hAnsi="Arial" w:eastAsia="Times New Roman" w:cs="Arial"/>
                      <w:sz w:val="21"/>
                      <w:szCs w:val="21"/>
                    </w:rPr>
                  </w:pPr>
                  <w:r>
                    <w:rPr>
                      <w:rFonts w:hint="default" w:ascii="Arial" w:hAnsi="Arial" w:eastAsia="Times New Roman" w:cs="Arial"/>
                      <w:spacing w:val="1"/>
                      <w:sz w:val="21"/>
                      <w:szCs w:val="21"/>
                    </w:rPr>
                    <w:t>70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施工期的噪声影响是短期的，项目建成后，施工期噪声的影响也就此结束。但是由于施工机械均为强噪声源，施工期间噪声影响范围较大，因此必须采取严格的管理措施。</w:t>
            </w:r>
          </w:p>
          <w:p>
            <w:pPr>
              <w:pStyle w:val="75"/>
              <w:keepNext w:val="0"/>
              <w:keepLines w:val="0"/>
              <w:pageBreakBefore w:val="0"/>
              <w:widowControl w:val="0"/>
              <w:kinsoku/>
              <w:wordWrap/>
              <w:overflowPunct/>
              <w:topLinePunct w:val="0"/>
              <w:autoSpaceDE/>
              <w:autoSpaceDN/>
              <w:bidi w:val="0"/>
              <w:adjustRightInd/>
              <w:snapToGrid/>
              <w:spacing w:line="360" w:lineRule="auto"/>
              <w:ind w:right="0"/>
              <w:textAlignment w:val="auto"/>
              <w:rPr>
                <w:b/>
                <w:bCs/>
                <w:spacing w:val="-3"/>
                <w:sz w:val="24"/>
                <w:szCs w:val="24"/>
              </w:rPr>
            </w:pPr>
            <w:r>
              <w:rPr>
                <w:b/>
                <w:bCs/>
                <w:spacing w:val="-3"/>
                <w:sz w:val="24"/>
                <w:szCs w:val="24"/>
              </w:rPr>
              <w:t>四、施工固废</w:t>
            </w:r>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工程施工期产生的固废主要为建筑垃圾、废弃土石方、库底垃圾、施工人员生活垃圾</w:t>
            </w:r>
            <w:r>
              <w:rPr>
                <w:rFonts w:hint="eastAsia" w:ascii="Times New Roman" w:hAnsi="Times New Roman" w:cs="Times New Roman"/>
                <w:sz w:val="24"/>
                <w:lang w:val="en-US" w:eastAsia="zh-CN"/>
              </w:rPr>
              <w:t>以及设备维修过程中产生的废矿物油、含油废棉纱、沥青拌合站运行过程中产生的废沥青、定期更换的废活性炭等危险废物</w:t>
            </w:r>
            <w:r>
              <w:rPr>
                <w:rFonts w:hint="eastAsia" w:ascii="Times New Roman" w:hAnsi="Times New Roman" w:cs="Times New Roman"/>
                <w:sz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eastAsia" w:ascii="Times New Roman" w:hAnsi="Times New Roman" w:eastAsia="Times New Roman" w:cs="Times New Roman"/>
                <w:b/>
                <w:bCs/>
                <w:spacing w:val="-6"/>
                <w:sz w:val="24"/>
                <w:szCs w:val="24"/>
                <w:lang w:val="en-US" w:eastAsia="zh-CN"/>
              </w:rPr>
            </w:pPr>
            <w:r>
              <w:rPr>
                <w:rFonts w:hint="eastAsia" w:ascii="Times New Roman" w:hAnsi="Times New Roman" w:eastAsia="Times New Roman" w:cs="Times New Roman"/>
                <w:b/>
                <w:bCs/>
                <w:spacing w:val="-6"/>
                <w:sz w:val="24"/>
                <w:szCs w:val="24"/>
                <w:lang w:val="en-US" w:eastAsia="zh-CN"/>
              </w:rPr>
              <w:t>1、一般固废</w:t>
            </w:r>
          </w:p>
          <w:p>
            <w:pPr>
              <w:spacing w:line="360" w:lineRule="auto"/>
              <w:ind w:firstLine="482" w:firstLineChars="200"/>
              <w:rPr>
                <w:rFonts w:hint="eastAsia" w:ascii="Times New Roman" w:hAnsi="Times New Roman" w:cs="Times New Roman"/>
                <w:sz w:val="24"/>
              </w:rPr>
            </w:pPr>
            <w:r>
              <w:rPr>
                <w:rFonts w:hint="eastAsia" w:ascii="Times New Roman" w:hAnsi="Times New Roman" w:cs="Times New Roman"/>
                <w:b/>
                <w:bCs/>
                <w:sz w:val="24"/>
                <w:lang w:val="en-US" w:eastAsia="zh-CN"/>
              </w:rPr>
              <w:t xml:space="preserve">⑴ </w:t>
            </w:r>
            <w:r>
              <w:rPr>
                <w:rFonts w:hint="eastAsia" w:ascii="Times New Roman" w:hAnsi="Times New Roman" w:cs="Times New Roman"/>
                <w:b/>
                <w:bCs/>
                <w:sz w:val="24"/>
              </w:rPr>
              <w:t>建筑垃圾</w:t>
            </w:r>
            <w:r>
              <w:rPr>
                <w:rFonts w:hint="eastAsia" w:ascii="Times New Roman" w:hAnsi="Times New Roman" w:cs="Times New Roman"/>
                <w:sz w:val="24"/>
              </w:rPr>
              <w:t>：在土方开挖、房屋建设、物料运输等工程阶段，会产生一定数量的废弃建筑物料，如砂石、钢材、木材等。建筑垃圾中可回收利用的钢材、木材等进行回收利用，不能利用的应集中堆放，定期清运至政府规划的渣场进行堆放。</w:t>
            </w:r>
          </w:p>
          <w:p>
            <w:pPr>
              <w:spacing w:line="360" w:lineRule="auto"/>
              <w:ind w:firstLine="482" w:firstLineChars="200"/>
              <w:rPr>
                <w:rFonts w:hint="eastAsia" w:ascii="Times New Roman" w:hAnsi="Times New Roman" w:cs="Times New Roman"/>
                <w:sz w:val="24"/>
              </w:rPr>
            </w:pPr>
            <w:r>
              <w:rPr>
                <w:rFonts w:hint="eastAsia" w:ascii="Times New Roman" w:hAnsi="Times New Roman" w:cs="Times New Roman"/>
                <w:b/>
                <w:bCs/>
                <w:sz w:val="24"/>
                <w:lang w:val="en-US" w:eastAsia="zh-CN"/>
              </w:rPr>
              <w:t xml:space="preserve">⑵ </w:t>
            </w:r>
            <w:r>
              <w:rPr>
                <w:rFonts w:hint="eastAsia" w:ascii="Times New Roman" w:hAnsi="Times New Roman" w:cs="Times New Roman"/>
                <w:b/>
                <w:bCs/>
                <w:sz w:val="24"/>
              </w:rPr>
              <w:t>废弃土石方</w:t>
            </w:r>
            <w:r>
              <w:rPr>
                <w:rFonts w:hint="eastAsia" w:ascii="Times New Roman" w:hAnsi="Times New Roman" w:cs="Times New Roman"/>
                <w:sz w:val="24"/>
              </w:rPr>
              <w:t>：经土石方平衡计算，枢纽工程共产生弃渣</w:t>
            </w:r>
            <w:r>
              <w:rPr>
                <w:rFonts w:hint="eastAsia" w:ascii="Times New Roman" w:hAnsi="Times New Roman" w:cs="Times New Roman"/>
                <w:sz w:val="24"/>
                <w:lang w:val="en-US" w:eastAsia="zh-CN"/>
              </w:rPr>
              <w:t>22.9</w:t>
            </w:r>
            <w:r>
              <w:rPr>
                <w:rFonts w:hint="eastAsia" w:ascii="Times New Roman" w:hAnsi="Times New Roman" w:cs="Times New Roman"/>
                <w:sz w:val="24"/>
              </w:rPr>
              <w:t>万m</w:t>
            </w:r>
            <w:r>
              <w:rPr>
                <w:rFonts w:hint="eastAsia" w:ascii="Times New Roman" w:hAnsi="Times New Roman" w:cs="Times New Roman"/>
                <w:sz w:val="24"/>
                <w:vertAlign w:val="superscript"/>
              </w:rPr>
              <w:t>3</w:t>
            </w:r>
            <w:r>
              <w:rPr>
                <w:rFonts w:hint="eastAsia" w:ascii="Times New Roman" w:hAnsi="Times New Roman" w:cs="Times New Roman"/>
                <w:sz w:val="24"/>
              </w:rPr>
              <w:t>（松方）；</w:t>
            </w:r>
            <w:r>
              <w:rPr>
                <w:rFonts w:hint="eastAsia" w:ascii="Times New Roman" w:hAnsi="Times New Roman" w:cs="Times New Roman"/>
                <w:sz w:val="24"/>
                <w:lang w:val="en-US" w:eastAsia="zh-CN"/>
              </w:rPr>
              <w:t>灌区</w:t>
            </w:r>
            <w:r>
              <w:rPr>
                <w:rFonts w:hint="eastAsia" w:ascii="Times New Roman" w:hAnsi="Times New Roman" w:cs="Times New Roman"/>
                <w:sz w:val="24"/>
              </w:rPr>
              <w:t>工程弃渣总量</w:t>
            </w:r>
            <w:r>
              <w:rPr>
                <w:rFonts w:hint="eastAsia" w:ascii="Times New Roman" w:hAnsi="Times New Roman" w:cs="Times New Roman"/>
                <w:sz w:val="24"/>
                <w:lang w:val="en-US" w:eastAsia="zh-CN"/>
              </w:rPr>
              <w:t>1.44</w:t>
            </w:r>
            <w:r>
              <w:rPr>
                <w:rFonts w:hint="eastAsia" w:ascii="Times New Roman" w:hAnsi="Times New Roman" w:cs="Times New Roman"/>
                <w:sz w:val="24"/>
              </w:rPr>
              <w:t>万m</w:t>
            </w:r>
            <w:r>
              <w:rPr>
                <w:rFonts w:hint="eastAsia" w:ascii="Times New Roman" w:hAnsi="Times New Roman" w:cs="Times New Roman"/>
                <w:sz w:val="24"/>
                <w:vertAlign w:val="superscript"/>
              </w:rPr>
              <w:t>3</w:t>
            </w:r>
            <w:r>
              <w:rPr>
                <w:rFonts w:hint="eastAsia" w:ascii="Times New Roman" w:hAnsi="Times New Roman" w:cs="Times New Roman"/>
                <w:sz w:val="24"/>
              </w:rPr>
              <w:t>（松方）。弃渣堆放至规划的渣场，堆渣完毕后应进行迹地恢复，种植当地植被。</w:t>
            </w:r>
          </w:p>
          <w:p>
            <w:pPr>
              <w:spacing w:line="360" w:lineRule="auto"/>
              <w:ind w:firstLine="482" w:firstLineChars="200"/>
              <w:rPr>
                <w:rFonts w:hint="eastAsia" w:ascii="Times New Roman" w:hAnsi="Times New Roman" w:cs="Times New Roman"/>
                <w:sz w:val="24"/>
              </w:rPr>
            </w:pPr>
            <w:r>
              <w:rPr>
                <w:rFonts w:hint="eastAsia" w:ascii="Times New Roman" w:hAnsi="Times New Roman" w:cs="Times New Roman"/>
                <w:b/>
                <w:bCs/>
                <w:sz w:val="24"/>
                <w:lang w:val="en-US" w:eastAsia="zh-CN"/>
              </w:rPr>
              <w:t xml:space="preserve">⑶ </w:t>
            </w:r>
            <w:r>
              <w:rPr>
                <w:rFonts w:hint="eastAsia" w:ascii="Times New Roman" w:hAnsi="Times New Roman" w:cs="Times New Roman"/>
                <w:b/>
                <w:bCs/>
                <w:sz w:val="24"/>
              </w:rPr>
              <w:t>库底垃圾</w:t>
            </w:r>
            <w:r>
              <w:rPr>
                <w:rFonts w:hint="eastAsia" w:ascii="Times New Roman" w:hAnsi="Times New Roman" w:cs="Times New Roman"/>
                <w:sz w:val="24"/>
              </w:rPr>
              <w:t>：根据《水库库底清理办法》的有关规定，结合本工程任务和运行要求，确定库底清理范围与对象为一般清理。①正常蓄水位高程以下全部水域内各项建筑物拆除，森林砍伐和卫生清理；②正常蓄水位至死水位（含极限死水位）以下2m高程之间范围内，各项大体积建筑残留物（如道路、线杆、牌坊）和林 地、耕地等清理。库底清理废弃物应运至指定的建筑垃圾堆放场处置。</w:t>
            </w:r>
          </w:p>
          <w:p>
            <w:pPr>
              <w:spacing w:line="360" w:lineRule="auto"/>
              <w:ind w:firstLine="482" w:firstLineChars="200"/>
              <w:rPr>
                <w:rFonts w:hint="eastAsia" w:ascii="Times New Roman" w:hAnsi="Times New Roman" w:cs="Times New Roman"/>
                <w:sz w:val="24"/>
              </w:rPr>
            </w:pPr>
            <w:r>
              <w:rPr>
                <w:rFonts w:hint="eastAsia" w:ascii="Times New Roman" w:hAnsi="Times New Roman" w:cs="Times New Roman"/>
                <w:b/>
                <w:bCs/>
                <w:sz w:val="24"/>
                <w:lang w:val="en-US" w:eastAsia="zh-CN"/>
              </w:rPr>
              <w:t xml:space="preserve">⑷ </w:t>
            </w:r>
            <w:r>
              <w:rPr>
                <w:rFonts w:hint="eastAsia" w:ascii="Times New Roman" w:hAnsi="Times New Roman" w:cs="Times New Roman"/>
                <w:b/>
                <w:bCs/>
                <w:sz w:val="24"/>
              </w:rPr>
              <w:t>施工人员</w:t>
            </w:r>
            <w:r>
              <w:rPr>
                <w:rFonts w:hint="eastAsia" w:ascii="Times New Roman" w:hAnsi="Times New Roman" w:cs="Times New Roman"/>
                <w:b/>
                <w:bCs/>
                <w:sz w:val="24"/>
                <w:lang w:val="en-US" w:eastAsia="zh-CN"/>
              </w:rPr>
              <w:t>生活</w:t>
            </w:r>
            <w:r>
              <w:rPr>
                <w:rFonts w:hint="eastAsia" w:ascii="Times New Roman" w:hAnsi="Times New Roman" w:cs="Times New Roman"/>
                <w:b/>
                <w:bCs/>
                <w:sz w:val="24"/>
              </w:rPr>
              <w:t>垃圾</w:t>
            </w:r>
            <w:r>
              <w:rPr>
                <w:rFonts w:hint="eastAsia" w:ascii="Times New Roman" w:hAnsi="Times New Roman" w:cs="Times New Roman"/>
                <w:sz w:val="24"/>
              </w:rPr>
              <w:t>：生活垃圾主要产生于施工营地区域，项目施工人员高峰期约</w:t>
            </w:r>
            <w:r>
              <w:rPr>
                <w:rFonts w:hint="eastAsia" w:ascii="Times New Roman" w:hAnsi="Times New Roman" w:cs="Times New Roman"/>
                <w:sz w:val="24"/>
                <w:lang w:val="en-US" w:eastAsia="zh-CN"/>
              </w:rPr>
              <w:t>38</w:t>
            </w:r>
            <w:r>
              <w:rPr>
                <w:rFonts w:hint="eastAsia" w:ascii="Times New Roman" w:hAnsi="Times New Roman" w:cs="Times New Roman"/>
                <w:sz w:val="24"/>
              </w:rPr>
              <w:t>0人，生活垃圾产生量按每人1.0kg/d计，施工人员生活垃圾产生量约为</w:t>
            </w:r>
            <w:r>
              <w:rPr>
                <w:rFonts w:hint="eastAsia" w:ascii="Times New Roman" w:hAnsi="Times New Roman" w:cs="Times New Roman"/>
                <w:sz w:val="24"/>
                <w:lang w:val="en-US" w:eastAsia="zh-CN"/>
              </w:rPr>
              <w:t>0.38</w:t>
            </w:r>
            <w:r>
              <w:rPr>
                <w:rFonts w:hint="eastAsia" w:ascii="Times New Roman" w:hAnsi="Times New Roman" w:cs="Times New Roman"/>
                <w:sz w:val="24"/>
              </w:rPr>
              <w:t>t/d。建设单位拟在施工区设置垃圾收集站2个、垃圾桶15个，收集的生活垃圾运至生活垃圾集中填埋场。</w:t>
            </w:r>
          </w:p>
          <w:p>
            <w:pPr>
              <w:spacing w:line="360" w:lineRule="auto"/>
              <w:ind w:firstLine="482" w:firstLineChars="200"/>
              <w:rPr>
                <w:rFonts w:hint="eastAsia" w:ascii="Times New Roman" w:hAnsi="Times New Roman" w:cs="Times New Roman"/>
                <w:sz w:val="24"/>
              </w:rPr>
            </w:pPr>
            <w:r>
              <w:rPr>
                <w:rFonts w:hint="eastAsia" w:ascii="Times New Roman" w:hAnsi="Times New Roman" w:cs="Times New Roman"/>
                <w:b/>
                <w:bCs/>
                <w:sz w:val="24"/>
                <w:lang w:val="en-US" w:eastAsia="zh-CN"/>
              </w:rPr>
              <w:t xml:space="preserve">⑸ </w:t>
            </w:r>
            <w:r>
              <w:rPr>
                <w:rFonts w:hint="eastAsia" w:ascii="Times New Roman" w:hAnsi="Times New Roman" w:cs="Times New Roman"/>
                <w:b/>
                <w:bCs/>
                <w:sz w:val="24"/>
              </w:rPr>
              <w:t>除尘器收集的除尘灰</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针对项目施工期间配套的混凝土搅拌站、沥青搅拌站，其在投料、搅拌等工序中均会产生一定量的粉尘，通过配套的布袋除尘器处理后排放，收集的粉尘均回用于生产过程中，其中：混凝土搅拌站配套</w:t>
            </w:r>
            <w:r>
              <w:rPr>
                <w:rFonts w:hint="eastAsia" w:ascii="Times New Roman" w:hAnsi="Times New Roman" w:cs="Times New Roman"/>
                <w:sz w:val="24"/>
              </w:rPr>
              <w:t>布袋除尘器收集的粉尘量约为</w:t>
            </w:r>
            <w:r>
              <w:rPr>
                <w:rFonts w:hint="eastAsia" w:ascii="Times New Roman" w:hAnsi="Times New Roman" w:cs="Times New Roman"/>
                <w:sz w:val="24"/>
                <w:lang w:val="en-US" w:eastAsia="zh-CN"/>
              </w:rPr>
              <w:t>8.53</w:t>
            </w:r>
            <w:r>
              <w:rPr>
                <w:rFonts w:hint="eastAsia" w:ascii="Times New Roman" w:hAnsi="Times New Roman" w:cs="Times New Roman"/>
                <w:sz w:val="24"/>
              </w:rPr>
              <w:t>t/a，</w:t>
            </w:r>
            <w:r>
              <w:rPr>
                <w:rFonts w:hint="eastAsia" w:ascii="Times New Roman" w:hAnsi="Times New Roman" w:cs="Times New Roman"/>
                <w:sz w:val="24"/>
                <w:lang w:val="en-US" w:eastAsia="zh-CN"/>
              </w:rPr>
              <w:t>沥青搅拌站配套布袋除尘器收集的粉尘量约为5.17</w:t>
            </w:r>
            <w:r>
              <w:rPr>
                <w:rFonts w:hint="eastAsia" w:ascii="Times New Roman" w:hAnsi="Times New Roman" w:cs="Times New Roman"/>
                <w:sz w:val="24"/>
              </w:rPr>
              <w:t>t/a。</w:t>
            </w:r>
          </w:p>
          <w:p>
            <w:pPr>
              <w:spacing w:line="360" w:lineRule="auto"/>
              <w:ind w:firstLine="482" w:firstLineChars="200"/>
              <w:rPr>
                <w:rFonts w:hint="eastAsia" w:ascii="Times New Roman" w:hAnsi="Times New Roman" w:cs="Times New Roman"/>
                <w:b w:val="0"/>
                <w:bCs w:val="0"/>
                <w:sz w:val="24"/>
                <w:lang w:val="en-US" w:eastAsia="zh-CN"/>
              </w:rPr>
            </w:pPr>
            <w:r>
              <w:rPr>
                <w:rFonts w:hint="eastAsia" w:ascii="Times New Roman" w:hAnsi="Times New Roman" w:cs="Times New Roman"/>
                <w:b/>
                <w:bCs/>
                <w:sz w:val="24"/>
                <w:lang w:val="en-US" w:eastAsia="zh-CN"/>
              </w:rPr>
              <w:t>⑹ 沥青拌合站滴漏沥青及拌合残渣：</w:t>
            </w:r>
            <w:r>
              <w:rPr>
                <w:rFonts w:hint="eastAsia" w:ascii="Times New Roman" w:hAnsi="Times New Roman" w:cs="Times New Roman"/>
                <w:b w:val="0"/>
                <w:bCs w:val="0"/>
                <w:sz w:val="24"/>
                <w:lang w:val="en-US" w:eastAsia="zh-CN"/>
              </w:rPr>
              <w:t>散装沥青运输车辆将沥青输入厂区内沥青储罐和沥青泵将沥青从储罐打入拌和系统时，由于接口的密闭性问题，会滴漏少量沥青，沥青的滴漏量和项目使用设备及生产管理水平有关。沥青暴露于常温下时呈凝固状态，不会四处流溢。滴漏沥青和残渣年产生量约为0.1t/a，收集后回用于生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Times New Roman" w:cs="Times New Roman"/>
                <w:b w:val="0"/>
                <w:bCs w:val="0"/>
                <w:spacing w:val="0"/>
                <w:sz w:val="24"/>
                <w:szCs w:val="24"/>
                <w:lang w:val="en-US" w:eastAsia="zh-CN"/>
              </w:rPr>
            </w:pPr>
            <w:r>
              <w:rPr>
                <w:rFonts w:hint="eastAsia" w:ascii="Times New Roman" w:hAnsi="Times New Roman" w:eastAsia="Times New Roman" w:cs="Times New Roman"/>
                <w:b/>
                <w:bCs/>
                <w:spacing w:val="0"/>
                <w:sz w:val="24"/>
                <w:szCs w:val="24"/>
                <w:lang w:val="en-US" w:eastAsia="zh-CN"/>
              </w:rPr>
              <w:t>⑺ 沉淀池污泥：</w:t>
            </w:r>
            <w:r>
              <w:rPr>
                <w:rFonts w:hint="eastAsia" w:ascii="Times New Roman" w:hAnsi="Times New Roman" w:eastAsia="Times New Roman" w:cs="Times New Roman"/>
                <w:b w:val="0"/>
                <w:bCs w:val="0"/>
                <w:spacing w:val="0"/>
                <w:sz w:val="24"/>
                <w:szCs w:val="24"/>
                <w:lang w:val="en-US" w:eastAsia="zh-CN"/>
              </w:rPr>
              <w:t>针对项目在施工期间设置的各沉淀池，其在运行过程中会产生一定量的污泥，拟将其定期清理至项目配套的弃渣场进行合理堆放。</w:t>
            </w:r>
          </w:p>
          <w:p>
            <w:pPr>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在采取以上措施后，项目施工期产生的</w:t>
            </w:r>
            <w:r>
              <w:rPr>
                <w:rFonts w:hint="eastAsia" w:ascii="Times New Roman" w:hAnsi="Times New Roman" w:cs="Times New Roman"/>
                <w:sz w:val="24"/>
                <w:lang w:val="en-US" w:eastAsia="zh-CN"/>
              </w:rPr>
              <w:t>一般</w:t>
            </w:r>
            <w:r>
              <w:rPr>
                <w:rFonts w:hint="eastAsia" w:ascii="Times New Roman" w:hAnsi="Times New Roman" w:cs="Times New Roman"/>
                <w:sz w:val="24"/>
              </w:rPr>
              <w:t>固体废物能够得到较妥善处置，</w:t>
            </w:r>
            <w:r>
              <w:rPr>
                <w:rFonts w:hint="eastAsia" w:ascii="Times New Roman" w:hAnsi="Times New Roman" w:cs="Times New Roman"/>
                <w:sz w:val="24"/>
                <w:lang w:val="en-US" w:eastAsia="zh-CN"/>
              </w:rPr>
              <w:t>不会产生二次污染</w:t>
            </w:r>
            <w:r>
              <w:rPr>
                <w:rFonts w:hint="eastAsia" w:ascii="Times New Roman" w:hAnsi="Times New Roman" w:cs="Times New Roman"/>
                <w:sz w:val="24"/>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eastAsia" w:ascii="Times New Roman" w:hAnsi="Times New Roman" w:eastAsia="Times New Roman" w:cs="Times New Roman"/>
                <w:b/>
                <w:bCs/>
                <w:spacing w:val="-6"/>
                <w:sz w:val="24"/>
                <w:szCs w:val="24"/>
                <w:lang w:val="en-US" w:eastAsia="zh-CN"/>
              </w:rPr>
            </w:pPr>
            <w:r>
              <w:rPr>
                <w:rFonts w:hint="eastAsia" w:ascii="Times New Roman" w:hAnsi="Times New Roman" w:eastAsia="Times New Roman" w:cs="Times New Roman"/>
                <w:b/>
                <w:bCs/>
                <w:spacing w:val="-6"/>
                <w:sz w:val="24"/>
                <w:szCs w:val="24"/>
                <w:lang w:val="en-US" w:eastAsia="zh-CN"/>
              </w:rPr>
              <w:t>2、危险废物</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color w:val="0000FF"/>
                <w:sz w:val="24"/>
                <w:lang w:val="en-US" w:eastAsia="zh-CN"/>
              </w:rPr>
              <w:t>因项目施工期配套的沥青拌合站运行时长</w:t>
            </w:r>
            <w:r>
              <w:rPr>
                <w:rFonts w:hint="eastAsia" w:cs="Times New Roman"/>
                <w:color w:val="0000FF"/>
                <w:sz w:val="24"/>
                <w:lang w:val="en-US" w:eastAsia="zh-CN"/>
              </w:rPr>
              <w:t>约17个月，总共</w:t>
            </w:r>
            <w:r>
              <w:rPr>
                <w:rFonts w:hint="eastAsia" w:ascii="Times New Roman" w:hAnsi="Times New Roman" w:cs="Times New Roman"/>
                <w:color w:val="0000FF"/>
                <w:sz w:val="24"/>
                <w:highlight w:val="none"/>
                <w:lang w:val="en-US" w:eastAsia="zh-CN"/>
              </w:rPr>
              <w:t>不超过450天</w:t>
            </w:r>
            <w:r>
              <w:rPr>
                <w:rFonts w:hint="eastAsia" w:ascii="Times New Roman" w:hAnsi="Times New Roman" w:cs="Times New Roman"/>
                <w:color w:val="0000FF"/>
                <w:sz w:val="24"/>
                <w:lang w:val="en-US" w:eastAsia="zh-CN"/>
              </w:rPr>
              <w:t>，而一般导热油的更换周期在7~8年左右，因此，项目施工期间一般不会有废导热油产生</w:t>
            </w:r>
            <w:r>
              <w:rPr>
                <w:rFonts w:hint="eastAsia" w:ascii="Times New Roman" w:hAnsi="Times New Roman" w:cs="Times New Roman"/>
                <w:sz w:val="24"/>
                <w:lang w:val="en-US" w:eastAsia="zh-CN"/>
              </w:rPr>
              <w:t>，其在整个施工期间产生的危险废物主要为设备维修过程中产生的废矿物油、含油废棉纱、定期更换的废活性炭等危险废物。</w:t>
            </w:r>
          </w:p>
          <w:p>
            <w:pPr>
              <w:pStyle w:val="87"/>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Ansi="宋体"/>
                <w:color w:val="auto"/>
                <w:sz w:val="24"/>
              </w:rPr>
            </w:pPr>
            <w:r>
              <w:rPr>
                <w:rFonts w:hint="eastAsia" w:ascii="Times New Roman" w:hAnsi="Times New Roman" w:eastAsia="Times New Roman" w:cs="Times New Roman"/>
                <w:b/>
                <w:bCs/>
                <w:spacing w:val="-6"/>
                <w:sz w:val="24"/>
                <w:szCs w:val="24"/>
                <w:lang w:val="en-US" w:eastAsia="zh-CN"/>
              </w:rPr>
              <w:t>⑴ 各类机械设备维修保养过程中产生的废润滑油、含油废棉纱：</w:t>
            </w:r>
            <w:r>
              <w:rPr>
                <w:rFonts w:hAnsi="宋体"/>
                <w:color w:val="auto"/>
                <w:sz w:val="24"/>
              </w:rPr>
              <w:t>项目在</w:t>
            </w:r>
            <w:r>
              <w:rPr>
                <w:rFonts w:hint="eastAsia" w:hAnsi="宋体"/>
                <w:color w:val="auto"/>
                <w:sz w:val="24"/>
              </w:rPr>
              <w:t>各类机械设备</w:t>
            </w:r>
            <w:r>
              <w:rPr>
                <w:rFonts w:hAnsi="宋体"/>
                <w:color w:val="auto"/>
                <w:sz w:val="24"/>
              </w:rPr>
              <w:t>维修保养过程中将产生一定量的废</w:t>
            </w:r>
            <w:r>
              <w:rPr>
                <w:rFonts w:hint="eastAsia" w:hAnsi="宋体"/>
                <w:color w:val="auto"/>
                <w:sz w:val="24"/>
              </w:rPr>
              <w:t>润滑油、</w:t>
            </w:r>
            <w:r>
              <w:rPr>
                <w:rFonts w:hAnsi="宋体"/>
                <w:color w:val="auto"/>
                <w:sz w:val="24"/>
              </w:rPr>
              <w:t>含油棉纱等</w:t>
            </w:r>
            <w:r>
              <w:rPr>
                <w:rFonts w:hint="eastAsia" w:hAnsi="宋体"/>
                <w:color w:val="auto"/>
                <w:sz w:val="24"/>
              </w:rPr>
              <w:t>，其产生量分别约为：废润滑油约0.01</w:t>
            </w:r>
            <w:r>
              <w:rPr>
                <w:rFonts w:hAnsi="宋体"/>
                <w:color w:val="auto"/>
                <w:sz w:val="24"/>
              </w:rPr>
              <w:t>t/a</w:t>
            </w:r>
            <w:r>
              <w:rPr>
                <w:rFonts w:hint="eastAsia" w:hAnsi="宋体"/>
                <w:color w:val="auto"/>
                <w:sz w:val="24"/>
              </w:rPr>
              <w:t>，含油棉纱约0.01</w:t>
            </w:r>
            <w:r>
              <w:rPr>
                <w:rFonts w:hAnsi="宋体"/>
                <w:color w:val="auto"/>
                <w:sz w:val="24"/>
              </w:rPr>
              <w:t>t/a</w:t>
            </w:r>
            <w:r>
              <w:rPr>
                <w:rFonts w:hint="eastAsia" w:hAnsi="宋体"/>
                <w:color w:val="auto"/>
                <w:sz w:val="24"/>
              </w:rPr>
              <w:t>，</w:t>
            </w:r>
            <w:r>
              <w:rPr>
                <w:rFonts w:hAnsi="宋体"/>
                <w:color w:val="auto"/>
                <w:sz w:val="24"/>
              </w:rPr>
              <w:t>合计约</w:t>
            </w:r>
            <w:r>
              <w:rPr>
                <w:rFonts w:hint="eastAsia" w:hAnsi="宋体"/>
                <w:color w:val="auto"/>
                <w:sz w:val="24"/>
              </w:rPr>
              <w:t>0.02t/a。</w:t>
            </w:r>
            <w:r>
              <w:rPr>
                <w:rFonts w:hAnsi="宋体"/>
                <w:color w:val="auto"/>
                <w:sz w:val="24"/>
              </w:rPr>
              <w:t>由于该类废物属于《国家危险废物名录》（2021年</w:t>
            </w:r>
            <w:r>
              <w:rPr>
                <w:rFonts w:hint="eastAsia" w:hAnsi="宋体"/>
                <w:color w:val="auto"/>
                <w:sz w:val="24"/>
              </w:rPr>
              <w:t>版</w:t>
            </w:r>
            <w:r>
              <w:rPr>
                <w:rFonts w:hAnsi="宋体"/>
                <w:color w:val="auto"/>
                <w:sz w:val="24"/>
              </w:rPr>
              <w:t>）中HW08号：废矿物油，其废</w:t>
            </w:r>
            <w:r>
              <w:rPr>
                <w:rFonts w:hint="eastAsia" w:hAnsi="宋体"/>
                <w:color w:val="auto"/>
                <w:sz w:val="24"/>
              </w:rPr>
              <w:t>润滑油</w:t>
            </w:r>
            <w:r>
              <w:rPr>
                <w:rFonts w:hAnsi="宋体"/>
                <w:color w:val="auto"/>
                <w:sz w:val="24"/>
              </w:rPr>
              <w:t>和</w:t>
            </w:r>
            <w:r>
              <w:rPr>
                <w:rFonts w:hint="eastAsia" w:hAnsi="宋体"/>
                <w:color w:val="auto"/>
                <w:sz w:val="24"/>
              </w:rPr>
              <w:t>含油棉纱</w:t>
            </w:r>
            <w:r>
              <w:rPr>
                <w:rFonts w:hAnsi="宋体"/>
                <w:color w:val="auto"/>
                <w:sz w:val="24"/>
              </w:rPr>
              <w:t>废物代码为</w:t>
            </w:r>
            <w:r>
              <w:rPr>
                <w:rFonts w:hint="eastAsia" w:hAnsi="宋体"/>
                <w:color w:val="auto"/>
                <w:sz w:val="24"/>
              </w:rPr>
              <w:t>：900-249-08</w:t>
            </w:r>
            <w:r>
              <w:rPr>
                <w:rFonts w:hAnsi="宋体"/>
                <w:color w:val="auto"/>
                <w:sz w:val="24"/>
              </w:rPr>
              <w:t>。</w:t>
            </w:r>
          </w:p>
          <w:p>
            <w:pPr>
              <w:pStyle w:val="84"/>
              <w:ind w:firstLine="420"/>
              <w:rPr>
                <w:rFonts w:hint="default" w:ascii="Arial" w:hAnsi="Arial" w:eastAsia="宋体" w:cs="Arial"/>
                <w:color w:val="000000"/>
                <w:sz w:val="24"/>
                <w:szCs w:val="24"/>
              </w:rPr>
            </w:pPr>
            <w:r>
              <w:rPr>
                <w:rFonts w:hint="eastAsia" w:ascii="Times New Roman" w:hAnsi="Times New Roman" w:eastAsia="Times New Roman" w:cs="Times New Roman"/>
                <w:b/>
                <w:bCs/>
                <w:spacing w:val="-6"/>
                <w:kern w:val="2"/>
                <w:sz w:val="24"/>
                <w:szCs w:val="24"/>
                <w:lang w:val="en-US" w:eastAsia="zh-CN" w:bidi="ar-SA"/>
              </w:rPr>
              <w:t>⑵ 废活性炭：</w:t>
            </w:r>
            <w:r>
              <w:rPr>
                <w:rFonts w:hint="eastAsia" w:ascii="Arial" w:hAnsi="Arial" w:eastAsia="宋体" w:cs="Arial"/>
                <w:color w:val="000000"/>
                <w:sz w:val="24"/>
                <w:szCs w:val="24"/>
                <w:lang w:val="en-US" w:eastAsia="zh-CN"/>
              </w:rPr>
              <w:t>项目沥青拌合站产生的沥青烟气</w:t>
            </w:r>
            <w:r>
              <w:rPr>
                <w:rFonts w:hint="default" w:ascii="Arial" w:hAnsi="Arial" w:eastAsia="宋体" w:cs="Arial"/>
                <w:color w:val="000000"/>
                <w:sz w:val="24"/>
                <w:szCs w:val="24"/>
              </w:rPr>
              <w:t>采用“活性炭吸附装置”处理</w:t>
            </w:r>
            <w:r>
              <w:rPr>
                <w:rFonts w:hint="eastAsia" w:ascii="Arial" w:hAnsi="Arial" w:eastAsia="宋体" w:cs="Arial"/>
                <w:color w:val="000000"/>
                <w:sz w:val="24"/>
                <w:szCs w:val="24"/>
                <w:lang w:val="en-US" w:eastAsia="zh-CN"/>
              </w:rPr>
              <w:t>后高空排放</w:t>
            </w:r>
            <w:r>
              <w:rPr>
                <w:rFonts w:hint="default" w:ascii="Arial" w:hAnsi="Arial" w:eastAsia="宋体" w:cs="Arial"/>
                <w:color w:val="000000"/>
                <w:sz w:val="24"/>
                <w:szCs w:val="24"/>
              </w:rPr>
              <w:t>，根据建设单位提供资料，活性炭吸附装置每次的装载量为100kg，一般</w:t>
            </w:r>
            <w:r>
              <w:rPr>
                <w:rFonts w:hint="eastAsia" w:ascii="Arial" w:hAnsi="Arial" w:eastAsia="宋体" w:cs="Arial"/>
                <w:color w:val="000000"/>
                <w:sz w:val="24"/>
                <w:szCs w:val="24"/>
                <w:lang w:val="en-US" w:eastAsia="zh-CN"/>
              </w:rPr>
              <w:t>三个月</w:t>
            </w:r>
            <w:r>
              <w:rPr>
                <w:rFonts w:hint="default" w:ascii="Arial" w:hAnsi="Arial" w:eastAsia="宋体" w:cs="Arial"/>
                <w:color w:val="000000"/>
                <w:sz w:val="24"/>
                <w:szCs w:val="24"/>
              </w:rPr>
              <w:t>更换一次，更换量为</w:t>
            </w:r>
            <w:r>
              <w:rPr>
                <w:rFonts w:hint="eastAsia" w:ascii="Arial" w:hAnsi="Arial" w:eastAsia="宋体" w:cs="Arial"/>
                <w:color w:val="000000"/>
                <w:sz w:val="24"/>
                <w:szCs w:val="24"/>
                <w:lang w:val="en-US" w:eastAsia="zh-CN"/>
              </w:rPr>
              <w:t>4</w:t>
            </w:r>
            <w:r>
              <w:rPr>
                <w:rFonts w:hint="default" w:ascii="Arial" w:hAnsi="Arial" w:eastAsia="宋体" w:cs="Arial"/>
                <w:color w:val="000000"/>
                <w:sz w:val="24"/>
                <w:szCs w:val="24"/>
              </w:rPr>
              <w:t>00kg。根据《国家危险废物名录》废活性炭属于危险废物HW49，废物代码为900-041-49（含有或沾染毒性、感染性危险废物的 废弃包装物、容器、过滤吸附介质），该按国家《危险废物贮存污染控制标准》（GB18597-2001）的要求设置贮存场所，项目在厂区设置危险废物暂存间暂存废活性炭，定期交有资质单位处置。</w:t>
            </w:r>
          </w:p>
          <w:p>
            <w:pPr>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整个项目施工期固废产排情况详见下表所示：</w:t>
            </w:r>
          </w:p>
          <w:p>
            <w:pPr>
              <w:autoSpaceDE w:val="0"/>
              <w:autoSpaceDN w:val="0"/>
              <w:spacing w:line="360" w:lineRule="auto"/>
              <w:jc w:val="center"/>
              <w:rPr>
                <w:rFonts w:hint="eastAsia" w:ascii="Times New Roman" w:hAnsi="宋体" w:eastAsia="宋体" w:cs="Times New Roman"/>
                <w:b/>
                <w:szCs w:val="21"/>
                <w:lang w:val="zh-CN"/>
              </w:rPr>
            </w:pPr>
            <w:r>
              <w:rPr>
                <w:rFonts w:hint="eastAsia" w:ascii="Times New Roman" w:hAnsi="宋体" w:eastAsia="宋体" w:cs="Times New Roman"/>
                <w:b/>
                <w:szCs w:val="21"/>
                <w:lang w:val="zh-CN"/>
              </w:rPr>
              <w:t>表4-</w:t>
            </w:r>
            <w:r>
              <w:rPr>
                <w:rFonts w:hint="eastAsia" w:ascii="Times New Roman" w:hAnsi="宋体" w:eastAsia="宋体" w:cs="Times New Roman"/>
                <w:b/>
                <w:szCs w:val="21"/>
                <w:lang w:val="en-US" w:eastAsia="zh-CN"/>
              </w:rPr>
              <w:t>9</w:t>
            </w:r>
            <w:r>
              <w:rPr>
                <w:rFonts w:hint="eastAsia" w:ascii="Times New Roman" w:hAnsi="宋体" w:eastAsia="宋体" w:cs="Times New Roman"/>
                <w:b/>
                <w:szCs w:val="21"/>
                <w:lang w:val="zh-CN"/>
              </w:rPr>
              <w:t xml:space="preserve">  项目</w:t>
            </w:r>
            <w:r>
              <w:rPr>
                <w:rFonts w:hint="eastAsia" w:ascii="Times New Roman" w:hAnsi="宋体" w:eastAsia="宋体" w:cs="Times New Roman"/>
                <w:b/>
                <w:szCs w:val="21"/>
                <w:lang w:val="en-US" w:eastAsia="zh-CN"/>
              </w:rPr>
              <w:t>施工期</w:t>
            </w:r>
            <w:r>
              <w:rPr>
                <w:rFonts w:hint="eastAsia" w:ascii="Times New Roman" w:hAnsi="宋体" w:eastAsia="宋体" w:cs="Times New Roman"/>
                <w:b/>
                <w:szCs w:val="21"/>
                <w:lang w:val="zh-CN"/>
              </w:rPr>
              <w:t>固体废物产生及去向情况汇总表</w:t>
            </w:r>
          </w:p>
          <w:tbl>
            <w:tblPr>
              <w:tblStyle w:val="23"/>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912"/>
              <w:gridCol w:w="899"/>
              <w:gridCol w:w="831"/>
              <w:gridCol w:w="897"/>
              <w:gridCol w:w="754"/>
              <w:gridCol w:w="536"/>
              <w:gridCol w:w="660"/>
              <w:gridCol w:w="660"/>
              <w:gridCol w:w="102"/>
              <w:gridCol w:w="562"/>
              <w:gridCol w:w="623"/>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cs="Arial"/>
                      <w:b/>
                      <w:color w:val="auto"/>
                      <w:sz w:val="18"/>
                      <w:szCs w:val="18"/>
                    </w:rPr>
                  </w:pPr>
                  <w:r>
                    <w:rPr>
                      <w:rFonts w:hint="default" w:ascii="Arial" w:hAnsi="Arial" w:cs="Arial"/>
                      <w:b/>
                      <w:color w:val="auto"/>
                      <w:sz w:val="18"/>
                      <w:szCs w:val="18"/>
                    </w:rPr>
                    <w:t>序号</w:t>
                  </w:r>
                </w:p>
              </w:tc>
              <w:tc>
                <w:tcPr>
                  <w:tcW w:w="1968" w:type="pct"/>
                  <w:gridSpan w:val="4"/>
                  <w:noWrap w:val="0"/>
                  <w:vAlign w:val="center"/>
                </w:tcPr>
                <w:p>
                  <w:pPr>
                    <w:pStyle w:val="64"/>
                    <w:adjustRightInd/>
                    <w:spacing w:before="0" w:after="0"/>
                    <w:rPr>
                      <w:rFonts w:hint="default" w:ascii="Arial" w:hAnsi="Arial" w:cs="Arial"/>
                      <w:b/>
                      <w:color w:val="auto"/>
                      <w:sz w:val="18"/>
                      <w:szCs w:val="18"/>
                    </w:rPr>
                  </w:pPr>
                  <w:r>
                    <w:rPr>
                      <w:rFonts w:hint="default" w:ascii="Arial" w:hAnsi="Arial" w:cs="Arial"/>
                      <w:b/>
                      <w:color w:val="auto"/>
                      <w:sz w:val="18"/>
                      <w:szCs w:val="18"/>
                    </w:rPr>
                    <w:t>废弃物名称</w:t>
                  </w:r>
                </w:p>
              </w:tc>
              <w:tc>
                <w:tcPr>
                  <w:tcW w:w="717" w:type="pct"/>
                  <w:gridSpan w:val="2"/>
                  <w:noWrap w:val="0"/>
                  <w:tcMar>
                    <w:left w:w="57" w:type="dxa"/>
                    <w:right w:w="57" w:type="dxa"/>
                  </w:tcMar>
                  <w:vAlign w:val="center"/>
                </w:tcPr>
                <w:p>
                  <w:pPr>
                    <w:pStyle w:val="64"/>
                    <w:adjustRightInd/>
                    <w:spacing w:before="0" w:after="0"/>
                    <w:rPr>
                      <w:rFonts w:hint="default" w:ascii="Arial" w:hAnsi="Arial" w:cs="Arial"/>
                      <w:b/>
                      <w:color w:val="auto"/>
                      <w:sz w:val="18"/>
                      <w:szCs w:val="18"/>
                    </w:rPr>
                  </w:pPr>
                  <w:r>
                    <w:rPr>
                      <w:rFonts w:hint="default" w:ascii="Arial" w:hAnsi="Arial" w:cs="Arial"/>
                      <w:b/>
                      <w:color w:val="auto"/>
                      <w:sz w:val="18"/>
                      <w:szCs w:val="18"/>
                    </w:rPr>
                    <w:t>产生量</w:t>
                  </w:r>
                </w:p>
              </w:tc>
              <w:tc>
                <w:tcPr>
                  <w:tcW w:w="791" w:type="pct"/>
                  <w:gridSpan w:val="3"/>
                  <w:noWrap w:val="0"/>
                  <w:vAlign w:val="center"/>
                </w:tcPr>
                <w:p>
                  <w:pPr>
                    <w:pStyle w:val="64"/>
                    <w:adjustRightInd/>
                    <w:spacing w:before="0" w:after="0"/>
                    <w:rPr>
                      <w:rFonts w:hint="default" w:ascii="Arial" w:hAnsi="Arial" w:cs="Arial"/>
                      <w:b/>
                      <w:color w:val="auto"/>
                      <w:sz w:val="18"/>
                      <w:szCs w:val="18"/>
                    </w:rPr>
                  </w:pPr>
                  <w:r>
                    <w:rPr>
                      <w:rFonts w:hint="default" w:ascii="Arial" w:hAnsi="Arial" w:cs="Arial"/>
                      <w:b/>
                      <w:color w:val="auto"/>
                      <w:sz w:val="18"/>
                      <w:szCs w:val="18"/>
                    </w:rPr>
                    <w:t>来源</w:t>
                  </w:r>
                </w:p>
              </w:tc>
              <w:tc>
                <w:tcPr>
                  <w:tcW w:w="1221" w:type="pct"/>
                  <w:gridSpan w:val="3"/>
                  <w:noWrap w:val="0"/>
                  <w:vAlign w:val="center"/>
                </w:tcPr>
                <w:p>
                  <w:pPr>
                    <w:pStyle w:val="64"/>
                    <w:adjustRightInd/>
                    <w:spacing w:before="0" w:after="0"/>
                    <w:rPr>
                      <w:rFonts w:hint="default" w:ascii="Arial" w:hAnsi="Arial" w:cs="Arial"/>
                      <w:b/>
                      <w:color w:val="auto"/>
                      <w:sz w:val="18"/>
                      <w:szCs w:val="18"/>
                    </w:rPr>
                  </w:pPr>
                  <w:r>
                    <w:rPr>
                      <w:rFonts w:hint="default" w:ascii="Arial" w:hAnsi="Arial" w:cs="Arial"/>
                      <w:b/>
                      <w:color w:val="auto"/>
                      <w:sz w:val="18"/>
                      <w:szCs w:val="1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一</w:t>
                  </w:r>
                </w:p>
              </w:tc>
              <w:tc>
                <w:tcPr>
                  <w:tcW w:w="4698" w:type="pct"/>
                  <w:gridSpan w:val="12"/>
                  <w:noWrap w:val="0"/>
                  <w:vAlign w:val="center"/>
                </w:tcPr>
                <w:p>
                  <w:pPr>
                    <w:pStyle w:val="64"/>
                    <w:adjustRightInd/>
                    <w:spacing w:before="0" w:after="0"/>
                    <w:jc w:val="left"/>
                    <w:rPr>
                      <w:rFonts w:hint="default" w:ascii="Arial" w:hAnsi="Arial" w:cs="Arial"/>
                      <w:b/>
                      <w:color w:val="auto"/>
                      <w:sz w:val="18"/>
                      <w:szCs w:val="18"/>
                    </w:rPr>
                  </w:pPr>
                  <w:r>
                    <w:rPr>
                      <w:rFonts w:hint="default" w:ascii="Arial" w:hAnsi="Arial" w:cs="Arial"/>
                      <w:b/>
                      <w:color w:val="auto"/>
                      <w:sz w:val="18"/>
                      <w:szCs w:val="18"/>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1</w:t>
                  </w:r>
                </w:p>
              </w:tc>
              <w:tc>
                <w:tcPr>
                  <w:tcW w:w="1968" w:type="pct"/>
                  <w:gridSpan w:val="4"/>
                  <w:noWrap w:val="0"/>
                  <w:vAlign w:val="center"/>
                </w:tcPr>
                <w:p>
                  <w:pPr>
                    <w:adjustRightInd w:val="0"/>
                    <w:snapToGrid w:val="0"/>
                    <w:spacing w:line="340" w:lineRule="exact"/>
                    <w:jc w:val="center"/>
                    <w:rPr>
                      <w:rFonts w:hint="default" w:ascii="Arial" w:hAnsi="Arial" w:eastAsia="宋体" w:cs="Arial"/>
                      <w:color w:val="auto"/>
                      <w:sz w:val="18"/>
                      <w:szCs w:val="18"/>
                    </w:rPr>
                  </w:pPr>
                  <w:r>
                    <w:rPr>
                      <w:rFonts w:hint="default" w:ascii="Arial" w:hAnsi="Arial" w:eastAsia="宋体" w:cs="Arial"/>
                      <w:sz w:val="18"/>
                      <w:szCs w:val="18"/>
                      <w:lang w:val="en-US" w:eastAsia="zh-CN"/>
                    </w:rPr>
                    <w:t>建筑垃圾</w:t>
                  </w:r>
                </w:p>
              </w:tc>
              <w:tc>
                <w:tcPr>
                  <w:tcW w:w="717" w:type="pct"/>
                  <w:gridSpan w:val="2"/>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一定量</w:t>
                  </w:r>
                </w:p>
              </w:tc>
              <w:tc>
                <w:tcPr>
                  <w:tcW w:w="791" w:type="pct"/>
                  <w:gridSpan w:val="3"/>
                  <w:noWrap w:val="0"/>
                  <w:vAlign w:val="center"/>
                </w:tcPr>
                <w:p>
                  <w:pPr>
                    <w:pStyle w:val="64"/>
                    <w:adjustRightInd/>
                    <w:spacing w:before="0" w:after="0"/>
                    <w:rPr>
                      <w:rFonts w:hint="default" w:ascii="Arial" w:hAnsi="Arial" w:eastAsia="宋体" w:cs="Arial"/>
                      <w:color w:val="auto"/>
                      <w:sz w:val="18"/>
                      <w:szCs w:val="18"/>
                      <w:lang w:eastAsia="zh-CN"/>
                    </w:rPr>
                  </w:pPr>
                  <w:r>
                    <w:rPr>
                      <w:rFonts w:hint="default" w:ascii="Arial" w:hAnsi="Arial" w:cs="Arial"/>
                      <w:color w:val="auto"/>
                      <w:sz w:val="18"/>
                      <w:szCs w:val="18"/>
                      <w:lang w:val="en-US" w:eastAsia="zh-CN"/>
                    </w:rPr>
                    <w:t>房屋等建筑</w:t>
                  </w:r>
                </w:p>
              </w:tc>
              <w:tc>
                <w:tcPr>
                  <w:tcW w:w="1221"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Arial" w:hAnsi="Arial" w:cs="Arial"/>
                      <w:color w:val="auto"/>
                      <w:sz w:val="18"/>
                      <w:szCs w:val="18"/>
                    </w:rPr>
                  </w:pPr>
                  <w:r>
                    <w:rPr>
                      <w:rFonts w:hint="default" w:ascii="Arial" w:hAnsi="Arial" w:eastAsia="宋体" w:cs="Arial"/>
                      <w:sz w:val="18"/>
                      <w:szCs w:val="18"/>
                    </w:rPr>
                    <w:t>可回收利用的钢材、木材等进行回收利用，不能利用的应集中堆放，定期清运至政府规划的渣场进行堆放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shd w:val="clear" w:color="auto" w:fill="auto"/>
                  <w:noWrap w:val="0"/>
                  <w:tcMar>
                    <w:left w:w="57" w:type="dxa"/>
                    <w:right w:w="57" w:type="dxa"/>
                  </w:tcMar>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2</w:t>
                  </w:r>
                </w:p>
              </w:tc>
              <w:tc>
                <w:tcPr>
                  <w:tcW w:w="1968" w:type="pct"/>
                  <w:gridSpan w:val="4"/>
                  <w:noWrap w:val="0"/>
                  <w:vAlign w:val="center"/>
                </w:tcPr>
                <w:p>
                  <w:pPr>
                    <w:adjustRightInd w:val="0"/>
                    <w:snapToGrid w:val="0"/>
                    <w:spacing w:line="340" w:lineRule="exact"/>
                    <w:jc w:val="center"/>
                    <w:rPr>
                      <w:rFonts w:hint="default" w:ascii="Arial" w:hAnsi="Arial" w:eastAsia="宋体" w:cs="Arial"/>
                      <w:color w:val="auto"/>
                      <w:sz w:val="18"/>
                      <w:szCs w:val="18"/>
                    </w:rPr>
                  </w:pPr>
                  <w:r>
                    <w:rPr>
                      <w:rFonts w:hint="default" w:ascii="Arial" w:hAnsi="Arial" w:eastAsia="宋体" w:cs="Arial"/>
                      <w:sz w:val="18"/>
                      <w:szCs w:val="18"/>
                      <w:lang w:val="en-US" w:eastAsia="zh-CN"/>
                    </w:rPr>
                    <w:t>废弃土石方</w:t>
                  </w:r>
                </w:p>
              </w:tc>
              <w:tc>
                <w:tcPr>
                  <w:tcW w:w="717" w:type="pct"/>
                  <w:gridSpan w:val="2"/>
                  <w:noWrap w:val="0"/>
                  <w:tcMar>
                    <w:left w:w="57" w:type="dxa"/>
                    <w:right w:w="57" w:type="dxa"/>
                  </w:tcMar>
                  <w:vAlign w:val="center"/>
                </w:tcPr>
                <w:p>
                  <w:pPr>
                    <w:pStyle w:val="64"/>
                    <w:adjustRightInd/>
                    <w:spacing w:before="0" w:after="0"/>
                    <w:rPr>
                      <w:rFonts w:hint="default" w:ascii="Arial" w:hAnsi="Arial" w:cs="Arial"/>
                      <w:color w:val="auto"/>
                      <w:sz w:val="18"/>
                      <w:szCs w:val="18"/>
                      <w:lang w:val="en-US" w:eastAsia="zh-CN"/>
                    </w:rPr>
                  </w:pPr>
                  <w:r>
                    <w:rPr>
                      <w:rFonts w:hint="default" w:ascii="Arial" w:hAnsi="Arial" w:cs="Arial"/>
                      <w:color w:val="auto"/>
                      <w:sz w:val="18"/>
                      <w:szCs w:val="18"/>
                      <w:lang w:val="en-US" w:eastAsia="zh-CN"/>
                    </w:rPr>
                    <w:t>3.0</w:t>
                  </w:r>
                  <w:r>
                    <w:rPr>
                      <w:rFonts w:hint="default" w:ascii="Arial" w:hAnsi="Arial" w:cs="Arial"/>
                      <w:color w:val="auto"/>
                      <w:sz w:val="18"/>
                      <w:szCs w:val="18"/>
                    </w:rPr>
                    <w:t>t/a</w:t>
                  </w:r>
                </w:p>
              </w:tc>
              <w:tc>
                <w:tcPr>
                  <w:tcW w:w="791" w:type="pct"/>
                  <w:gridSpan w:val="3"/>
                  <w:noWrap w:val="0"/>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土石方开挖等</w:t>
                  </w:r>
                </w:p>
              </w:tc>
              <w:tc>
                <w:tcPr>
                  <w:tcW w:w="1221"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Arial" w:hAnsi="Arial" w:cs="Arial"/>
                      <w:color w:val="auto"/>
                      <w:sz w:val="18"/>
                      <w:szCs w:val="18"/>
                    </w:rPr>
                  </w:pPr>
                  <w:r>
                    <w:rPr>
                      <w:rFonts w:hint="default" w:ascii="Arial" w:hAnsi="Arial" w:eastAsia="宋体" w:cs="Arial"/>
                      <w:sz w:val="18"/>
                      <w:szCs w:val="18"/>
                    </w:rPr>
                    <w:t>弃渣堆放至规划的渣场，堆渣完毕后应进行迹地恢复，种植当地植被。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shd w:val="clear" w:color="auto" w:fill="auto"/>
                  <w:noWrap w:val="0"/>
                  <w:tcMar>
                    <w:left w:w="57" w:type="dxa"/>
                    <w:right w:w="57" w:type="dxa"/>
                  </w:tcMar>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3</w:t>
                  </w:r>
                </w:p>
              </w:tc>
              <w:tc>
                <w:tcPr>
                  <w:tcW w:w="1968" w:type="pct"/>
                  <w:gridSpan w:val="4"/>
                  <w:noWrap w:val="0"/>
                  <w:vAlign w:val="center"/>
                </w:tcPr>
                <w:p>
                  <w:pPr>
                    <w:adjustRightInd w:val="0"/>
                    <w:snapToGrid w:val="0"/>
                    <w:spacing w:line="340" w:lineRule="exact"/>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库底垃圾</w:t>
                  </w:r>
                </w:p>
              </w:tc>
              <w:tc>
                <w:tcPr>
                  <w:tcW w:w="717" w:type="pct"/>
                  <w:gridSpan w:val="2"/>
                  <w:noWrap w:val="0"/>
                  <w:tcMar>
                    <w:left w:w="57" w:type="dxa"/>
                    <w:right w:w="57" w:type="dxa"/>
                  </w:tcMar>
                  <w:vAlign w:val="center"/>
                </w:tcPr>
                <w:p>
                  <w:pPr>
                    <w:pStyle w:val="64"/>
                    <w:adjustRightInd/>
                    <w:spacing w:before="0" w:after="0"/>
                    <w:rPr>
                      <w:rFonts w:hint="default" w:ascii="Arial" w:hAnsi="Arial" w:cs="Arial"/>
                      <w:color w:val="auto"/>
                      <w:sz w:val="18"/>
                      <w:szCs w:val="18"/>
                      <w:lang w:val="en-US" w:eastAsia="zh-CN"/>
                    </w:rPr>
                  </w:pPr>
                  <w:r>
                    <w:rPr>
                      <w:rFonts w:hint="default" w:ascii="Arial" w:hAnsi="Arial" w:cs="Arial"/>
                      <w:color w:val="auto"/>
                      <w:sz w:val="18"/>
                      <w:szCs w:val="18"/>
                      <w:lang w:val="en-US" w:eastAsia="zh-CN"/>
                    </w:rPr>
                    <w:t>一定量</w:t>
                  </w:r>
                </w:p>
              </w:tc>
              <w:tc>
                <w:tcPr>
                  <w:tcW w:w="791" w:type="pct"/>
                  <w:gridSpan w:val="3"/>
                  <w:noWrap w:val="0"/>
                  <w:vAlign w:val="center"/>
                </w:tcPr>
                <w:p>
                  <w:pPr>
                    <w:pStyle w:val="64"/>
                    <w:adjustRightInd/>
                    <w:spacing w:before="0" w:after="0"/>
                    <w:rPr>
                      <w:rFonts w:hint="default" w:ascii="Arial" w:hAnsi="Arial" w:cs="Arial"/>
                      <w:color w:val="auto"/>
                      <w:sz w:val="18"/>
                      <w:szCs w:val="18"/>
                      <w:lang w:val="en-US" w:eastAsia="zh-CN"/>
                    </w:rPr>
                  </w:pPr>
                  <w:r>
                    <w:rPr>
                      <w:rFonts w:hint="default" w:ascii="Arial" w:hAnsi="Arial" w:cs="Arial"/>
                      <w:color w:val="auto"/>
                      <w:sz w:val="18"/>
                      <w:szCs w:val="18"/>
                      <w:lang w:val="en-US" w:eastAsia="zh-CN"/>
                    </w:rPr>
                    <w:t>库底清理</w:t>
                  </w:r>
                </w:p>
              </w:tc>
              <w:tc>
                <w:tcPr>
                  <w:tcW w:w="1221"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Arial" w:hAnsi="Arial" w:eastAsia="宋体" w:cs="Arial"/>
                      <w:sz w:val="18"/>
                      <w:szCs w:val="18"/>
                    </w:rPr>
                  </w:pPr>
                  <w:r>
                    <w:rPr>
                      <w:rFonts w:hint="default" w:ascii="Arial" w:hAnsi="Arial" w:eastAsia="宋体" w:cs="Arial"/>
                      <w:sz w:val="18"/>
                      <w:szCs w:val="18"/>
                      <w:lang w:val="en-US" w:eastAsia="zh-CN"/>
                    </w:rPr>
                    <w:t>运至指定的建筑垃圾堆放场处置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shd w:val="clear" w:color="auto" w:fill="auto"/>
                  <w:noWrap w:val="0"/>
                  <w:tcMar>
                    <w:left w:w="57" w:type="dxa"/>
                    <w:right w:w="57" w:type="dxa"/>
                  </w:tcMar>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lang w:val="en-US" w:eastAsia="zh-CN"/>
                    </w:rPr>
                    <w:t>4</w:t>
                  </w:r>
                </w:p>
              </w:tc>
              <w:tc>
                <w:tcPr>
                  <w:tcW w:w="1968" w:type="pct"/>
                  <w:gridSpan w:val="4"/>
                  <w:shd w:val="clear" w:color="auto" w:fill="auto"/>
                  <w:noWrap w:val="0"/>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eastAsia="宋体" w:cs="Arial"/>
                      <w:color w:val="auto"/>
                      <w:sz w:val="18"/>
                      <w:szCs w:val="18"/>
                      <w:lang w:val="en-US" w:eastAsia="zh-CN"/>
                    </w:rPr>
                    <w:t>施工人员</w:t>
                  </w:r>
                  <w:r>
                    <w:rPr>
                      <w:rFonts w:hint="default" w:ascii="Arial" w:hAnsi="Arial" w:eastAsia="宋体" w:cs="Arial"/>
                      <w:color w:val="auto"/>
                      <w:sz w:val="18"/>
                      <w:szCs w:val="18"/>
                    </w:rPr>
                    <w:t>生活垃圾</w:t>
                  </w:r>
                </w:p>
              </w:tc>
              <w:tc>
                <w:tcPr>
                  <w:tcW w:w="717" w:type="pct"/>
                  <w:gridSpan w:val="2"/>
                  <w:shd w:val="clear" w:color="auto" w:fill="auto"/>
                  <w:noWrap w:val="0"/>
                  <w:tcMar>
                    <w:left w:w="57" w:type="dxa"/>
                    <w:right w:w="57" w:type="dxa"/>
                  </w:tcMar>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lang w:val="en-US" w:eastAsia="zh-CN"/>
                    </w:rPr>
                    <w:t>0.38t/d</w:t>
                  </w:r>
                </w:p>
              </w:tc>
              <w:tc>
                <w:tcPr>
                  <w:tcW w:w="791" w:type="pct"/>
                  <w:gridSpan w:val="3"/>
                  <w:shd w:val="clear" w:color="auto" w:fill="auto"/>
                  <w:noWrap w:val="0"/>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lang w:val="en-US" w:eastAsia="zh-CN"/>
                    </w:rPr>
                    <w:t>办公生活</w:t>
                  </w:r>
                </w:p>
              </w:tc>
              <w:tc>
                <w:tcPr>
                  <w:tcW w:w="1221" w:type="pct"/>
                  <w:gridSpan w:val="3"/>
                  <w:shd w:val="clear" w:color="auto" w:fill="auto"/>
                  <w:noWrap w:val="0"/>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eastAsia="宋体" w:cs="Arial"/>
                      <w:color w:val="auto"/>
                      <w:kern w:val="0"/>
                      <w:sz w:val="18"/>
                      <w:szCs w:val="18"/>
                      <w:lang w:val="en-US" w:eastAsia="zh-CN" w:bidi="ar-SA"/>
                    </w:rPr>
                    <w:t>收集的生活垃圾运至生活垃圾集中填埋场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shd w:val="clear" w:color="auto" w:fill="auto"/>
                  <w:noWrap w:val="0"/>
                  <w:tcMar>
                    <w:left w:w="57" w:type="dxa"/>
                    <w:right w:w="57" w:type="dxa"/>
                  </w:tcMar>
                  <w:vAlign w:val="center"/>
                </w:tcPr>
                <w:p>
                  <w:pPr>
                    <w:pStyle w:val="64"/>
                    <w:adjustRightInd/>
                    <w:spacing w:before="0" w:after="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lang w:val="en-US" w:eastAsia="zh-CN"/>
                    </w:rPr>
                    <w:t>5</w:t>
                  </w:r>
                </w:p>
              </w:tc>
              <w:tc>
                <w:tcPr>
                  <w:tcW w:w="1968" w:type="pct"/>
                  <w:gridSpan w:val="4"/>
                  <w:noWrap w:val="0"/>
                  <w:vAlign w:val="center"/>
                </w:tcPr>
                <w:p>
                  <w:pPr>
                    <w:pStyle w:val="64"/>
                    <w:adjustRightInd/>
                    <w:spacing w:before="0" w:after="0"/>
                    <w:rPr>
                      <w:rFonts w:hint="default" w:ascii="Arial" w:hAnsi="Arial" w:eastAsia="宋体" w:cs="Arial"/>
                      <w:color w:val="auto"/>
                      <w:sz w:val="18"/>
                      <w:szCs w:val="18"/>
                    </w:rPr>
                  </w:pPr>
                  <w:r>
                    <w:rPr>
                      <w:rFonts w:hint="default" w:ascii="Arial" w:hAnsi="Arial" w:eastAsia="宋体" w:cs="Arial"/>
                      <w:color w:val="auto"/>
                      <w:sz w:val="18"/>
                      <w:szCs w:val="18"/>
                    </w:rPr>
                    <w:t>除尘器收集的除尘灰</w:t>
                  </w:r>
                </w:p>
              </w:tc>
              <w:tc>
                <w:tcPr>
                  <w:tcW w:w="717" w:type="pct"/>
                  <w:gridSpan w:val="2"/>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13.7</w:t>
                  </w:r>
                  <w:r>
                    <w:rPr>
                      <w:rFonts w:hint="default" w:ascii="Arial" w:hAnsi="Arial" w:cs="Arial"/>
                      <w:color w:val="auto"/>
                      <w:sz w:val="18"/>
                      <w:szCs w:val="18"/>
                    </w:rPr>
                    <w:t>t/a</w:t>
                  </w:r>
                </w:p>
              </w:tc>
              <w:tc>
                <w:tcPr>
                  <w:tcW w:w="791" w:type="pct"/>
                  <w:gridSpan w:val="3"/>
                  <w:noWrap w:val="0"/>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eastAsia="宋体" w:cs="Arial"/>
                      <w:color w:val="auto"/>
                      <w:sz w:val="18"/>
                      <w:szCs w:val="18"/>
                      <w:lang w:val="en-US" w:eastAsia="zh-CN"/>
                    </w:rPr>
                    <w:t>粉尘收集</w:t>
                  </w:r>
                </w:p>
              </w:tc>
              <w:tc>
                <w:tcPr>
                  <w:tcW w:w="1221" w:type="pct"/>
                  <w:gridSpan w:val="3"/>
                  <w:noWrap w:val="0"/>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6</w:t>
                  </w:r>
                </w:p>
              </w:tc>
              <w:tc>
                <w:tcPr>
                  <w:tcW w:w="1968" w:type="pct"/>
                  <w:gridSpan w:val="4"/>
                  <w:noWrap w:val="0"/>
                  <w:vAlign w:val="center"/>
                </w:tcPr>
                <w:p>
                  <w:pPr>
                    <w:pStyle w:val="64"/>
                    <w:adjustRightInd/>
                    <w:spacing w:before="0" w:after="0"/>
                    <w:rPr>
                      <w:rFonts w:hint="default" w:ascii="Arial" w:hAnsi="Arial" w:eastAsia="宋体" w:cs="Arial"/>
                      <w:color w:val="auto"/>
                      <w:sz w:val="18"/>
                      <w:szCs w:val="18"/>
                    </w:rPr>
                  </w:pPr>
                  <w:r>
                    <w:rPr>
                      <w:rFonts w:hint="default" w:ascii="Arial" w:hAnsi="Arial" w:eastAsia="宋体" w:cs="Arial"/>
                      <w:color w:val="auto"/>
                      <w:sz w:val="18"/>
                      <w:szCs w:val="18"/>
                    </w:rPr>
                    <w:t>沥青拌合站滴漏沥青及拌合残渣</w:t>
                  </w:r>
                </w:p>
              </w:tc>
              <w:tc>
                <w:tcPr>
                  <w:tcW w:w="717" w:type="pct"/>
                  <w:gridSpan w:val="2"/>
                  <w:noWrap w:val="0"/>
                  <w:tcMar>
                    <w:left w:w="57" w:type="dxa"/>
                    <w:right w:w="57" w:type="dxa"/>
                  </w:tcMar>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lang w:val="en-US" w:eastAsia="zh-CN"/>
                    </w:rPr>
                    <w:t>0.1</w:t>
                  </w:r>
                  <w:r>
                    <w:rPr>
                      <w:rFonts w:hint="default" w:ascii="Arial" w:hAnsi="Arial" w:cs="Arial"/>
                      <w:color w:val="auto"/>
                      <w:sz w:val="18"/>
                      <w:szCs w:val="18"/>
                    </w:rPr>
                    <w:t>t/a</w:t>
                  </w:r>
                </w:p>
              </w:tc>
              <w:tc>
                <w:tcPr>
                  <w:tcW w:w="791" w:type="pct"/>
                  <w:gridSpan w:val="3"/>
                  <w:noWrap w:val="0"/>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沥青拌合</w:t>
                  </w:r>
                </w:p>
              </w:tc>
              <w:tc>
                <w:tcPr>
                  <w:tcW w:w="1221" w:type="pct"/>
                  <w:gridSpan w:val="3"/>
                  <w:noWrap w:val="0"/>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eastAsia="宋体" w:cs="Arial"/>
                      <w:color w:val="auto"/>
                      <w:sz w:val="18"/>
                      <w:szCs w:val="18"/>
                      <w:lang w:val="en-US" w:eastAsia="zh-CN"/>
                    </w:rPr>
                    <w:t>7</w:t>
                  </w:r>
                </w:p>
              </w:tc>
              <w:tc>
                <w:tcPr>
                  <w:tcW w:w="1968" w:type="pct"/>
                  <w:gridSpan w:val="4"/>
                  <w:noWrap w:val="0"/>
                  <w:vAlign w:val="center"/>
                </w:tcPr>
                <w:p>
                  <w:pPr>
                    <w:pStyle w:val="64"/>
                    <w:adjustRightInd/>
                    <w:spacing w:before="0" w:after="0"/>
                    <w:ind w:firstLine="0" w:firstLineChars="0"/>
                    <w:rPr>
                      <w:rFonts w:hint="default" w:ascii="Arial" w:hAnsi="Arial" w:eastAsia="宋体" w:cs="Arial"/>
                      <w:color w:val="auto"/>
                      <w:sz w:val="18"/>
                      <w:szCs w:val="18"/>
                    </w:rPr>
                  </w:pPr>
                  <w:r>
                    <w:rPr>
                      <w:rFonts w:hint="default" w:ascii="Arial" w:hAnsi="Arial" w:eastAsia="宋体" w:cs="Arial"/>
                      <w:color w:val="auto"/>
                      <w:sz w:val="18"/>
                      <w:szCs w:val="18"/>
                    </w:rPr>
                    <w:t>沉淀池污泥</w:t>
                  </w:r>
                </w:p>
              </w:tc>
              <w:tc>
                <w:tcPr>
                  <w:tcW w:w="717" w:type="pct"/>
                  <w:gridSpan w:val="2"/>
                  <w:noWrap w:val="0"/>
                  <w:tcMar>
                    <w:left w:w="57" w:type="dxa"/>
                    <w:right w:w="57" w:type="dxa"/>
                  </w:tcMar>
                  <w:vAlign w:val="center"/>
                </w:tcPr>
                <w:p>
                  <w:pPr>
                    <w:pStyle w:val="64"/>
                    <w:adjustRightInd/>
                    <w:spacing w:before="0" w:after="0"/>
                    <w:ind w:firstLine="0" w:firstLineChars="0"/>
                    <w:rPr>
                      <w:rFonts w:hint="default" w:ascii="Arial" w:hAnsi="Arial" w:cs="Arial"/>
                      <w:color w:val="auto"/>
                      <w:sz w:val="18"/>
                      <w:szCs w:val="18"/>
                      <w:lang w:val="en-US" w:eastAsia="zh-CN"/>
                    </w:rPr>
                  </w:pPr>
                  <w:r>
                    <w:rPr>
                      <w:rFonts w:hint="default" w:ascii="Arial" w:hAnsi="Arial" w:cs="Arial"/>
                      <w:color w:val="auto"/>
                      <w:sz w:val="18"/>
                      <w:szCs w:val="18"/>
                      <w:lang w:val="en-US" w:eastAsia="zh-CN"/>
                    </w:rPr>
                    <w:t>5.7</w:t>
                  </w:r>
                  <w:r>
                    <w:rPr>
                      <w:rFonts w:hint="default" w:ascii="Arial" w:hAnsi="Arial" w:cs="Arial"/>
                      <w:color w:val="auto"/>
                      <w:sz w:val="18"/>
                      <w:szCs w:val="18"/>
                    </w:rPr>
                    <w:t>t/a</w:t>
                  </w:r>
                </w:p>
              </w:tc>
              <w:tc>
                <w:tcPr>
                  <w:tcW w:w="791" w:type="pct"/>
                  <w:gridSpan w:val="3"/>
                  <w:noWrap w:val="0"/>
                  <w:vAlign w:val="center"/>
                </w:tcPr>
                <w:p>
                  <w:pPr>
                    <w:pStyle w:val="64"/>
                    <w:adjustRightInd/>
                    <w:spacing w:before="0" w:after="0"/>
                    <w:rPr>
                      <w:rFonts w:hint="default" w:ascii="Arial" w:hAnsi="Arial" w:cs="Arial"/>
                      <w:color w:val="auto"/>
                      <w:sz w:val="18"/>
                      <w:szCs w:val="18"/>
                      <w:lang w:val="en-US" w:eastAsia="zh-CN"/>
                    </w:rPr>
                  </w:pPr>
                  <w:r>
                    <w:rPr>
                      <w:rFonts w:hint="default" w:ascii="Arial" w:hAnsi="Arial" w:cs="Arial"/>
                      <w:color w:val="auto"/>
                      <w:sz w:val="18"/>
                      <w:szCs w:val="18"/>
                      <w:lang w:val="en-US" w:eastAsia="zh-CN"/>
                    </w:rPr>
                    <w:t>冲洗废水处理</w:t>
                  </w:r>
                </w:p>
              </w:tc>
              <w:tc>
                <w:tcPr>
                  <w:tcW w:w="1221" w:type="pct"/>
                  <w:gridSpan w:val="3"/>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定期清理至项目配套的弃渣场进行合理堆放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二</w:t>
                  </w:r>
                </w:p>
              </w:tc>
              <w:tc>
                <w:tcPr>
                  <w:tcW w:w="4698" w:type="pct"/>
                  <w:gridSpan w:val="12"/>
                  <w:noWrap w:val="0"/>
                  <w:vAlign w:val="center"/>
                </w:tcPr>
                <w:p>
                  <w:pPr>
                    <w:pStyle w:val="64"/>
                    <w:adjustRightInd/>
                    <w:spacing w:before="0" w:after="0"/>
                    <w:jc w:val="left"/>
                    <w:rPr>
                      <w:rFonts w:hint="default" w:ascii="Arial" w:hAnsi="Arial" w:cs="Arial"/>
                      <w:b/>
                      <w:color w:val="auto"/>
                      <w:sz w:val="18"/>
                      <w:szCs w:val="18"/>
                    </w:rPr>
                  </w:pPr>
                  <w:r>
                    <w:rPr>
                      <w:rFonts w:hint="default" w:ascii="Arial" w:hAnsi="Arial" w:cs="Arial"/>
                      <w:b/>
                      <w:color w:val="auto"/>
                      <w:sz w:val="18"/>
                      <w:szCs w:val="18"/>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cs="Arial"/>
                      <w:color w:val="auto"/>
                      <w:sz w:val="18"/>
                      <w:szCs w:val="18"/>
                    </w:rPr>
                  </w:pPr>
                </w:p>
              </w:tc>
              <w:tc>
                <w:tcPr>
                  <w:tcW w:w="507"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名称</w:t>
                  </w:r>
                </w:p>
              </w:tc>
              <w:tc>
                <w:tcPr>
                  <w:tcW w:w="500"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危险废物类别</w:t>
                  </w:r>
                </w:p>
              </w:tc>
              <w:tc>
                <w:tcPr>
                  <w:tcW w:w="462"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危险废物代码</w:t>
                  </w:r>
                </w:p>
              </w:tc>
              <w:tc>
                <w:tcPr>
                  <w:tcW w:w="497"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产生量</w:t>
                  </w:r>
                </w:p>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（t/a）</w:t>
                  </w:r>
                </w:p>
              </w:tc>
              <w:tc>
                <w:tcPr>
                  <w:tcW w:w="419" w:type="pct"/>
                  <w:noWrap w:val="0"/>
                  <w:tcMar>
                    <w:left w:w="57" w:type="dxa"/>
                    <w:right w:w="57" w:type="dxa"/>
                  </w:tcMar>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产生工序及装置</w:t>
                  </w:r>
                </w:p>
              </w:tc>
              <w:tc>
                <w:tcPr>
                  <w:tcW w:w="298"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形</w:t>
                  </w:r>
                </w:p>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态</w:t>
                  </w:r>
                </w:p>
              </w:tc>
              <w:tc>
                <w:tcPr>
                  <w:tcW w:w="367"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主要成分</w:t>
                  </w:r>
                </w:p>
              </w:tc>
              <w:tc>
                <w:tcPr>
                  <w:tcW w:w="367"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有害成分</w:t>
                  </w:r>
                </w:p>
              </w:tc>
              <w:tc>
                <w:tcPr>
                  <w:tcW w:w="370" w:type="pct"/>
                  <w:gridSpan w:val="2"/>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产废周期</w:t>
                  </w:r>
                </w:p>
              </w:tc>
              <w:tc>
                <w:tcPr>
                  <w:tcW w:w="346"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危险</w:t>
                  </w:r>
                </w:p>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特性</w:t>
                  </w:r>
                </w:p>
              </w:tc>
              <w:tc>
                <w:tcPr>
                  <w:tcW w:w="560"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1</w:t>
                  </w:r>
                </w:p>
              </w:tc>
              <w:tc>
                <w:tcPr>
                  <w:tcW w:w="50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各类机械设备维修保养过程中产生的废润滑油</w:t>
                  </w:r>
                </w:p>
              </w:tc>
              <w:tc>
                <w:tcPr>
                  <w:tcW w:w="500"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HW08号</w:t>
                  </w:r>
                </w:p>
              </w:tc>
              <w:tc>
                <w:tcPr>
                  <w:tcW w:w="462"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900-</w:t>
                  </w:r>
                </w:p>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249-08</w:t>
                  </w:r>
                </w:p>
              </w:tc>
              <w:tc>
                <w:tcPr>
                  <w:tcW w:w="49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0.01t/a</w:t>
                  </w:r>
                </w:p>
              </w:tc>
              <w:tc>
                <w:tcPr>
                  <w:tcW w:w="419" w:type="pct"/>
                  <w:noWrap w:val="0"/>
                  <w:tcMar>
                    <w:left w:w="57" w:type="dxa"/>
                    <w:right w:w="57" w:type="dxa"/>
                  </w:tcMar>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rPr>
                    <w:t>设备</w:t>
                  </w:r>
                </w:p>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维修</w:t>
                  </w:r>
                </w:p>
              </w:tc>
              <w:tc>
                <w:tcPr>
                  <w:tcW w:w="298"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液态</w:t>
                  </w:r>
                </w:p>
              </w:tc>
              <w:tc>
                <w:tcPr>
                  <w:tcW w:w="36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矿物油</w:t>
                  </w:r>
                </w:p>
              </w:tc>
              <w:tc>
                <w:tcPr>
                  <w:tcW w:w="36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矿物油</w:t>
                  </w:r>
                </w:p>
              </w:tc>
              <w:tc>
                <w:tcPr>
                  <w:tcW w:w="370" w:type="pct"/>
                  <w:gridSpan w:val="2"/>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1年</w:t>
                  </w:r>
                </w:p>
              </w:tc>
              <w:tc>
                <w:tcPr>
                  <w:tcW w:w="346"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T/C/I/R</w:t>
                  </w:r>
                </w:p>
              </w:tc>
              <w:tc>
                <w:tcPr>
                  <w:tcW w:w="560" w:type="pct"/>
                  <w:vMerge w:val="restar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暂存在危废暂存间内，定期交有资质的</w:t>
                  </w:r>
                  <w:r>
                    <w:rPr>
                      <w:rFonts w:hint="default" w:ascii="Arial" w:hAnsi="Arial" w:cs="Arial"/>
                      <w:color w:val="auto"/>
                      <w:sz w:val="18"/>
                      <w:szCs w:val="18"/>
                      <w:lang w:val="en-US" w:eastAsia="zh-CN"/>
                    </w:rPr>
                    <w:t>单位</w:t>
                  </w:r>
                  <w:r>
                    <w:rPr>
                      <w:rFonts w:hint="default" w:ascii="Arial" w:hAnsi="Arial" w:cs="Arial"/>
                      <w:color w:val="auto"/>
                      <w:sz w:val="18"/>
                      <w:szCs w:val="18"/>
                    </w:rPr>
                    <w:t>进行收集处置。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2</w:t>
                  </w:r>
                </w:p>
              </w:tc>
              <w:tc>
                <w:tcPr>
                  <w:tcW w:w="507"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含油</w:t>
                  </w:r>
                </w:p>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棉纱</w:t>
                  </w:r>
                </w:p>
              </w:tc>
              <w:tc>
                <w:tcPr>
                  <w:tcW w:w="500"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HW49号</w:t>
                  </w:r>
                </w:p>
              </w:tc>
              <w:tc>
                <w:tcPr>
                  <w:tcW w:w="462"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900-</w:t>
                  </w:r>
                </w:p>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041-49</w:t>
                  </w:r>
                </w:p>
              </w:tc>
              <w:tc>
                <w:tcPr>
                  <w:tcW w:w="49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0.01t/a</w:t>
                  </w:r>
                </w:p>
              </w:tc>
              <w:tc>
                <w:tcPr>
                  <w:tcW w:w="419" w:type="pct"/>
                  <w:noWrap w:val="0"/>
                  <w:tcMar>
                    <w:left w:w="57" w:type="dxa"/>
                    <w:right w:w="57" w:type="dxa"/>
                  </w:tcMar>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rPr>
                    <w:t>设备</w:t>
                  </w:r>
                </w:p>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维修</w:t>
                  </w:r>
                </w:p>
              </w:tc>
              <w:tc>
                <w:tcPr>
                  <w:tcW w:w="298"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lang w:val="en-US" w:eastAsia="zh-CN"/>
                    </w:rPr>
                    <w:t>固</w:t>
                  </w:r>
                  <w:r>
                    <w:rPr>
                      <w:rFonts w:hint="default" w:ascii="Arial" w:hAnsi="Arial" w:cs="Arial"/>
                      <w:color w:val="auto"/>
                      <w:sz w:val="18"/>
                      <w:szCs w:val="18"/>
                    </w:rPr>
                    <w:t>态</w:t>
                  </w:r>
                </w:p>
              </w:tc>
              <w:tc>
                <w:tcPr>
                  <w:tcW w:w="36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矿物油</w:t>
                  </w:r>
                </w:p>
              </w:tc>
              <w:tc>
                <w:tcPr>
                  <w:tcW w:w="367"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矿物油</w:t>
                  </w:r>
                </w:p>
              </w:tc>
              <w:tc>
                <w:tcPr>
                  <w:tcW w:w="370" w:type="pct"/>
                  <w:gridSpan w:val="2"/>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1年</w:t>
                  </w:r>
                </w:p>
              </w:tc>
              <w:tc>
                <w:tcPr>
                  <w:tcW w:w="346" w:type="pct"/>
                  <w:noWrap w:val="0"/>
                  <w:vAlign w:val="center"/>
                </w:tcPr>
                <w:p>
                  <w:pPr>
                    <w:pStyle w:val="64"/>
                    <w:adjustRightInd/>
                    <w:spacing w:before="0" w:after="0"/>
                    <w:ind w:firstLine="0" w:firstLineChars="0"/>
                    <w:rPr>
                      <w:rFonts w:hint="default" w:ascii="Arial" w:hAnsi="Arial" w:eastAsia="宋体" w:cs="Arial"/>
                      <w:color w:val="auto"/>
                      <w:kern w:val="0"/>
                      <w:sz w:val="18"/>
                      <w:szCs w:val="18"/>
                      <w:lang w:val="en-US" w:eastAsia="zh-CN" w:bidi="ar-SA"/>
                    </w:rPr>
                  </w:pPr>
                  <w:r>
                    <w:rPr>
                      <w:rFonts w:hint="default" w:ascii="Arial" w:hAnsi="Arial" w:cs="Arial"/>
                      <w:color w:val="auto"/>
                      <w:sz w:val="18"/>
                      <w:szCs w:val="18"/>
                    </w:rPr>
                    <w:t>T/C/I/R</w:t>
                  </w:r>
                </w:p>
              </w:tc>
              <w:tc>
                <w:tcPr>
                  <w:tcW w:w="560" w:type="pct"/>
                  <w:vMerge w:val="continue"/>
                  <w:noWrap w:val="0"/>
                  <w:vAlign w:val="center"/>
                </w:tcPr>
                <w:p>
                  <w:pPr>
                    <w:pStyle w:val="64"/>
                    <w:adjustRightInd/>
                    <w:spacing w:before="0" w:after="0"/>
                    <w:rPr>
                      <w:rFonts w:hint="default" w:ascii="Arial" w:hAnsi="Arial" w:cs="Arial"/>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1" w:type="pct"/>
                  <w:noWrap w:val="0"/>
                  <w:tcMar>
                    <w:left w:w="57" w:type="dxa"/>
                    <w:right w:w="57" w:type="dxa"/>
                  </w:tcMar>
                  <w:vAlign w:val="center"/>
                </w:tcPr>
                <w:p>
                  <w:pPr>
                    <w:pStyle w:val="64"/>
                    <w:adjustRightInd/>
                    <w:spacing w:before="0" w:after="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3</w:t>
                  </w:r>
                </w:p>
              </w:tc>
              <w:tc>
                <w:tcPr>
                  <w:tcW w:w="507" w:type="pct"/>
                  <w:noWrap w:val="0"/>
                  <w:vAlign w:val="center"/>
                </w:tcPr>
                <w:p>
                  <w:pPr>
                    <w:pStyle w:val="64"/>
                    <w:adjustRightInd/>
                    <w:spacing w:before="0" w:after="0"/>
                    <w:ind w:firstLine="0" w:firstLineChars="0"/>
                    <w:rPr>
                      <w:rFonts w:hint="default" w:ascii="Arial" w:hAnsi="Arial" w:cs="Arial"/>
                      <w:color w:val="auto"/>
                      <w:sz w:val="18"/>
                      <w:szCs w:val="18"/>
                      <w:lang w:val="en-US" w:eastAsia="zh-CN"/>
                    </w:rPr>
                  </w:pPr>
                  <w:r>
                    <w:rPr>
                      <w:rFonts w:hint="default" w:ascii="Arial" w:hAnsi="Arial" w:cs="Arial"/>
                      <w:color w:val="auto"/>
                      <w:sz w:val="18"/>
                      <w:szCs w:val="18"/>
                      <w:lang w:val="en-US" w:eastAsia="zh-CN"/>
                    </w:rPr>
                    <w:t>废活</w:t>
                  </w:r>
                </w:p>
                <w:p>
                  <w:pPr>
                    <w:pStyle w:val="64"/>
                    <w:adjustRightInd/>
                    <w:spacing w:before="0" w:after="0"/>
                    <w:ind w:firstLine="0" w:firstLineChars="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性炭</w:t>
                  </w:r>
                </w:p>
              </w:tc>
              <w:tc>
                <w:tcPr>
                  <w:tcW w:w="500" w:type="pct"/>
                  <w:noWrap w:val="0"/>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rPr>
                    <w:t>HW49号</w:t>
                  </w:r>
                </w:p>
              </w:tc>
              <w:tc>
                <w:tcPr>
                  <w:tcW w:w="462" w:type="pct"/>
                  <w:noWrap w:val="0"/>
                  <w:vAlign w:val="center"/>
                </w:tcPr>
                <w:p>
                  <w:pPr>
                    <w:pStyle w:val="64"/>
                    <w:adjustRightInd/>
                    <w:spacing w:before="0" w:after="0"/>
                    <w:rPr>
                      <w:rFonts w:hint="default" w:ascii="Arial" w:hAnsi="Arial" w:cs="Arial"/>
                      <w:color w:val="auto"/>
                      <w:sz w:val="18"/>
                      <w:szCs w:val="18"/>
                    </w:rPr>
                  </w:pPr>
                  <w:r>
                    <w:rPr>
                      <w:rFonts w:hint="default" w:ascii="Arial" w:hAnsi="Arial" w:cs="Arial"/>
                      <w:color w:val="auto"/>
                      <w:sz w:val="18"/>
                      <w:szCs w:val="18"/>
                    </w:rPr>
                    <w:t>900-</w:t>
                  </w:r>
                </w:p>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rPr>
                    <w:t>041-49</w:t>
                  </w:r>
                </w:p>
              </w:tc>
              <w:tc>
                <w:tcPr>
                  <w:tcW w:w="497" w:type="pct"/>
                  <w:noWrap w:val="0"/>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lang w:val="en-US" w:eastAsia="zh-CN"/>
                    </w:rPr>
                    <w:t>0.4</w:t>
                  </w:r>
                  <w:r>
                    <w:rPr>
                      <w:rFonts w:hint="default" w:ascii="Arial" w:hAnsi="Arial" w:cs="Arial"/>
                      <w:color w:val="auto"/>
                      <w:sz w:val="18"/>
                      <w:szCs w:val="18"/>
                    </w:rPr>
                    <w:t>t/a</w:t>
                  </w:r>
                </w:p>
              </w:tc>
              <w:tc>
                <w:tcPr>
                  <w:tcW w:w="419" w:type="pct"/>
                  <w:noWrap w:val="0"/>
                  <w:tcMar>
                    <w:left w:w="57" w:type="dxa"/>
                    <w:right w:w="57" w:type="dxa"/>
                  </w:tcMar>
                  <w:vAlign w:val="center"/>
                </w:tcPr>
                <w:p>
                  <w:pPr>
                    <w:pStyle w:val="64"/>
                    <w:adjustRightInd/>
                    <w:spacing w:before="0" w:after="0"/>
                    <w:ind w:firstLine="0" w:firstLineChars="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沥青烟气治理</w:t>
                  </w:r>
                </w:p>
              </w:tc>
              <w:tc>
                <w:tcPr>
                  <w:tcW w:w="298" w:type="pct"/>
                  <w:noWrap w:val="0"/>
                  <w:vAlign w:val="center"/>
                </w:tcPr>
                <w:p>
                  <w:pPr>
                    <w:pStyle w:val="64"/>
                    <w:adjustRightInd/>
                    <w:spacing w:before="0" w:after="0"/>
                    <w:ind w:firstLine="0" w:firstLineChars="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固态</w:t>
                  </w:r>
                </w:p>
              </w:tc>
              <w:tc>
                <w:tcPr>
                  <w:tcW w:w="367" w:type="pct"/>
                  <w:noWrap w:val="0"/>
                  <w:vAlign w:val="center"/>
                </w:tcPr>
                <w:p>
                  <w:pPr>
                    <w:pStyle w:val="64"/>
                    <w:adjustRightInd/>
                    <w:spacing w:before="0" w:after="0"/>
                    <w:ind w:firstLine="0" w:firstLineChars="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沥青烟</w:t>
                  </w:r>
                </w:p>
              </w:tc>
              <w:tc>
                <w:tcPr>
                  <w:tcW w:w="367" w:type="pct"/>
                  <w:noWrap w:val="0"/>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lang w:val="en-US" w:eastAsia="zh-CN"/>
                    </w:rPr>
                    <w:t>沥青烟</w:t>
                  </w:r>
                </w:p>
              </w:tc>
              <w:tc>
                <w:tcPr>
                  <w:tcW w:w="370" w:type="pct"/>
                  <w:gridSpan w:val="2"/>
                  <w:noWrap w:val="0"/>
                  <w:vAlign w:val="center"/>
                </w:tcPr>
                <w:p>
                  <w:pPr>
                    <w:pStyle w:val="64"/>
                    <w:adjustRightInd/>
                    <w:spacing w:before="0" w:after="0"/>
                    <w:ind w:firstLine="0" w:firstLineChars="0"/>
                    <w:rPr>
                      <w:rFonts w:hint="default" w:ascii="Arial" w:hAnsi="Arial" w:eastAsia="宋体" w:cs="Arial"/>
                      <w:color w:val="auto"/>
                      <w:sz w:val="18"/>
                      <w:szCs w:val="18"/>
                      <w:lang w:val="en-US" w:eastAsia="zh-CN"/>
                    </w:rPr>
                  </w:pPr>
                  <w:r>
                    <w:rPr>
                      <w:rFonts w:hint="default" w:ascii="Arial" w:hAnsi="Arial" w:cs="Arial"/>
                      <w:color w:val="auto"/>
                      <w:sz w:val="18"/>
                      <w:szCs w:val="18"/>
                      <w:lang w:val="en-US" w:eastAsia="zh-CN"/>
                    </w:rPr>
                    <w:t>3个月</w:t>
                  </w:r>
                </w:p>
              </w:tc>
              <w:tc>
                <w:tcPr>
                  <w:tcW w:w="346" w:type="pct"/>
                  <w:noWrap w:val="0"/>
                  <w:vAlign w:val="center"/>
                </w:tcPr>
                <w:p>
                  <w:pPr>
                    <w:pStyle w:val="64"/>
                    <w:adjustRightInd/>
                    <w:spacing w:before="0" w:after="0"/>
                    <w:ind w:firstLine="0" w:firstLineChars="0"/>
                    <w:rPr>
                      <w:rFonts w:hint="default" w:ascii="Arial" w:hAnsi="Arial" w:cs="Arial"/>
                      <w:color w:val="auto"/>
                      <w:sz w:val="18"/>
                      <w:szCs w:val="18"/>
                    </w:rPr>
                  </w:pPr>
                  <w:r>
                    <w:rPr>
                      <w:rFonts w:hint="default" w:ascii="Arial" w:hAnsi="Arial" w:cs="Arial"/>
                      <w:color w:val="auto"/>
                      <w:sz w:val="18"/>
                      <w:szCs w:val="18"/>
                    </w:rPr>
                    <w:t>T/In</w:t>
                  </w:r>
                </w:p>
              </w:tc>
              <w:tc>
                <w:tcPr>
                  <w:tcW w:w="560" w:type="pct"/>
                  <w:vMerge w:val="continue"/>
                  <w:noWrap w:val="0"/>
                  <w:vAlign w:val="center"/>
                </w:tcPr>
                <w:p>
                  <w:pPr>
                    <w:pStyle w:val="64"/>
                    <w:adjustRightInd/>
                    <w:spacing w:before="0" w:after="0"/>
                    <w:rPr>
                      <w:rFonts w:hint="default" w:ascii="Arial" w:hAnsi="Arial" w:cs="Arial"/>
                      <w:color w:val="auto"/>
                      <w:sz w:val="18"/>
                      <w:szCs w:val="18"/>
                    </w:rPr>
                  </w:pPr>
                </w:p>
              </w:tc>
            </w:tr>
          </w:tbl>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eastAsia="Times New Roman" w:cs="Times New Roman"/>
                <w:b/>
                <w:bCs/>
                <w:spacing w:val="-6"/>
                <w:sz w:val="24"/>
                <w:szCs w:val="24"/>
                <w:lang w:val="en-US" w:eastAsia="zh-CN"/>
              </w:rPr>
            </w:pPr>
            <w:r>
              <w:rPr>
                <w:rFonts w:hint="eastAsia" w:ascii="Times New Roman" w:hAnsi="Times New Roman" w:eastAsia="Times New Roman" w:cs="Times New Roman"/>
                <w:b/>
                <w:bCs/>
                <w:spacing w:val="-6"/>
                <w:sz w:val="24"/>
                <w:szCs w:val="24"/>
                <w:lang w:val="en-US" w:eastAsia="zh-CN"/>
              </w:rPr>
              <w:t>3</w:t>
            </w:r>
            <w:r>
              <w:rPr>
                <w:rFonts w:hint="default" w:ascii="Times New Roman" w:hAnsi="Times New Roman" w:eastAsia="Times New Roman" w:cs="Times New Roman"/>
                <w:b/>
                <w:bCs/>
                <w:spacing w:val="-6"/>
                <w:sz w:val="24"/>
                <w:szCs w:val="24"/>
                <w:lang w:val="en-US" w:eastAsia="zh-CN"/>
              </w:rPr>
              <w:t>、固体废物环境管理要求</w:t>
            </w:r>
          </w:p>
          <w:p>
            <w:pPr>
              <w:pStyle w:val="84"/>
              <w:ind w:firstLine="420"/>
              <w:rPr>
                <w:rFonts w:hint="default" w:ascii="Arial" w:hAnsi="Arial" w:eastAsia="宋体" w:cs="Arial"/>
                <w:b/>
                <w:bCs/>
                <w:sz w:val="24"/>
                <w:szCs w:val="24"/>
              </w:rPr>
            </w:pPr>
            <w:r>
              <w:rPr>
                <w:rFonts w:hint="eastAsia" w:ascii="Arial" w:hAnsi="Arial" w:eastAsia="宋体" w:cs="Arial"/>
                <w:b/>
                <w:bCs/>
                <w:sz w:val="24"/>
                <w:szCs w:val="24"/>
                <w:lang w:val="en-US" w:eastAsia="zh-CN"/>
              </w:rPr>
              <w:t xml:space="preserve">⑴ </w:t>
            </w:r>
            <w:r>
              <w:rPr>
                <w:rFonts w:hint="default" w:ascii="Arial" w:hAnsi="Arial" w:eastAsia="宋体" w:cs="Arial"/>
                <w:b/>
                <w:bCs/>
                <w:sz w:val="24"/>
                <w:szCs w:val="24"/>
              </w:rPr>
              <w:t>一般工业固体废物</w:t>
            </w:r>
          </w:p>
          <w:p>
            <w:pPr>
              <w:pStyle w:val="84"/>
              <w:ind w:firstLine="420"/>
              <w:rPr>
                <w:rFonts w:hint="default" w:ascii="Arial" w:hAnsi="Arial" w:eastAsia="宋体" w:cs="Arial"/>
                <w:sz w:val="24"/>
                <w:szCs w:val="24"/>
              </w:rPr>
            </w:pPr>
            <w:r>
              <w:rPr>
                <w:rFonts w:hint="default" w:ascii="Arial" w:hAnsi="Arial" w:eastAsia="宋体" w:cs="Arial"/>
                <w:sz w:val="24"/>
                <w:szCs w:val="24"/>
              </w:rPr>
              <w:t>一般工业固体废物贮存或处置，应符合《一般工业固体废物贮存和填埋污染控制标准》（GB18599-2020）有关要求。一般工业固体废物的贮存设施、场所必须采取防扬散、防流失、防渗漏或者其他防止污染环境的措施，必须符合国家环境保护标准，并对未处理的固体废物做出妥善处理，安全存放。对暂时不利用或者不能回收利用的一般工业固体废物，必须配套建设防雨淋、防渗漏、易识别等符合环境保护标准和管理要求的贮存设施或场所，以及足够的流转空间，按国家环境保护的技术和管理要求，有专人看管，建立便于核查的进、出物料的台账记录和固体废物明细表。</w:t>
            </w:r>
          </w:p>
          <w:p>
            <w:pPr>
              <w:pStyle w:val="84"/>
              <w:ind w:firstLine="420"/>
              <w:rPr>
                <w:rFonts w:hint="default" w:ascii="Arial" w:hAnsi="Arial" w:eastAsia="宋体" w:cs="Arial"/>
                <w:b/>
                <w:bCs/>
                <w:sz w:val="24"/>
                <w:szCs w:val="24"/>
              </w:rPr>
            </w:pPr>
            <w:r>
              <w:rPr>
                <w:rFonts w:hint="eastAsia" w:ascii="Arial" w:hAnsi="Arial" w:eastAsia="宋体" w:cs="Arial"/>
                <w:b/>
                <w:bCs/>
                <w:sz w:val="24"/>
                <w:szCs w:val="24"/>
                <w:lang w:val="en-US" w:eastAsia="zh-CN"/>
              </w:rPr>
              <w:t xml:space="preserve">⑵ </w:t>
            </w:r>
            <w:r>
              <w:rPr>
                <w:rFonts w:hint="default" w:ascii="Arial" w:hAnsi="Arial" w:eastAsia="宋体" w:cs="Arial"/>
                <w:b/>
                <w:bCs/>
                <w:sz w:val="24"/>
                <w:szCs w:val="24"/>
              </w:rPr>
              <w:t>危险废物</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b/>
                <w:bCs/>
                <w:sz w:val="24"/>
                <w:szCs w:val="24"/>
              </w:rPr>
            </w:pPr>
            <w:r>
              <w:rPr>
                <w:rFonts w:hint="default" w:ascii="Arial" w:hAnsi="Arial" w:eastAsia="宋体" w:cs="Arial"/>
                <w:b/>
                <w:bCs/>
                <w:sz w:val="24"/>
                <w:szCs w:val="24"/>
              </w:rPr>
              <w:t>①</w:t>
            </w:r>
            <w:r>
              <w:rPr>
                <w:rFonts w:hint="eastAsia" w:ascii="Arial" w:hAnsi="Arial" w:eastAsia="宋体" w:cs="Arial"/>
                <w:b/>
                <w:bCs/>
                <w:sz w:val="24"/>
                <w:szCs w:val="24"/>
                <w:lang w:val="en-US" w:eastAsia="zh-CN"/>
              </w:rPr>
              <w:t xml:space="preserve"> </w:t>
            </w:r>
            <w:r>
              <w:rPr>
                <w:rFonts w:hint="default" w:ascii="Arial" w:hAnsi="Arial" w:eastAsia="宋体" w:cs="Arial"/>
                <w:b/>
                <w:bCs/>
                <w:sz w:val="24"/>
                <w:szCs w:val="24"/>
              </w:rPr>
              <w:t>危险废物的分类、收集和贮存要求</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A、</w:t>
            </w:r>
            <w:r>
              <w:rPr>
                <w:rFonts w:hint="default" w:ascii="Arial" w:hAnsi="Arial" w:eastAsia="宋体" w:cs="Arial"/>
                <w:sz w:val="24"/>
                <w:szCs w:val="24"/>
              </w:rPr>
              <w:t>危险废物及时移至危险废物仓库分类堆放，不得乱堆乱放；</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B、</w:t>
            </w:r>
            <w:r>
              <w:rPr>
                <w:rFonts w:hint="default" w:ascii="Arial" w:hAnsi="Arial" w:eastAsia="宋体" w:cs="Arial"/>
                <w:sz w:val="24"/>
                <w:szCs w:val="24"/>
              </w:rPr>
              <w:t>危险废物储存点应按规定张贴危废标识，容器上标明相应废物名称，以便识别和管理；</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C、</w:t>
            </w:r>
            <w:r>
              <w:rPr>
                <w:rFonts w:hint="default" w:ascii="Arial" w:hAnsi="Arial" w:eastAsia="宋体" w:cs="Arial"/>
                <w:sz w:val="24"/>
                <w:szCs w:val="24"/>
              </w:rPr>
              <w:t>与有资质的单位签订危险废物处置协议，确保其得到妥善处理；</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D、</w:t>
            </w:r>
            <w:r>
              <w:rPr>
                <w:rFonts w:hint="default" w:ascii="Arial" w:hAnsi="Arial" w:eastAsia="宋体" w:cs="Arial"/>
                <w:sz w:val="24"/>
                <w:szCs w:val="24"/>
              </w:rPr>
              <w:t>制定企业危险废物台账记录要求，如实记录危险废物的产生、贮存、利用、处理处置等各个环节的情况，定期汇总危险废物台账记录表，总结其产生工序、特性、利用处置情况等，形成完成的危险废物台账，由专人对危险废物台账进行管理，防治遗失；</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E、</w:t>
            </w:r>
            <w:r>
              <w:rPr>
                <w:rFonts w:hint="default" w:ascii="Arial" w:hAnsi="Arial" w:eastAsia="宋体" w:cs="Arial"/>
                <w:sz w:val="24"/>
                <w:szCs w:val="24"/>
              </w:rPr>
              <w:t>有资质的单位转移危险废物时应填写《危险废物转移联单》，内容含废物种类、数量、形态、包装方式等，并经危险废物产生单位、运输单位及接受单位签字确认；</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eastAsia" w:ascii="Arial" w:hAnsi="Arial" w:eastAsia="宋体" w:cs="Arial"/>
                <w:sz w:val="24"/>
                <w:szCs w:val="24"/>
                <w:lang w:val="en-US" w:eastAsia="zh-CN"/>
              </w:rPr>
              <w:t>F、</w:t>
            </w:r>
            <w:r>
              <w:rPr>
                <w:rFonts w:hint="default" w:ascii="Arial" w:hAnsi="Arial" w:eastAsia="宋体" w:cs="Arial"/>
                <w:sz w:val="24"/>
                <w:szCs w:val="24"/>
              </w:rPr>
              <w:t>《危险废物转移联单》由危险废物产生单位存档，以备查验。</w:t>
            </w:r>
          </w:p>
          <w:p>
            <w:pPr>
              <w:pStyle w:val="84"/>
              <w:ind w:firstLine="420"/>
              <w:rPr>
                <w:rFonts w:hint="default" w:ascii="Arial" w:hAnsi="Arial" w:eastAsia="宋体" w:cs="Arial"/>
                <w:b/>
                <w:bCs/>
                <w:sz w:val="24"/>
                <w:szCs w:val="24"/>
              </w:rPr>
            </w:pPr>
            <w:r>
              <w:rPr>
                <w:rFonts w:hint="default" w:ascii="Arial" w:hAnsi="Arial" w:eastAsia="宋体" w:cs="Arial"/>
                <w:b/>
                <w:bCs/>
                <w:sz w:val="24"/>
                <w:szCs w:val="24"/>
              </w:rPr>
              <w:t>②</w:t>
            </w:r>
            <w:r>
              <w:rPr>
                <w:rFonts w:hint="eastAsia" w:ascii="Arial" w:hAnsi="Arial" w:eastAsia="宋体" w:cs="Arial"/>
                <w:b/>
                <w:bCs/>
                <w:sz w:val="24"/>
                <w:szCs w:val="24"/>
                <w:lang w:val="en-US" w:eastAsia="zh-CN"/>
              </w:rPr>
              <w:t xml:space="preserve"> </w:t>
            </w:r>
            <w:r>
              <w:rPr>
                <w:rFonts w:hint="default" w:ascii="Arial" w:hAnsi="Arial" w:eastAsia="宋体" w:cs="Arial"/>
                <w:b/>
                <w:bCs/>
                <w:sz w:val="24"/>
                <w:szCs w:val="24"/>
              </w:rPr>
              <w:t>危险废物贮存场场址要求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Arial" w:hAnsi="Arial" w:eastAsia="宋体" w:cs="Arial"/>
                <w:sz w:val="24"/>
                <w:szCs w:val="24"/>
                <w:lang w:val="en-US" w:eastAsia="zh-CN"/>
              </w:rPr>
              <w:t>项目在设计时并未对危险废物的贮存和处置提出明确的要求，对此，评价结合项目施工总体布局，建议将</w:t>
            </w:r>
            <w:r>
              <w:rPr>
                <w:rFonts w:hint="default" w:ascii="Arial" w:hAnsi="Arial" w:eastAsia="宋体" w:cs="Arial"/>
                <w:sz w:val="24"/>
                <w:szCs w:val="24"/>
              </w:rPr>
              <w:t>项目危险废物贮存</w:t>
            </w:r>
            <w:r>
              <w:rPr>
                <w:rFonts w:hint="eastAsia" w:ascii="Arial" w:hAnsi="Arial" w:eastAsia="宋体" w:cs="Arial"/>
                <w:sz w:val="24"/>
                <w:szCs w:val="24"/>
                <w:lang w:val="en-US" w:eastAsia="zh-CN"/>
              </w:rPr>
              <w:t>间</w:t>
            </w:r>
            <w:r>
              <w:rPr>
                <w:rFonts w:hint="default" w:ascii="Arial" w:hAnsi="Arial" w:eastAsia="宋体" w:cs="Arial"/>
                <w:sz w:val="24"/>
                <w:szCs w:val="24"/>
              </w:rPr>
              <w:t>设置在</w:t>
            </w:r>
            <w:r>
              <w:rPr>
                <w:rFonts w:hint="eastAsia" w:ascii="Arial" w:hAnsi="Arial" w:eastAsia="宋体" w:cs="Arial"/>
                <w:sz w:val="24"/>
                <w:szCs w:val="24"/>
                <w:lang w:val="en-US" w:eastAsia="zh-CN"/>
              </w:rPr>
              <w:t>沥青拌合站内</w:t>
            </w:r>
            <w:r>
              <w:rPr>
                <w:rFonts w:hint="default" w:ascii="Arial" w:hAnsi="Arial" w:eastAsia="宋体" w:cs="Arial"/>
                <w:sz w:val="24"/>
                <w:szCs w:val="24"/>
              </w:rPr>
              <w:t>，</w:t>
            </w:r>
            <w:r>
              <w:rPr>
                <w:rFonts w:hint="eastAsia" w:ascii="Arial" w:hAnsi="Arial" w:eastAsia="宋体" w:cs="Arial"/>
                <w:sz w:val="24"/>
                <w:szCs w:val="24"/>
                <w:lang w:val="en-US" w:eastAsia="zh-CN"/>
              </w:rPr>
              <w:t>建筑面不小于10m</w:t>
            </w:r>
            <w:r>
              <w:rPr>
                <w:rFonts w:hint="eastAsia" w:ascii="Arial" w:hAnsi="Arial" w:eastAsia="宋体" w:cs="Arial"/>
                <w:sz w:val="24"/>
                <w:szCs w:val="24"/>
                <w:vertAlign w:val="superscript"/>
                <w:lang w:val="en-US" w:eastAsia="zh-CN"/>
              </w:rPr>
              <w:t>2</w:t>
            </w:r>
            <w:r>
              <w:rPr>
                <w:rFonts w:hint="eastAsia" w:ascii="Arial" w:hAnsi="Arial" w:eastAsia="宋体" w:cs="Arial"/>
                <w:sz w:val="24"/>
                <w:szCs w:val="24"/>
                <w:lang w:val="en-US" w:eastAsia="zh-CN"/>
              </w:rPr>
              <w:t>，且</w:t>
            </w:r>
            <w:r>
              <w:rPr>
                <w:rFonts w:ascii="Arial" w:hAnsi="宋体" w:cs="Arial"/>
                <w:color w:val="auto"/>
                <w:sz w:val="24"/>
              </w:rPr>
              <w:t>危险废物暂存间底板及四周壁面</w:t>
            </w:r>
            <w:r>
              <w:rPr>
                <w:rFonts w:hint="eastAsia" w:ascii="Arial" w:hAnsi="宋体" w:cs="Arial"/>
                <w:color w:val="auto"/>
                <w:sz w:val="24"/>
                <w:lang w:val="en-US" w:eastAsia="zh-CN"/>
              </w:rPr>
              <w:t>应</w:t>
            </w:r>
            <w:r>
              <w:rPr>
                <w:rFonts w:ascii="Arial" w:hAnsi="宋体" w:cs="Arial"/>
                <w:color w:val="auto"/>
                <w:sz w:val="24"/>
              </w:rPr>
              <w:t>采用钢筋混凝土结构，并在其上设置防渗层，</w:t>
            </w:r>
            <w:r>
              <w:rPr>
                <w:rFonts w:ascii="Arial" w:hAnsi="宋体" w:cs="Arial"/>
                <w:bCs/>
                <w:color w:val="auto"/>
                <w:sz w:val="24"/>
              </w:rPr>
              <w:t>防渗结构为</w:t>
            </w:r>
            <w:r>
              <w:rPr>
                <w:rFonts w:ascii="Arial" w:hAnsi="Arial" w:cs="Arial"/>
                <w:bCs/>
                <w:color w:val="auto"/>
                <w:sz w:val="24"/>
              </w:rPr>
              <w:t>“P8</w:t>
            </w:r>
            <w:r>
              <w:rPr>
                <w:rFonts w:ascii="Arial" w:hAnsi="宋体" w:cs="Arial"/>
                <w:bCs/>
                <w:color w:val="auto"/>
                <w:sz w:val="24"/>
              </w:rPr>
              <w:t>等级混凝土</w:t>
            </w:r>
            <w:r>
              <w:rPr>
                <w:rFonts w:ascii="Arial" w:hAnsi="Arial" w:cs="Arial"/>
                <w:bCs/>
                <w:color w:val="auto"/>
                <w:sz w:val="24"/>
              </w:rPr>
              <w:t>+2mmHDPE</w:t>
            </w:r>
            <w:r>
              <w:rPr>
                <w:rFonts w:ascii="Arial" w:hAnsi="宋体" w:cs="Arial"/>
                <w:bCs/>
                <w:color w:val="auto"/>
                <w:sz w:val="24"/>
              </w:rPr>
              <w:t>膜</w:t>
            </w:r>
            <w:r>
              <w:rPr>
                <w:rFonts w:ascii="Arial" w:hAnsi="Arial" w:cs="Arial"/>
                <w:bCs/>
                <w:color w:val="auto"/>
                <w:sz w:val="24"/>
              </w:rPr>
              <w:t>”</w:t>
            </w:r>
            <w:r>
              <w:rPr>
                <w:rFonts w:ascii="Arial" w:hAnsi="宋体" w:cs="Arial"/>
                <w:bCs/>
                <w:color w:val="auto"/>
                <w:sz w:val="24"/>
              </w:rPr>
              <w:t>防渗结构，地面防渗结构由下至上为：混凝土底板（厚度</w:t>
            </w:r>
            <w:r>
              <w:rPr>
                <w:rFonts w:ascii="Arial" w:hAnsi="Arial" w:cs="Arial"/>
                <w:bCs/>
                <w:color w:val="auto"/>
                <w:sz w:val="24"/>
              </w:rPr>
              <w:t>300mm</w:t>
            </w:r>
            <w:r>
              <w:rPr>
                <w:rFonts w:ascii="Arial" w:hAnsi="宋体" w:cs="Arial"/>
                <w:bCs/>
                <w:color w:val="auto"/>
                <w:sz w:val="24"/>
              </w:rPr>
              <w:t>，抗渗等级为</w:t>
            </w:r>
            <w:r>
              <w:rPr>
                <w:rFonts w:ascii="Arial" w:hAnsi="Arial" w:cs="Arial"/>
                <w:bCs/>
                <w:color w:val="auto"/>
                <w:sz w:val="24"/>
              </w:rPr>
              <w:t>P8</w:t>
            </w:r>
            <w:r>
              <w:rPr>
                <w:rFonts w:ascii="Arial" w:hAnsi="宋体" w:cs="Arial"/>
                <w:bCs/>
                <w:color w:val="auto"/>
                <w:sz w:val="24"/>
              </w:rPr>
              <w:t>）、</w:t>
            </w:r>
            <w:r>
              <w:rPr>
                <w:rFonts w:ascii="Arial" w:hAnsi="Arial" w:cs="Arial"/>
                <w:bCs/>
                <w:color w:val="auto"/>
                <w:sz w:val="24"/>
              </w:rPr>
              <w:t>600g/m</w:t>
            </w:r>
            <w:r>
              <w:rPr>
                <w:rFonts w:ascii="Arial" w:hAnsi="Arial" w:cs="Arial"/>
                <w:bCs/>
                <w:color w:val="auto"/>
                <w:sz w:val="24"/>
                <w:vertAlign w:val="superscript"/>
              </w:rPr>
              <w:t>2</w:t>
            </w:r>
            <w:r>
              <w:rPr>
                <w:rFonts w:ascii="Arial" w:hAnsi="宋体" w:cs="Arial"/>
                <w:bCs/>
                <w:color w:val="auto"/>
                <w:sz w:val="24"/>
              </w:rPr>
              <w:t>土工布、</w:t>
            </w:r>
            <w:r>
              <w:rPr>
                <w:rFonts w:ascii="Arial" w:hAnsi="Arial" w:cs="Arial"/>
                <w:bCs/>
                <w:color w:val="auto"/>
                <w:sz w:val="24"/>
              </w:rPr>
              <w:t>2mm</w:t>
            </w:r>
            <w:r>
              <w:rPr>
                <w:rFonts w:ascii="Arial" w:hAnsi="宋体" w:cs="Arial"/>
                <w:bCs/>
                <w:color w:val="auto"/>
                <w:sz w:val="24"/>
              </w:rPr>
              <w:t>厚</w:t>
            </w:r>
            <w:r>
              <w:rPr>
                <w:rFonts w:ascii="Arial" w:hAnsi="Arial" w:cs="Arial"/>
                <w:bCs/>
                <w:color w:val="auto"/>
                <w:sz w:val="24"/>
              </w:rPr>
              <w:t>HDPE</w:t>
            </w:r>
            <w:r>
              <w:rPr>
                <w:rFonts w:ascii="Arial" w:hAnsi="宋体" w:cs="Arial"/>
                <w:bCs/>
                <w:color w:val="auto"/>
                <w:sz w:val="24"/>
              </w:rPr>
              <w:t>防渗膜、</w:t>
            </w:r>
            <w:r>
              <w:rPr>
                <w:rFonts w:ascii="Arial" w:hAnsi="Arial" w:cs="Arial"/>
                <w:bCs/>
                <w:color w:val="auto"/>
                <w:sz w:val="24"/>
              </w:rPr>
              <w:t>600g/m</w:t>
            </w:r>
            <w:r>
              <w:rPr>
                <w:rFonts w:ascii="Arial" w:hAnsi="Arial" w:cs="Arial"/>
                <w:bCs/>
                <w:color w:val="auto"/>
                <w:sz w:val="24"/>
                <w:vertAlign w:val="superscript"/>
              </w:rPr>
              <w:t>2</w:t>
            </w:r>
            <w:r>
              <w:rPr>
                <w:rFonts w:ascii="Arial" w:hAnsi="宋体" w:cs="Arial"/>
                <w:bCs/>
                <w:color w:val="auto"/>
                <w:sz w:val="24"/>
              </w:rPr>
              <w:t>土工布、混凝土保护层（厚度</w:t>
            </w:r>
            <w:r>
              <w:rPr>
                <w:rFonts w:ascii="Arial" w:hAnsi="Arial" w:cs="Arial"/>
                <w:bCs/>
                <w:color w:val="auto"/>
                <w:sz w:val="24"/>
              </w:rPr>
              <w:t>100mm</w:t>
            </w:r>
            <w:r>
              <w:rPr>
                <w:rFonts w:ascii="Arial" w:hAnsi="宋体" w:cs="Arial"/>
                <w:bCs/>
                <w:color w:val="auto"/>
                <w:sz w:val="24"/>
              </w:rPr>
              <w:t>）</w:t>
            </w:r>
            <w:r>
              <w:rPr>
                <w:rFonts w:hint="eastAsia" w:ascii="Arial" w:hAnsi="宋体" w:cs="Arial"/>
                <w:bCs/>
                <w:color w:val="auto"/>
                <w:sz w:val="24"/>
              </w:rPr>
              <w:t>，</w:t>
            </w:r>
            <w:r>
              <w:rPr>
                <w:rFonts w:ascii="Arial" w:hAnsi="宋体" w:cs="Arial"/>
                <w:bCs/>
                <w:color w:val="auto"/>
                <w:sz w:val="24"/>
              </w:rPr>
              <w:t>可以满足</w:t>
            </w:r>
            <w:r>
              <w:rPr>
                <w:color w:val="auto"/>
                <w:sz w:val="24"/>
              </w:rPr>
              <w:t>渗透系数≤10</w:t>
            </w:r>
            <w:r>
              <w:rPr>
                <w:color w:val="auto"/>
                <w:sz w:val="24"/>
                <w:vertAlign w:val="superscript"/>
              </w:rPr>
              <w:t>-10</w:t>
            </w:r>
            <w:r>
              <w:rPr>
                <w:rFonts w:hint="eastAsia"/>
                <w:color w:val="auto"/>
                <w:sz w:val="24"/>
              </w:rPr>
              <w:t>cm</w:t>
            </w:r>
            <w:r>
              <w:rPr>
                <w:color w:val="auto"/>
                <w:sz w:val="24"/>
              </w:rPr>
              <w:t>/</w:t>
            </w:r>
            <w:r>
              <w:rPr>
                <w:rFonts w:hint="eastAsia"/>
                <w:color w:val="auto"/>
                <w:sz w:val="24"/>
              </w:rPr>
              <w:t>s的防渗要求</w:t>
            </w:r>
            <w:r>
              <w:rPr>
                <w:color w:val="auto"/>
                <w:sz w:val="24"/>
              </w:rPr>
              <w:t>。</w:t>
            </w:r>
            <w:r>
              <w:rPr>
                <w:rFonts w:hint="eastAsia"/>
                <w:color w:val="auto"/>
                <w:sz w:val="24"/>
              </w:rPr>
              <w:t>除此之外，</w:t>
            </w:r>
            <w:r>
              <w:rPr>
                <w:color w:val="auto"/>
                <w:sz w:val="24"/>
              </w:rPr>
              <w:t>危险废物在暂存过程中应注意以下要求：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a</w:t>
            </w:r>
            <w:r>
              <w:rPr>
                <w:color w:val="auto"/>
                <w:sz w:val="24"/>
              </w:rPr>
              <w:t>、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70</w:t>
            </w:r>
            <w:r>
              <w:rPr>
                <w:rFonts w:hint="eastAsia"/>
                <w:color w:val="auto"/>
                <w:sz w:val="24"/>
                <w:lang w:val="en-US" w:eastAsia="zh-CN"/>
              </w:rPr>
              <w:t>mm</w:t>
            </w:r>
            <w:r>
              <w:rPr>
                <w:color w:val="auto"/>
                <w:sz w:val="24"/>
              </w:rPr>
              <w:t>并有放气孔的桶中。</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b</w:t>
            </w:r>
            <w:r>
              <w:rPr>
                <w:color w:val="auto"/>
                <w:sz w:val="24"/>
              </w:rPr>
              <w:t>、地面与裙脚要用坚固、防渗的材料建造，建筑材料必须与危险废物暂存点相容；必须有泄漏液体收集装置、气体导出口及气体净化装置。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、危险废物暂存点内要有安全照明设施和观察窗口，危险废物暂存点必须有耐腐蚀的硬地面，且表面无裂缝，防止雨水对贮存场所进行冲刷，在危险废物暂存点</w:t>
            </w:r>
            <w:r>
              <w:rPr>
                <w:rFonts w:hint="eastAsia"/>
                <w:color w:val="auto"/>
                <w:sz w:val="24"/>
              </w:rPr>
              <w:t>需</w:t>
            </w:r>
            <w:r>
              <w:rPr>
                <w:color w:val="auto"/>
                <w:sz w:val="24"/>
              </w:rPr>
              <w:t>设置比较高的门槛。应设计堵截泄漏的裙脚，地面与裙脚所围建的容积不低于堵截最大容器的最大储量或总储量的五分之一。不相容的危险废物必须分开存放，并设有隔离间隔断。</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d</w:t>
            </w:r>
            <w:r>
              <w:rPr>
                <w:color w:val="auto"/>
                <w:sz w:val="24"/>
              </w:rPr>
              <w:t>、应作好危险废物情况的记录，记录上须注明危险废物的名称、来源、数量、特性和包装容器的类别、入库日期、存放库位、废物出库日期及接收单位名称。危险废物的记录和货单在危险废物回取后应继续保留三年。将危险废物的贮存纳入到日常的安全管理中，必须定期对所贮存的危险废物包装容器及贮存设施进行检查，发现破损，应及时采取措施清理更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f</w:t>
            </w:r>
            <w:r>
              <w:rPr>
                <w:color w:val="auto"/>
                <w:sz w:val="24"/>
              </w:rPr>
              <w:t>、培训员工按制度进行操作，如：杜绝员工野蛮操作、装卸撞击、摩擦导致包装破损等现象发生。危险废物贮存设施都必须按GB15562.2的规定设置警示标志。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b/>
                <w:color w:val="auto"/>
                <w:sz w:val="24"/>
              </w:rPr>
            </w:pPr>
            <w:r>
              <w:rPr>
                <w:rFonts w:hint="eastAsia"/>
                <w:color w:val="auto"/>
                <w:sz w:val="24"/>
              </w:rPr>
              <w:t>g</w:t>
            </w:r>
            <w:r>
              <w:rPr>
                <w:color w:val="auto"/>
                <w:sz w:val="24"/>
              </w:rPr>
              <w:t>、在雷雨天气时，应加大频次对危险废物贮存场所进行检查，防止雨水对贮存场所进行冲刷造成环境事件的发生。</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h、</w:t>
            </w:r>
            <w:r>
              <w:rPr>
                <w:color w:val="auto"/>
                <w:sz w:val="24"/>
              </w:rPr>
              <w:t>危险废物在运输过程中应注意以下要求：</w:t>
            </w:r>
          </w:p>
          <w:p>
            <w:pPr>
              <w:pStyle w:val="87"/>
              <w:keepNext w:val="0"/>
              <w:keepLines w:val="0"/>
              <w:pageBreakBefore w:val="0"/>
              <w:numPr>
                <w:ilvl w:val="0"/>
                <w:numId w:val="9"/>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危险废物运输车辆由公司车辆主管部门统筹调配管理，该车辆只能在车辆主管部门统一安排保障下进行危险废物类货物的运输工作。</w:t>
            </w:r>
          </w:p>
          <w:p>
            <w:pPr>
              <w:pStyle w:val="87"/>
              <w:keepNext w:val="0"/>
              <w:keepLines w:val="0"/>
              <w:pageBreakBefore w:val="0"/>
              <w:numPr>
                <w:ilvl w:val="0"/>
                <w:numId w:val="9"/>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执行危险废物运输任务的车辆必须满足性能状况良好，车容整洁、车厢内清洁干燥，并严格按要求配备和使用了合格的安全、消防等应急防护器材。</w:t>
            </w:r>
          </w:p>
          <w:p>
            <w:pPr>
              <w:pStyle w:val="87"/>
              <w:keepNext w:val="0"/>
              <w:keepLines w:val="0"/>
              <w:pageBreakBefore w:val="0"/>
              <w:numPr>
                <w:ilvl w:val="0"/>
                <w:numId w:val="10"/>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危险废物运输车辆驾驶员应严格执行车辆的例行检查、车辆二级维护等管理规定，及时发现和处理车辆存在的机械故障等隐患问题，提高车辆的行驶性能，以确保该类车辆的安全行驶。</w:t>
            </w:r>
          </w:p>
          <w:p>
            <w:pPr>
              <w:pStyle w:val="87"/>
              <w:keepNext w:val="0"/>
              <w:keepLines w:val="0"/>
              <w:pageBreakBefore w:val="0"/>
              <w:numPr>
                <w:ilvl w:val="0"/>
                <w:numId w:val="10"/>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危险废物运输车辆装车前，驾驶员必须认真检查货物类别及其性质，货物的包装必须符合包装技术要求，并粘贴有明显的标识，对达不安全规范要求，可以拒绝接收运输。严禁危险废物运输车辆对性质不相容的货物进行拼装，严禁危险废物运输车辆进行超载运输。</w:t>
            </w:r>
          </w:p>
          <w:p>
            <w:pPr>
              <w:pStyle w:val="87"/>
              <w:keepNext w:val="0"/>
              <w:keepLines w:val="0"/>
              <w:pageBreakBefore w:val="0"/>
              <w:numPr>
                <w:ilvl w:val="0"/>
                <w:numId w:val="10"/>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危险废物运输车辆驾驶员应根据所运输的危险货物特性，必须在指定的地点实施车辆的清洗保洁，防止车辆箱体残留的危险物质造成人身伤害及二次污染环境责任。</w:t>
            </w:r>
          </w:p>
          <w:p>
            <w:pPr>
              <w:pStyle w:val="87"/>
              <w:keepNext w:val="0"/>
              <w:keepLines w:val="0"/>
              <w:pageBreakBefore w:val="0"/>
              <w:numPr>
                <w:ilvl w:val="0"/>
                <w:numId w:val="10"/>
              </w:numPr>
              <w:kinsoku/>
              <w:wordWrap/>
              <w:overflowPunct/>
              <w:topLinePunct w:val="0"/>
              <w:autoSpaceDE/>
              <w:autoSpaceDN/>
              <w:bidi w:val="0"/>
              <w:adjustRightInd/>
              <w:snapToGrid/>
              <w:spacing w:line="360" w:lineRule="auto"/>
              <w:ind w:left="0" w:firstLine="480"/>
              <w:textAlignment w:val="auto"/>
              <w:rPr>
                <w:color w:val="auto"/>
                <w:sz w:val="24"/>
              </w:rPr>
            </w:pPr>
            <w:r>
              <w:rPr>
                <w:color w:val="auto"/>
                <w:sz w:val="24"/>
              </w:rPr>
              <w:t>根据《中华人民共和国固体废物污染环境防治法》中“第四章危险废物污染环境防治的特别规定”，本项目应执行以下规定：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对危险废物的容器和包装以及收集、贮存、处置危险废物的设施、场所，必须设置危险废物的识别标志；必须按照国家有关规定申报登记；必须按照国家有关规定进行处置，不处置的，由所在地县级以上人民政府环境保护行政主管部门责令限期改正，逾期不处置或者处置不符合国家有关规定的，由所在地县级以上人民政府环境保护行政主管部门指定单位按照国家有关规定代为处置，处置费用由产生危险废物的单位承担。</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b/>
                <w:bCs/>
                <w:sz w:val="24"/>
                <w:szCs w:val="24"/>
                <w:lang w:val="en-US" w:eastAsia="zh-CN"/>
              </w:rPr>
            </w:pPr>
            <w:r>
              <w:rPr>
                <w:rFonts w:hint="eastAsia" w:ascii="Arial" w:hAnsi="Arial" w:eastAsia="宋体" w:cs="Arial"/>
                <w:b/>
                <w:bCs/>
                <w:sz w:val="24"/>
                <w:szCs w:val="24"/>
                <w:lang w:val="en-US" w:eastAsia="zh-CN"/>
              </w:rPr>
              <w:t xml:space="preserve">③ </w:t>
            </w:r>
            <w:r>
              <w:rPr>
                <w:rFonts w:hint="default" w:ascii="Arial" w:hAnsi="Arial" w:eastAsia="宋体" w:cs="Arial"/>
                <w:b/>
                <w:bCs/>
                <w:sz w:val="24"/>
                <w:szCs w:val="24"/>
              </w:rPr>
              <w:t>危险废物</w:t>
            </w:r>
            <w:r>
              <w:rPr>
                <w:rFonts w:hint="eastAsia" w:ascii="Arial" w:hAnsi="Arial" w:eastAsia="宋体" w:cs="Arial"/>
                <w:b/>
                <w:bCs/>
                <w:sz w:val="24"/>
                <w:szCs w:val="24"/>
                <w:lang w:val="en-US" w:eastAsia="zh-CN"/>
              </w:rPr>
              <w:t>最终处置要求</w:t>
            </w:r>
          </w:p>
          <w:p>
            <w:pPr>
              <w:pStyle w:val="84"/>
              <w:keepNext w:val="0"/>
              <w:keepLines w:val="0"/>
              <w:pageBreakBefore w:val="0"/>
              <w:widowControl w:val="0"/>
              <w:kinsoku/>
              <w:wordWrap/>
              <w:overflowPunct/>
              <w:topLinePunct w:val="0"/>
              <w:autoSpaceDE/>
              <w:autoSpaceDN/>
              <w:bidi w:val="0"/>
              <w:adjustRightInd/>
              <w:snapToGrid/>
              <w:ind w:firstLine="420"/>
              <w:textAlignment w:val="auto"/>
              <w:rPr>
                <w:rFonts w:hint="default" w:ascii="Arial" w:hAnsi="Arial" w:eastAsia="宋体" w:cs="Arial"/>
                <w:sz w:val="24"/>
                <w:szCs w:val="24"/>
              </w:rPr>
            </w:pPr>
            <w:r>
              <w:rPr>
                <w:rFonts w:hint="default" w:ascii="Arial" w:hAnsi="Arial" w:eastAsia="宋体" w:cs="Arial"/>
                <w:sz w:val="24"/>
                <w:szCs w:val="24"/>
              </w:rPr>
              <w:t>本环评要求</w:t>
            </w:r>
            <w:r>
              <w:rPr>
                <w:rFonts w:hint="eastAsia" w:ascii="Arial" w:hAnsi="Arial" w:eastAsia="宋体" w:cs="Arial"/>
                <w:sz w:val="24"/>
                <w:szCs w:val="24"/>
                <w:lang w:val="en-US" w:eastAsia="zh-CN"/>
              </w:rPr>
              <w:t>施工单位</w:t>
            </w:r>
            <w:r>
              <w:rPr>
                <w:rFonts w:hint="default" w:ascii="Arial" w:hAnsi="Arial" w:eastAsia="宋体" w:cs="Arial"/>
                <w:sz w:val="24"/>
                <w:szCs w:val="24"/>
              </w:rPr>
              <w:t>在危险废物产生时及时采用容器进行收集后暂存于项目内危险废物暂存间，危险废物暂存间内分区分类，且危险废物暂存间采取防风、防雨、防渗漏、防流失措施，</w:t>
            </w:r>
            <w:r>
              <w:rPr>
                <w:rFonts w:hint="eastAsia" w:ascii="Arial" w:hAnsi="Arial" w:eastAsia="宋体" w:cs="Arial"/>
                <w:sz w:val="24"/>
                <w:szCs w:val="24"/>
                <w:lang w:val="en-US" w:eastAsia="zh-CN"/>
              </w:rPr>
              <w:t>并与有资质单位签订处置协议，及时将产生的危险废物交由资质单位处置。且最长贮存时间不超过</w:t>
            </w:r>
            <w:r>
              <w:rPr>
                <w:rFonts w:hint="default" w:ascii="Arial" w:hAnsi="Arial" w:eastAsia="宋体" w:cs="Arial"/>
                <w:sz w:val="24"/>
                <w:szCs w:val="24"/>
              </w:rPr>
              <w:t>一年。</w:t>
            </w:r>
          </w:p>
          <w:p>
            <w:pPr>
              <w:pStyle w:val="8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auto"/>
                <w:sz w:val="24"/>
              </w:rPr>
            </w:pPr>
            <w:r>
              <w:rPr>
                <w:rFonts w:hint="default" w:ascii="Arial" w:hAnsi="Arial" w:eastAsia="宋体" w:cs="Arial"/>
                <w:sz w:val="24"/>
                <w:szCs w:val="24"/>
              </w:rPr>
              <w:t>经采取上述处理措施后，项目</w:t>
            </w:r>
            <w:r>
              <w:rPr>
                <w:rFonts w:hint="eastAsia" w:ascii="Arial" w:hAnsi="Arial" w:eastAsia="宋体" w:cs="Arial"/>
                <w:sz w:val="24"/>
                <w:szCs w:val="24"/>
                <w:lang w:val="en-US" w:eastAsia="zh-CN"/>
              </w:rPr>
              <w:t>施工期</w:t>
            </w:r>
            <w:r>
              <w:rPr>
                <w:rFonts w:hint="default" w:ascii="Arial" w:hAnsi="Arial" w:eastAsia="宋体" w:cs="Arial"/>
                <w:sz w:val="24"/>
                <w:szCs w:val="24"/>
              </w:rPr>
              <w:t>产生的危险废物均可得到妥善处置，对环境影响较小。</w:t>
            </w:r>
          </w:p>
          <w:p>
            <w:pPr>
              <w:pStyle w:val="84"/>
              <w:ind w:left="0" w:leftChars="0" w:firstLine="0" w:firstLineChars="0"/>
              <w:rPr>
                <w:rFonts w:hint="default" w:ascii="Arial" w:hAnsi="Arial" w:eastAsia="宋体" w:cs="Arial"/>
                <w:b/>
                <w:bCs/>
                <w:sz w:val="24"/>
                <w:szCs w:val="24"/>
              </w:rPr>
            </w:pPr>
            <w:r>
              <w:rPr>
                <w:rFonts w:hint="default" w:ascii="Arial" w:hAnsi="Arial" w:eastAsia="宋体" w:cs="Arial"/>
                <w:b/>
                <w:bCs/>
                <w:sz w:val="24"/>
                <w:szCs w:val="24"/>
              </w:rPr>
              <w:t>五、施工风险</w:t>
            </w:r>
          </w:p>
          <w:p>
            <w:pPr>
              <w:pStyle w:val="8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sz w:val="24"/>
                <w:szCs w:val="24"/>
              </w:rPr>
            </w:pPr>
            <w:r>
              <w:rPr>
                <w:rFonts w:hint="default" w:ascii="Arial" w:hAnsi="Arial" w:eastAsia="宋体" w:cs="Arial"/>
                <w:sz w:val="24"/>
                <w:szCs w:val="24"/>
              </w:rPr>
              <w:t>工程建设期间，存在潜在的事故风险和环境风险，主要包括油库柴油泄漏和爆炸事故风险、施工危险品运输事故风险、森林火灾风险、生物入侵风险等。</w:t>
            </w:r>
          </w:p>
          <w:p>
            <w:pPr>
              <w:pStyle w:val="84"/>
              <w:ind w:left="0" w:leftChars="0" w:firstLine="0" w:firstLineChars="0"/>
              <w:rPr>
                <w:rFonts w:hint="default" w:ascii="Arial" w:hAnsi="Arial" w:eastAsia="宋体" w:cs="Arial"/>
                <w:b/>
                <w:bCs/>
                <w:sz w:val="24"/>
                <w:szCs w:val="24"/>
              </w:rPr>
            </w:pPr>
            <w:r>
              <w:rPr>
                <w:rFonts w:hint="default" w:ascii="Arial" w:hAnsi="Arial" w:eastAsia="宋体" w:cs="Arial"/>
                <w:b/>
                <w:bCs/>
                <w:sz w:val="24"/>
                <w:szCs w:val="24"/>
              </w:rPr>
              <w:t>六、施工期生态环境影响</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1、施工期对植被的影响</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sz w:val="24"/>
                <w:szCs w:val="24"/>
              </w:rPr>
            </w:pPr>
            <w:r>
              <w:rPr>
                <w:rFonts w:hint="default" w:ascii="Arial" w:hAnsi="Arial" w:eastAsia="宋体" w:cs="Arial"/>
                <w:b/>
                <w:bCs/>
                <w:sz w:val="24"/>
                <w:szCs w:val="24"/>
                <w:u w:val="single"/>
              </w:rPr>
              <w:t>物种种类数量、种群个体数、植物植被类型</w:t>
            </w:r>
            <w:r>
              <w:rPr>
                <w:rFonts w:hint="default" w:ascii="Arial" w:hAnsi="Arial" w:eastAsia="宋体" w:cs="Arial"/>
                <w:sz w:val="24"/>
                <w:szCs w:val="24"/>
              </w:rPr>
              <w:t>：工程施工占地、开挖、机械施工等活动都将不同程度对原地表造成占压和扰动、破坏沿线植被，造成植物种类数量的减少；但因项目涉及区域受影响的植物为常见树种柏木、马尾松、桤木等常见乔木树</w:t>
            </w:r>
            <w:r>
              <w:rPr>
                <w:rFonts w:hint="eastAsia" w:ascii="Arial" w:hAnsi="Arial" w:eastAsia="宋体" w:cs="Arial"/>
                <w:sz w:val="24"/>
                <w:szCs w:val="24"/>
                <w:lang w:eastAsia="zh-CN"/>
              </w:rPr>
              <w:t>，</w:t>
            </w:r>
            <w:r>
              <w:rPr>
                <w:rFonts w:hint="default" w:ascii="Arial" w:hAnsi="Arial" w:eastAsia="宋体" w:cs="Arial"/>
                <w:sz w:val="24"/>
                <w:szCs w:val="24"/>
              </w:rPr>
              <w:t>不会因工程建设而造成植物种类的消失，仅仅是数量上的局部减少。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抗病虫害等能力、群落稳定性</w:t>
            </w:r>
            <w:r>
              <w:rPr>
                <w:rFonts w:hint="default" w:ascii="Arial" w:hAnsi="Arial" w:eastAsia="宋体" w:cs="Arial"/>
                <w:kern w:val="2"/>
                <w:sz w:val="24"/>
                <w:szCs w:val="24"/>
                <w:lang w:val="en-US" w:eastAsia="zh-CN" w:bidi="ar-SA"/>
              </w:rPr>
              <w:t>：因施工开挖等产生的飞石、弃渣、扬尘、噪音等，砸伤施工区周边林木，降低环境质量，导致乔灌木的对环境的抵抗能力下降，易感染病害和遭受风折。但严格的防护措施和施工制度能有效降低施工对环境质量影响，减弱乔灌木抵抗能力的下降程度。</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外来物种入侵</w:t>
            </w:r>
            <w:r>
              <w:rPr>
                <w:rFonts w:hint="default" w:ascii="Arial" w:hAnsi="Arial" w:eastAsia="宋体" w:cs="Arial"/>
                <w:kern w:val="2"/>
                <w:sz w:val="24"/>
                <w:szCs w:val="24"/>
                <w:lang w:val="en-US" w:eastAsia="zh-CN" w:bidi="ar-SA"/>
              </w:rPr>
              <w:t>：施工中运输、人员进入等可能携带外来物种入侵，对当地物多样性造成潜在威胁；应加强对外来物种的检疫、检查和监督等，尽早发现并清除入侵物种，能最大限度降低入侵风险。</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珍稀物种</w:t>
            </w:r>
            <w:r>
              <w:rPr>
                <w:rFonts w:hint="default" w:ascii="Arial" w:hAnsi="Arial" w:eastAsia="宋体" w:cs="Arial"/>
                <w:kern w:val="2"/>
                <w:sz w:val="24"/>
                <w:szCs w:val="24"/>
                <w:lang w:val="en-US" w:eastAsia="zh-CN" w:bidi="ar-SA"/>
              </w:rPr>
              <w:t>：工程占地范围内调查未发现珍稀保护植物。</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kern w:val="2"/>
                <w:sz w:val="24"/>
                <w:szCs w:val="24"/>
                <w:lang w:val="en-US" w:eastAsia="zh-CN" w:bidi="ar-SA"/>
              </w:rPr>
              <w:t>总之，工程占用林地不会因工程建设而造成植物种类的消失，仅仅是数量上的局部减少，对植物生物多样性影响不大。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b/>
                <w:bCs/>
                <w:kern w:val="2"/>
                <w:sz w:val="24"/>
                <w:szCs w:val="24"/>
                <w:lang w:val="en-US" w:eastAsia="zh-CN" w:bidi="ar-SA"/>
              </w:rPr>
            </w:pPr>
            <w:r>
              <w:rPr>
                <w:rFonts w:hint="default" w:ascii="Arial" w:hAnsi="Arial" w:eastAsia="宋体" w:cs="Arial"/>
                <w:b/>
                <w:bCs/>
                <w:kern w:val="2"/>
                <w:sz w:val="24"/>
                <w:szCs w:val="24"/>
                <w:lang w:val="en-US" w:eastAsia="zh-CN" w:bidi="ar-SA"/>
              </w:rPr>
              <w:t>2、施工期对动物的影响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物种种类数量、动物种群数量</w:t>
            </w:r>
            <w:r>
              <w:rPr>
                <w:rFonts w:hint="default" w:ascii="Arial" w:hAnsi="Arial" w:eastAsia="宋体" w:cs="Arial"/>
                <w:kern w:val="2"/>
                <w:sz w:val="24"/>
                <w:szCs w:val="24"/>
                <w:lang w:val="en-US" w:eastAsia="zh-CN" w:bidi="ar-SA"/>
              </w:rPr>
              <w:t>：占用林地期间，因施工影响，动物将进行迁移和回避，从而导致施工区动物的数量减少，但对整个项目区动物的种群数量的影响有限，不会导致物种数量、种类的减少。</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栖息环境</w:t>
            </w:r>
            <w:r>
              <w:rPr>
                <w:rFonts w:hint="default" w:ascii="Arial" w:hAnsi="Arial" w:eastAsia="宋体" w:cs="Arial"/>
                <w:kern w:val="2"/>
                <w:sz w:val="24"/>
                <w:szCs w:val="24"/>
                <w:lang w:val="en-US" w:eastAsia="zh-CN" w:bidi="ar-SA"/>
              </w:rPr>
              <w:t>：占用林地期间，施工人员的施工、生活等活动对施工地及附近动物栖息地生境产生干扰和破坏，如施工噪声、扬尘等对施工周边动物形成惊吓，使其离开现有栖息地；施工中挖填方将对两栖和爬行类小生境形成破坏；施工砍伐和清除占地范围内的植被，使栖息于附近的野生动物的隐蔽性降低，甚至丧失其原有栖息地；运输车辆等夜间作业，灯光将惊吓影响区域内的野生动物，而使其离开原有栖息地。但受影响动物在当地或其他地区是广泛分布的物种，迁移能力强，对其种群结构和栖息地影响不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b/>
                <w:bCs/>
                <w:kern w:val="2"/>
                <w:sz w:val="24"/>
                <w:szCs w:val="24"/>
                <w:u w:val="single"/>
                <w:lang w:val="en-US" w:eastAsia="zh-CN" w:bidi="ar-SA"/>
              </w:rPr>
              <w:t>人为扑杀等干扰</w:t>
            </w:r>
            <w:r>
              <w:rPr>
                <w:rFonts w:hint="default" w:ascii="Arial" w:hAnsi="Arial" w:eastAsia="宋体" w:cs="Arial"/>
                <w:kern w:val="2"/>
                <w:sz w:val="24"/>
                <w:szCs w:val="24"/>
                <w:lang w:val="en-US" w:eastAsia="zh-CN" w:bidi="ar-SA"/>
              </w:rPr>
              <w:t>：占用林地期间，施工中机械和人员入场、材料堆放、施工等会直接伤害到两栖动物；人们捕捉食用蛙类，将会造成这些种类在工程区及其相邻地区成为残存种；工程建设的开挖造成部分生境破坏。但制定和落实严格的保护措施，严禁随意捕猎，加大保护宣传等最大限度降低人为主观干扰。</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eastAsia="宋体" w:cs="Arial"/>
                <w:kern w:val="2"/>
                <w:sz w:val="24"/>
                <w:szCs w:val="24"/>
                <w:lang w:val="en-US" w:eastAsia="zh-CN" w:bidi="ar-SA"/>
              </w:rPr>
            </w:pPr>
            <w:r>
              <w:rPr>
                <w:rFonts w:hint="default" w:ascii="Arial" w:hAnsi="Arial" w:eastAsia="宋体" w:cs="Arial"/>
                <w:kern w:val="2"/>
                <w:sz w:val="24"/>
                <w:szCs w:val="24"/>
                <w:lang w:val="en-US" w:eastAsia="zh-CN" w:bidi="ar-SA"/>
              </w:rPr>
              <w:t>工程施工期间增加的较强人为干扰可能会促使工程区域动物远离施工场所，不会对它们的种群或个体造成危害。水库施工期，由于施工活动的影响，鸟类可能往工程建设区以外的区域迁徙，其他动物会直接远撤，工程建设对其影响不大。水库施工建设对动物的影响是在可承受的范围内的，不会造成物种的灭绝和生态链的断裂。</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2" w:firstLineChars="200"/>
              <w:textAlignment w:val="auto"/>
              <w:rPr>
                <w:rFonts w:hint="default" w:ascii="Arial" w:hAnsi="Arial" w:eastAsia="宋体" w:cs="Arial"/>
                <w:sz w:val="24"/>
                <w:szCs w:val="24"/>
              </w:rPr>
            </w:pPr>
            <w:r>
              <w:rPr>
                <w:rFonts w:hint="default" w:ascii="Arial" w:hAnsi="Arial" w:eastAsia="宋体" w:cs="Arial"/>
                <w:b/>
                <w:bCs/>
                <w:spacing w:val="-5"/>
                <w:sz w:val="24"/>
                <w:szCs w:val="24"/>
              </w:rPr>
              <w:t>3、对水生生物的影响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sz w:val="24"/>
                <w:szCs w:val="24"/>
              </w:rPr>
            </w:pPr>
            <w:r>
              <w:rPr>
                <w:rFonts w:hint="default" w:ascii="Arial" w:hAnsi="Arial" w:eastAsia="宋体" w:cs="Arial"/>
                <w:spacing w:val="-1"/>
                <w:sz w:val="24"/>
                <w:szCs w:val="24"/>
              </w:rPr>
              <w:t>主体工程施工期间，将产生悬浮物。若不采取有效</w:t>
            </w:r>
            <w:r>
              <w:rPr>
                <w:rFonts w:hint="default" w:ascii="Arial" w:hAnsi="Arial" w:eastAsia="宋体" w:cs="Arial"/>
                <w:spacing w:val="-2"/>
                <w:sz w:val="24"/>
                <w:szCs w:val="24"/>
              </w:rPr>
              <w:t>措施，将导致枯水季节工</w:t>
            </w:r>
            <w:r>
              <w:rPr>
                <w:rFonts w:hint="default" w:ascii="Arial" w:hAnsi="Arial" w:eastAsia="宋体" w:cs="Arial"/>
                <w:spacing w:val="6"/>
                <w:sz w:val="24"/>
                <w:szCs w:val="24"/>
              </w:rPr>
              <w:t>程影响河段水体浑浊度进一步增大，部分近岸缓流坑凼可能在局部</w:t>
            </w:r>
            <w:r>
              <w:rPr>
                <w:rFonts w:hint="default" w:ascii="Arial" w:hAnsi="Arial" w:eastAsia="宋体" w:cs="Arial"/>
                <w:spacing w:val="5"/>
                <w:sz w:val="24"/>
                <w:szCs w:val="24"/>
              </w:rPr>
              <w:t>呈现富营养</w:t>
            </w:r>
            <w:r>
              <w:rPr>
                <w:rFonts w:hint="default" w:ascii="Arial" w:hAnsi="Arial" w:eastAsia="宋体" w:cs="Arial"/>
                <w:spacing w:val="-1"/>
                <w:sz w:val="24"/>
                <w:szCs w:val="24"/>
              </w:rPr>
              <w:t>化，而缓流水滩之砾石也将被灰色污泥覆盖，直接影响浮游动物、</w:t>
            </w:r>
            <w:r>
              <w:rPr>
                <w:rFonts w:hint="default" w:ascii="Arial" w:hAnsi="Arial" w:eastAsia="宋体" w:cs="Arial"/>
                <w:spacing w:val="-2"/>
                <w:sz w:val="24"/>
                <w:szCs w:val="24"/>
              </w:rPr>
              <w:t>浮游植物、底</w:t>
            </w:r>
            <w:r>
              <w:rPr>
                <w:rFonts w:hint="default" w:ascii="Arial" w:hAnsi="Arial" w:eastAsia="宋体" w:cs="Arial"/>
                <w:spacing w:val="-1"/>
                <w:sz w:val="24"/>
                <w:szCs w:val="24"/>
              </w:rPr>
              <w:t>栖动物的生存和繁衍。同时各种机械设备可能对底栖动物造成直接</w:t>
            </w:r>
            <w:r>
              <w:rPr>
                <w:rFonts w:hint="default" w:ascii="Arial" w:hAnsi="Arial" w:eastAsia="宋体" w:cs="Arial"/>
                <w:spacing w:val="-2"/>
                <w:sz w:val="24"/>
                <w:szCs w:val="24"/>
              </w:rPr>
              <w:t>伤害。施工期间的生产生活废水经过严格处理</w:t>
            </w:r>
            <w:r>
              <w:rPr>
                <w:rFonts w:hint="eastAsia" w:ascii="Arial" w:hAnsi="Arial" w:eastAsia="宋体" w:cs="Arial"/>
                <w:spacing w:val="-2"/>
                <w:sz w:val="24"/>
                <w:szCs w:val="24"/>
                <w:lang w:val="en-US" w:eastAsia="zh-CN"/>
              </w:rPr>
              <w:t>用作农肥不外排</w:t>
            </w:r>
            <w:r>
              <w:rPr>
                <w:rFonts w:hint="default" w:ascii="Arial" w:hAnsi="Arial" w:eastAsia="宋体" w:cs="Arial"/>
                <w:spacing w:val="-2"/>
                <w:sz w:val="24"/>
                <w:szCs w:val="24"/>
              </w:rPr>
              <w:t>，固体废弃物等也集中收集和处置，</w:t>
            </w:r>
            <w:r>
              <w:rPr>
                <w:rFonts w:hint="default" w:ascii="Arial" w:hAnsi="Arial" w:eastAsia="宋体" w:cs="Arial"/>
                <w:spacing w:val="-1"/>
                <w:sz w:val="24"/>
                <w:szCs w:val="24"/>
              </w:rPr>
              <w:t>对工程河段水质影响较小。因此可以将施工对水生动物的不利影响</w:t>
            </w:r>
            <w:r>
              <w:rPr>
                <w:rFonts w:hint="default" w:ascii="Arial" w:hAnsi="Arial" w:eastAsia="宋体" w:cs="Arial"/>
                <w:spacing w:val="-2"/>
                <w:sz w:val="24"/>
                <w:szCs w:val="24"/>
              </w:rPr>
              <w:t>减到最小，施</w:t>
            </w:r>
            <w:r>
              <w:rPr>
                <w:rFonts w:hint="default" w:ascii="Arial" w:hAnsi="Arial" w:eastAsia="宋体" w:cs="Arial"/>
                <w:spacing w:val="-1"/>
                <w:sz w:val="24"/>
                <w:szCs w:val="24"/>
              </w:rPr>
              <w:t>工结束后，水生生物的资源会逐步恢复。</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Arial" w:hAnsi="Arial" w:eastAsia="宋体" w:cs="Arial"/>
                <w:spacing w:val="-2"/>
                <w:sz w:val="24"/>
                <w:szCs w:val="24"/>
                <w:lang w:val="en-US" w:eastAsia="zh-CN"/>
              </w:rPr>
            </w:pPr>
            <w:r>
              <w:rPr>
                <w:rFonts w:hint="eastAsia" w:ascii="Arial" w:hAnsi="Arial" w:eastAsia="宋体" w:cs="Arial"/>
                <w:spacing w:val="-1"/>
                <w:sz w:val="24"/>
                <w:szCs w:val="24"/>
                <w:lang w:val="en-US" w:eastAsia="zh-CN"/>
              </w:rPr>
              <w:t>另外，</w:t>
            </w:r>
            <w:r>
              <w:rPr>
                <w:rFonts w:hint="default" w:ascii="Arial" w:hAnsi="Arial" w:eastAsia="宋体" w:cs="Arial"/>
                <w:spacing w:val="-1"/>
                <w:sz w:val="24"/>
                <w:szCs w:val="24"/>
              </w:rPr>
              <w:t>施工期间的生产废水</w:t>
            </w:r>
            <w:r>
              <w:rPr>
                <w:rFonts w:hint="eastAsia" w:ascii="Arial" w:hAnsi="Arial" w:eastAsia="宋体" w:cs="Arial"/>
                <w:spacing w:val="-1"/>
                <w:sz w:val="24"/>
                <w:szCs w:val="24"/>
                <w:lang w:val="en-US" w:eastAsia="zh-CN"/>
              </w:rPr>
              <w:t>若</w:t>
            </w:r>
            <w:r>
              <w:rPr>
                <w:rFonts w:hint="default" w:ascii="Arial" w:hAnsi="Arial" w:eastAsia="宋体" w:cs="Arial"/>
                <w:spacing w:val="-1"/>
                <w:sz w:val="24"/>
                <w:szCs w:val="24"/>
              </w:rPr>
              <w:t>排入河流中，对水域生态环境带来不</w:t>
            </w:r>
            <w:r>
              <w:rPr>
                <w:rFonts w:hint="default" w:ascii="Arial" w:hAnsi="Arial" w:eastAsia="宋体" w:cs="Arial"/>
                <w:spacing w:val="-2"/>
                <w:sz w:val="24"/>
                <w:szCs w:val="24"/>
              </w:rPr>
              <w:t>利影响，最终造成</w:t>
            </w:r>
            <w:r>
              <w:rPr>
                <w:rFonts w:hint="default" w:ascii="Arial" w:hAnsi="Arial" w:eastAsia="宋体" w:cs="Arial"/>
                <w:spacing w:val="-1"/>
                <w:sz w:val="24"/>
                <w:szCs w:val="24"/>
              </w:rPr>
              <w:t>清洁水体的硅藻、蜉蝣等鱼类饵料生物减少。同时，受污染的水体</w:t>
            </w:r>
            <w:r>
              <w:rPr>
                <w:rFonts w:hint="default" w:ascii="Arial" w:hAnsi="Arial" w:eastAsia="宋体" w:cs="Arial"/>
                <w:spacing w:val="-2"/>
                <w:sz w:val="24"/>
                <w:szCs w:val="24"/>
              </w:rPr>
              <w:t>也可能导致鱼</w:t>
            </w:r>
            <w:r>
              <w:rPr>
                <w:rFonts w:hint="default" w:ascii="Arial" w:hAnsi="Arial" w:eastAsia="宋体" w:cs="Arial"/>
                <w:sz w:val="24"/>
                <w:szCs w:val="24"/>
              </w:rPr>
              <w:t xml:space="preserve"> </w:t>
            </w:r>
            <w:r>
              <w:rPr>
                <w:rFonts w:hint="default" w:ascii="Arial" w:hAnsi="Arial" w:eastAsia="宋体" w:cs="Arial"/>
                <w:spacing w:val="-1"/>
                <w:sz w:val="24"/>
                <w:szCs w:val="24"/>
              </w:rPr>
              <w:t>类不能适应或中毒，造成鱼类死亡，导致区域内鱼类种群数量减少</w:t>
            </w:r>
            <w:r>
              <w:rPr>
                <w:rFonts w:hint="default" w:ascii="Arial" w:hAnsi="Arial" w:eastAsia="宋体" w:cs="Arial"/>
                <w:spacing w:val="-2"/>
                <w:sz w:val="24"/>
                <w:szCs w:val="24"/>
              </w:rPr>
              <w:t>。</w:t>
            </w:r>
            <w:r>
              <w:rPr>
                <w:rFonts w:hint="eastAsia" w:ascii="Arial" w:hAnsi="Arial" w:eastAsia="宋体" w:cs="Arial"/>
                <w:spacing w:val="-2"/>
                <w:sz w:val="24"/>
                <w:szCs w:val="24"/>
                <w:lang w:val="en-US" w:eastAsia="zh-CN"/>
              </w:rPr>
              <w:t>但项目施工废水均经沉淀后回用于施工区域洒水降尘等，不会排入附近水体。</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1"/>
                <w:sz w:val="24"/>
                <w:szCs w:val="24"/>
              </w:rPr>
            </w:pPr>
            <w:r>
              <w:rPr>
                <w:rFonts w:hint="eastAsia" w:ascii="Arial" w:hAnsi="Arial" w:eastAsia="宋体" w:cs="Arial"/>
                <w:spacing w:val="-2"/>
                <w:sz w:val="24"/>
                <w:szCs w:val="24"/>
                <w:lang w:val="en-US" w:eastAsia="zh-CN"/>
              </w:rPr>
              <w:t>除此之外</w:t>
            </w:r>
            <w:r>
              <w:rPr>
                <w:rFonts w:hint="default" w:ascii="Arial" w:hAnsi="Arial" w:eastAsia="宋体" w:cs="Arial"/>
                <w:spacing w:val="-2"/>
                <w:sz w:val="24"/>
                <w:szCs w:val="24"/>
              </w:rPr>
              <w:t>，尽管</w:t>
            </w:r>
            <w:r>
              <w:rPr>
                <w:rFonts w:hint="default" w:ascii="Arial" w:hAnsi="Arial" w:eastAsia="宋体" w:cs="Arial"/>
                <w:spacing w:val="-1"/>
                <w:sz w:val="24"/>
                <w:szCs w:val="24"/>
              </w:rPr>
              <w:t>施工噪声不会对鱼类造成直接的生命危险，但会使鱼类受到惊吓和</w:t>
            </w:r>
            <w:r>
              <w:rPr>
                <w:rFonts w:hint="default" w:ascii="Arial" w:hAnsi="Arial" w:eastAsia="宋体" w:cs="Arial"/>
                <w:spacing w:val="-2"/>
                <w:sz w:val="24"/>
                <w:szCs w:val="24"/>
              </w:rPr>
              <w:t>干扰而逃离作</w:t>
            </w:r>
            <w:r>
              <w:rPr>
                <w:rFonts w:hint="default" w:ascii="Arial" w:hAnsi="Arial" w:eastAsia="宋体" w:cs="Arial"/>
                <w:spacing w:val="-1"/>
                <w:sz w:val="24"/>
                <w:szCs w:val="24"/>
              </w:rPr>
              <w:t>业水域，将影响到鱼类的正常洄游习性。但上述影响是暂时的</w:t>
            </w:r>
            <w:r>
              <w:rPr>
                <w:rFonts w:hint="default" w:ascii="Arial" w:hAnsi="Arial" w:eastAsia="宋体" w:cs="Arial"/>
                <w:spacing w:val="-2"/>
                <w:sz w:val="24"/>
                <w:szCs w:val="24"/>
              </w:rPr>
              <w:t>，随着施工结束而</w:t>
            </w:r>
            <w:r>
              <w:rPr>
                <w:rFonts w:hint="default" w:ascii="Arial" w:hAnsi="Arial" w:eastAsia="宋体" w:cs="Arial"/>
                <w:spacing w:val="-1"/>
                <w:sz w:val="24"/>
                <w:szCs w:val="24"/>
              </w:rPr>
              <w:t>消失。施工期要严格按照国家环保要求达标排放和采取优化施工方</w:t>
            </w:r>
            <w:r>
              <w:rPr>
                <w:rFonts w:hint="default" w:ascii="Arial" w:hAnsi="Arial" w:eastAsia="宋体" w:cs="Arial"/>
                <w:spacing w:val="-2"/>
                <w:sz w:val="24"/>
                <w:szCs w:val="24"/>
              </w:rPr>
              <w:t>案或施工时序</w:t>
            </w:r>
            <w:r>
              <w:rPr>
                <w:rFonts w:hint="default" w:ascii="Arial" w:hAnsi="Arial" w:eastAsia="宋体" w:cs="Arial"/>
                <w:sz w:val="24"/>
                <w:szCs w:val="24"/>
              </w:rPr>
              <w:t xml:space="preserve"> </w:t>
            </w:r>
            <w:r>
              <w:rPr>
                <w:rFonts w:hint="default" w:ascii="Arial" w:hAnsi="Arial" w:eastAsia="宋体" w:cs="Arial"/>
                <w:spacing w:val="-1"/>
                <w:sz w:val="24"/>
                <w:szCs w:val="24"/>
              </w:rPr>
              <w:t>等措施，对鱼类等水生生物产生的影响降到最小。</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4、对原机耕道的影响</w:t>
            </w:r>
          </w:p>
          <w:p>
            <w:pPr>
              <w:spacing w:line="360" w:lineRule="auto"/>
              <w:ind w:firstLine="480" w:firstLineChars="200"/>
              <w:rPr>
                <w:rFonts w:hint="default" w:hAnsi="宋体" w:eastAsia="宋体"/>
                <w:color w:val="000000" w:themeColor="text1"/>
                <w:sz w:val="24"/>
                <w:lang w:val="en-US" w:eastAsia="zh-CN"/>
                <w14:textFill>
                  <w14:solidFill>
                    <w14:schemeClr w14:val="tx1"/>
                  </w14:solidFill>
                </w14:textFill>
              </w:rPr>
            </w:pPr>
            <w:r>
              <w:rPr>
                <w:rFonts w:hint="eastAsia" w:hAnsi="宋体"/>
                <w:color w:val="000000" w:themeColor="text1"/>
                <w:sz w:val="24"/>
                <w:lang w:val="en-US" w:eastAsia="zh-CN"/>
                <w14:textFill>
                  <w14:solidFill>
                    <w14:schemeClr w14:val="tx1"/>
                  </w14:solidFill>
                </w14:textFill>
              </w:rPr>
              <w:t>按照项目施工方案，对于灌区工程穿越机耕道的部分，均采用大开挖的方式进行穿越，不可避免对沿线居民的生产生活产生影响，拟通过分批次开挖，合理安排开挖时间，尽量避开居民农忙时节，合理安排施工方案，尽量缩短开挖时间，及时进行回填。在采取上述施工方案后可以将其影响减至最低。</w:t>
            </w:r>
          </w:p>
          <w:p>
            <w:pPr>
              <w:pStyle w:val="87"/>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Arial" w:hAnsi="Arial" w:cs="Arial"/>
                <w:spacing w:val="-1"/>
                <w:sz w:val="24"/>
                <w:szCs w:val="24"/>
                <w:lang w:val="en-US" w:eastAsia="zh-CN"/>
              </w:rPr>
            </w:pPr>
          </w:p>
          <w:p>
            <w:pPr>
              <w:numPr>
                <w:ilvl w:val="0"/>
                <w:numId w:val="0"/>
              </w:numPr>
              <w:spacing w:line="360" w:lineRule="auto"/>
              <w:ind w:leftChars="0"/>
              <w:rPr>
                <w:rFonts w:hint="default" w:ascii="Times New Roman" w:hAnsi="Times New Roman" w:cs="Times New Roman"/>
                <w:sz w:val="24"/>
                <w:lang w:val="en-US" w:eastAsia="zh-CN"/>
              </w:rPr>
            </w:pPr>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spacing w:val="0"/>
                <w:position w:val="0"/>
                <w:sz w:val="24"/>
                <w:szCs w:val="24"/>
                <w:lang w:val="en-US" w:eastAsia="zh-CN"/>
              </w:rPr>
            </w:pPr>
          </w:p>
          <w:p>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spacing w:val="0"/>
                <w:position w:val="0"/>
                <w:sz w:val="24"/>
                <w:szCs w:val="24"/>
                <w:lang w:val="en-US" w:eastAsia="zh-CN"/>
              </w:rPr>
            </w:pPr>
          </w:p>
          <w:p>
            <w:pPr>
              <w:spacing w:line="360" w:lineRule="auto"/>
              <w:rPr>
                <w:rFonts w:ascii="Arial" w:hAnsi="Arial" w:cs="Arial"/>
                <w:color w:val="000000"/>
                <w:sz w:val="24"/>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57" w:type="dxa"/>
            <w:tcMar>
              <w:left w:w="28" w:type="dxa"/>
              <w:right w:w="28" w:type="dxa"/>
            </w:tcMar>
            <w:vAlign w:val="center"/>
          </w:tcPr>
          <w:p>
            <w:pPr>
              <w:pStyle w:val="19"/>
              <w:adjustRightInd w:val="0"/>
              <w:snapToGrid w:val="0"/>
              <w:spacing w:before="0" w:beforeAutospacing="0" w:after="0" w:afterAutospacing="0"/>
              <w:jc w:val="center"/>
              <w:rPr>
                <w:rFonts w:cs="宋体"/>
                <w:bCs/>
                <w:kern w:val="2"/>
                <w:sz w:val="21"/>
                <w:szCs w:val="21"/>
              </w:rPr>
            </w:pPr>
            <w:r>
              <w:rPr>
                <w:rFonts w:hint="eastAsia" w:cs="宋体"/>
                <w:bCs/>
                <w:spacing w:val="10"/>
                <w:kern w:val="2"/>
                <w:sz w:val="21"/>
                <w:szCs w:val="21"/>
              </w:rPr>
              <w:t>运营期生态环境影响分析</w:t>
            </w:r>
          </w:p>
        </w:tc>
        <w:tc>
          <w:tcPr>
            <w:tcW w:w="9273" w:type="dxa"/>
          </w:tcPr>
          <w:p>
            <w:pPr>
              <w:spacing w:line="360" w:lineRule="auto"/>
              <w:rPr>
                <w:rFonts w:hint="eastAsia" w:ascii="Arial" w:hAnsi="Arial" w:eastAsia="宋体" w:cs="Arial"/>
                <w:b/>
                <w:sz w:val="24"/>
              </w:rPr>
            </w:pPr>
            <w:r>
              <w:rPr>
                <w:rFonts w:hint="eastAsia" w:ascii="Arial" w:hAnsi="Arial" w:eastAsia="宋体" w:cs="Arial"/>
                <w:b/>
                <w:sz w:val="24"/>
              </w:rPr>
              <w:t xml:space="preserve">一、运行期地表水影响分析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Arial" w:hAnsi="Arial" w:eastAsia="宋体" w:cs="Arial"/>
                <w:bCs/>
                <w:color w:val="7030A0"/>
                <w:sz w:val="24"/>
                <w:lang w:val="en-US" w:eastAsia="zh-CN"/>
              </w:rPr>
            </w:pPr>
            <w:r>
              <w:rPr>
                <w:rFonts w:hint="eastAsia" w:ascii="Arial" w:hAnsi="Arial" w:eastAsia="宋体" w:cs="Arial"/>
                <w:b/>
                <w:bCs w:val="0"/>
                <w:color w:val="7030A0"/>
                <w:sz w:val="24"/>
                <w:lang w:val="en-US" w:eastAsia="zh-CN"/>
              </w:rPr>
              <w:t>具体详见</w:t>
            </w:r>
            <w:r>
              <w:rPr>
                <w:rFonts w:hint="eastAsia" w:ascii="Arial" w:hAnsi="Arial" w:cs="Arial"/>
                <w:b/>
                <w:bCs w:val="0"/>
                <w:color w:val="7030A0"/>
                <w:sz w:val="24"/>
                <w:lang w:val="en-US" w:eastAsia="zh-CN"/>
              </w:rPr>
              <w:t>地表水环境影响分析</w:t>
            </w:r>
            <w:r>
              <w:rPr>
                <w:rFonts w:hint="eastAsia" w:ascii="Arial" w:hAnsi="Arial" w:eastAsia="宋体" w:cs="Arial"/>
                <w:b/>
                <w:bCs w:val="0"/>
                <w:color w:val="7030A0"/>
                <w:sz w:val="24"/>
                <w:lang w:val="en-US" w:eastAsia="zh-CN"/>
              </w:rPr>
              <w:t>专项评价章节</w:t>
            </w:r>
            <w:r>
              <w:rPr>
                <w:rFonts w:hint="eastAsia" w:ascii="Arial" w:hAnsi="Arial" w:eastAsia="宋体" w:cs="Arial"/>
                <w:bCs/>
                <w:color w:val="7030A0"/>
                <w:sz w:val="24"/>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eastAsia" w:ascii="Arial" w:hAnsi="Arial" w:cs="Arial"/>
                <w:b/>
                <w:bCs/>
                <w:color w:val="0000FF"/>
                <w:spacing w:val="-5"/>
                <w:kern w:val="2"/>
                <w:sz w:val="24"/>
                <w:szCs w:val="24"/>
                <w:lang w:val="en-US" w:eastAsia="zh-CN" w:bidi="ar-SA"/>
              </w:rPr>
            </w:pPr>
            <w:r>
              <w:rPr>
                <w:rFonts w:hint="eastAsia" w:ascii="Arial" w:hAnsi="Arial" w:cs="Arial"/>
                <w:b/>
                <w:bCs/>
                <w:color w:val="0000FF"/>
                <w:spacing w:val="-5"/>
                <w:kern w:val="2"/>
                <w:sz w:val="24"/>
                <w:szCs w:val="24"/>
                <w:lang w:val="en-US" w:eastAsia="zh-CN" w:bidi="ar-SA"/>
              </w:rPr>
              <w:t>水文情势影响分析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textAlignment w:val="auto"/>
              <w:rPr>
                <w:rFonts w:hint="default" w:ascii="宋体" w:hAnsi="宋体" w:eastAsia="宋体" w:cs="宋体"/>
                <w:color w:val="0000FF"/>
                <w:spacing w:val="5"/>
                <w:sz w:val="24"/>
                <w:szCs w:val="24"/>
                <w:lang w:val="en-US" w:eastAsia="zh-CN"/>
              </w:rPr>
            </w:pPr>
            <w:r>
              <w:rPr>
                <w:rFonts w:hint="eastAsia" w:ascii="宋体" w:hAnsi="宋体" w:eastAsia="宋体" w:cs="宋体"/>
                <w:color w:val="0000FF"/>
                <w:spacing w:val="5"/>
                <w:sz w:val="24"/>
                <w:szCs w:val="24"/>
                <w:lang w:val="en-US" w:eastAsia="zh-CN"/>
              </w:rPr>
              <w:t>具体见地表水专项评价</w:t>
            </w:r>
            <w:r>
              <w:rPr>
                <w:rFonts w:hint="eastAsia" w:ascii="宋体" w:hAnsi="宋体" w:cs="宋体"/>
                <w:color w:val="0000FF"/>
                <w:spacing w:val="5"/>
                <w:sz w:val="24"/>
                <w:szCs w:val="24"/>
                <w:lang w:val="en-US" w:eastAsia="zh-CN"/>
              </w:rPr>
              <w:t>5</w:t>
            </w:r>
            <w:r>
              <w:rPr>
                <w:rFonts w:hint="eastAsia" w:ascii="宋体" w:hAnsi="宋体" w:eastAsia="宋体" w:cs="宋体"/>
                <w:color w:val="0000FF"/>
                <w:spacing w:val="5"/>
                <w:sz w:val="24"/>
                <w:szCs w:val="24"/>
                <w:lang w:val="en-US" w:eastAsia="zh-CN"/>
              </w:rPr>
              <w:t>.2</w:t>
            </w:r>
            <w:r>
              <w:rPr>
                <w:rFonts w:hint="eastAsia" w:ascii="宋体" w:hAnsi="宋体" w:cs="宋体"/>
                <w:color w:val="0000FF"/>
                <w:spacing w:val="5"/>
                <w:sz w:val="24"/>
                <w:szCs w:val="24"/>
                <w:lang w:val="en-US" w:eastAsia="zh-CN"/>
              </w:rPr>
              <w:t>~5.5</w:t>
            </w:r>
            <w:r>
              <w:rPr>
                <w:rFonts w:hint="eastAsia" w:ascii="宋体" w:hAnsi="宋体" w:eastAsia="宋体" w:cs="宋体"/>
                <w:color w:val="0000FF"/>
                <w:spacing w:val="5"/>
                <w:sz w:val="24"/>
                <w:szCs w:val="24"/>
                <w:lang w:val="en-US" w:eastAsia="zh-CN"/>
              </w:rPr>
              <w:t>，</w:t>
            </w:r>
            <w:r>
              <w:rPr>
                <w:rFonts w:hint="eastAsia" w:ascii="宋体" w:hAnsi="宋体" w:cs="宋体"/>
                <w:color w:val="0000FF"/>
                <w:spacing w:val="5"/>
                <w:sz w:val="24"/>
                <w:szCs w:val="24"/>
                <w:lang w:val="en-US" w:eastAsia="zh-CN"/>
              </w:rPr>
              <w:t>此处仅引用该专项中的结论。具体如下：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eastAsia="宋体" w:cs="宋体"/>
                <w:b/>
                <w:bCs/>
                <w:spacing w:val="5"/>
                <w:sz w:val="24"/>
                <w:szCs w:val="24"/>
                <w:lang w:val="en-US" w:eastAsia="zh-CN"/>
              </w:rPr>
            </w:pPr>
            <w:r>
              <w:rPr>
                <w:rFonts w:hint="eastAsia" w:ascii="宋体" w:hAnsi="宋体" w:cs="宋体"/>
                <w:b/>
                <w:bCs/>
                <w:spacing w:val="5"/>
                <w:sz w:val="24"/>
                <w:szCs w:val="24"/>
                <w:lang w:val="en-US" w:eastAsia="zh-CN"/>
              </w:rPr>
              <w:t>⑴</w:t>
            </w:r>
            <w:r>
              <w:rPr>
                <w:rFonts w:hint="eastAsia" w:ascii="宋体" w:hAnsi="宋体" w:eastAsia="宋体" w:cs="宋体"/>
                <w:b/>
                <w:bCs/>
                <w:spacing w:val="5"/>
                <w:sz w:val="24"/>
                <w:szCs w:val="24"/>
                <w:lang w:val="en-US" w:eastAsia="zh-CN"/>
              </w:rPr>
              <w:t>初期蓄水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0000FF"/>
                <w:spacing w:val="0"/>
                <w:sz w:val="24"/>
                <w:szCs w:val="24"/>
                <w:lang w:val="en-US" w:eastAsia="zh-CN"/>
              </w:rPr>
            </w:pPr>
            <w:r>
              <w:rPr>
                <w:rFonts w:hint="eastAsia" w:ascii="宋体" w:hAnsi="宋体" w:eastAsia="宋体" w:cs="宋体"/>
                <w:color w:val="0000FF"/>
                <w:spacing w:val="0"/>
                <w:sz w:val="24"/>
                <w:szCs w:val="24"/>
                <w:lang w:val="en-US" w:eastAsia="zh-CN"/>
              </w:rPr>
              <w:t>根据项目总进度安排，导流隧洞下闸安排在第三年3月初进行，水库蓄水按保证率P=75％各月径流量作为入库水量计算，并考虑蓄水过程中1％的水量损失及生态流量。通过计算，水库蓄水至第三年9月，水库蓄水量为36万m3，水位可到达567.6m，高于取水口高程565.0m，工程即可发挥效益，蓄水时间约5个月。为保障灌溉，并提前发挥效益，三合水库可利用第三年汛期拦蓄洪水蓄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经径流计算，本工程取水枢纽在枯水期最小流量时，扣除取水流量后下泄水量仍能满足下游河道生态用水要求，但为安全起见，建议在认真核算各取水口各时段需水量后，采取工程措施将余水量全部下泄到坝下游河段，以满足坝下河段鱼类及其他水生生物需要。为防止特枯流量时下泄生态流量不能满足取水枢纽下游生态河道用水需求，本工程应严格落实在取水枢纽处设置生态放水管，在下泄流量不足多年平均来水量的20%时进行放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水库蓄水至死水位以上才开始发挥效益，在此之前可以通过加强施工管理、利用输水洞、配备输水泵、泄流底孔等下泄生态流量来保证河段下游水文情势不发生大的变化。</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eastAsia" w:ascii="Arial" w:hAnsi="Arial" w:cs="Arial"/>
                <w:b/>
                <w:bCs/>
                <w:spacing w:val="-5"/>
                <w:kern w:val="2"/>
                <w:sz w:val="24"/>
                <w:szCs w:val="24"/>
                <w:lang w:val="en-US" w:eastAsia="zh-CN" w:bidi="ar-SA"/>
              </w:rPr>
            </w:pPr>
            <w:r>
              <w:rPr>
                <w:rFonts w:hint="eastAsia" w:ascii="Arial" w:hAnsi="Arial" w:cs="Arial"/>
                <w:b/>
                <w:bCs/>
                <w:spacing w:val="-5"/>
                <w:kern w:val="2"/>
                <w:sz w:val="24"/>
                <w:szCs w:val="24"/>
                <w:lang w:val="en-US" w:eastAsia="zh-CN" w:bidi="ar-SA"/>
              </w:rPr>
              <w:t>对库区水文情势影响分析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cs="Times New Roman"/>
                <w:b/>
                <w:bCs/>
                <w:color w:val="0000FF"/>
                <w:spacing w:val="0"/>
                <w:sz w:val="24"/>
                <w:szCs w:val="24"/>
              </w:rPr>
            </w:pPr>
            <w:r>
              <w:rPr>
                <w:rFonts w:hint="eastAsia" w:cs="Times New Roman"/>
                <w:b/>
                <w:bCs/>
                <w:color w:val="0000FF"/>
                <w:spacing w:val="0"/>
                <w:sz w:val="24"/>
                <w:szCs w:val="24"/>
                <w:lang w:val="en-US" w:eastAsia="zh-CN"/>
              </w:rPr>
              <w:t>⑴</w:t>
            </w:r>
            <w:r>
              <w:rPr>
                <w:rFonts w:cs="Times New Roman"/>
                <w:b/>
                <w:bCs/>
                <w:color w:val="0000FF"/>
                <w:spacing w:val="0"/>
                <w:sz w:val="24"/>
                <w:szCs w:val="24"/>
              </w:rPr>
              <w:t>水域形态</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color w:val="0000FF"/>
                <w:spacing w:val="0"/>
                <w:sz w:val="24"/>
                <w:szCs w:val="24"/>
                <w:lang w:val="en-US" w:eastAsia="zh-CN"/>
              </w:rPr>
            </w:pPr>
            <w:r>
              <w:rPr>
                <w:rFonts w:hint="eastAsia" w:ascii="宋体" w:hAnsi="宋体" w:cs="宋体"/>
                <w:color w:val="0000FF"/>
                <w:spacing w:val="0"/>
                <w:sz w:val="24"/>
                <w:szCs w:val="24"/>
                <w:lang w:val="en-US" w:eastAsia="zh-CN"/>
              </w:rPr>
              <w:t>天然状态下，坝址处水位547m。水库蓄水后，库区水位较天然河道抬高149m，水面面积增大11.15hm</w:t>
            </w:r>
            <w:r>
              <w:rPr>
                <w:rFonts w:hint="eastAsia" w:ascii="宋体" w:hAnsi="宋体" w:cs="宋体"/>
                <w:color w:val="0000FF"/>
                <w:spacing w:val="0"/>
                <w:sz w:val="24"/>
                <w:szCs w:val="24"/>
                <w:vertAlign w:val="superscript"/>
                <w:lang w:val="en-US" w:eastAsia="zh-CN"/>
              </w:rPr>
              <w:t>2</w:t>
            </w:r>
            <w:r>
              <w:rPr>
                <w:rFonts w:hint="eastAsia" w:ascii="宋体" w:hAnsi="宋体" w:cs="宋体"/>
                <w:color w:val="0000FF"/>
                <w:spacing w:val="0"/>
                <w:sz w:val="24"/>
                <w:szCs w:val="24"/>
                <w:lang w:val="en-US" w:eastAsia="zh-CN"/>
              </w:rPr>
              <w:t>，流速较天然河道减小，库区河段将由急流河道转变为缓流河道型水库。水库在调度运行时，水位在正常蓄水位594.5m与死水位567m之间变化，最大消落深度27.5m。</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color w:val="0000FF"/>
                <w:spacing w:val="0"/>
                <w:sz w:val="24"/>
                <w:szCs w:val="24"/>
                <w:lang w:val="en-US" w:eastAsia="zh-CN"/>
              </w:rPr>
            </w:pPr>
            <w:bookmarkStart w:id="34" w:name="_Hlk170749028"/>
            <w:r>
              <w:rPr>
                <w:rFonts w:hint="eastAsia" w:ascii="宋体" w:hAnsi="宋体" w:cs="宋体"/>
                <w:color w:val="0000FF"/>
                <w:spacing w:val="0"/>
                <w:sz w:val="24"/>
                <w:szCs w:val="24"/>
                <w:lang w:val="en-US" w:eastAsia="zh-CN"/>
              </w:rPr>
              <w:t>水库运行后，大坝阻隔河道，库区水位壅高，水深增大，</w:t>
            </w:r>
            <w:bookmarkEnd w:id="34"/>
            <w:bookmarkStart w:id="35" w:name="_Hlk170749112"/>
            <w:r>
              <w:rPr>
                <w:rFonts w:hint="eastAsia" w:ascii="宋体" w:hAnsi="宋体" w:cs="宋体"/>
                <w:color w:val="0000FF"/>
                <w:spacing w:val="0"/>
                <w:sz w:val="24"/>
                <w:szCs w:val="24"/>
                <w:lang w:val="en-US" w:eastAsia="zh-CN"/>
              </w:rPr>
              <w:t>水面比降变缓，从库尾至坝前随着水深沿程的增加而流速减小，至坝前达到最小，在水库局部岸边可能会有回流。</w:t>
            </w:r>
            <w:bookmarkEnd w:id="35"/>
            <w:r>
              <w:rPr>
                <w:rFonts w:hint="eastAsia" w:ascii="宋体" w:hAnsi="宋体" w:cs="宋体"/>
                <w:color w:val="0000FF"/>
                <w:spacing w:val="0"/>
                <w:sz w:val="24"/>
                <w:szCs w:val="24"/>
                <w:lang w:val="en-US" w:eastAsia="zh-CN"/>
              </w:rPr>
              <w:t>在入库支流汇入口，原来湍急的河流将变成库湾，水流速度大幅度减小。</w:t>
            </w:r>
          </w:p>
          <w:p>
            <w:pPr>
              <w:pStyle w:val="7"/>
              <w:rPr>
                <w:rFonts w:ascii="Times New Roman" w:hAnsi="Times New Roman" w:cs="Times New Roman"/>
                <w:color w:val="FF0000"/>
              </w:rPr>
            </w:pPr>
          </w:p>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Times New Roman" w:cs="Times New Roman"/>
                <w:color w:val="0000FF"/>
              </w:rPr>
            </w:pPr>
            <w:r>
              <w:rPr>
                <w:rFonts w:hint="eastAsia" w:ascii="Times New Roman" w:hAnsi="宋体" w:eastAsia="宋体" w:cs="Times New Roman"/>
                <w:b/>
                <w:szCs w:val="21"/>
                <w:lang w:val="zh-CN"/>
              </w:rPr>
              <w:t>表4-</w:t>
            </w:r>
            <w:r>
              <w:rPr>
                <w:rFonts w:hint="eastAsia" w:ascii="Times New Roman" w:hAnsi="宋体" w:cs="Times New Roman"/>
                <w:b/>
                <w:szCs w:val="21"/>
                <w:lang w:val="en-US" w:eastAsia="zh-CN"/>
              </w:rPr>
              <w:t>10</w:t>
            </w:r>
            <w:r>
              <w:rPr>
                <w:rFonts w:hint="eastAsia" w:ascii="Times New Roman" w:hAnsi="宋体" w:eastAsia="宋体" w:cs="Times New Roman"/>
                <w:b/>
                <w:szCs w:val="21"/>
                <w:lang w:val="zh-CN"/>
              </w:rPr>
              <w:t xml:space="preserve">  </w:t>
            </w:r>
            <w:r>
              <w:rPr>
                <w:rFonts w:ascii="Times New Roman" w:hAnsi="Times New Roman" w:cs="Times New Roman"/>
                <w:color w:val="0000FF"/>
              </w:rPr>
              <w:t>水库淹没河段水文情势变化</w:t>
            </w:r>
          </w:p>
          <w:tbl>
            <w:tblPr>
              <w:tblStyle w:val="23"/>
              <w:tblW w:w="0" w:type="auto"/>
              <w:tblInd w:w="0" w:type="dxa"/>
              <w:tblLayout w:type="fixed"/>
              <w:tblCellMar>
                <w:top w:w="0" w:type="dxa"/>
                <w:left w:w="108" w:type="dxa"/>
                <w:bottom w:w="0" w:type="dxa"/>
                <w:right w:w="108" w:type="dxa"/>
              </w:tblCellMar>
            </w:tblPr>
            <w:tblGrid>
              <w:gridCol w:w="595"/>
              <w:gridCol w:w="1270"/>
              <w:gridCol w:w="2650"/>
              <w:gridCol w:w="2910"/>
              <w:gridCol w:w="1635"/>
            </w:tblGrid>
            <w:tr>
              <w:tc>
                <w:tcPr>
                  <w:tcW w:w="59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b/>
                      <w:bCs/>
                      <w:color w:val="0000FF"/>
                      <w:kern w:val="0"/>
                      <w:sz w:val="18"/>
                      <w:szCs w:val="18"/>
                    </w:rPr>
                  </w:pPr>
                  <w:r>
                    <w:rPr>
                      <w:rFonts w:cs="Times New Roman"/>
                      <w:b/>
                      <w:bCs/>
                      <w:color w:val="0000FF"/>
                      <w:kern w:val="0"/>
                      <w:sz w:val="18"/>
                      <w:szCs w:val="18"/>
                    </w:rPr>
                    <w:t xml:space="preserve">序号 </w:t>
                  </w:r>
                </w:p>
              </w:tc>
              <w:tc>
                <w:tcPr>
                  <w:tcW w:w="1270"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b/>
                      <w:bCs/>
                      <w:color w:val="0000FF"/>
                      <w:kern w:val="0"/>
                      <w:sz w:val="18"/>
                      <w:szCs w:val="18"/>
                    </w:rPr>
                  </w:pPr>
                  <w:r>
                    <w:rPr>
                      <w:rFonts w:cs="Times New Roman"/>
                      <w:b/>
                      <w:bCs/>
                      <w:color w:val="0000FF"/>
                      <w:kern w:val="0"/>
                      <w:sz w:val="18"/>
                      <w:szCs w:val="18"/>
                    </w:rPr>
                    <w:t xml:space="preserve">分析因子 </w:t>
                  </w:r>
                </w:p>
              </w:tc>
              <w:tc>
                <w:tcPr>
                  <w:tcW w:w="2650"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b/>
                      <w:bCs/>
                      <w:color w:val="0000FF"/>
                      <w:kern w:val="0"/>
                      <w:sz w:val="18"/>
                      <w:szCs w:val="18"/>
                    </w:rPr>
                  </w:pPr>
                  <w:r>
                    <w:rPr>
                      <w:rFonts w:cs="Times New Roman"/>
                      <w:b/>
                      <w:bCs/>
                      <w:color w:val="0000FF"/>
                      <w:kern w:val="0"/>
                      <w:sz w:val="18"/>
                      <w:szCs w:val="18"/>
                    </w:rPr>
                    <w:t xml:space="preserve">建库前 </w:t>
                  </w:r>
                </w:p>
              </w:tc>
              <w:tc>
                <w:tcPr>
                  <w:tcW w:w="2910"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b/>
                      <w:bCs/>
                      <w:color w:val="0000FF"/>
                      <w:kern w:val="0"/>
                      <w:sz w:val="18"/>
                      <w:szCs w:val="18"/>
                    </w:rPr>
                  </w:pPr>
                  <w:r>
                    <w:rPr>
                      <w:rFonts w:cs="Times New Roman"/>
                      <w:b/>
                      <w:bCs/>
                      <w:color w:val="0000FF"/>
                      <w:kern w:val="0"/>
                      <w:sz w:val="18"/>
                      <w:szCs w:val="18"/>
                    </w:rPr>
                    <w:t xml:space="preserve">建库后 </w:t>
                  </w:r>
                </w:p>
              </w:tc>
              <w:tc>
                <w:tcPr>
                  <w:tcW w:w="1635"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b/>
                      <w:bCs/>
                      <w:color w:val="0000FF"/>
                      <w:kern w:val="0"/>
                      <w:sz w:val="18"/>
                      <w:szCs w:val="18"/>
                    </w:rPr>
                  </w:pPr>
                  <w:r>
                    <w:rPr>
                      <w:rFonts w:cs="Times New Roman"/>
                      <w:b/>
                      <w:bCs/>
                      <w:color w:val="0000FF"/>
                      <w:kern w:val="0"/>
                      <w:sz w:val="18"/>
                      <w:szCs w:val="18"/>
                    </w:rPr>
                    <w:t>对比分析</w:t>
                  </w:r>
                </w:p>
              </w:tc>
            </w:tr>
            <w:tr>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1</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水域形态</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两侧季节性溪沟近入汇，库尾段为线状河网，辜家河前为细条带状河流水域形态</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两侧季节性溪沟近入汇，形成 0.91km长条蝶翅状湖库水域形态</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河流水域形态向湖库水域形态变化</w:t>
                  </w:r>
                </w:p>
              </w:tc>
            </w:tr>
            <w:tr>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2</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 xml:space="preserve">水面面积 </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≤0.27</w:t>
                  </w:r>
                  <w:r>
                    <w:rPr>
                      <w:rFonts w:cs="Times New Roman"/>
                      <w:color w:val="0000FF"/>
                      <w:sz w:val="20"/>
                      <w:szCs w:val="20"/>
                      <w:shd w:val="clear" w:color="auto" w:fill="FFFFFF"/>
                    </w:rPr>
                    <w:t>ha</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3.72~14.43ha</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+3.45~14.16</w:t>
                  </w:r>
                  <w:r>
                    <w:rPr>
                      <w:rFonts w:cs="Times New Roman"/>
                      <w:color w:val="0000FF"/>
                      <w:sz w:val="20"/>
                      <w:szCs w:val="20"/>
                      <w:shd w:val="clear" w:color="auto" w:fill="FFFFFF"/>
                    </w:rPr>
                    <w:t>ha</w:t>
                  </w:r>
                </w:p>
              </w:tc>
            </w:tr>
            <w:tr>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3</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 xml:space="preserve">蓄水量 </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34~273万 m</w:t>
                  </w:r>
                  <w:r>
                    <w:rPr>
                      <w:rFonts w:cs="Times New Roman"/>
                      <w:color w:val="0000FF"/>
                      <w:kern w:val="0"/>
                      <w:sz w:val="18"/>
                      <w:szCs w:val="18"/>
                      <w:vertAlign w:val="superscript"/>
                    </w:rPr>
                    <w:t xml:space="preserve">3 </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+34~273万m</w:t>
                  </w:r>
                  <w:r>
                    <w:rPr>
                      <w:rFonts w:cs="Times New Roman"/>
                      <w:color w:val="0000FF"/>
                      <w:kern w:val="0"/>
                      <w:sz w:val="18"/>
                      <w:szCs w:val="18"/>
                      <w:vertAlign w:val="superscript"/>
                    </w:rPr>
                    <w:t>3</w:t>
                  </w:r>
                </w:p>
              </w:tc>
            </w:tr>
            <w:tr>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4</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水力停留</w:t>
                  </w:r>
                </w:p>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 xml:space="preserve">时间 </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251d</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+251d</w:t>
                  </w:r>
                </w:p>
              </w:tc>
            </w:tr>
            <w:tr>
              <w:tblPrEx>
                <w:tblCellMar>
                  <w:top w:w="0" w:type="dxa"/>
                  <w:left w:w="108" w:type="dxa"/>
                  <w:bottom w:w="0" w:type="dxa"/>
                  <w:right w:w="108" w:type="dxa"/>
                </w:tblCellMar>
              </w:tblPrEx>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5</w:t>
                  </w:r>
                </w:p>
              </w:tc>
              <w:tc>
                <w:tcPr>
                  <w:tcW w:w="1270" w:type="dxa"/>
                  <w:tcBorders>
                    <w:top w:val="nil"/>
                    <w:left w:val="nil"/>
                    <w:bottom w:val="single" w:color="000000" w:sz="8" w:space="0"/>
                    <w:right w:val="single" w:color="000000" w:sz="8" w:space="0"/>
                  </w:tcBorders>
                  <w:shd w:val="clear" w:color="auto" w:fill="auto"/>
                  <w:vAlign w:val="center"/>
                </w:tcPr>
                <w:p>
                  <w:pPr>
                    <w:pStyle w:val="7"/>
                    <w:rPr>
                      <w:rFonts w:ascii="Times New Roman" w:hAnsi="Times New Roman" w:cs="Times New Roman"/>
                      <w:b w:val="0"/>
                      <w:bCs/>
                      <w:color w:val="0000FF"/>
                      <w:kern w:val="0"/>
                      <w:sz w:val="18"/>
                      <w:szCs w:val="18"/>
                    </w:rPr>
                  </w:pPr>
                  <w:r>
                    <w:rPr>
                      <w:rFonts w:ascii="Times New Roman" w:hAnsi="Times New Roman" w:eastAsia="宋体" w:cs="Times New Roman"/>
                      <w:b w:val="0"/>
                      <w:color w:val="0000FF"/>
                      <w:kern w:val="0"/>
                      <w:sz w:val="18"/>
                      <w:szCs w:val="18"/>
                      <w:lang w:val="en-US" w:eastAsia="zh-CN" w:bidi="ar-SA"/>
                    </w:rPr>
                    <w:t>最大水面宽度</w:t>
                  </w:r>
                </w:p>
              </w:tc>
              <w:tc>
                <w:tcPr>
                  <w:tcW w:w="2650" w:type="dxa"/>
                  <w:tcBorders>
                    <w:top w:val="nil"/>
                    <w:left w:val="nil"/>
                    <w:bottom w:val="single" w:color="000000" w:sz="8" w:space="0"/>
                    <w:right w:val="single" w:color="000000" w:sz="8" w:space="0"/>
                  </w:tcBorders>
                  <w:shd w:val="clear" w:color="auto" w:fill="auto"/>
                  <w:vAlign w:val="center"/>
                </w:tcPr>
                <w:p>
                  <w:pPr>
                    <w:pStyle w:val="7"/>
                    <w:rPr>
                      <w:rFonts w:ascii="Times New Roman" w:hAnsi="Times New Roman" w:eastAsia="宋体" w:cs="Times New Roman"/>
                      <w:b w:val="0"/>
                      <w:color w:val="0000FF"/>
                      <w:kern w:val="0"/>
                      <w:sz w:val="18"/>
                      <w:szCs w:val="18"/>
                      <w:lang w:val="en-US" w:eastAsia="zh-CN" w:bidi="ar-SA"/>
                    </w:rPr>
                  </w:pPr>
                  <w:r>
                    <w:rPr>
                      <w:rFonts w:ascii="Times New Roman" w:hAnsi="Times New Roman" w:eastAsia="宋体" w:cs="Times New Roman"/>
                      <w:b w:val="0"/>
                      <w:color w:val="0000FF"/>
                      <w:kern w:val="0"/>
                      <w:sz w:val="18"/>
                      <w:szCs w:val="18"/>
                      <w:lang w:val="en-US" w:eastAsia="zh-CN" w:bidi="ar-SA"/>
                    </w:rPr>
                    <w:t>18m</w:t>
                  </w:r>
                </w:p>
              </w:tc>
              <w:tc>
                <w:tcPr>
                  <w:tcW w:w="2910" w:type="dxa"/>
                  <w:tcBorders>
                    <w:top w:val="nil"/>
                    <w:left w:val="nil"/>
                    <w:bottom w:val="single" w:color="000000" w:sz="8" w:space="0"/>
                    <w:right w:val="single" w:color="000000" w:sz="8" w:space="0"/>
                  </w:tcBorders>
                  <w:shd w:val="clear" w:color="auto" w:fill="auto"/>
                  <w:vAlign w:val="center"/>
                </w:tcPr>
                <w:p>
                  <w:pPr>
                    <w:pStyle w:val="7"/>
                    <w:rPr>
                      <w:rFonts w:ascii="Times New Roman" w:hAnsi="Times New Roman" w:eastAsia="宋体" w:cs="Times New Roman"/>
                      <w:b w:val="0"/>
                      <w:color w:val="0000FF"/>
                      <w:kern w:val="0"/>
                      <w:sz w:val="18"/>
                      <w:szCs w:val="18"/>
                      <w:lang w:val="en-US" w:eastAsia="zh-CN" w:bidi="ar-SA"/>
                    </w:rPr>
                  </w:pPr>
                  <w:r>
                    <w:rPr>
                      <w:rFonts w:ascii="Times New Roman" w:hAnsi="Times New Roman" w:eastAsia="宋体" w:cs="Times New Roman"/>
                      <w:b w:val="0"/>
                      <w:color w:val="0000FF"/>
                      <w:kern w:val="0"/>
                      <w:sz w:val="18"/>
                      <w:szCs w:val="18"/>
                      <w:lang w:val="en-US" w:eastAsia="zh-CN" w:bidi="ar-SA"/>
                    </w:rPr>
                    <w:t>176m</w:t>
                  </w:r>
                </w:p>
              </w:tc>
              <w:tc>
                <w:tcPr>
                  <w:tcW w:w="1635" w:type="dxa"/>
                  <w:tcBorders>
                    <w:top w:val="nil"/>
                    <w:left w:val="nil"/>
                    <w:bottom w:val="single" w:color="000000" w:sz="8" w:space="0"/>
                    <w:right w:val="single" w:color="000000" w:sz="8" w:space="0"/>
                  </w:tcBorders>
                  <w:shd w:val="clear" w:color="auto" w:fill="auto"/>
                  <w:vAlign w:val="center"/>
                </w:tcPr>
                <w:p>
                  <w:pPr>
                    <w:pStyle w:val="7"/>
                    <w:rPr>
                      <w:rFonts w:ascii="Times New Roman" w:hAnsi="Times New Roman" w:eastAsia="宋体" w:cs="Times New Roman"/>
                      <w:b w:val="0"/>
                      <w:color w:val="0000FF"/>
                      <w:kern w:val="0"/>
                      <w:sz w:val="18"/>
                      <w:szCs w:val="18"/>
                      <w:lang w:val="en-US" w:eastAsia="zh-CN" w:bidi="ar-SA"/>
                    </w:rPr>
                  </w:pPr>
                  <w:r>
                    <w:rPr>
                      <w:rFonts w:ascii="Times New Roman" w:hAnsi="Times New Roman" w:eastAsia="宋体" w:cs="Times New Roman"/>
                      <w:b w:val="0"/>
                      <w:color w:val="0000FF"/>
                      <w:kern w:val="0"/>
                      <w:sz w:val="18"/>
                      <w:szCs w:val="18"/>
                      <w:lang w:val="en-US" w:eastAsia="zh-CN" w:bidi="ar-SA"/>
                    </w:rPr>
                    <w:t>+158m</w:t>
                  </w:r>
                </w:p>
              </w:tc>
            </w:tr>
            <w:tr>
              <w:tblPrEx>
                <w:tblCellMar>
                  <w:top w:w="0" w:type="dxa"/>
                  <w:left w:w="108" w:type="dxa"/>
                  <w:bottom w:w="0" w:type="dxa"/>
                  <w:right w:w="108" w:type="dxa"/>
                </w:tblCellMar>
              </w:tblPrEx>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6</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 xml:space="preserve">回水长度 </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0.91km</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+0.91km</w:t>
                  </w:r>
                </w:p>
              </w:tc>
            </w:tr>
            <w:tr>
              <w:tblPrEx>
                <w:tblCellMar>
                  <w:top w:w="0" w:type="dxa"/>
                  <w:left w:w="108" w:type="dxa"/>
                  <w:bottom w:w="0" w:type="dxa"/>
                  <w:right w:w="108" w:type="dxa"/>
                </w:tblCellMar>
              </w:tblPrEx>
              <w:tc>
                <w:tcPr>
                  <w:tcW w:w="59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7</w:t>
                  </w:r>
                </w:p>
              </w:tc>
              <w:tc>
                <w:tcPr>
                  <w:tcW w:w="127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 xml:space="preserve">河段水位 </w:t>
                  </w:r>
                </w:p>
              </w:tc>
              <w:tc>
                <w:tcPr>
                  <w:tcW w:w="265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548m~594m</w:t>
                  </w:r>
                </w:p>
              </w:tc>
              <w:tc>
                <w:tcPr>
                  <w:tcW w:w="2910"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594.5m~595m</w:t>
                  </w:r>
                </w:p>
              </w:tc>
              <w:tc>
                <w:tcPr>
                  <w:tcW w:w="1635" w:type="dxa"/>
                  <w:tcBorders>
                    <w:top w:val="nil"/>
                    <w:left w:val="nil"/>
                    <w:bottom w:val="single" w:color="000000" w:sz="8" w:space="0"/>
                    <w:right w:val="single" w:color="000000" w:sz="8" w:space="0"/>
                  </w:tcBorders>
                  <w:shd w:val="clear" w:color="auto" w:fill="auto"/>
                  <w:vAlign w:val="center"/>
                </w:tcPr>
                <w:p>
                  <w:pPr>
                    <w:widowControl/>
                    <w:spacing w:line="240" w:lineRule="auto"/>
                    <w:ind w:firstLine="0" w:firstLineChars="0"/>
                    <w:jc w:val="center"/>
                    <w:rPr>
                      <w:rFonts w:cs="Times New Roman"/>
                      <w:color w:val="0000FF"/>
                      <w:kern w:val="0"/>
                      <w:sz w:val="18"/>
                      <w:szCs w:val="18"/>
                    </w:rPr>
                  </w:pPr>
                  <w:r>
                    <w:rPr>
                      <w:rFonts w:cs="Times New Roman"/>
                      <w:color w:val="0000FF"/>
                      <w:kern w:val="0"/>
                      <w:sz w:val="18"/>
                      <w:szCs w:val="18"/>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0000FF"/>
                <w:sz w:val="24"/>
                <w:szCs w:val="24"/>
                <w:lang w:val="en-US" w:eastAsia="zh-CN"/>
              </w:rPr>
            </w:pPr>
            <w:r>
              <w:rPr>
                <w:rFonts w:hint="eastAsia" w:cs="Times New Roman"/>
                <w:b/>
                <w:bCs/>
                <w:color w:val="0000FF"/>
                <w:sz w:val="24"/>
                <w:szCs w:val="24"/>
                <w:lang w:val="en-US" w:eastAsia="zh-CN"/>
              </w:rPr>
              <w:t>⑵ 径流条件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0000FF"/>
                <w:sz w:val="24"/>
                <w:szCs w:val="24"/>
                <w:lang w:val="en-US" w:eastAsia="zh-CN"/>
              </w:rPr>
            </w:pPr>
            <w:r>
              <w:rPr>
                <w:rFonts w:hint="eastAsia" w:cs="Times New Roman"/>
                <w:b/>
                <w:bCs/>
                <w:color w:val="0000FF"/>
                <w:sz w:val="24"/>
                <w:szCs w:val="24"/>
                <w:lang w:val="en-US" w:eastAsia="zh-CN"/>
              </w:rPr>
              <w:t>① 设计年径流年内分配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根据设计与典型年年及时段特征值，以三川水文站相应典型年逐月平均流量为模型，对典型年的径流过程按设计年径流量及枯期时段（12月～翌年3月）径流量作控制，采用同频率法，对整个代表年的年内径流过程进行缩放，推求出三川水文站设计年径流年内分配过程。将三川水文站各设计年径流年内分配成果按面积及降水量修正移用至三合水库坝址处，得到三合水库坝址处30%、50%、70%、95%设计代表年的逐月平均流量。</w:t>
            </w:r>
            <w:r>
              <w:rPr>
                <w:rFonts w:hint="eastAsia" w:ascii="宋体" w:hAnsi="宋体" w:cs="宋体"/>
                <w:spacing w:val="0"/>
                <w:sz w:val="24"/>
                <w:szCs w:val="24"/>
                <w:lang w:val="en-US" w:eastAsia="zh-CN"/>
              </w:rPr>
              <w:t>具体</w:t>
            </w:r>
            <w:r>
              <w:rPr>
                <w:rFonts w:hint="eastAsia" w:ascii="宋体" w:hAnsi="宋体" w:eastAsia="宋体" w:cs="宋体"/>
                <w:spacing w:val="0"/>
                <w:sz w:val="24"/>
                <w:szCs w:val="24"/>
                <w:lang w:val="en-US" w:eastAsia="zh-CN"/>
              </w:rPr>
              <w:t>三合水库设计年径流年内分配成果见</w:t>
            </w:r>
            <w:r>
              <w:rPr>
                <w:rFonts w:hint="eastAsia" w:ascii="宋体" w:hAnsi="宋体" w:cs="宋体"/>
                <w:spacing w:val="0"/>
                <w:sz w:val="24"/>
                <w:szCs w:val="24"/>
                <w:lang w:val="en-US" w:eastAsia="zh-CN"/>
              </w:rPr>
              <w:t>地表水专项</w:t>
            </w:r>
            <w:r>
              <w:rPr>
                <w:rFonts w:hint="eastAsia" w:ascii="宋体" w:hAnsi="宋体" w:eastAsia="宋体" w:cs="宋体"/>
                <w:spacing w:val="0"/>
                <w:sz w:val="24"/>
                <w:szCs w:val="24"/>
                <w:lang w:val="en-US" w:eastAsia="zh-CN"/>
              </w:rPr>
              <w:t>表5.2</w:t>
            </w:r>
            <w:r>
              <w:rPr>
                <w:rFonts w:hint="eastAsia" w:ascii="宋体" w:hAnsi="宋体" w:eastAsia="宋体" w:cs="宋体"/>
                <w:spacing w:val="0"/>
                <w:sz w:val="24"/>
                <w:szCs w:val="24"/>
                <w:lang w:val="en-US" w:eastAsia="zh-CN"/>
              </w:rPr>
              <w:noBreakHyphen/>
            </w:r>
            <w:r>
              <w:rPr>
                <w:rFonts w:hint="eastAsia" w:ascii="宋体" w:hAnsi="宋体" w:eastAsia="宋体" w:cs="宋体"/>
                <w:spacing w:val="0"/>
                <w:sz w:val="24"/>
                <w:szCs w:val="24"/>
                <w:lang w:val="en-US" w:eastAsia="zh-CN"/>
              </w:rPr>
              <w:t>3</w:t>
            </w:r>
            <w:r>
              <w:rPr>
                <w:rFonts w:hint="eastAsia" w:ascii="宋体" w:hAnsi="宋体" w:cs="宋体"/>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FF0000"/>
                <w:spacing w:val="0"/>
                <w:sz w:val="24"/>
                <w:szCs w:val="24"/>
                <w:lang w:val="en-US" w:eastAsia="zh-CN"/>
              </w:rPr>
            </w:pPr>
            <w:r>
              <w:rPr>
                <w:rFonts w:hint="eastAsia" w:cs="Times New Roman"/>
                <w:b/>
                <w:bCs/>
                <w:color w:val="FF0000"/>
                <w:spacing w:val="0"/>
                <w:sz w:val="24"/>
                <w:szCs w:val="24"/>
                <w:lang w:val="en-US" w:eastAsia="zh-CN"/>
              </w:rPr>
              <w:t>② 长序列径流调节过程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经51年长系列计算，正常蓄水位594.50m时，水库满蓄年数25年，多年平均年供水量172万m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，占水库坝址来水量43.3%。多年平均年灌溉供水量148万m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，灌溉破坏12年（缺水率5%以下考虑为轻度缺水，忽略不计），满足灌区灌溉供水保证率75%；多年平均年乡村供水量为24万m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，供水破坏84旬，满足供水保证率95%；保证下泄生态水量99万m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FF0000"/>
                <w:spacing w:val="0"/>
                <w:sz w:val="24"/>
                <w:szCs w:val="24"/>
                <w:lang w:val="en-US" w:eastAsia="zh-CN"/>
              </w:rPr>
            </w:pPr>
            <w:r>
              <w:rPr>
                <w:rFonts w:hint="eastAsia" w:cs="Times New Roman"/>
                <w:b/>
                <w:bCs/>
                <w:color w:val="FF0000"/>
                <w:spacing w:val="0"/>
                <w:sz w:val="24"/>
                <w:szCs w:val="24"/>
                <w:lang w:val="en-US" w:eastAsia="zh-CN"/>
              </w:rPr>
              <w:t>③ 洪水径流调节过程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5"/>
                <w:sz w:val="24"/>
                <w:szCs w:val="24"/>
                <w:lang w:val="en-US" w:eastAsia="zh-CN"/>
              </w:rPr>
            </w:pPr>
            <w:r>
              <w:rPr>
                <w:rFonts w:hint="eastAsia" w:ascii="宋体" w:hAnsi="宋体" w:eastAsia="宋体" w:cs="宋体"/>
                <w:spacing w:val="0"/>
                <w:sz w:val="24"/>
                <w:szCs w:val="24"/>
                <w:lang w:val="en-US" w:eastAsia="zh-CN"/>
              </w:rPr>
              <w:t>根据《水利水电工程等级划分及洪水标准》（SL252-2017）规定，三合水库枢纽为Ⅳ等工程，工程规模为小（1）型，其永久性主要水工建筑物（拦河大坝、泄水和取水建筑物）级别为4级。大坝设计洪水标准采用30年一遇（P=3.33%），相应设计洪峰流量分别为163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/s；校核洪水标准采用300年一遇（P=0.33%），相应洪峰流量265m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s。水库下游无城镇防洪要求，水库调洪从正常蓄水位起调，采取自由泄流方式泄洪。泄洪建筑物采用开敞式侧堰溢洪隧洞方案泄洪，侧堰采用WES实用堰，堰顶高程594.50m，净宽为20m，设计洪水位596.45m，校核洪水位597.25m，水库总库容371万m</w:t>
            </w:r>
            <w:r>
              <w:rPr>
                <w:rFonts w:hint="eastAsia" w:ascii="宋体" w:hAnsi="宋体" w:eastAsia="宋体" w:cs="宋体"/>
                <w:spacing w:val="0"/>
                <w:sz w:val="24"/>
                <w:szCs w:val="24"/>
                <w:vertAlign w:val="superscript"/>
                <w:lang w:val="en-US" w:eastAsia="zh-CN"/>
              </w:rPr>
              <w:t>3</w:t>
            </w:r>
            <w:r>
              <w:rPr>
                <w:rFonts w:hint="eastAsia" w:ascii="宋体" w:hAnsi="宋体" w:eastAsia="宋体" w:cs="宋体"/>
                <w:spacing w:val="0"/>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宋体" w:eastAsia="宋体" w:cs="Times New Roman"/>
                <w:b/>
                <w:color w:val="0000FF"/>
                <w:szCs w:val="21"/>
                <w:lang w:val="zh-CN"/>
              </w:rPr>
            </w:pPr>
            <w:r>
              <w:rPr>
                <w:rFonts w:hint="eastAsia" w:ascii="Times New Roman" w:hAnsi="宋体" w:eastAsia="宋体" w:cs="Times New Roman"/>
                <w:b/>
                <w:szCs w:val="21"/>
                <w:lang w:val="zh-CN"/>
              </w:rPr>
              <w:t>表</w:t>
            </w:r>
            <w:r>
              <w:rPr>
                <w:rFonts w:hint="eastAsia" w:ascii="Times New Roman" w:hAnsi="宋体" w:cs="Times New Roman"/>
                <w:b/>
                <w:szCs w:val="21"/>
                <w:lang w:val="en-US" w:eastAsia="zh-CN"/>
              </w:rPr>
              <w:t>4</w:t>
            </w:r>
            <w:r>
              <w:rPr>
                <w:rFonts w:hint="eastAsia" w:ascii="Times New Roman" w:hAnsi="宋体" w:eastAsia="宋体" w:cs="Times New Roman"/>
                <w:b/>
                <w:szCs w:val="21"/>
                <w:lang w:val="zh-CN"/>
              </w:rPr>
              <w:noBreakHyphen/>
            </w:r>
            <w:r>
              <w:rPr>
                <w:rFonts w:hint="eastAsia" w:ascii="Times New Roman" w:hAnsi="宋体" w:cs="Times New Roman"/>
                <w:b/>
                <w:szCs w:val="21"/>
                <w:lang w:val="en-US" w:eastAsia="zh-CN"/>
              </w:rPr>
              <w:t xml:space="preserve">10   </w:t>
            </w:r>
            <w:r>
              <w:rPr>
                <w:rFonts w:hint="eastAsia" w:ascii="Times New Roman" w:hAnsi="宋体" w:eastAsia="宋体" w:cs="Times New Roman"/>
                <w:b/>
                <w:color w:val="0000FF"/>
                <w:szCs w:val="21"/>
                <w:lang w:val="zh-CN"/>
              </w:rPr>
              <w:t>三合水库调洪径流过程表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523"/>
              <w:gridCol w:w="1523"/>
              <w:gridCol w:w="1523"/>
              <w:gridCol w:w="1521"/>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4"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频率P</w:t>
                  </w:r>
                </w:p>
              </w:tc>
              <w:tc>
                <w:tcPr>
                  <w:tcW w:w="834"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洪峰流量（m</w:t>
                  </w:r>
                  <w:r>
                    <w:rPr>
                      <w:rFonts w:ascii="Times New Roman" w:hAnsi="Times New Roman" w:cs="Times New Roman"/>
                      <w:b/>
                      <w:bCs w:val="0"/>
                      <w:color w:val="0000FF"/>
                      <w:kern w:val="0"/>
                      <w:vertAlign w:val="superscript"/>
                    </w:rPr>
                    <w:t>3</w:t>
                  </w:r>
                  <w:r>
                    <w:rPr>
                      <w:rFonts w:ascii="Times New Roman" w:hAnsi="Times New Roman" w:cs="Times New Roman"/>
                      <w:b/>
                      <w:bCs w:val="0"/>
                      <w:color w:val="0000FF"/>
                    </w:rPr>
                    <w:t>/s）</w:t>
                  </w:r>
                </w:p>
              </w:tc>
              <w:tc>
                <w:tcPr>
                  <w:tcW w:w="834"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最大泄流量（m</w:t>
                  </w:r>
                  <w:r>
                    <w:rPr>
                      <w:rFonts w:ascii="Times New Roman" w:hAnsi="Times New Roman" w:cs="Times New Roman"/>
                      <w:b/>
                      <w:bCs w:val="0"/>
                      <w:color w:val="0000FF"/>
                      <w:kern w:val="0"/>
                      <w:vertAlign w:val="superscript"/>
                    </w:rPr>
                    <w:t>3</w:t>
                  </w:r>
                  <w:r>
                    <w:rPr>
                      <w:rFonts w:ascii="Times New Roman" w:hAnsi="Times New Roman" w:cs="Times New Roman"/>
                      <w:b/>
                      <w:bCs w:val="0"/>
                      <w:color w:val="0000FF"/>
                    </w:rPr>
                    <w:t>/s）</w:t>
                  </w:r>
                </w:p>
              </w:tc>
              <w:tc>
                <w:tcPr>
                  <w:tcW w:w="834"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削峰流量（m</w:t>
                  </w:r>
                  <w:r>
                    <w:rPr>
                      <w:rFonts w:ascii="Times New Roman" w:hAnsi="Times New Roman" w:cs="Times New Roman"/>
                      <w:b/>
                      <w:bCs w:val="0"/>
                      <w:color w:val="0000FF"/>
                      <w:kern w:val="0"/>
                      <w:vertAlign w:val="superscript"/>
                    </w:rPr>
                    <w:t>3</w:t>
                  </w:r>
                  <w:r>
                    <w:rPr>
                      <w:rFonts w:ascii="Times New Roman" w:hAnsi="Times New Roman" w:cs="Times New Roman"/>
                      <w:b/>
                      <w:bCs w:val="0"/>
                      <w:color w:val="0000FF"/>
                    </w:rPr>
                    <w:t>/s）</w:t>
                  </w:r>
                </w:p>
              </w:tc>
              <w:tc>
                <w:tcPr>
                  <w:tcW w:w="833"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水位(m)</w:t>
                  </w:r>
                </w:p>
              </w:tc>
              <w:tc>
                <w:tcPr>
                  <w:tcW w:w="831" w:type="pct"/>
                  <w:vAlign w:val="center"/>
                </w:tcPr>
                <w:p>
                  <w:pPr>
                    <w:pStyle w:val="7"/>
                    <w:rPr>
                      <w:rFonts w:ascii="Times New Roman" w:hAnsi="Times New Roman" w:cs="Times New Roman"/>
                      <w:b/>
                      <w:bCs w:val="0"/>
                      <w:color w:val="0000FF"/>
                    </w:rPr>
                  </w:pPr>
                  <w:r>
                    <w:rPr>
                      <w:rFonts w:ascii="Times New Roman" w:hAnsi="Times New Roman" w:cs="Times New Roman"/>
                      <w:b/>
                      <w:bCs w:val="0"/>
                      <w:color w:val="0000FF"/>
                    </w:rPr>
                    <w:t>相应库容</w:t>
                  </w:r>
                </w:p>
                <w:p>
                  <w:pPr>
                    <w:pStyle w:val="7"/>
                    <w:rPr>
                      <w:rFonts w:ascii="Times New Roman" w:hAnsi="Times New Roman" w:cs="Times New Roman"/>
                      <w:b/>
                      <w:bCs w:val="0"/>
                      <w:color w:val="0000FF"/>
                    </w:rPr>
                  </w:pPr>
                  <w:r>
                    <w:rPr>
                      <w:rFonts w:ascii="Times New Roman" w:hAnsi="Times New Roman" w:cs="Times New Roman"/>
                      <w:b/>
                      <w:bCs w:val="0"/>
                      <w:color w:val="0000FF"/>
                    </w:rPr>
                    <w:t>（万m</w:t>
                  </w:r>
                  <w:r>
                    <w:rPr>
                      <w:rFonts w:ascii="Times New Roman" w:hAnsi="Times New Roman" w:cs="Times New Roman"/>
                      <w:b/>
                      <w:bCs w:val="0"/>
                      <w:color w:val="0000FF"/>
                      <w:kern w:val="0"/>
                      <w:vertAlign w:val="superscript"/>
                    </w:rPr>
                    <w:t>3</w:t>
                  </w:r>
                  <w:r>
                    <w:rPr>
                      <w:rFonts w:ascii="Times New Roman" w:hAnsi="Times New Roman" w:cs="Times New Roman"/>
                      <w:b/>
                      <w:bCs w:val="0"/>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0.33%</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265</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203</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62</w:t>
                  </w:r>
                </w:p>
              </w:tc>
              <w:tc>
                <w:tcPr>
                  <w:tcW w:w="833"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597.25</w:t>
                  </w:r>
                </w:p>
              </w:tc>
              <w:tc>
                <w:tcPr>
                  <w:tcW w:w="831"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3.33%</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163</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117</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46</w:t>
                  </w:r>
                </w:p>
              </w:tc>
              <w:tc>
                <w:tcPr>
                  <w:tcW w:w="833"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596.45</w:t>
                  </w:r>
                </w:p>
              </w:tc>
              <w:tc>
                <w:tcPr>
                  <w:tcW w:w="831"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146</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104</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42</w:t>
                  </w:r>
                </w:p>
              </w:tc>
              <w:tc>
                <w:tcPr>
                  <w:tcW w:w="833"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596.31</w:t>
                  </w:r>
                </w:p>
              </w:tc>
              <w:tc>
                <w:tcPr>
                  <w:tcW w:w="831"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10%</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116</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83.0</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33</w:t>
                  </w:r>
                </w:p>
              </w:tc>
              <w:tc>
                <w:tcPr>
                  <w:tcW w:w="833"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596.08</w:t>
                  </w:r>
                </w:p>
              </w:tc>
              <w:tc>
                <w:tcPr>
                  <w:tcW w:w="831"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trPr>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20%</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87.3</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62.8</w:t>
                  </w:r>
                </w:p>
              </w:tc>
              <w:tc>
                <w:tcPr>
                  <w:tcW w:w="834"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24.5</w:t>
                  </w:r>
                </w:p>
              </w:tc>
              <w:tc>
                <w:tcPr>
                  <w:tcW w:w="833"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595.83</w:t>
                  </w:r>
                </w:p>
              </w:tc>
              <w:tc>
                <w:tcPr>
                  <w:tcW w:w="831" w:type="pct"/>
                  <w:vAlign w:val="center"/>
                </w:tcPr>
                <w:p>
                  <w:pPr>
                    <w:pStyle w:val="7"/>
                    <w:rPr>
                      <w:rFonts w:ascii="Times New Roman" w:hAnsi="Times New Roman" w:cs="Times New Roman"/>
                      <w:b w:val="0"/>
                      <w:bCs/>
                      <w:color w:val="0000FF"/>
                    </w:rPr>
                  </w:pPr>
                  <w:r>
                    <w:rPr>
                      <w:rFonts w:ascii="Times New Roman" w:hAnsi="Times New Roman" w:cs="Times New Roman"/>
                      <w:b w:val="0"/>
                      <w:bCs/>
                      <w:color w:val="0000FF"/>
                    </w:rPr>
                    <w:t>337</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0000FF"/>
                <w:spacing w:val="0"/>
                <w:sz w:val="24"/>
                <w:szCs w:val="24"/>
                <w:lang w:val="en-US" w:eastAsia="zh-CN"/>
              </w:rPr>
            </w:pPr>
            <w:r>
              <w:rPr>
                <w:rFonts w:hint="eastAsia" w:cs="Times New Roman"/>
                <w:b/>
                <w:bCs/>
                <w:color w:val="0000FF"/>
                <w:spacing w:val="0"/>
                <w:sz w:val="24"/>
                <w:szCs w:val="24"/>
                <w:lang w:val="en-US" w:eastAsia="zh-CN"/>
              </w:rPr>
              <w:t>④ 水文情势预测结果</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宋体" w:hAnsi="宋体" w:cs="宋体"/>
                <w:color w:val="0000FF"/>
                <w:spacing w:val="0"/>
                <w:sz w:val="24"/>
                <w:szCs w:val="24"/>
                <w:lang w:val="en-US" w:eastAsia="zh-CN"/>
              </w:rPr>
            </w:pPr>
            <w:r>
              <w:rPr>
                <w:rFonts w:hint="eastAsia" w:ascii="宋体" w:hAnsi="宋体" w:eastAsia="宋体" w:cs="宋体"/>
                <w:color w:val="0000FF"/>
                <w:spacing w:val="0"/>
                <w:sz w:val="24"/>
                <w:szCs w:val="24"/>
                <w:lang w:val="en-US" w:eastAsia="zh-CN"/>
              </w:rPr>
              <w:t>根据项目情况，在库区范围内设置25个观测点，主要在库区中心线及水文参数变化较大位置，并对该观测点进行水位、水深、流速等水文情势参数进行预测分析</w:t>
            </w:r>
            <w:r>
              <w:rPr>
                <w:rFonts w:hint="eastAsia" w:ascii="宋体" w:hAnsi="宋体" w:cs="宋体"/>
                <w:color w:val="0000FF"/>
                <w:spacing w:val="0"/>
                <w:sz w:val="24"/>
                <w:szCs w:val="24"/>
                <w:lang w:val="en-US" w:eastAsia="zh-CN"/>
              </w:rPr>
              <w:t>，结果如下：具体见地表水专项5.2.2.2。</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宋体" w:hAnsi="宋体" w:cs="宋体"/>
                <w:b/>
                <w:bCs/>
                <w:color w:val="0000FF"/>
                <w:spacing w:val="0"/>
                <w:sz w:val="24"/>
                <w:szCs w:val="24"/>
                <w:lang w:val="en-US" w:eastAsia="zh-CN"/>
              </w:rPr>
            </w:pPr>
            <w:r>
              <w:rPr>
                <w:rFonts w:hint="eastAsia" w:ascii="宋体" w:hAnsi="宋体" w:cs="宋体"/>
                <w:b/>
                <w:bCs/>
                <w:color w:val="0000FF"/>
                <w:spacing w:val="0"/>
                <w:sz w:val="24"/>
                <w:szCs w:val="24"/>
                <w:lang w:val="en-US" w:eastAsia="zh-CN"/>
              </w:rPr>
              <w:t>A、水位及回水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0000FF"/>
                <w:spacing w:val="0"/>
                <w:sz w:val="24"/>
                <w:szCs w:val="24"/>
                <w:lang w:val="en-US" w:eastAsia="zh-CN"/>
              </w:rPr>
            </w:pPr>
            <w:r>
              <w:rPr>
                <w:rFonts w:hint="eastAsia" w:ascii="宋体" w:hAnsi="宋体" w:eastAsia="宋体" w:cs="宋体"/>
                <w:color w:val="0000FF"/>
                <w:spacing w:val="0"/>
                <w:sz w:val="24"/>
                <w:szCs w:val="24"/>
                <w:lang w:val="en-US" w:eastAsia="zh-CN"/>
              </w:rPr>
              <w:t>建库前河道自然水位与建库后库底水位高程基本相同，水位高程546.5m~594.5m；建库后正常蓄水位594.5m。</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eastAsia" w:ascii="宋体" w:hAnsi="宋体" w:cs="宋体"/>
                <w:b/>
                <w:bCs/>
                <w:color w:val="0000FF"/>
                <w:spacing w:val="0"/>
                <w:sz w:val="24"/>
                <w:szCs w:val="24"/>
                <w:lang w:val="en-US" w:eastAsia="zh-CN"/>
              </w:rPr>
            </w:pPr>
            <w:r>
              <w:rPr>
                <w:rFonts w:hint="eastAsia" w:ascii="宋体" w:hAnsi="宋体" w:cs="宋体"/>
                <w:b/>
                <w:bCs/>
                <w:color w:val="0000FF"/>
                <w:spacing w:val="0"/>
                <w:sz w:val="24"/>
                <w:szCs w:val="24"/>
                <w:lang w:val="en-US" w:eastAsia="zh-CN"/>
              </w:rPr>
              <w:t>B、水深</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0000FF"/>
                <w:spacing w:val="0"/>
                <w:sz w:val="24"/>
                <w:szCs w:val="24"/>
                <w:lang w:val="en-US" w:eastAsia="zh-CN"/>
              </w:rPr>
            </w:pPr>
            <w:r>
              <w:rPr>
                <w:rFonts w:hint="eastAsia" w:ascii="宋体" w:hAnsi="宋体" w:eastAsia="宋体" w:cs="宋体"/>
                <w:color w:val="0000FF"/>
                <w:spacing w:val="0"/>
                <w:sz w:val="24"/>
                <w:szCs w:val="24"/>
                <w:lang w:val="en-US" w:eastAsia="zh-CN"/>
              </w:rPr>
              <w:t>建库后库区水水库运行后，大坝阻隔河道，库区水位壅高，水深增大，在正常蓄水位条件下，库区水深0.2~48.5m。</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eastAsia" w:ascii="宋体" w:hAnsi="宋体" w:cs="宋体"/>
                <w:b/>
                <w:bCs/>
                <w:color w:val="0000FF"/>
                <w:spacing w:val="0"/>
                <w:sz w:val="24"/>
                <w:szCs w:val="24"/>
                <w:lang w:val="en-US" w:eastAsia="zh-CN"/>
              </w:rPr>
            </w:pPr>
            <w:r>
              <w:rPr>
                <w:rFonts w:hint="eastAsia" w:ascii="宋体" w:hAnsi="宋体" w:cs="宋体"/>
                <w:b/>
                <w:bCs/>
                <w:color w:val="0000FF"/>
                <w:spacing w:val="0"/>
                <w:sz w:val="24"/>
                <w:szCs w:val="24"/>
                <w:lang w:val="en-US" w:eastAsia="zh-CN"/>
              </w:rPr>
              <w:t>C、流速、流向</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0000FF"/>
                <w:spacing w:val="0"/>
                <w:sz w:val="24"/>
                <w:szCs w:val="24"/>
                <w:lang w:val="en-US" w:eastAsia="zh-CN"/>
              </w:rPr>
            </w:pPr>
            <w:r>
              <w:rPr>
                <w:rFonts w:hint="eastAsia" w:ascii="宋体" w:hAnsi="宋体" w:eastAsia="宋体" w:cs="宋体"/>
                <w:color w:val="0000FF"/>
                <w:spacing w:val="0"/>
                <w:sz w:val="24"/>
                <w:szCs w:val="24"/>
                <w:lang w:val="en-US" w:eastAsia="zh-CN"/>
              </w:rPr>
              <w:t>水库建成运行后，由于水面比降变缓，流速、水流方向与库型变化密切相关，在水库局部岸边出现静水区和回流。正常蓄水位时，X方向流速变化在-0.0048m/s到+0.0036m/s之间，Y方向流速变化在-0.0028m/s到+0.0028m/s之间</w:t>
            </w:r>
            <w:r>
              <w:rPr>
                <w:rFonts w:hint="eastAsia" w:ascii="宋体" w:hAnsi="宋体" w:cs="宋体"/>
                <w:color w:val="0000FF"/>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0000FF"/>
                <w:spacing w:val="0"/>
                <w:sz w:val="24"/>
                <w:szCs w:val="24"/>
                <w:lang w:val="en-US" w:eastAsia="zh-CN"/>
              </w:rPr>
            </w:pPr>
            <w:r>
              <w:rPr>
                <w:rFonts w:hint="eastAsia" w:cs="Times New Roman"/>
                <w:b/>
                <w:bCs/>
                <w:color w:val="0000FF"/>
                <w:spacing w:val="0"/>
                <w:sz w:val="24"/>
                <w:szCs w:val="24"/>
                <w:lang w:val="en-US" w:eastAsia="zh-CN"/>
              </w:rPr>
              <w:t>⑤ 库区下游水文情势分析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5"/>
                <w:sz w:val="24"/>
                <w:szCs w:val="24"/>
                <w:lang w:val="en-US" w:eastAsia="zh-CN"/>
              </w:rPr>
            </w:pPr>
            <w:r>
              <w:rPr>
                <w:rFonts w:hint="eastAsia" w:ascii="宋体" w:hAnsi="宋体" w:eastAsia="宋体" w:cs="宋体"/>
                <w:color w:val="0000FF"/>
                <w:spacing w:val="0"/>
                <w:sz w:val="24"/>
                <w:szCs w:val="24"/>
                <w:lang w:val="en-US" w:eastAsia="zh-CN"/>
              </w:rPr>
              <w:t>旺苍县三合水库工程的取水规模为172万m</w:t>
            </w:r>
            <w:r>
              <w:rPr>
                <w:rFonts w:hint="eastAsia" w:ascii="宋体" w:hAnsi="宋体" w:eastAsia="宋体" w:cs="宋体"/>
                <w:color w:val="0000FF"/>
                <w:spacing w:val="0"/>
                <w:sz w:val="24"/>
                <w:szCs w:val="24"/>
                <w:vertAlign w:val="superscript"/>
                <w:lang w:val="en-US" w:eastAsia="zh-CN"/>
              </w:rPr>
              <w:t>3</w:t>
            </w:r>
            <w:r>
              <w:rPr>
                <w:rFonts w:hint="eastAsia" w:ascii="宋体" w:hAnsi="宋体" w:eastAsia="宋体" w:cs="宋体"/>
                <w:color w:val="0000FF"/>
                <w:spacing w:val="0"/>
                <w:sz w:val="24"/>
                <w:szCs w:val="24"/>
                <w:lang w:val="en-US" w:eastAsia="zh-CN"/>
              </w:rPr>
              <w:t>/a，多年平均流量为0.126m</w:t>
            </w:r>
            <w:r>
              <w:rPr>
                <w:rFonts w:hint="eastAsia" w:ascii="宋体" w:hAnsi="宋体" w:eastAsia="宋体" w:cs="宋体"/>
                <w:color w:val="0000FF"/>
                <w:spacing w:val="0"/>
                <w:sz w:val="24"/>
                <w:szCs w:val="24"/>
                <w:vertAlign w:val="superscript"/>
                <w:lang w:val="en-US" w:eastAsia="zh-CN"/>
              </w:rPr>
              <w:t>3</w:t>
            </w:r>
            <w:r>
              <w:rPr>
                <w:rFonts w:hint="eastAsia" w:ascii="宋体" w:hAnsi="宋体" w:eastAsia="宋体" w:cs="宋体"/>
                <w:color w:val="0000FF"/>
                <w:spacing w:val="0"/>
                <w:sz w:val="24"/>
                <w:szCs w:val="24"/>
                <w:lang w:val="en-US" w:eastAsia="zh-CN"/>
              </w:rPr>
              <w:t>/s，取水量占工程断面多年平均流量（约为0.126m</w:t>
            </w:r>
            <w:r>
              <w:rPr>
                <w:rFonts w:hint="eastAsia" w:ascii="宋体" w:hAnsi="宋体" w:eastAsia="宋体" w:cs="宋体"/>
                <w:color w:val="0000FF"/>
                <w:spacing w:val="0"/>
                <w:sz w:val="24"/>
                <w:szCs w:val="24"/>
                <w:vertAlign w:val="superscript"/>
                <w:lang w:val="en-US" w:eastAsia="zh-CN"/>
              </w:rPr>
              <w:t>3</w:t>
            </w:r>
            <w:r>
              <w:rPr>
                <w:rFonts w:hint="eastAsia" w:ascii="宋体" w:hAnsi="宋体" w:eastAsia="宋体" w:cs="宋体"/>
                <w:color w:val="0000FF"/>
                <w:spacing w:val="0"/>
                <w:sz w:val="24"/>
                <w:szCs w:val="24"/>
                <w:lang w:val="en-US" w:eastAsia="zh-CN"/>
              </w:rPr>
              <w:t>/s）的43.3%，根据前文三合水库设计年径流年内分配计算成果，丰平水期坝址下游河段将出现不同程度的季节性减水，坝址至东河口约5.4</w:t>
            </w:r>
            <w:r>
              <w:rPr>
                <w:rFonts w:hint="eastAsia" w:ascii="宋体" w:hAnsi="宋体" w:cs="宋体"/>
                <w:color w:val="0000FF"/>
                <w:spacing w:val="0"/>
                <w:sz w:val="24"/>
                <w:szCs w:val="24"/>
                <w:lang w:val="en-US" w:eastAsia="zh-CN"/>
              </w:rPr>
              <w:t>k</w:t>
            </w:r>
            <w:r>
              <w:rPr>
                <w:rFonts w:hint="eastAsia" w:ascii="宋体" w:hAnsi="宋体" w:eastAsia="宋体" w:cs="宋体"/>
                <w:color w:val="0000FF"/>
                <w:spacing w:val="0"/>
                <w:sz w:val="24"/>
                <w:szCs w:val="24"/>
                <w:lang w:val="en-US" w:eastAsia="zh-CN"/>
              </w:rPr>
              <w:t>m的减水河段。枯水年时枯水期12月~3月自然河流平均流量0.002m³/s，水库建成后由于年内径流调节下泄生态流量4月~9月按照多年平均流量的30%下泄，Q=0.038m</w:t>
            </w:r>
            <w:r>
              <w:rPr>
                <w:rFonts w:hint="eastAsia" w:ascii="宋体" w:hAnsi="宋体" w:eastAsia="宋体" w:cs="宋体"/>
                <w:color w:val="0000FF"/>
                <w:spacing w:val="0"/>
                <w:sz w:val="24"/>
                <w:szCs w:val="24"/>
                <w:vertAlign w:val="superscript"/>
                <w:lang w:val="en-US" w:eastAsia="zh-CN"/>
              </w:rPr>
              <w:t>3</w:t>
            </w:r>
            <w:r>
              <w:rPr>
                <w:rFonts w:hint="eastAsia" w:ascii="宋体" w:hAnsi="宋体" w:eastAsia="宋体" w:cs="宋体"/>
                <w:color w:val="0000FF"/>
                <w:spacing w:val="0"/>
                <w:sz w:val="24"/>
                <w:szCs w:val="24"/>
                <w:lang w:val="en-US" w:eastAsia="zh-CN"/>
              </w:rPr>
              <w:t>/s；10月~次年3月按照多年平均流量的20%下泄，Q=0.025m</w:t>
            </w:r>
            <w:r>
              <w:rPr>
                <w:rFonts w:hint="eastAsia" w:ascii="宋体" w:hAnsi="宋体" w:eastAsia="宋体" w:cs="宋体"/>
                <w:color w:val="0000FF"/>
                <w:spacing w:val="0"/>
                <w:sz w:val="24"/>
                <w:szCs w:val="24"/>
                <w:vertAlign w:val="superscript"/>
                <w:lang w:val="en-US" w:eastAsia="zh-CN"/>
              </w:rPr>
              <w:t>3</w:t>
            </w:r>
            <w:r>
              <w:rPr>
                <w:rFonts w:hint="eastAsia" w:ascii="宋体" w:hAnsi="宋体" w:eastAsia="宋体" w:cs="宋体"/>
                <w:color w:val="0000FF"/>
                <w:spacing w:val="0"/>
                <w:sz w:val="24"/>
                <w:szCs w:val="24"/>
                <w:lang w:val="en-US" w:eastAsia="zh-CN"/>
              </w:rPr>
              <w:t>/s；生态流量下泄改善了坝址下游河道水量时空分配，河道水量由骤增骤减变为更平顺稳定，有利于下游生态环境改善。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s="Times New Roman"/>
                <w:b/>
                <w:bCs/>
                <w:color w:val="0000FF"/>
                <w:sz w:val="24"/>
                <w:szCs w:val="24"/>
                <w:lang w:val="en-US" w:eastAsia="zh-CN"/>
              </w:rPr>
            </w:pPr>
            <w:r>
              <w:rPr>
                <w:rFonts w:hint="eastAsia" w:cs="Times New Roman"/>
                <w:b/>
                <w:bCs/>
                <w:color w:val="0000FF"/>
                <w:sz w:val="24"/>
                <w:szCs w:val="24"/>
                <w:lang w:val="en-US" w:eastAsia="zh-CN"/>
              </w:rPr>
              <w:t>⑥ 泥沙淤积及回水分析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cs="Times New Roman"/>
                <w:b/>
                <w:bCs/>
                <w:color w:val="0000FF"/>
                <w:sz w:val="24"/>
                <w:szCs w:val="24"/>
              </w:rPr>
            </w:pPr>
            <w:r>
              <w:rPr>
                <w:rFonts w:hint="eastAsia" w:ascii="宋体" w:hAnsi="宋体" w:cs="宋体"/>
                <w:color w:val="0000FF"/>
                <w:spacing w:val="5"/>
                <w:sz w:val="24"/>
                <w:szCs w:val="24"/>
                <w:lang w:val="en-US" w:eastAsia="zh-CN"/>
              </w:rPr>
              <w:t>A、</w:t>
            </w:r>
            <w:r>
              <w:rPr>
                <w:rFonts w:cs="Times New Roman"/>
                <w:b/>
                <w:bCs/>
                <w:color w:val="0000FF"/>
                <w:sz w:val="24"/>
                <w:szCs w:val="24"/>
              </w:rPr>
              <w:t>淤积计算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根据《水利水电工程合理使用年限及耐久性设计规范》（SL 654-2014）表3.0.2规定，Ⅳ等水库合理使用年限为50年，据此三合水库泥沙淤积年限也采用50年。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由于水库是带状淤积，可近似按锥体形态进行淤积计算。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由于水库为多年调节水库，水库调节性能强，水库建成后，泥沙大部分会淤积在库内，考虑三合水库属少沙性河流，来沙量不大。本阶段按50年来沙量全部淤积在库内进行考虑，则50年水库泥沙淤积总量为10.9万m</w:t>
            </w:r>
            <w:r>
              <w:rPr>
                <w:rFonts w:cs="Times New Roman"/>
                <w:color w:val="0000FF"/>
                <w:sz w:val="24"/>
                <w:szCs w:val="24"/>
                <w:vertAlign w:val="superscript"/>
              </w:rPr>
              <w:t>3</w:t>
            </w:r>
            <w:r>
              <w:rPr>
                <w:rFonts w:cs="Times New Roman"/>
                <w:color w:val="0000FF"/>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在水库纵剖面图上，由最高库水位与原库底线交点得出水平距坝里程Lo，选取淤积上延系数K（K=1.00），按公式L=K×Lo求出淤积末端位置，由该位置及沙总量的坝前淤积平衡比降0.035，坝前淤积高程551.86m。</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对水库泥沙冲淤进行计算，计算结果表明：水库运行50年后坝前淤积高度为6m左右，泥沙淤积总量约10.9万m</w:t>
            </w:r>
            <w:r>
              <w:rPr>
                <w:rFonts w:cs="Times New Roman"/>
                <w:color w:val="0000FF"/>
                <w:sz w:val="24"/>
                <w:szCs w:val="24"/>
                <w:vertAlign w:val="superscript"/>
              </w:rPr>
              <w:t>3</w:t>
            </w:r>
            <w:r>
              <w:rPr>
                <w:rFonts w:cs="Times New Roman"/>
                <w:color w:val="0000FF"/>
                <w:sz w:val="24"/>
                <w:szCs w:val="24"/>
              </w:rPr>
              <w:t>，库容损失占死库容的32.1%，占正常蓄水位以下库容的3.55%，泥沙淤积不严重，水库泥沙淤积对死库容要求不大。本阶段按灌溉控制高程要求，结合取水隧洞洞径和取水水压要求，进水明渠取水高程为565.00m，低于死水位。</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cs="Times New Roman"/>
                <w:b/>
                <w:bCs/>
                <w:color w:val="0000FF"/>
                <w:sz w:val="24"/>
                <w:szCs w:val="24"/>
              </w:rPr>
            </w:pPr>
            <w:r>
              <w:rPr>
                <w:rFonts w:hint="eastAsia" w:cs="Times New Roman"/>
                <w:b/>
                <w:bCs/>
                <w:color w:val="0000FF"/>
                <w:sz w:val="24"/>
                <w:szCs w:val="24"/>
                <w:lang w:val="en-US" w:eastAsia="zh-CN"/>
              </w:rPr>
              <w:t>B、</w:t>
            </w:r>
            <w:r>
              <w:rPr>
                <w:rFonts w:cs="Times New Roman"/>
                <w:b/>
                <w:bCs/>
                <w:color w:val="0000FF"/>
                <w:sz w:val="24"/>
                <w:szCs w:val="24"/>
              </w:rPr>
              <w:t>回水状况</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cs="Times New Roman"/>
                <w:color w:val="0000FF"/>
                <w:sz w:val="24"/>
                <w:szCs w:val="24"/>
              </w:rPr>
              <w:t>按照水流能量方程式，用有限差分法计算库区天然洪水水面线及淤积平衡后指定频率洪水的回水水面线可以看出回水末端在主河道Cs7断面附近，回水长度约为0.91km</w:t>
            </w:r>
            <w:r>
              <w:rPr>
                <w:rFonts w:hint="eastAsia" w:cs="Times New Roman"/>
                <w:color w:val="0000FF"/>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FF0000"/>
                <w:sz w:val="24"/>
                <w:szCs w:val="24"/>
              </w:rPr>
            </w:pPr>
            <w:r>
              <w:rPr>
                <w:rFonts w:hint="eastAsia" w:cs="Times New Roman"/>
                <w:color w:val="0000FF"/>
                <w:sz w:val="24"/>
                <w:szCs w:val="24"/>
                <w:lang w:val="en-US" w:eastAsia="zh-CN"/>
              </w:rPr>
              <w:t>具体</w:t>
            </w:r>
            <w:r>
              <w:rPr>
                <w:rFonts w:cs="Times New Roman"/>
                <w:color w:val="0000FF"/>
                <w:sz w:val="24"/>
                <w:szCs w:val="24"/>
              </w:rPr>
              <w:t>计算成果见</w:t>
            </w:r>
            <w:r>
              <w:rPr>
                <w:rFonts w:hint="eastAsia" w:cs="Times New Roman"/>
                <w:color w:val="0000FF"/>
                <w:sz w:val="24"/>
                <w:szCs w:val="24"/>
                <w:lang w:val="en-US" w:eastAsia="zh-CN"/>
              </w:rPr>
              <w:t>地表水专项</w:t>
            </w:r>
            <w:r>
              <w:rPr>
                <w:rFonts w:cs="Times New Roman"/>
                <w:color w:val="0000FF"/>
                <w:sz w:val="24"/>
                <w:szCs w:val="24"/>
              </w:rPr>
              <w:fldChar w:fldCharType="begin"/>
            </w:r>
            <w:r>
              <w:rPr>
                <w:rFonts w:cs="Times New Roman"/>
                <w:color w:val="0000FF"/>
                <w:sz w:val="24"/>
                <w:szCs w:val="24"/>
              </w:rPr>
              <w:instrText xml:space="preserve"> REF _Ref170834973 \h </w:instrText>
            </w:r>
            <w:r>
              <w:rPr>
                <w:rFonts w:cs="Times New Roman"/>
                <w:color w:val="0000FF"/>
                <w:sz w:val="24"/>
                <w:szCs w:val="24"/>
              </w:rPr>
              <w:fldChar w:fldCharType="separate"/>
            </w:r>
            <w:r>
              <w:rPr>
                <w:rFonts w:cs="Times New Roman"/>
                <w:color w:val="0000FF"/>
                <w:sz w:val="24"/>
                <w:szCs w:val="24"/>
              </w:rPr>
              <w:t>表5.2</w:t>
            </w:r>
            <w:r>
              <w:rPr>
                <w:rFonts w:cs="Times New Roman"/>
                <w:color w:val="0000FF"/>
                <w:sz w:val="24"/>
                <w:szCs w:val="24"/>
              </w:rPr>
              <w:noBreakHyphen/>
            </w:r>
            <w:r>
              <w:rPr>
                <w:rFonts w:cs="Times New Roman"/>
                <w:color w:val="0000FF"/>
                <w:sz w:val="24"/>
                <w:szCs w:val="24"/>
              </w:rPr>
              <w:t>13</w:t>
            </w:r>
            <w:r>
              <w:rPr>
                <w:rFonts w:cs="Times New Roman"/>
                <w:color w:val="0000FF"/>
                <w:sz w:val="24"/>
                <w:szCs w:val="24"/>
              </w:rPr>
              <w:fldChar w:fldCharType="end"/>
            </w:r>
            <w:r>
              <w:rPr>
                <w:rFonts w:hint="eastAsia" w:cs="Times New Roman"/>
                <w:color w:val="0000FF"/>
                <w:sz w:val="24"/>
                <w:szCs w:val="24"/>
              </w:rPr>
              <w:t>、</w:t>
            </w:r>
            <w:r>
              <w:rPr>
                <w:rFonts w:cs="Times New Roman"/>
                <w:color w:val="0000FF"/>
                <w:sz w:val="24"/>
                <w:szCs w:val="24"/>
              </w:rPr>
              <w:fldChar w:fldCharType="begin"/>
            </w:r>
            <w:r>
              <w:rPr>
                <w:rFonts w:cs="Times New Roman"/>
                <w:color w:val="0000FF"/>
                <w:sz w:val="24"/>
                <w:szCs w:val="24"/>
              </w:rPr>
              <w:instrText xml:space="preserve"> </w:instrText>
            </w:r>
            <w:r>
              <w:rPr>
                <w:rFonts w:hint="eastAsia" w:cs="Times New Roman"/>
                <w:color w:val="0000FF"/>
                <w:sz w:val="24"/>
                <w:szCs w:val="24"/>
              </w:rPr>
              <w:instrText xml:space="preserve">REF _Ref170835002 \h</w:instrText>
            </w:r>
            <w:r>
              <w:rPr>
                <w:rFonts w:cs="Times New Roman"/>
                <w:color w:val="0000FF"/>
                <w:sz w:val="24"/>
                <w:szCs w:val="24"/>
              </w:rPr>
              <w:instrText xml:space="preserve"> </w:instrText>
            </w:r>
            <w:r>
              <w:rPr>
                <w:rFonts w:cs="Times New Roman"/>
                <w:color w:val="0000FF"/>
                <w:sz w:val="24"/>
                <w:szCs w:val="24"/>
              </w:rPr>
              <w:fldChar w:fldCharType="separate"/>
            </w:r>
            <w:r>
              <w:rPr>
                <w:rFonts w:cs="Times New Roman"/>
                <w:color w:val="0000FF"/>
                <w:sz w:val="24"/>
                <w:szCs w:val="24"/>
              </w:rPr>
              <w:t>表5.2</w:t>
            </w:r>
            <w:r>
              <w:rPr>
                <w:rFonts w:cs="Times New Roman"/>
                <w:color w:val="0000FF"/>
                <w:sz w:val="24"/>
                <w:szCs w:val="24"/>
              </w:rPr>
              <w:noBreakHyphen/>
            </w:r>
            <w:r>
              <w:rPr>
                <w:rFonts w:cs="Times New Roman"/>
                <w:color w:val="0000FF"/>
                <w:sz w:val="24"/>
                <w:szCs w:val="24"/>
              </w:rPr>
              <w:t>14</w:t>
            </w:r>
            <w:r>
              <w:rPr>
                <w:rFonts w:cs="Times New Roman"/>
                <w:color w:val="0000FF"/>
                <w:sz w:val="24"/>
                <w:szCs w:val="24"/>
              </w:rPr>
              <w:fldChar w:fldCharType="end"/>
            </w:r>
            <w:r>
              <w:rPr>
                <w:rFonts w:cs="Times New Roman"/>
                <w:color w:val="0000FF"/>
                <w:sz w:val="24"/>
                <w:szCs w:val="24"/>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eastAsia" w:ascii="Arial" w:hAnsi="Arial" w:cs="Arial"/>
                <w:b/>
                <w:bCs/>
                <w:spacing w:val="-5"/>
                <w:kern w:val="2"/>
                <w:sz w:val="24"/>
                <w:szCs w:val="24"/>
                <w:lang w:val="en-US" w:eastAsia="zh-CN" w:bidi="ar-SA"/>
              </w:rPr>
            </w:pPr>
            <w:r>
              <w:rPr>
                <w:rFonts w:hint="eastAsia" w:ascii="Arial" w:hAnsi="Arial" w:cs="Arial"/>
                <w:b/>
                <w:bCs/>
                <w:spacing w:val="-5"/>
                <w:kern w:val="2"/>
                <w:sz w:val="24"/>
                <w:szCs w:val="24"/>
                <w:lang w:val="en-US" w:eastAsia="zh-CN" w:bidi="ar-SA"/>
              </w:rPr>
              <w:t>对库区水温影响分析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b/>
                <w:bCs/>
                <w:color w:val="0000FF"/>
                <w:sz w:val="24"/>
                <w:szCs w:val="24"/>
                <w:lang w:val="en-US" w:eastAsia="zh-CN"/>
              </w:rPr>
            </w:pPr>
            <w:r>
              <w:rPr>
                <w:rFonts w:hint="eastAsia" w:cs="Times New Roman"/>
                <w:b/>
                <w:bCs/>
                <w:color w:val="0000FF"/>
                <w:sz w:val="24"/>
                <w:szCs w:val="24"/>
                <w:lang w:val="en-US" w:eastAsia="zh-CN"/>
              </w:rPr>
              <w:t>⑴ 水库水温影响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color w:val="0000FF"/>
                <w:sz w:val="24"/>
                <w:szCs w:val="24"/>
                <w:lang w:val="en-US" w:eastAsia="zh-CN"/>
              </w:rPr>
            </w:pPr>
            <w:r>
              <w:rPr>
                <w:rFonts w:cs="Times New Roman"/>
                <w:color w:val="0000FF"/>
                <w:sz w:val="24"/>
                <w:szCs w:val="24"/>
              </w:rPr>
              <w:t>从预测结果来看，水库为分层型水库。</w:t>
            </w:r>
            <w:r>
              <w:rPr>
                <w:rFonts w:hint="eastAsia" w:cs="Times New Roman"/>
                <w:color w:val="0000FF"/>
                <w:sz w:val="24"/>
                <w:szCs w:val="24"/>
                <w:lang w:val="en-US" w:eastAsia="zh-CN"/>
              </w:rPr>
              <w:t>具体预测过程详见地表水专项5.3小节。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FF0000"/>
                <w:sz w:val="24"/>
                <w:szCs w:val="24"/>
              </w:rPr>
            </w:pPr>
            <w:r>
              <w:rPr>
                <w:rFonts w:cs="Times New Roman"/>
                <w:color w:val="0000FF"/>
                <w:sz w:val="24"/>
                <w:szCs w:val="24"/>
              </w:rPr>
              <w:t>典型年坝前水温最低月份为1月，约为7.4℃，坝前水温最高为7月份，温度约为28.2℃，年内变化为20.8℃；水库11、12、1、2月水温分层不明显，在3月~10月基本属于稳定分层状态；11月~次年2月水温较低，坝前垂向上水库水体基本属同温分布；3月份表层水温开始增大，但中下层仍然为同温分布；4月份开始，其余月份出现明显水温分层，汛期水库入流较大，下泄流量也较大，各种影响水库水温的主要因素均在汛期出现峰值，汛期各月份出现水温分层情况。但水库库底水温变幅较小，坝前水温1月份最低。11、12月天然来流变小，气温下降，导致表层水温下降，冷水下沉，水温混合作用明显，水温从分层型转向混合型，坝前水体上下层温差约5℃，分层现象不明显</w:t>
            </w:r>
            <w:r>
              <w:rPr>
                <w:rFonts w:cs="Times New Roman"/>
                <w:color w:val="FF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cs="宋体"/>
                <w:b/>
                <w:bCs/>
                <w:spacing w:val="5"/>
                <w:sz w:val="24"/>
                <w:szCs w:val="24"/>
                <w:lang w:val="en-US" w:eastAsia="zh-CN"/>
              </w:rPr>
            </w:pPr>
            <w:r>
              <w:rPr>
                <w:rFonts w:hint="eastAsia" w:ascii="宋体" w:hAnsi="宋体" w:cs="宋体"/>
                <w:b/>
                <w:bCs/>
                <w:spacing w:val="5"/>
                <w:sz w:val="24"/>
                <w:szCs w:val="24"/>
                <w:lang w:val="en-US" w:eastAsia="zh-CN"/>
              </w:rPr>
              <w:t>⑵ 灌溉水温影响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0000FF"/>
                <w:sz w:val="24"/>
                <w:szCs w:val="24"/>
              </w:rPr>
            </w:pPr>
            <w:r>
              <w:rPr>
                <w:rFonts w:hint="eastAsia" w:cs="Times New Roman"/>
                <w:color w:val="0000FF"/>
                <w:sz w:val="24"/>
                <w:szCs w:val="24"/>
              </w:rPr>
              <w:t>根据</w:t>
            </w:r>
            <w:r>
              <w:rPr>
                <w:rFonts w:hint="eastAsia" w:cs="Times New Roman"/>
                <w:color w:val="0000FF"/>
                <w:sz w:val="24"/>
                <w:szCs w:val="24"/>
                <w:lang w:val="en-US" w:eastAsia="zh-CN"/>
              </w:rPr>
              <w:t>地表水专项5.3小节</w:t>
            </w:r>
            <w:r>
              <w:rPr>
                <w:rFonts w:hint="eastAsia" w:cs="Times New Roman"/>
                <w:color w:val="0000FF"/>
                <w:sz w:val="24"/>
                <w:szCs w:val="24"/>
              </w:rPr>
              <w:t>分析，丰水年由于库区水位较高，灌溉取水水温较低，低于部分农作物如水稻生长所需最低水温，尤其是对距离库区较近的输送管道较短的农田农作物生长影响较大。枯水年由于库区水位较低，取水口水温接近库表水温，与天然气温温度相近，取水水温对农作物生长影响较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color w:val="0000FF"/>
                <w:sz w:val="24"/>
                <w:szCs w:val="24"/>
              </w:rPr>
            </w:pPr>
            <w:r>
              <w:rPr>
                <w:rFonts w:hint="eastAsia" w:cs="Times New Roman"/>
                <w:b/>
                <w:bCs/>
                <w:color w:val="0000FF"/>
                <w:sz w:val="24"/>
                <w:szCs w:val="24"/>
              </w:rPr>
              <w:t>减缓措施</w:t>
            </w:r>
            <w:r>
              <w:rPr>
                <w:rFonts w:hint="eastAsia" w:cs="Times New Roman"/>
                <w:color w:val="0000FF"/>
                <w:sz w:val="24"/>
                <w:szCs w:val="24"/>
              </w:rPr>
              <w:t>：</w:t>
            </w:r>
            <w:r>
              <w:rPr>
                <w:rFonts w:hint="default" w:ascii="Arial" w:hAnsi="Arial" w:cs="Arial"/>
                <w:color w:val="0000FF"/>
                <w:sz w:val="24"/>
                <w:szCs w:val="24"/>
                <w:lang w:val="en-US" w:eastAsia="zh-CN"/>
              </w:rPr>
              <w:t>丰</w:t>
            </w:r>
            <w:r>
              <w:rPr>
                <w:rFonts w:hint="default" w:ascii="Arial" w:hAnsi="Arial" w:cs="Arial"/>
                <w:color w:val="0000FF"/>
                <w:sz w:val="24"/>
                <w:szCs w:val="24"/>
              </w:rPr>
              <w:t>水年采取分层取水方式，可将表层溢流堰水与取水口混合，混合后水温在水稻对水温要求最高的7~8月，混合水温在19.7~19.9℃，满足农作物生长所需最低温度要求。或采用田间调温方式，设置宽浅型渠道，利用地表热量进行灌溉水温调节。采取以上措施，可减缓低温水对农作物生长的影响，使工程灌溉取水水温不会产生冷害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b/>
                <w:bCs/>
                <w:color w:val="0000FF"/>
                <w:sz w:val="24"/>
                <w:szCs w:val="24"/>
                <w:lang w:val="en-US" w:eastAsia="zh-CN"/>
              </w:rPr>
            </w:pPr>
            <w:r>
              <w:rPr>
                <w:rFonts w:hint="eastAsia" w:cs="Times New Roman"/>
                <w:b/>
                <w:bCs/>
                <w:color w:val="0000FF"/>
                <w:sz w:val="24"/>
                <w:szCs w:val="24"/>
                <w:lang w:val="en-US" w:eastAsia="zh-CN"/>
              </w:rPr>
              <w:t>⑶ 库区下游河道水温影响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FF0000"/>
                <w:sz w:val="24"/>
                <w:szCs w:val="24"/>
              </w:rPr>
            </w:pPr>
            <w:r>
              <w:rPr>
                <w:rFonts w:hint="eastAsia" w:cs="Times New Roman"/>
                <w:color w:val="0000FF"/>
                <w:sz w:val="24"/>
                <w:szCs w:val="24"/>
              </w:rPr>
              <w:t>为满足下游减水河段生态用水要求，需从上游库区导引生态流量至下游河道，设计生态放水流量为0.025m</w:t>
            </w:r>
            <w:r>
              <w:rPr>
                <w:rFonts w:hint="eastAsia" w:cs="Times New Roman"/>
                <w:color w:val="0000FF"/>
                <w:sz w:val="24"/>
                <w:szCs w:val="24"/>
                <w:vertAlign w:val="superscript"/>
              </w:rPr>
              <w:t>3</w:t>
            </w:r>
            <w:r>
              <w:rPr>
                <w:rFonts w:hint="eastAsia" w:cs="Times New Roman"/>
                <w:color w:val="0000FF"/>
                <w:sz w:val="24"/>
                <w:szCs w:val="24"/>
              </w:rPr>
              <w:t>/</w:t>
            </w:r>
            <w:r>
              <w:rPr>
                <w:rFonts w:hint="eastAsia" w:cs="Times New Roman"/>
                <w:color w:val="0000FF"/>
                <w:sz w:val="24"/>
                <w:szCs w:val="24"/>
                <w:lang w:val="en-US" w:eastAsia="zh-CN"/>
              </w:rPr>
              <w:t>s</w:t>
            </w:r>
            <w:r>
              <w:rPr>
                <w:rFonts w:hint="eastAsia" w:cs="Times New Roman"/>
                <w:color w:val="0000FF"/>
                <w:sz w:val="24"/>
                <w:szCs w:val="24"/>
              </w:rPr>
              <w:t>，以满足大坝下游减水河段的用水要求。由于生态流量较小，拟在取水隧洞出口锥形闸边埋设1根生态流量钢管，钢管直径800mm。采取分层取水等措施后，下泄水温与天然水温相差不大，4~10月下泄水温15~21℃，最不利状态下风水年7~8月坝下河道水温恢复到自然温度的距离约0.56km，而且就坝下游山谷支沟水流汇入流量较多，此时河流水体水温与天然水温相比几乎没有变化，同时，由于减水河段鱼类量较少，多为野杂鱼及少量经济鱼类，更无国家级、省级保护鱼类存在，基本不存在大规模的鱼类“三场”，且减水河段的鱼类资源也存在。故减水河段生态用水主要是维持水生生态系统稳定所需水量和景观需水量，生态放水水温对下游减水河段基本无影响</w:t>
            </w:r>
            <w:r>
              <w:rPr>
                <w:rFonts w:hint="eastAsia" w:cs="Times New Roman"/>
                <w:color w:val="FF0000"/>
                <w:sz w:val="24"/>
                <w:szCs w:val="24"/>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eastAsia" w:ascii="Arial" w:hAnsi="Arial" w:cs="Arial"/>
                <w:b/>
                <w:bCs/>
                <w:spacing w:val="-5"/>
                <w:kern w:val="2"/>
                <w:sz w:val="24"/>
                <w:szCs w:val="24"/>
                <w:lang w:val="en-US" w:eastAsia="zh-CN" w:bidi="ar-SA"/>
              </w:rPr>
            </w:pPr>
            <w:r>
              <w:rPr>
                <w:rFonts w:hint="eastAsia" w:ascii="Arial" w:hAnsi="Arial" w:cs="Arial"/>
                <w:b/>
                <w:bCs/>
                <w:spacing w:val="-5"/>
                <w:kern w:val="2"/>
                <w:sz w:val="24"/>
                <w:szCs w:val="24"/>
                <w:lang w:val="en-US" w:eastAsia="zh-CN" w:bidi="ar-SA"/>
              </w:rPr>
              <w:t>水质影响源分析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b/>
                <w:bCs/>
                <w:color w:val="0000FF"/>
                <w:sz w:val="24"/>
                <w:szCs w:val="24"/>
                <w:lang w:val="en-US" w:eastAsia="zh-CN"/>
              </w:rPr>
            </w:pPr>
            <w:r>
              <w:rPr>
                <w:rFonts w:hint="eastAsia" w:cs="Times New Roman"/>
                <w:b/>
                <w:bCs/>
                <w:color w:val="0000FF"/>
                <w:sz w:val="24"/>
                <w:szCs w:val="24"/>
                <w:lang w:val="en-US" w:eastAsia="zh-CN"/>
              </w:rPr>
              <w:t>⑴ 坝下减水河段水质预测与评价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color w:val="0000FF"/>
                <w:sz w:val="24"/>
                <w:szCs w:val="24"/>
                <w:lang w:val="en-US" w:eastAsia="zh-CN"/>
              </w:rPr>
            </w:pPr>
            <w:r>
              <w:rPr>
                <w:rFonts w:hint="eastAsia" w:cs="Times New Roman"/>
                <w:color w:val="0000FF"/>
                <w:sz w:val="24"/>
                <w:szCs w:val="24"/>
              </w:rPr>
              <w:t>三合水库建成后，库水水源主要来自水库坝址以上来水。根据水资源配置方案，三合水库坝址以上多年平均天然径流量为397万m</w:t>
            </w:r>
            <w:r>
              <w:rPr>
                <w:rFonts w:hint="eastAsia" w:cs="Times New Roman"/>
                <w:color w:val="0000FF"/>
                <w:sz w:val="24"/>
                <w:szCs w:val="24"/>
                <w:vertAlign w:val="superscript"/>
              </w:rPr>
              <w:t>3</w:t>
            </w:r>
            <w:r>
              <w:rPr>
                <w:rFonts w:hint="eastAsia" w:cs="Times New Roman"/>
                <w:color w:val="0000FF"/>
                <w:sz w:val="24"/>
                <w:szCs w:val="24"/>
              </w:rPr>
              <w:t>，上游来水水质情况采用丰水期、枯水期现状监测报告数据。</w:t>
            </w:r>
            <w:r>
              <w:rPr>
                <w:rFonts w:hint="eastAsia" w:cs="Times New Roman"/>
                <w:color w:val="0000FF"/>
                <w:sz w:val="24"/>
                <w:szCs w:val="24"/>
                <w:lang w:val="en-US" w:eastAsia="zh-CN"/>
              </w:rPr>
              <w:t>具体预测结果如下：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0000FF"/>
                <w:sz w:val="24"/>
                <w:szCs w:val="24"/>
              </w:rPr>
            </w:pPr>
            <w:r>
              <w:rPr>
                <w:rFonts w:hint="eastAsia" w:cs="Times New Roman"/>
                <w:color w:val="0000FF"/>
                <w:sz w:val="24"/>
                <w:szCs w:val="24"/>
              </w:rPr>
              <w:t>水库运行后，由于灌区取水，使坝址至河口形成长约5.4km的减水河段。本工程已考虑下泄坝址处多年平均流量的20%，即0.025m</w:t>
            </w:r>
            <w:r>
              <w:rPr>
                <w:rFonts w:hint="eastAsia" w:cs="Times New Roman"/>
                <w:color w:val="0000FF"/>
                <w:sz w:val="24"/>
                <w:szCs w:val="24"/>
                <w:vertAlign w:val="superscript"/>
              </w:rPr>
              <w:t>3</w:t>
            </w:r>
            <w:r>
              <w:rPr>
                <w:rFonts w:hint="eastAsia" w:cs="Times New Roman"/>
                <w:color w:val="0000FF"/>
                <w:sz w:val="24"/>
                <w:szCs w:val="24"/>
              </w:rPr>
              <w:t>/s的生态流量。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FF0000"/>
                <w:sz w:val="24"/>
                <w:szCs w:val="24"/>
              </w:rPr>
            </w:pPr>
            <w:r>
              <w:rPr>
                <w:rFonts w:hint="eastAsia" w:cs="Times New Roman"/>
                <w:color w:val="0000FF"/>
                <w:sz w:val="24"/>
                <w:szCs w:val="24"/>
              </w:rPr>
              <w:t>根据现状调查和社会经济发展规划，目前工程减水河段两岸主要是耕地。并且该河段两岸未规划工矿企业和集中场镇，故远期污染源不会明显增加。根据现状监测资料，减水河段内水质均达到《地表水环境质量标准》（GB3838-2002）Ⅲ类标准。根据库区水质预测结果，库区各污染物浓度均满足Ⅲ类水质标准，因此，减水河段下泄水质满足Ⅲ类水质要求。同时对坝下减水河段水文情势的分析结果可知，三合水库为多年调节水库，对下游河道水量有较大的调节作用。虽然三合水库承担部分备用供水及灌溉引水任务，下泄水量较全年有所减少，但经过水库调节，将全年来水均化，在枯水期下泄水量较天然还有所增大，因此预计下游水质较天然情况变化不大。</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default" w:ascii="宋体" w:hAnsi="宋体" w:cs="宋体"/>
                <w:b/>
                <w:bCs/>
                <w:color w:val="0000FF"/>
                <w:spacing w:val="5"/>
                <w:sz w:val="24"/>
                <w:szCs w:val="24"/>
                <w:lang w:val="en-US" w:eastAsia="zh-CN"/>
              </w:rPr>
            </w:pPr>
            <w:r>
              <w:rPr>
                <w:rFonts w:hint="eastAsia" w:ascii="宋体" w:hAnsi="宋体" w:cs="宋体"/>
                <w:b/>
                <w:bCs/>
                <w:color w:val="0000FF"/>
                <w:spacing w:val="5"/>
                <w:sz w:val="24"/>
                <w:szCs w:val="24"/>
                <w:lang w:val="en-US" w:eastAsia="zh-CN"/>
              </w:rPr>
              <w:t>⑵ 水体富营养化预测结果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0000FF"/>
                <w:sz w:val="24"/>
                <w:szCs w:val="24"/>
              </w:rPr>
            </w:pPr>
            <w:r>
              <w:rPr>
                <w:rFonts w:hint="eastAsia" w:cs="Times New Roman"/>
                <w:color w:val="0000FF"/>
                <w:sz w:val="24"/>
                <w:szCs w:val="24"/>
              </w:rPr>
              <w:t>根据以上水质指标及上述富营养化状态指数计算方法，水库建成后，枯水期库区富营养状态指数为40.5，丰水期库区富营养状态指数为30.4，库区枯水期、丰水期水质均呈中营养状态，库区营养状态良好，发生富营养化的可能性较小。但在水温较高的夏季，库区局部水域有发生富营养化的可能，为保障本工程的供水安全，需加大库区水质保护和监测的力度。</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cs="宋体"/>
                <w:b/>
                <w:bCs/>
                <w:color w:val="0000FF"/>
                <w:spacing w:val="5"/>
                <w:sz w:val="24"/>
                <w:szCs w:val="24"/>
                <w:lang w:val="en-US" w:eastAsia="zh-CN"/>
              </w:rPr>
            </w:pPr>
            <w:bookmarkStart w:id="36" w:name="_Toc178585118"/>
            <w:bookmarkStart w:id="37" w:name="_Toc15308"/>
            <w:r>
              <w:rPr>
                <w:rFonts w:hint="eastAsia" w:ascii="宋体" w:hAnsi="宋体" w:cs="宋体"/>
                <w:b/>
                <w:bCs/>
                <w:color w:val="0000FF"/>
                <w:spacing w:val="5"/>
                <w:sz w:val="24"/>
                <w:szCs w:val="24"/>
                <w:lang w:val="en-US" w:eastAsia="zh-CN"/>
              </w:rPr>
              <w:t>⑶ 渠道输水对水质的影响</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0000FF"/>
                <w:sz w:val="24"/>
                <w:szCs w:val="24"/>
              </w:rPr>
            </w:pPr>
            <w:r>
              <w:rPr>
                <w:rFonts w:hint="eastAsia" w:cs="Times New Roman"/>
                <w:color w:val="0000FF"/>
                <w:sz w:val="24"/>
                <w:szCs w:val="24"/>
              </w:rPr>
              <w:t>本项目工程渠系走向总体上工程渠系走线避开了较大城镇和村庄，不存在大型污染源汇入渠道的可能。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0000FF"/>
                <w:sz w:val="24"/>
                <w:szCs w:val="24"/>
              </w:rPr>
            </w:pPr>
            <w:r>
              <w:rPr>
                <w:rFonts w:hint="eastAsia" w:cs="Times New Roman"/>
                <w:color w:val="0000FF"/>
                <w:sz w:val="24"/>
                <w:szCs w:val="24"/>
              </w:rPr>
              <w:t>水体在长距离的渠道输送过程中，将增加渠道水体水质污染的机会。由于渠道所经之处大多为单面坡，为防止雨水从山坡内侧漫过渠道，工程在设计中修建了内侧截排水沟，并每隔一定距离都设置有排水涵洞，避免雨水夹带冲刷物对渠道水质的污染。此外，渠道在居民较为集中的居民点和道路交叉口处多采用管道通过，局部设有盖板或人行桥，居民点排水沟排水规划不汇入渠道，可有效避免生活污水和人畜粪便对渠道水质的污染。</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color w:val="0000FF"/>
                <w:sz w:val="24"/>
                <w:szCs w:val="24"/>
              </w:rPr>
            </w:pPr>
            <w:r>
              <w:rPr>
                <w:rFonts w:hint="eastAsia" w:cs="Times New Roman"/>
                <w:color w:val="0000FF"/>
                <w:sz w:val="24"/>
                <w:szCs w:val="24"/>
              </w:rPr>
              <w:t>总体来看，由于工程采取措施后，渠道输水过程中的污染风险很小，但也需按饮用水源和灌溉水的相关保护要求，加强管理。</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cs="宋体"/>
                <w:b/>
                <w:bCs/>
                <w:color w:val="0000FF"/>
                <w:spacing w:val="5"/>
                <w:sz w:val="24"/>
                <w:szCs w:val="24"/>
                <w:lang w:val="en-US" w:eastAsia="zh-CN"/>
              </w:rPr>
            </w:pPr>
            <w:r>
              <w:rPr>
                <w:rFonts w:hint="eastAsia" w:ascii="宋体" w:hAnsi="宋体" w:cs="宋体"/>
                <w:b/>
                <w:bCs/>
                <w:color w:val="0000FF"/>
                <w:spacing w:val="5"/>
                <w:sz w:val="24"/>
                <w:szCs w:val="24"/>
                <w:lang w:val="en-US" w:eastAsia="zh-CN"/>
              </w:rPr>
              <w:t xml:space="preserve">⑷ </w:t>
            </w:r>
            <w:bookmarkStart w:id="38" w:name="_Toc20959"/>
            <w:bookmarkStart w:id="39" w:name="_Toc178585119"/>
            <w:r>
              <w:rPr>
                <w:rFonts w:hint="eastAsia" w:ascii="宋体" w:hAnsi="宋体" w:cs="宋体"/>
                <w:b/>
                <w:bCs/>
                <w:color w:val="0000FF"/>
                <w:spacing w:val="5"/>
                <w:sz w:val="24"/>
                <w:szCs w:val="24"/>
                <w:lang w:val="en-US" w:eastAsia="zh-CN"/>
              </w:rPr>
              <w:t>灌区回归水的影响评价</w:t>
            </w:r>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cs="宋体"/>
                <w:b/>
                <w:bCs/>
                <w:color w:val="0000FF"/>
                <w:spacing w:val="5"/>
                <w:sz w:val="24"/>
                <w:szCs w:val="24"/>
                <w:lang w:val="en-US" w:eastAsia="zh-CN"/>
              </w:rPr>
            </w:pPr>
            <w:r>
              <w:rPr>
                <w:rFonts w:hint="eastAsia" w:ascii="宋体" w:hAnsi="宋体" w:cs="宋体"/>
                <w:b/>
                <w:bCs/>
                <w:color w:val="0000FF"/>
                <w:spacing w:val="5"/>
                <w:sz w:val="24"/>
                <w:szCs w:val="24"/>
                <w:lang w:val="en-US" w:eastAsia="zh-CN"/>
              </w:rPr>
              <w:t>① 农田灌溉回归水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color w:val="0000FF"/>
                <w:spacing w:val="0"/>
                <w:sz w:val="24"/>
                <w:szCs w:val="24"/>
                <w:lang w:val="en-US" w:eastAsia="zh-CN"/>
              </w:rPr>
            </w:pPr>
            <w:r>
              <w:rPr>
                <w:rFonts w:hint="eastAsia" w:ascii="宋体" w:hAnsi="宋体" w:cs="宋体"/>
                <w:color w:val="0000FF"/>
                <w:spacing w:val="0"/>
                <w:sz w:val="24"/>
                <w:szCs w:val="24"/>
                <w:lang w:val="en-US" w:eastAsia="zh-CN"/>
              </w:rPr>
              <w:t>三合水库灌区是工程性缺水的区域，为解决三合水库灌区的水源问题，在辜家河下游河段筑坝取水，水库建成后总灌溉面积2.14万亩，其中新增灌面1.57万亩，改善灌面0.57万亩。根据灌区水量平衡计算成果，扣除当地水利设施供水后，三合水库多年平均灌溉实际毛供水148万m3/a，则坝址处退水总量118.4万m3。灌区内每亩土地大约每年施用氮肥40kg，平均氨态氮含量约45%，约18kg；磷肥30kg，磷含量以10%计，约3kg，灌溉水以渗漏的形式补给当地地下水或直接进入当地地表水体。水库工程灌区回归水将主要汇流于农田附近的一些小溪沟，并最终汇流于东河。</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color w:val="0000FF"/>
                <w:spacing w:val="0"/>
                <w:sz w:val="24"/>
                <w:szCs w:val="24"/>
                <w:lang w:val="en-US" w:eastAsia="zh-CN"/>
              </w:rPr>
            </w:pPr>
            <w:r>
              <w:rPr>
                <w:rFonts w:hint="eastAsia" w:ascii="宋体" w:hAnsi="宋体" w:cs="宋体"/>
                <w:color w:val="0000FF"/>
                <w:spacing w:val="0"/>
                <w:sz w:val="24"/>
                <w:szCs w:val="24"/>
                <w:lang w:val="en-US" w:eastAsia="zh-CN"/>
              </w:rPr>
              <w:t>农田灌溉回归水在每年灌溉高峰期4~7月为主要集中排放期，水体主要污染物为化肥、农药、农家肥残余，特别以秧苗栽植期为最大污染物排放期，根据现状监测结果预测，回归水在此期间，化肥、农药的大量施用可能会造成总氮，总磷在局部小溪沟河段超标，农家肥的大量施用可能会造成类大肠杆菌在局部河段超标。但由于农田灌溉回归水的受纳水体较多，并最终汇流于东河，河流污染物分散于不同的河流中，沿程稀释降解作用强，水质受影响程度总体很小。</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eastAsia" w:ascii="宋体" w:hAnsi="宋体" w:cs="宋体"/>
                <w:b/>
                <w:bCs/>
                <w:spacing w:val="5"/>
                <w:sz w:val="24"/>
                <w:szCs w:val="24"/>
                <w:lang w:val="en-US" w:eastAsia="zh-CN"/>
              </w:rPr>
            </w:pPr>
            <w:r>
              <w:rPr>
                <w:rFonts w:hint="eastAsia" w:ascii="宋体" w:hAnsi="宋体" w:cs="宋体"/>
                <w:b/>
                <w:bCs/>
                <w:spacing w:val="5"/>
                <w:sz w:val="24"/>
                <w:szCs w:val="24"/>
                <w:lang w:val="en-US" w:eastAsia="zh-CN"/>
              </w:rPr>
              <w:t>②乡镇生产生活回归水</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cs="宋体"/>
                <w:color w:val="0000FF"/>
                <w:spacing w:val="0"/>
                <w:sz w:val="24"/>
                <w:szCs w:val="24"/>
                <w:lang w:val="en-US" w:eastAsia="zh-CN"/>
              </w:rPr>
            </w:pPr>
            <w:r>
              <w:rPr>
                <w:rFonts w:hint="eastAsia" w:ascii="宋体" w:hAnsi="宋体" w:cs="宋体"/>
                <w:color w:val="0000FF"/>
                <w:spacing w:val="0"/>
                <w:sz w:val="24"/>
                <w:szCs w:val="24"/>
                <w:lang w:val="en-US" w:eastAsia="zh-CN"/>
              </w:rPr>
              <w:t>根据主体报告规划年2030年，灌区农村供水人口共计0.54万人，农村人畜多年平均年需水36万m</w:t>
            </w:r>
            <w:r>
              <w:rPr>
                <w:rFonts w:hint="eastAsia" w:ascii="宋体" w:hAnsi="宋体" w:cs="宋体"/>
                <w:color w:val="0000FF"/>
                <w:spacing w:val="0"/>
                <w:sz w:val="24"/>
                <w:szCs w:val="24"/>
                <w:vertAlign w:val="superscript"/>
                <w:lang w:val="en-US" w:eastAsia="zh-CN"/>
              </w:rPr>
              <w:t>3</w:t>
            </w:r>
            <w:r>
              <w:rPr>
                <w:rFonts w:hint="eastAsia" w:ascii="宋体" w:hAnsi="宋体" w:cs="宋体"/>
                <w:color w:val="0000FF"/>
                <w:spacing w:val="0"/>
                <w:sz w:val="24"/>
                <w:szCs w:val="24"/>
                <w:lang w:val="en-US" w:eastAsia="zh-CN"/>
              </w:rPr>
              <w:t>。经调节计算三合水库多年平均实际供水24万m</w:t>
            </w:r>
            <w:r>
              <w:rPr>
                <w:rFonts w:hint="eastAsia" w:ascii="宋体" w:hAnsi="宋体" w:cs="宋体"/>
                <w:color w:val="0000FF"/>
                <w:spacing w:val="0"/>
                <w:sz w:val="24"/>
                <w:szCs w:val="24"/>
                <w:vertAlign w:val="superscript"/>
                <w:lang w:val="en-US" w:eastAsia="zh-CN"/>
              </w:rPr>
              <w:t>3</w:t>
            </w:r>
            <w:r>
              <w:rPr>
                <w:rFonts w:hint="eastAsia" w:ascii="宋体" w:hAnsi="宋体" w:cs="宋体"/>
                <w:color w:val="0000FF"/>
                <w:spacing w:val="0"/>
                <w:sz w:val="24"/>
                <w:szCs w:val="24"/>
                <w:lang w:val="en-US" w:eastAsia="zh-CN"/>
              </w:rPr>
              <w:t>，则坝址处退水总量19.2万m</w:t>
            </w:r>
            <w:r>
              <w:rPr>
                <w:rFonts w:hint="eastAsia" w:ascii="宋体" w:hAnsi="宋体" w:cs="宋体"/>
                <w:color w:val="0000FF"/>
                <w:spacing w:val="0"/>
                <w:sz w:val="24"/>
                <w:szCs w:val="24"/>
                <w:vertAlign w:val="superscript"/>
                <w:lang w:val="en-US" w:eastAsia="zh-CN"/>
              </w:rPr>
              <w:t>3</w:t>
            </w:r>
            <w:r>
              <w:rPr>
                <w:rFonts w:hint="eastAsia" w:ascii="宋体" w:hAnsi="宋体" w:cs="宋体"/>
                <w:color w:val="0000FF"/>
                <w:spacing w:val="0"/>
                <w:sz w:val="24"/>
                <w:szCs w:val="24"/>
                <w:lang w:val="en-US" w:eastAsia="zh-CN"/>
              </w:rPr>
              <w:t>。根据《室外排水设计规范》（GB50014-2006）3.1.2条关于“居民生活污水定额和综合生活污水定额应根据当地采用的用水定额、结合建筑内部给排水设施水平和排水系统普及程度等因素确定，可按当地相关用水定额的80~90%采用的原则，对规划水平年的污水量按用水量的80%计算。污染物以COD、BOD</w:t>
            </w:r>
            <w:r>
              <w:rPr>
                <w:rFonts w:hint="eastAsia" w:ascii="宋体" w:hAnsi="宋体" w:cs="宋体"/>
                <w:color w:val="0000FF"/>
                <w:spacing w:val="0"/>
                <w:sz w:val="24"/>
                <w:szCs w:val="24"/>
                <w:vertAlign w:val="subscript"/>
                <w:lang w:val="en-US" w:eastAsia="zh-CN"/>
              </w:rPr>
              <w:t>5</w:t>
            </w:r>
            <w:r>
              <w:rPr>
                <w:rFonts w:hint="eastAsia" w:ascii="宋体" w:hAnsi="宋体" w:cs="宋体"/>
                <w:color w:val="0000FF"/>
                <w:spacing w:val="0"/>
                <w:sz w:val="24"/>
                <w:szCs w:val="24"/>
                <w:lang w:val="en-US" w:eastAsia="zh-CN"/>
              </w:rPr>
              <w:t>、NH</w:t>
            </w:r>
            <w:r>
              <w:rPr>
                <w:rFonts w:hint="eastAsia" w:ascii="宋体" w:hAnsi="宋体" w:cs="宋体"/>
                <w:color w:val="0000FF"/>
                <w:spacing w:val="0"/>
                <w:sz w:val="24"/>
                <w:szCs w:val="24"/>
                <w:vertAlign w:val="subscript"/>
                <w:lang w:val="en-US" w:eastAsia="zh-CN"/>
              </w:rPr>
              <w:t>3</w:t>
            </w:r>
            <w:r>
              <w:rPr>
                <w:rFonts w:hint="eastAsia" w:ascii="宋体" w:hAnsi="宋体" w:cs="宋体"/>
                <w:color w:val="0000FF"/>
                <w:spacing w:val="0"/>
                <w:sz w:val="24"/>
                <w:szCs w:val="24"/>
                <w:lang w:val="en-US" w:eastAsia="zh-CN"/>
              </w:rPr>
              <w:t>-N和SS为主，集中式居民生产生活污水经乡镇污水处理厂（站）处理后达标排放至东河，对东河影响较小。分散式农村生活用水退水以非常分散的形式排放进入当地水体中，排放量相对较小。根据《四川省水资源及其开发利用调查评价报告》相应分区分析结论，农村人畜用水绝大部分已经被消耗。农村人畜回归水主要污染物为动植物油污，人畜排泄物等，排放规律为间歇式分散排放。人畜退水基本上收集用于农林灌溉，对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default" w:cs="Times New Roman"/>
                <w:sz w:val="24"/>
                <w:szCs w:val="24"/>
                <w:lang w:val="en-US"/>
              </w:rPr>
            </w:pPr>
            <w:r>
              <w:rPr>
                <w:rFonts w:hint="eastAsia" w:ascii="Arial" w:hAnsi="Arial" w:cs="Arial"/>
                <w:b/>
                <w:bCs/>
                <w:spacing w:val="-5"/>
                <w:kern w:val="2"/>
                <w:sz w:val="24"/>
                <w:szCs w:val="24"/>
                <w:lang w:val="en-US" w:eastAsia="zh-CN" w:bidi="ar-SA"/>
              </w:rPr>
              <w:t>5、生态流量合理性分析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z w:val="24"/>
                <w:szCs w:val="24"/>
                <w:lang w:val="en-US" w:eastAsia="zh-CN"/>
              </w:rPr>
            </w:pPr>
            <w:r>
              <w:rPr>
                <w:rFonts w:hint="eastAsia" w:cs="Times New Roman"/>
                <w:sz w:val="24"/>
                <w:szCs w:val="24"/>
                <w:lang w:val="en-US" w:eastAsia="zh-CN"/>
              </w:rPr>
              <w:t>根据地表水专章5.5节生态流量合理性分析，具体分析结论如下：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FF"/>
                <w:sz w:val="24"/>
                <w:szCs w:val="24"/>
                <w:lang w:val="en-US" w:eastAsia="zh-CN"/>
              </w:rPr>
            </w:pPr>
            <w:r>
              <w:rPr>
                <w:rFonts w:hint="eastAsia" w:cs="Times New Roman"/>
                <w:color w:val="0000FF"/>
                <w:sz w:val="24"/>
                <w:szCs w:val="24"/>
                <w:lang w:val="en-US" w:eastAsia="zh-CN"/>
              </w:rPr>
              <w:t>根据《河湖生态环境需水计算规范》（SL/T712-2021）中提出南方开发利用程度中等的中小河流，其生态环境需水量应占地表水资源量的20~30%；依据《旺苍县水资源综合规划报告》，旺苍县中涉及河流河道内生态需水中基本生态部分，结合旺苍县河流实际情况，取相应河流断面多年平均天然径流量的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FF"/>
                <w:sz w:val="24"/>
                <w:szCs w:val="24"/>
                <w:lang w:val="en-US" w:eastAsia="zh-CN"/>
              </w:rPr>
            </w:pPr>
            <w:r>
              <w:rPr>
                <w:rFonts w:hint="eastAsia" w:cs="Times New Roman"/>
                <w:color w:val="0000FF"/>
                <w:sz w:val="24"/>
                <w:szCs w:val="24"/>
                <w:lang w:val="en-US" w:eastAsia="zh-CN"/>
              </w:rPr>
              <w:t>根据蒙大拿法（TennatMethods），河内流量与鱼类、野生动物、娱乐及相关环境资源的关系，栖息地定性为“好”，一般用水期（10月~次年3月）推荐下泄生态流量取多年平均流量的20%，鱼类产卵育婴期（4月~9月）推荐下泄生态流量取多年平均流量的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FF"/>
                <w:sz w:val="24"/>
                <w:szCs w:val="24"/>
                <w:lang w:val="en-US" w:eastAsia="zh-CN"/>
              </w:rPr>
            </w:pPr>
            <w:r>
              <w:rPr>
                <w:rFonts w:hint="eastAsia" w:cs="Times New Roman"/>
                <w:color w:val="0000FF"/>
                <w:sz w:val="24"/>
                <w:szCs w:val="24"/>
                <w:lang w:val="en-US" w:eastAsia="zh-CN"/>
              </w:rPr>
              <w:t>根据调查，辜家河属于山区性河流，水生动物中鱼类资源数量及品种极少，偶见鲤鲢类经济鱼种，无珍稀品种。对大多数水生生命体来说，生态流量为年平均流量20%，是提供了保护水生栖息地的适当标准；若生态流量为年平均流量30%，则为最佳栖息地标准。因此辜家河鱼类产卵育婴期（4月~9月）推荐下泄生态流量取多年平均流量的30%，一般用水期（10月~次年3月）推荐下泄生态流量取多年平均流量的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z w:val="24"/>
                <w:szCs w:val="24"/>
                <w:lang w:val="en-US" w:eastAsia="zh-CN"/>
              </w:rPr>
            </w:pPr>
            <w:r>
              <w:rPr>
                <w:rFonts w:hint="eastAsia" w:cs="Times New Roman"/>
                <w:color w:val="0000FF"/>
                <w:sz w:val="24"/>
                <w:szCs w:val="24"/>
                <w:lang w:val="en-US" w:eastAsia="zh-CN"/>
              </w:rPr>
              <w:t>综上，三合水库下游河道生态用水4月~9月按照多年平均流量的30%下泄，Q=0.038m</w:t>
            </w:r>
            <w:r>
              <w:rPr>
                <w:rFonts w:hint="eastAsia" w:cs="Times New Roman"/>
                <w:color w:val="0000FF"/>
                <w:sz w:val="24"/>
                <w:szCs w:val="24"/>
                <w:vertAlign w:val="superscript"/>
                <w:lang w:val="en-US" w:eastAsia="zh-CN"/>
              </w:rPr>
              <w:t>3</w:t>
            </w:r>
            <w:r>
              <w:rPr>
                <w:rFonts w:hint="eastAsia" w:cs="Times New Roman"/>
                <w:color w:val="0000FF"/>
                <w:sz w:val="24"/>
                <w:szCs w:val="24"/>
                <w:lang w:val="en-US" w:eastAsia="zh-CN"/>
              </w:rPr>
              <w:t>/s；10月~次年3月按照多年平均流量的20%下泄，Q=0.025m</w:t>
            </w:r>
            <w:r>
              <w:rPr>
                <w:rFonts w:hint="eastAsia" w:cs="Times New Roman"/>
                <w:color w:val="0000FF"/>
                <w:sz w:val="24"/>
                <w:szCs w:val="24"/>
                <w:vertAlign w:val="superscript"/>
                <w:lang w:val="en-US" w:eastAsia="zh-CN"/>
              </w:rPr>
              <w:t>3</w:t>
            </w:r>
            <w:r>
              <w:rPr>
                <w:rFonts w:hint="eastAsia" w:cs="Times New Roman"/>
                <w:color w:val="0000FF"/>
                <w:sz w:val="24"/>
                <w:szCs w:val="24"/>
                <w:lang w:val="en-US" w:eastAsia="zh-CN"/>
              </w:rPr>
              <w:t>/s；三合水库坝址处多年平均下泄生态水量99万m</w:t>
            </w:r>
            <w:r>
              <w:rPr>
                <w:rFonts w:hint="eastAsia" w:cs="Times New Roman"/>
                <w:color w:val="0000FF"/>
                <w:sz w:val="24"/>
                <w:szCs w:val="24"/>
                <w:vertAlign w:val="superscript"/>
                <w:lang w:val="en-US" w:eastAsia="zh-CN"/>
              </w:rPr>
              <w:t>3</w:t>
            </w:r>
            <w:r>
              <w:rPr>
                <w:rFonts w:hint="eastAsia" w:cs="Times New Roman"/>
                <w:color w:val="0000FF"/>
                <w:sz w:val="24"/>
                <w:szCs w:val="24"/>
                <w:lang w:val="en-US" w:eastAsia="zh-CN"/>
              </w:rPr>
              <w:t>。生态流量下泄改善了下游河道水量时空分配，河道水量由骤增骤减变为更平顺稳定，有利于下游生态环境改善</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4"/>
                <w:szCs w:val="24"/>
              </w:rPr>
            </w:pPr>
            <w:r>
              <w:rPr>
                <w:rFonts w:hint="eastAsia" w:ascii="Arial" w:hAnsi="Arial" w:cs="Arial"/>
                <w:b/>
                <w:bCs/>
                <w:spacing w:val="-5"/>
                <w:sz w:val="24"/>
                <w:szCs w:val="24"/>
                <w:lang w:val="en-US" w:eastAsia="zh-CN"/>
              </w:rPr>
              <w:t>二、</w:t>
            </w:r>
            <w:r>
              <w:rPr>
                <w:b/>
                <w:bCs/>
                <w:spacing w:val="-5"/>
                <w:sz w:val="24"/>
                <w:szCs w:val="24"/>
              </w:rPr>
              <w:t>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default" w:ascii="Arial" w:hAnsi="Arial" w:cs="Arial"/>
                <w:b/>
                <w:bCs/>
                <w:spacing w:val="-5"/>
                <w:sz w:val="24"/>
                <w:szCs w:val="24"/>
                <w:lang w:val="en-US" w:eastAsia="zh-CN"/>
              </w:rPr>
            </w:pPr>
            <w:r>
              <w:rPr>
                <w:rFonts w:hint="default" w:ascii="Arial" w:hAnsi="Arial" w:cs="Arial"/>
                <w:b/>
                <w:bCs/>
                <w:spacing w:val="-5"/>
                <w:sz w:val="24"/>
                <w:szCs w:val="24"/>
                <w:lang w:val="en-US" w:eastAsia="zh-CN"/>
              </w:rPr>
              <w:t>1、对陆生植物的影响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default" w:ascii="Arial" w:hAnsi="Arial" w:cs="Arial"/>
                <w:b/>
                <w:bCs/>
                <w:spacing w:val="-5"/>
                <w:sz w:val="24"/>
                <w:szCs w:val="24"/>
                <w:lang w:val="en-US" w:eastAsia="zh-CN"/>
              </w:rPr>
            </w:pPr>
            <w:r>
              <w:rPr>
                <w:rFonts w:hint="default" w:ascii="Arial" w:hAnsi="Arial" w:cs="Arial"/>
                <w:b/>
                <w:bCs/>
                <w:spacing w:val="-5"/>
                <w:sz w:val="24"/>
                <w:szCs w:val="24"/>
                <w:lang w:val="en-US" w:eastAsia="zh-CN"/>
              </w:rPr>
              <w:t>⑴ 工程占地对植被的影响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z w:val="24"/>
                <w:szCs w:val="24"/>
                <w:lang w:val="en-US" w:eastAsia="zh-CN"/>
              </w:rPr>
            </w:pPr>
            <w:r>
              <w:rPr>
                <w:rFonts w:hint="eastAsia" w:ascii="Arial" w:hAnsi="Arial" w:cs="Arial"/>
                <w:sz w:val="24"/>
                <w:szCs w:val="24"/>
                <w:lang w:val="en-US" w:eastAsia="zh-CN"/>
              </w:rPr>
              <w:t>三合</w:t>
            </w:r>
            <w:r>
              <w:rPr>
                <w:rFonts w:hint="default" w:ascii="Arial" w:hAnsi="Arial" w:cs="Arial"/>
                <w:sz w:val="24"/>
                <w:szCs w:val="24"/>
                <w:lang w:val="en-US" w:eastAsia="zh-CN"/>
              </w:rPr>
              <w:t>水库及灌区建设的影响主要集中在水库淹没及灌区干管的修建等永久或临时占地工程，表现为侵占地表植被。其中施工期永久占地和运行期库区淹没将导致大量植株死亡，导致植被类型消失；临时占地可通过绿化、复垦等措施恢复植被。工程总体上对区域植被生产力的影响相对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default" w:ascii="Arial" w:hAnsi="Arial" w:cs="Arial"/>
                <w:b/>
                <w:bCs/>
                <w:spacing w:val="-5"/>
                <w:sz w:val="24"/>
                <w:szCs w:val="24"/>
                <w:lang w:val="en-US" w:eastAsia="zh-CN"/>
              </w:rPr>
            </w:pPr>
            <w:r>
              <w:rPr>
                <w:rFonts w:hint="eastAsia" w:ascii="Arial" w:hAnsi="Arial" w:cs="Arial"/>
                <w:b/>
                <w:bCs/>
                <w:spacing w:val="-5"/>
                <w:sz w:val="24"/>
                <w:szCs w:val="24"/>
                <w:lang w:val="en-US" w:eastAsia="zh-CN"/>
              </w:rPr>
              <w:t xml:space="preserve">⑵ </w:t>
            </w:r>
            <w:r>
              <w:rPr>
                <w:rFonts w:hint="default" w:ascii="Arial" w:hAnsi="Arial" w:cs="Arial"/>
                <w:b/>
                <w:bCs/>
                <w:spacing w:val="-5"/>
                <w:sz w:val="24"/>
                <w:szCs w:val="24"/>
                <w:lang w:val="en-US" w:eastAsia="zh-CN"/>
              </w:rPr>
              <w:t>蓄水期对植被的影响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sz w:val="24"/>
                <w:szCs w:val="24"/>
                <w:lang w:val="en-US" w:eastAsia="zh-CN"/>
              </w:rPr>
            </w:pPr>
            <w:r>
              <w:rPr>
                <w:rFonts w:hint="eastAsia" w:ascii="Arial" w:hAnsi="Arial" w:cs="Arial"/>
                <w:sz w:val="24"/>
                <w:szCs w:val="24"/>
                <w:lang w:val="en-US" w:eastAsia="zh-CN"/>
              </w:rPr>
              <w:t>水库对淹没区内的植物将造成较大的影响。水库淹没范围内的植株将被砍伐，一些原生植被将受淹没而死亡。水库蓄水后，局部小气候将发生变化，有利于库区周边一些喜阴植物的恢复，而一些喜阳偏中生的植物，则会因为环境的不适应而减少，原来的针叶林群落适应能力较强，受水库影响不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eastAsia" w:ascii="Arial" w:hAnsi="Arial" w:cs="Arial"/>
                <w:b/>
                <w:bCs/>
                <w:spacing w:val="-5"/>
                <w:sz w:val="24"/>
                <w:szCs w:val="24"/>
                <w:lang w:val="en-US" w:eastAsia="zh-CN"/>
              </w:rPr>
            </w:pPr>
            <w:r>
              <w:rPr>
                <w:rFonts w:hint="eastAsia" w:ascii="Arial" w:hAnsi="Arial" w:cs="Arial"/>
                <w:b/>
                <w:bCs/>
                <w:spacing w:val="-5"/>
                <w:sz w:val="24"/>
                <w:szCs w:val="24"/>
                <w:lang w:val="en-US" w:eastAsia="zh-CN"/>
              </w:rPr>
              <w:t>⑶ 运营期对植被的影响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sz w:val="24"/>
                <w:szCs w:val="24"/>
                <w:lang w:val="en-US" w:eastAsia="zh-CN"/>
              </w:rPr>
            </w:pPr>
            <w:r>
              <w:rPr>
                <w:rFonts w:hint="eastAsia" w:ascii="Arial" w:hAnsi="Arial" w:cs="Arial"/>
                <w:sz w:val="24"/>
                <w:szCs w:val="24"/>
                <w:lang w:val="en-US" w:eastAsia="zh-CN"/>
              </w:rPr>
              <w:t>水库建成后，除永久占地外，其它区域均将进行植被恢复，对陆生植物的影响将会减弱，部分地区也将恢复到建设前的水平。仅对库区的植物造成较大的影响，淹没范围内的植株将被砍伐，一些原生植物将受淹没而死亡。受淹没范围面积很小，且受淹没的植被均为一般常见种，淹没线以上地带可见到相似的群落，在不同海拔地区均有分布，其受淹没影响的物种适应性强，不存在因局部植被淹没而导致种群消失或灭迹。减水河段由于河流水位的下降，陆地面积增加，有利于河段两侧陆生植物生长，陆生植物种类有所增加。但河岸两侧植被会因为湿度减小，对植物生长略有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default" w:ascii="Arial" w:hAnsi="Arial" w:cs="Arial"/>
                <w:b/>
                <w:bCs/>
                <w:spacing w:val="-5"/>
                <w:sz w:val="24"/>
                <w:szCs w:val="24"/>
                <w:lang w:val="en-US" w:eastAsia="zh-CN"/>
              </w:rPr>
            </w:pPr>
            <w:r>
              <w:rPr>
                <w:rFonts w:hint="default" w:ascii="Arial" w:hAnsi="Arial" w:cs="Arial"/>
                <w:b/>
                <w:bCs/>
                <w:spacing w:val="-5"/>
                <w:sz w:val="24"/>
                <w:szCs w:val="24"/>
                <w:lang w:val="en-US" w:eastAsia="zh-CN"/>
              </w:rPr>
              <w:t>2、对陆生动物的影响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2" w:firstLineChars="200"/>
              <w:textAlignment w:val="auto"/>
              <w:rPr>
                <w:rFonts w:hint="default" w:ascii="Arial" w:hAnsi="Arial" w:cs="Arial"/>
                <w:b/>
                <w:bCs/>
                <w:spacing w:val="-5"/>
                <w:sz w:val="24"/>
                <w:szCs w:val="24"/>
                <w:lang w:val="en-US" w:eastAsia="zh-CN"/>
              </w:rPr>
            </w:pPr>
            <w:r>
              <w:rPr>
                <w:rFonts w:hint="eastAsia" w:ascii="Arial" w:hAnsi="Arial" w:cs="Arial"/>
                <w:b/>
                <w:bCs/>
                <w:spacing w:val="-5"/>
                <w:sz w:val="24"/>
                <w:szCs w:val="24"/>
                <w:lang w:val="en-US" w:eastAsia="zh-CN"/>
              </w:rPr>
              <w:t xml:space="preserve">⑴ </w:t>
            </w:r>
            <w:r>
              <w:rPr>
                <w:rFonts w:hint="default" w:ascii="Arial" w:hAnsi="Arial" w:cs="Arial"/>
                <w:b/>
                <w:bCs/>
                <w:spacing w:val="-5"/>
                <w:sz w:val="24"/>
                <w:szCs w:val="24"/>
                <w:lang w:val="en-US" w:eastAsia="zh-CN"/>
              </w:rPr>
              <w:t>蓄水期对动物的影响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sz w:val="24"/>
                <w:szCs w:val="24"/>
                <w:lang w:val="en-US" w:eastAsia="zh-CN"/>
              </w:rPr>
            </w:pPr>
            <w:r>
              <w:rPr>
                <w:rFonts w:hint="eastAsia" w:ascii="Arial" w:hAnsi="Arial" w:cs="Arial"/>
                <w:sz w:val="24"/>
                <w:szCs w:val="24"/>
                <w:lang w:val="en-US" w:eastAsia="zh-CN"/>
              </w:rPr>
              <w:t>在水库形成的过程中，一些小型鼠类、爬行类动物可能被直接淹死。淹没后形成的库区范围内，兽类、鸟类、两栖爬行类的觅食或繁殖的场所将被永久的侵占，这是水库蓄水主要的不利的影响。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sz w:val="24"/>
                <w:szCs w:val="24"/>
                <w:lang w:val="en-US" w:eastAsia="zh-CN"/>
              </w:rPr>
            </w:pPr>
            <w:r>
              <w:rPr>
                <w:rFonts w:hint="eastAsia" w:ascii="Arial" w:hAnsi="Arial" w:cs="Arial"/>
                <w:sz w:val="24"/>
                <w:szCs w:val="24"/>
                <w:lang w:val="en-US" w:eastAsia="zh-CN"/>
              </w:rPr>
              <w:t>此外，水库的形成对以水域为主要栖息地的鸟类有正面影响，它们的种群数量会增加，还可能会使一些原来不在此栖息的水鸟也会迁徙过来，从而使鸟类种类增加。</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Arial" w:hAnsi="Arial" w:cs="Arial"/>
                <w:sz w:val="24"/>
                <w:szCs w:val="24"/>
              </w:rPr>
            </w:pPr>
            <w:r>
              <w:rPr>
                <w:rFonts w:hint="eastAsia" w:ascii="Arial" w:hAnsi="Arial" w:cs="Arial"/>
                <w:b/>
                <w:bCs/>
                <w:spacing w:val="-5"/>
                <w:sz w:val="24"/>
                <w:szCs w:val="24"/>
                <w:lang w:val="en-US" w:eastAsia="zh-CN"/>
              </w:rPr>
              <w:t xml:space="preserve">⑵ </w:t>
            </w:r>
            <w:r>
              <w:rPr>
                <w:rFonts w:hint="default" w:ascii="Arial" w:hAnsi="Arial" w:cs="Arial"/>
                <w:b/>
                <w:bCs/>
                <w:spacing w:val="-4"/>
                <w:sz w:val="24"/>
                <w:szCs w:val="24"/>
              </w:rPr>
              <w:t>运营期对动物的影响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z w:val="24"/>
                <w:szCs w:val="24"/>
                <w:lang w:val="en-US" w:eastAsia="zh-CN"/>
              </w:rPr>
            </w:pPr>
            <w:r>
              <w:rPr>
                <w:rFonts w:hint="default" w:ascii="Arial" w:hAnsi="Arial" w:cs="Arial"/>
                <w:sz w:val="24"/>
                <w:szCs w:val="24"/>
                <w:lang w:val="en-US" w:eastAsia="zh-CN"/>
              </w:rPr>
              <w:t>随着施工期的结束，人为干扰大为降低，部分动物会回到原来的区域，但由于该区以栽培植被为主，森林植被本来就以小面积带状分布，动物数量不多，对动物影响不大。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rFonts w:hint="default" w:ascii="Arial" w:hAnsi="Arial" w:cs="Arial"/>
                <w:sz w:val="24"/>
                <w:szCs w:val="24"/>
              </w:rPr>
            </w:pPr>
            <w:r>
              <w:rPr>
                <w:rFonts w:hint="default" w:ascii="Arial" w:hAnsi="Arial" w:cs="Arial"/>
                <w:b/>
                <w:bCs/>
                <w:spacing w:val="-2"/>
                <w:sz w:val="24"/>
                <w:szCs w:val="24"/>
              </w:rPr>
              <w:t>对两栖、爬行动物的影响：</w:t>
            </w:r>
            <w:r>
              <w:rPr>
                <w:rFonts w:hint="default" w:ascii="Arial" w:hAnsi="Arial" w:cs="Arial"/>
                <w:spacing w:val="-2"/>
                <w:sz w:val="24"/>
                <w:szCs w:val="24"/>
              </w:rPr>
              <w:t>由于整个灌区适合两栖、爬行</w:t>
            </w:r>
            <w:r>
              <w:rPr>
                <w:rFonts w:hint="default" w:ascii="Arial" w:hAnsi="Arial" w:cs="Arial"/>
                <w:spacing w:val="-3"/>
                <w:sz w:val="24"/>
                <w:szCs w:val="24"/>
              </w:rPr>
              <w:t>类动物栖息的环境</w:t>
            </w:r>
            <w:r>
              <w:rPr>
                <w:rFonts w:hint="default" w:ascii="Arial" w:hAnsi="Arial" w:cs="Arial"/>
                <w:spacing w:val="-1"/>
                <w:sz w:val="24"/>
                <w:szCs w:val="24"/>
              </w:rPr>
              <w:t>广泛分布，因此施工期间迁出的物种在临近区域可得到很好的栖息</w:t>
            </w:r>
            <w:r>
              <w:rPr>
                <w:rFonts w:hint="default" w:ascii="Arial" w:hAnsi="Arial" w:cs="Arial"/>
                <w:spacing w:val="-2"/>
                <w:sz w:val="24"/>
                <w:szCs w:val="24"/>
              </w:rPr>
              <w:t>和繁衍，不会</w:t>
            </w:r>
            <w:r>
              <w:rPr>
                <w:rFonts w:hint="default" w:ascii="Arial" w:hAnsi="Arial" w:cs="Arial"/>
                <w:spacing w:val="-1"/>
                <w:sz w:val="24"/>
                <w:szCs w:val="24"/>
              </w:rPr>
              <w:t>造成物种种群下降或消失的可能，水库及其他干支渠建成后，将形</w:t>
            </w:r>
            <w:r>
              <w:rPr>
                <w:rFonts w:hint="default" w:ascii="Arial" w:hAnsi="Arial" w:cs="Arial"/>
                <w:spacing w:val="-2"/>
                <w:sz w:val="24"/>
                <w:szCs w:val="24"/>
              </w:rPr>
              <w:t>成宽阔的水库</w:t>
            </w:r>
            <w:r>
              <w:rPr>
                <w:rFonts w:hint="default" w:ascii="Arial" w:hAnsi="Arial" w:cs="Arial"/>
                <w:spacing w:val="-6"/>
                <w:sz w:val="24"/>
                <w:szCs w:val="24"/>
              </w:rPr>
              <w:t>水面及其他灌区水面，从而在水库库周、渠系周围、灌区形成大量潮湿的</w:t>
            </w:r>
            <w:r>
              <w:rPr>
                <w:rFonts w:hint="default" w:ascii="Arial" w:hAnsi="Arial" w:cs="Arial"/>
                <w:spacing w:val="-7"/>
                <w:sz w:val="24"/>
                <w:szCs w:val="24"/>
              </w:rPr>
              <w:t>小环境，</w:t>
            </w:r>
            <w:r>
              <w:rPr>
                <w:rFonts w:hint="default" w:ascii="Arial" w:hAnsi="Arial" w:cs="Arial"/>
                <w:spacing w:val="-1"/>
                <w:sz w:val="24"/>
                <w:szCs w:val="24"/>
              </w:rPr>
              <w:t>这些区域将利于两栖、爬行动物栖息。</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Arial" w:hAnsi="Arial" w:cs="Arial"/>
                <w:sz w:val="24"/>
                <w:szCs w:val="24"/>
              </w:rPr>
            </w:pPr>
            <w:r>
              <w:rPr>
                <w:rFonts w:hint="default" w:ascii="Arial" w:hAnsi="Arial" w:cs="Arial"/>
                <w:b/>
                <w:bCs/>
                <w:spacing w:val="-2"/>
                <w:sz w:val="24"/>
                <w:szCs w:val="24"/>
              </w:rPr>
              <w:t>对鸟类的影响：</w:t>
            </w:r>
            <w:r>
              <w:rPr>
                <w:rFonts w:hint="default" w:ascii="Arial" w:hAnsi="Arial" w:cs="Arial"/>
                <w:spacing w:val="-2"/>
                <w:sz w:val="24"/>
                <w:szCs w:val="24"/>
              </w:rPr>
              <w:t>运行期，水库及渠道内的鸟类栖息地将被永久占压，部分灌</w:t>
            </w:r>
            <w:r>
              <w:rPr>
                <w:rFonts w:hint="default" w:ascii="Arial" w:hAnsi="Arial" w:cs="Arial"/>
                <w:spacing w:val="-1"/>
                <w:sz w:val="24"/>
                <w:szCs w:val="24"/>
              </w:rPr>
              <w:t>丛鸟类可能失去取食地和繁殖场所，迁往其它适合生存的环境</w:t>
            </w:r>
            <w:r>
              <w:rPr>
                <w:rFonts w:hint="default" w:ascii="Arial" w:hAnsi="Arial" w:cs="Arial"/>
                <w:spacing w:val="-2"/>
                <w:sz w:val="24"/>
                <w:szCs w:val="24"/>
              </w:rPr>
              <w:t>栖息，另一方面，</w:t>
            </w:r>
            <w:r>
              <w:rPr>
                <w:rFonts w:hint="default" w:ascii="Arial" w:hAnsi="Arial" w:cs="Arial"/>
                <w:spacing w:val="-1"/>
                <w:sz w:val="24"/>
                <w:szCs w:val="24"/>
              </w:rPr>
              <w:t>水库的形成将使水域面积增大，在库周可能出现浅水带，成为</w:t>
            </w:r>
            <w:r>
              <w:rPr>
                <w:rFonts w:hint="default" w:ascii="Arial" w:hAnsi="Arial" w:cs="Arial"/>
                <w:spacing w:val="-2"/>
                <w:sz w:val="24"/>
                <w:szCs w:val="24"/>
              </w:rPr>
              <w:t>水生生物、无脊椎</w:t>
            </w:r>
            <w:r>
              <w:rPr>
                <w:rFonts w:hint="default" w:ascii="Arial" w:hAnsi="Arial" w:cs="Arial"/>
                <w:spacing w:val="-1"/>
                <w:sz w:val="24"/>
                <w:szCs w:val="24"/>
              </w:rPr>
              <w:t>动物、鱼类、两栖动物的理想生境，从而为部分游禽、涉禽等</w:t>
            </w:r>
            <w:r>
              <w:rPr>
                <w:rFonts w:hint="default" w:ascii="Arial" w:hAnsi="Arial" w:cs="Arial"/>
                <w:spacing w:val="-2"/>
                <w:sz w:val="24"/>
                <w:szCs w:val="24"/>
              </w:rPr>
              <w:t>水域鸟类提供良好</w:t>
            </w:r>
            <w:r>
              <w:rPr>
                <w:rFonts w:hint="default" w:ascii="Arial" w:hAnsi="Arial" w:cs="Arial"/>
                <w:spacing w:val="-1"/>
                <w:sz w:val="24"/>
                <w:szCs w:val="24"/>
              </w:rPr>
              <w:t>的食物来源和栖息环境。水库蓄水后，水库水面增加以及消落</w:t>
            </w:r>
            <w:r>
              <w:rPr>
                <w:rFonts w:hint="default" w:ascii="Arial" w:hAnsi="Arial" w:cs="Arial"/>
                <w:spacing w:val="-2"/>
                <w:sz w:val="24"/>
                <w:szCs w:val="24"/>
              </w:rPr>
              <w:t>带食物量的增加，</w:t>
            </w:r>
            <w:r>
              <w:rPr>
                <w:rFonts w:hint="default" w:ascii="Arial" w:hAnsi="Arial" w:cs="Arial"/>
                <w:spacing w:val="-1"/>
                <w:sz w:val="24"/>
                <w:szCs w:val="24"/>
              </w:rPr>
              <w:t>可吸引大量水禽来此栖息。因此，工程建设对鸟类的影响不大。</w:t>
            </w:r>
          </w:p>
          <w:p>
            <w:pPr>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eastAsia" w:ascii="宋体" w:hAnsi="宋体" w:cs="宋体"/>
                <w:sz w:val="24"/>
                <w:szCs w:val="24"/>
                <w:lang w:val="en-US" w:eastAsia="zh-CN"/>
              </w:rPr>
            </w:pPr>
            <w:r>
              <w:rPr>
                <w:rFonts w:hint="default" w:ascii="Arial" w:hAnsi="Arial" w:cs="Arial"/>
                <w:b/>
                <w:bCs/>
                <w:spacing w:val="-2"/>
                <w:sz w:val="24"/>
                <w:szCs w:val="24"/>
              </w:rPr>
              <w:t>人对兽类的影响：</w:t>
            </w:r>
            <w:r>
              <w:rPr>
                <w:rFonts w:hint="default" w:ascii="Arial" w:hAnsi="Arial" w:cs="Arial"/>
                <w:spacing w:val="-2"/>
                <w:sz w:val="24"/>
                <w:szCs w:val="24"/>
              </w:rPr>
              <w:t>工程河段两岸人类活动较为频繁，河谷区基本无大型兽类</w:t>
            </w:r>
            <w:r>
              <w:rPr>
                <w:rFonts w:hint="default" w:ascii="Arial" w:hAnsi="Arial" w:cs="Arial"/>
                <w:spacing w:val="-1"/>
                <w:sz w:val="24"/>
                <w:szCs w:val="24"/>
              </w:rPr>
              <w:t>出没，沿河两岸活动的野生动物以小型啮齿类动物为主，工程</w:t>
            </w:r>
            <w:r>
              <w:rPr>
                <w:rFonts w:hint="default" w:ascii="Arial" w:hAnsi="Arial" w:cs="Arial"/>
                <w:spacing w:val="-2"/>
                <w:sz w:val="24"/>
                <w:szCs w:val="24"/>
              </w:rPr>
              <w:t>建设对其造成的不</w:t>
            </w:r>
            <w:r>
              <w:rPr>
                <w:rFonts w:hint="default" w:ascii="Arial" w:hAnsi="Arial" w:cs="Arial"/>
                <w:spacing w:val="-1"/>
                <w:sz w:val="24"/>
                <w:szCs w:val="24"/>
              </w:rPr>
              <w:t>利影响主要为水库蓄水、工程占地和施工扰动。水库蓄水将迫</w:t>
            </w:r>
            <w:r>
              <w:rPr>
                <w:rFonts w:hint="default" w:ascii="Arial" w:hAnsi="Arial" w:cs="Arial"/>
                <w:spacing w:val="-2"/>
                <w:sz w:val="24"/>
                <w:szCs w:val="24"/>
              </w:rPr>
              <w:t>使栖息于此的小型</w:t>
            </w:r>
            <w:r>
              <w:rPr>
                <w:rFonts w:hint="default" w:ascii="Arial" w:hAnsi="Arial" w:cs="Arial"/>
                <w:spacing w:val="-1"/>
                <w:sz w:val="24"/>
                <w:szCs w:val="24"/>
              </w:rPr>
              <w:t>兽类远迁至工程影响区之外；但运营期随着工程施工的结束，</w:t>
            </w:r>
            <w:r>
              <w:rPr>
                <w:rFonts w:hint="default" w:ascii="Arial" w:hAnsi="Arial" w:cs="Arial"/>
                <w:spacing w:val="-2"/>
                <w:sz w:val="24"/>
                <w:szCs w:val="24"/>
              </w:rPr>
              <w:t>对其的干扰也会停</w:t>
            </w:r>
            <w:r>
              <w:rPr>
                <w:rFonts w:hint="default" w:ascii="Arial" w:hAnsi="Arial" w:cs="Arial"/>
                <w:spacing w:val="-1"/>
                <w:sz w:val="24"/>
                <w:szCs w:val="24"/>
              </w:rPr>
              <w:t>止</w:t>
            </w:r>
            <w:r>
              <w:rPr>
                <w:rFonts w:hint="eastAsia" w:ascii="Arial" w:hAnsi="Arial" w:cs="Arial"/>
                <w:spacing w:val="-1"/>
                <w:sz w:val="24"/>
                <w:szCs w:val="24"/>
                <w:lang w:eastAsia="zh-CN"/>
              </w:rPr>
              <w:t>，</w:t>
            </w:r>
            <w:r>
              <w:rPr>
                <w:rFonts w:hint="eastAsia" w:ascii="Arial" w:hAnsi="Arial" w:cs="Arial"/>
                <w:spacing w:val="-1"/>
                <w:sz w:val="24"/>
                <w:szCs w:val="24"/>
                <w:lang w:val="en-US" w:eastAsia="zh-CN"/>
              </w:rPr>
              <w:t>故</w:t>
            </w:r>
            <w:r>
              <w:rPr>
                <w:rFonts w:hint="default" w:ascii="Arial" w:hAnsi="Arial" w:cs="Arial"/>
                <w:spacing w:val="-1"/>
                <w:sz w:val="24"/>
                <w:szCs w:val="24"/>
              </w:rPr>
              <w:t>工程建设对其影响较小。</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jc w:val="both"/>
              <w:textAlignment w:val="auto"/>
              <w:rPr>
                <w:sz w:val="24"/>
                <w:szCs w:val="24"/>
              </w:rPr>
            </w:pPr>
            <w:r>
              <w:rPr>
                <w:b/>
                <w:bCs/>
                <w:spacing w:val="-2"/>
                <w:sz w:val="24"/>
                <w:szCs w:val="24"/>
              </w:rPr>
              <w:t>水生无脊椎动物和鱼类的影响：</w:t>
            </w:r>
            <w:r>
              <w:rPr>
                <w:spacing w:val="-2"/>
                <w:sz w:val="24"/>
                <w:szCs w:val="24"/>
              </w:rPr>
              <w:t>水库及灌区</w:t>
            </w:r>
            <w:r>
              <w:rPr>
                <w:spacing w:val="-3"/>
                <w:sz w:val="24"/>
                <w:szCs w:val="24"/>
              </w:rPr>
              <w:t>工程建成后，因水库蓄水和灌区</w:t>
            </w:r>
            <w:r>
              <w:rPr>
                <w:spacing w:val="-1"/>
                <w:sz w:val="24"/>
                <w:szCs w:val="24"/>
              </w:rPr>
              <w:t>供水量增加，水域面积将大大增加，水域面积扩大后，会有更多适</w:t>
            </w:r>
            <w:r>
              <w:rPr>
                <w:spacing w:val="-2"/>
                <w:sz w:val="24"/>
                <w:szCs w:val="24"/>
              </w:rPr>
              <w:t>合浮游动物和</w:t>
            </w:r>
            <w:r>
              <w:rPr>
                <w:spacing w:val="-1"/>
                <w:sz w:val="24"/>
                <w:szCs w:val="24"/>
              </w:rPr>
              <w:t>底栖动物觅食、栖息地场所形成。马滩河河口流量减少后将对这些</w:t>
            </w:r>
            <w:r>
              <w:rPr>
                <w:spacing w:val="-2"/>
                <w:sz w:val="24"/>
                <w:szCs w:val="24"/>
              </w:rPr>
              <w:t>鱼类产生一定</w:t>
            </w:r>
            <w:r>
              <w:rPr>
                <w:spacing w:val="-1"/>
                <w:sz w:val="24"/>
                <w:szCs w:val="24"/>
              </w:rPr>
              <w:t>的影响，由于</w:t>
            </w:r>
            <w:r>
              <w:rPr>
                <w:rFonts w:hint="eastAsia"/>
                <w:spacing w:val="-1"/>
                <w:sz w:val="24"/>
                <w:szCs w:val="24"/>
                <w:lang w:val="en-US" w:eastAsia="zh-CN"/>
              </w:rPr>
              <w:t>辜家河</w:t>
            </w:r>
            <w:r>
              <w:rPr>
                <w:spacing w:val="-1"/>
                <w:sz w:val="24"/>
                <w:szCs w:val="24"/>
              </w:rPr>
              <w:t>流量较小，也基本没有鱼类，因此，工程建设对鱼类的影响不大。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sz w:val="24"/>
                <w:szCs w:val="24"/>
              </w:rPr>
            </w:pPr>
            <w:r>
              <w:rPr>
                <w:spacing w:val="-2"/>
                <w:sz w:val="24"/>
                <w:szCs w:val="24"/>
              </w:rPr>
              <w:t>另一方面，由于库区的形成，对众多水鸟、游禽、两栖类动物有利。如鸭科</w:t>
            </w:r>
            <w:r>
              <w:rPr>
                <w:spacing w:val="-1"/>
                <w:sz w:val="24"/>
                <w:szCs w:val="24"/>
              </w:rPr>
              <w:t>等水禽会从远处迁徙来栖居于此，游禽的数量和种类将会增</w:t>
            </w:r>
            <w:r>
              <w:rPr>
                <w:spacing w:val="-2"/>
                <w:sz w:val="24"/>
                <w:szCs w:val="24"/>
              </w:rPr>
              <w:t>加。本来生活于此处</w:t>
            </w:r>
            <w:r>
              <w:rPr>
                <w:spacing w:val="-1"/>
                <w:sz w:val="24"/>
                <w:szCs w:val="24"/>
              </w:rPr>
              <w:t>的水禽，它们的种群数量亦会增加。由于河流被截去大</w:t>
            </w:r>
            <w:r>
              <w:rPr>
                <w:spacing w:val="-2"/>
                <w:sz w:val="24"/>
                <w:szCs w:val="24"/>
              </w:rPr>
              <w:t>部分水后，形成的水流较</w:t>
            </w:r>
            <w:r>
              <w:rPr>
                <w:spacing w:val="-1"/>
                <w:sz w:val="24"/>
                <w:szCs w:val="24"/>
              </w:rPr>
              <w:t>小、较静，比修建前更利于两栖类的繁殖，有利于两栖类种群的扩大。</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sz w:val="24"/>
                <w:szCs w:val="24"/>
              </w:rPr>
            </w:pPr>
            <w:r>
              <w:rPr>
                <w:rFonts w:ascii="Times New Roman" w:hAnsi="Times New Roman" w:eastAsia="Times New Roman" w:cs="Times New Roman"/>
                <w:b/>
                <w:bCs/>
                <w:spacing w:val="-5"/>
                <w:sz w:val="24"/>
                <w:szCs w:val="24"/>
              </w:rPr>
              <w:t>3</w:t>
            </w:r>
            <w:r>
              <w:rPr>
                <w:b/>
                <w:bCs/>
                <w:spacing w:val="-5"/>
                <w:sz w:val="24"/>
                <w:szCs w:val="24"/>
              </w:rPr>
              <w:t>、对景观生态体系的影响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工程的修建，库区的形成、坝址以下减水河段的</w:t>
            </w:r>
            <w:r>
              <w:rPr>
                <w:spacing w:val="-2"/>
                <w:sz w:val="24"/>
                <w:szCs w:val="24"/>
              </w:rPr>
              <w:t>形成、坝址对河流生态系统</w:t>
            </w:r>
            <w:r>
              <w:rPr>
                <w:spacing w:val="-1"/>
                <w:sz w:val="24"/>
                <w:szCs w:val="24"/>
              </w:rPr>
              <w:t>的阻断等施工活动的发生，都势必会影响原有景观生态体系的格</w:t>
            </w:r>
            <w:r>
              <w:rPr>
                <w:spacing w:val="-2"/>
                <w:sz w:val="24"/>
                <w:szCs w:val="24"/>
              </w:rPr>
              <w:t>局，使景观生态</w:t>
            </w:r>
            <w:r>
              <w:rPr>
                <w:spacing w:val="-1"/>
                <w:sz w:val="24"/>
                <w:szCs w:val="24"/>
              </w:rPr>
              <w:t>体系动态发生变化，如造成景观拼块类型的改变，破碎化和异质</w:t>
            </w:r>
            <w:r>
              <w:rPr>
                <w:spacing w:val="-2"/>
                <w:sz w:val="24"/>
                <w:szCs w:val="24"/>
              </w:rPr>
              <w:t>性程度的上升，</w:t>
            </w:r>
            <w:r>
              <w:rPr>
                <w:spacing w:val="-1"/>
                <w:sz w:val="24"/>
                <w:szCs w:val="24"/>
              </w:rPr>
              <w:t>景观整体连通性的降低，造成生态系统功能的变化和类型的变化</w:t>
            </w:r>
            <w:r>
              <w:rPr>
                <w:spacing w:val="-2"/>
                <w:sz w:val="24"/>
                <w:szCs w:val="24"/>
              </w:rPr>
              <w:t>，影响和改变物质和能量的流动等。</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ascii="新宋体" w:hAnsi="新宋体" w:eastAsia="新宋体" w:cs="新宋体"/>
                <w:sz w:val="24"/>
                <w:szCs w:val="24"/>
              </w:rPr>
            </w:pPr>
            <w:r>
              <w:rPr>
                <w:rFonts w:ascii="Times New Roman" w:hAnsi="Times New Roman" w:eastAsia="Times New Roman" w:cs="Times New Roman"/>
                <w:b/>
                <w:bCs/>
                <w:spacing w:val="-6"/>
                <w:sz w:val="24"/>
                <w:szCs w:val="24"/>
              </w:rPr>
              <w:t>4</w:t>
            </w:r>
            <w:r>
              <w:rPr>
                <w:rFonts w:ascii="新宋体" w:hAnsi="新宋体" w:eastAsia="新宋体" w:cs="新宋体"/>
                <w:b/>
                <w:bCs/>
                <w:spacing w:val="-6"/>
                <w:sz w:val="24"/>
                <w:szCs w:val="24"/>
              </w:rPr>
              <w:t>、对消落带的影响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新宋体" w:hAnsi="新宋体" w:eastAsia="新宋体" w:cs="新宋体"/>
                <w:spacing w:val="0"/>
                <w:sz w:val="24"/>
                <w:szCs w:val="24"/>
              </w:rPr>
              <w:t>本项目库区的死水位为</w:t>
            </w:r>
            <w:r>
              <w:rPr>
                <w:rFonts w:ascii="Times New Roman" w:hAnsi="Times New Roman" w:eastAsia="Times New Roman" w:cs="Times New Roman"/>
                <w:spacing w:val="0"/>
                <w:sz w:val="24"/>
                <w:szCs w:val="24"/>
              </w:rPr>
              <w:t>5</w:t>
            </w:r>
            <w:r>
              <w:rPr>
                <w:rFonts w:hint="eastAsia" w:ascii="Times New Roman" w:hAnsi="Times New Roman" w:eastAsia="宋体" w:cs="Times New Roman"/>
                <w:spacing w:val="0"/>
                <w:sz w:val="24"/>
                <w:szCs w:val="24"/>
                <w:lang w:val="en-US" w:eastAsia="zh-CN"/>
              </w:rPr>
              <w:t>67.00</w:t>
            </w:r>
            <w:r>
              <w:rPr>
                <w:rFonts w:ascii="Times New Roman" w:hAnsi="Times New Roman" w:eastAsia="Times New Roman" w:cs="Times New Roman"/>
                <w:spacing w:val="0"/>
                <w:sz w:val="24"/>
                <w:szCs w:val="24"/>
              </w:rPr>
              <w:t>m</w:t>
            </w:r>
            <w:r>
              <w:rPr>
                <w:rFonts w:ascii="新宋体" w:hAnsi="新宋体" w:eastAsia="新宋体" w:cs="新宋体"/>
                <w:spacing w:val="0"/>
                <w:sz w:val="24"/>
                <w:szCs w:val="24"/>
              </w:rPr>
              <w:t>，校核洪水位</w:t>
            </w:r>
            <w:r>
              <w:rPr>
                <w:rFonts w:hint="eastAsia" w:ascii="新宋体" w:hAnsi="新宋体" w:eastAsia="新宋体" w:cs="新宋体"/>
                <w:spacing w:val="0"/>
                <w:sz w:val="24"/>
                <w:szCs w:val="24"/>
                <w:lang w:val="en-US" w:eastAsia="zh-CN"/>
              </w:rPr>
              <w:t>597.25</w:t>
            </w:r>
            <w:r>
              <w:rPr>
                <w:rFonts w:ascii="Times New Roman" w:hAnsi="Times New Roman" w:eastAsia="Times New Roman" w:cs="Times New Roman"/>
                <w:spacing w:val="0"/>
                <w:sz w:val="24"/>
                <w:szCs w:val="24"/>
              </w:rPr>
              <w:t>m</w:t>
            </w:r>
            <w:r>
              <w:rPr>
                <w:rFonts w:ascii="新宋体" w:hAnsi="新宋体" w:eastAsia="新宋体" w:cs="新宋体"/>
                <w:spacing w:val="0"/>
                <w:sz w:val="24"/>
                <w:szCs w:val="24"/>
              </w:rPr>
              <w:t>，正常蓄水位为</w:t>
            </w:r>
            <w:r>
              <w:rPr>
                <w:rFonts w:hint="eastAsia" w:ascii="Times New Roman" w:hAnsi="Times New Roman" w:eastAsia="宋体" w:cs="Times New Roman"/>
                <w:spacing w:val="0"/>
                <w:sz w:val="24"/>
                <w:szCs w:val="24"/>
                <w:lang w:val="en-US" w:eastAsia="zh-CN"/>
              </w:rPr>
              <w:t>594.50</w:t>
            </w:r>
            <w:r>
              <w:rPr>
                <w:rFonts w:ascii="Times New Roman" w:hAnsi="Times New Roman" w:eastAsia="Times New Roman" w:cs="Times New Roman"/>
                <w:spacing w:val="0"/>
                <w:sz w:val="24"/>
                <w:szCs w:val="24"/>
              </w:rPr>
              <w:t>m</w:t>
            </w:r>
            <w:r>
              <w:rPr>
                <w:rFonts w:ascii="新宋体" w:hAnsi="新宋体" w:eastAsia="新宋体" w:cs="新宋体"/>
                <w:spacing w:val="0"/>
                <w:sz w:val="24"/>
                <w:szCs w:val="24"/>
              </w:rPr>
              <w:t>，工程建成后进入稳定运行期间，水库形成约</w:t>
            </w:r>
            <w:r>
              <w:rPr>
                <w:rFonts w:hint="eastAsia" w:ascii="新宋体" w:hAnsi="新宋体" w:eastAsia="新宋体" w:cs="新宋体"/>
                <w:spacing w:val="0"/>
                <w:sz w:val="24"/>
                <w:szCs w:val="24"/>
                <w:lang w:val="en-US" w:eastAsia="zh-CN"/>
              </w:rPr>
              <w:t>27.5</w:t>
            </w:r>
            <w:r>
              <w:rPr>
                <w:rFonts w:ascii="Times New Roman" w:hAnsi="Times New Roman" w:eastAsia="Times New Roman" w:cs="Times New Roman"/>
                <w:spacing w:val="0"/>
                <w:sz w:val="24"/>
                <w:szCs w:val="24"/>
              </w:rPr>
              <w:t>m“</w:t>
            </w:r>
            <w:r>
              <w:rPr>
                <w:spacing w:val="0"/>
                <w:sz w:val="24"/>
                <w:szCs w:val="24"/>
              </w:rPr>
              <w:t>消落带</w:t>
            </w:r>
            <w:r>
              <w:rPr>
                <w:rFonts w:ascii="Times New Roman" w:hAnsi="Times New Roman" w:eastAsia="Times New Roman" w:cs="Times New Roman"/>
                <w:spacing w:val="0"/>
                <w:sz w:val="24"/>
                <w:szCs w:val="24"/>
              </w:rPr>
              <w:t>”</w:t>
            </w:r>
            <w:r>
              <w:rPr>
                <w:rFonts w:ascii="新宋体" w:hAnsi="新宋体" w:eastAsia="新宋体" w:cs="新宋体"/>
                <w:spacing w:val="0"/>
                <w:sz w:val="24"/>
                <w:szCs w:val="24"/>
              </w:rPr>
              <w:t>的变化。</w:t>
            </w:r>
            <w:r>
              <w:rPr>
                <w:spacing w:val="-1"/>
                <w:sz w:val="24"/>
                <w:szCs w:val="24"/>
              </w:rPr>
              <w:t>运行期对消落带产生影响主要体现在以下几方面：</w:t>
            </w:r>
          </w:p>
          <w:p>
            <w:pPr>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ascii="Times New Roman" w:hAnsi="Times New Roman" w:eastAsia="Times New Roman" w:cs="Times New Roman"/>
                <w:b/>
                <w:bCs/>
                <w:spacing w:val="-6"/>
                <w:sz w:val="24"/>
                <w:szCs w:val="24"/>
              </w:rPr>
            </w:pPr>
            <w:r>
              <w:rPr>
                <w:rFonts w:hint="eastAsia" w:eastAsia="宋体" w:cs="Times New Roman"/>
                <w:b/>
                <w:bCs/>
                <w:spacing w:val="-6"/>
                <w:sz w:val="24"/>
                <w:szCs w:val="24"/>
                <w:lang w:val="en-US" w:eastAsia="zh-CN"/>
              </w:rPr>
              <w:t xml:space="preserve">⑴ </w:t>
            </w:r>
            <w:r>
              <w:rPr>
                <w:rFonts w:ascii="Times New Roman" w:hAnsi="Times New Roman" w:eastAsia="Times New Roman" w:cs="Times New Roman"/>
                <w:b/>
                <w:bCs/>
                <w:spacing w:val="-6"/>
                <w:sz w:val="24"/>
                <w:szCs w:val="24"/>
              </w:rPr>
              <w:t>对消落带物理因子的影响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z w:val="24"/>
                <w:szCs w:val="24"/>
              </w:rPr>
            </w:pPr>
            <w:r>
              <w:rPr>
                <w:rFonts w:ascii="新宋体" w:hAnsi="新宋体" w:eastAsia="新宋体" w:cs="新宋体"/>
                <w:spacing w:val="0"/>
                <w:sz w:val="24"/>
                <w:szCs w:val="24"/>
              </w:rPr>
              <w:t>水位变化将改变湖泊的地形学和沉积学特征，进而影响消落带的侵蚀、物质输送和沉积特性，并有可能在根本上改变消落带的生物地球化学特性。长期的水位变化将改变湖岸线，对生物没有影响；短期的水位变化不改变湖岸，但对湖滨区生物和沉积物表层非生物部分都有影响，湖滨、海岸的地形和沉积粒度分布就是短期—长期水位变化的结果，前者为侵蚀提供能量，后者决定了被侵蚀的部位。水位下降时，降水溅击、坡面汇流冲刷、水库水位涨退和风浪等外营力直接作用于坡面土壤，导致表土很快流</w:t>
            </w:r>
            <w:r>
              <w:rPr>
                <w:spacing w:val="-1"/>
                <w:sz w:val="24"/>
                <w:szCs w:val="24"/>
              </w:rPr>
              <w:t>失，坡面沟壑丛生</w:t>
            </w:r>
            <w:r>
              <w:rPr>
                <w:rFonts w:ascii="新宋体" w:hAnsi="新宋体" w:eastAsia="新宋体" w:cs="新宋体"/>
                <w:spacing w:val="-1"/>
                <w:sz w:val="24"/>
                <w:szCs w:val="24"/>
              </w:rPr>
              <w:t>；</w:t>
            </w:r>
            <w:r>
              <w:rPr>
                <w:spacing w:val="-1"/>
                <w:sz w:val="24"/>
                <w:szCs w:val="24"/>
              </w:rPr>
              <w:t>水位上升后，水</w:t>
            </w:r>
            <w:r>
              <w:rPr>
                <w:spacing w:val="-2"/>
                <w:sz w:val="24"/>
                <w:szCs w:val="24"/>
              </w:rPr>
              <w:t>体的浸泡、扰</w:t>
            </w:r>
            <w:r>
              <w:rPr>
                <w:spacing w:val="-1"/>
                <w:sz w:val="24"/>
                <w:szCs w:val="24"/>
              </w:rPr>
              <w:t>动对消落带坡面植物和土壤结构进一步破坏，将加剧消落带土壤的</w:t>
            </w:r>
            <w:r>
              <w:rPr>
                <w:spacing w:val="-2"/>
                <w:sz w:val="24"/>
                <w:szCs w:val="24"/>
              </w:rPr>
              <w:t>重力侵蚀和冲</w:t>
            </w:r>
            <w:r>
              <w:rPr>
                <w:spacing w:val="-3"/>
                <w:sz w:val="24"/>
                <w:szCs w:val="24"/>
              </w:rPr>
              <w:t>刷作用。</w:t>
            </w:r>
          </w:p>
          <w:p>
            <w:pPr>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hint="eastAsia" w:eastAsia="宋体" w:cs="Times New Roman"/>
                <w:b/>
                <w:bCs/>
                <w:spacing w:val="-6"/>
                <w:sz w:val="24"/>
                <w:szCs w:val="24"/>
                <w:lang w:val="en-US" w:eastAsia="zh-CN"/>
              </w:rPr>
            </w:pPr>
            <w:r>
              <w:rPr>
                <w:rFonts w:hint="eastAsia" w:eastAsia="宋体" w:cs="Times New Roman"/>
                <w:b/>
                <w:bCs/>
                <w:spacing w:val="-6"/>
                <w:sz w:val="24"/>
                <w:szCs w:val="24"/>
                <w:lang w:val="en-US" w:eastAsia="zh-CN"/>
              </w:rPr>
              <w:t>⑵ 对消落带植物的影响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新宋体" w:hAnsi="新宋体" w:eastAsia="新宋体" w:cs="新宋体"/>
                <w:spacing w:val="0"/>
                <w:sz w:val="24"/>
                <w:szCs w:val="24"/>
              </w:rPr>
            </w:pPr>
            <w:r>
              <w:rPr>
                <w:rFonts w:ascii="新宋体" w:hAnsi="新宋体" w:eastAsia="新宋体" w:cs="新宋体"/>
                <w:spacing w:val="0"/>
                <w:sz w:val="24"/>
                <w:szCs w:val="24"/>
              </w:rPr>
              <w:t>按植物分布的地理特征，</w:t>
            </w:r>
            <w:r>
              <w:rPr>
                <w:rFonts w:hint="eastAsia" w:ascii="新宋体" w:hAnsi="新宋体" w:eastAsia="新宋体" w:cs="新宋体"/>
                <w:spacing w:val="0"/>
                <w:sz w:val="24"/>
                <w:szCs w:val="24"/>
                <w:lang w:val="en-US" w:eastAsia="zh-CN"/>
              </w:rPr>
              <w:t>三合</w:t>
            </w:r>
            <w:r>
              <w:rPr>
                <w:rFonts w:ascii="新宋体" w:hAnsi="新宋体" w:eastAsia="新宋体" w:cs="新宋体"/>
                <w:spacing w:val="0"/>
                <w:sz w:val="24"/>
                <w:szCs w:val="24"/>
              </w:rPr>
              <w:t>水库消落带植物可分为四种基本类型：森林</w:t>
            </w:r>
            <w:r>
              <w:rPr>
                <w:rFonts w:hint="eastAsia" w:ascii="新宋体" w:hAnsi="新宋体" w:eastAsia="新宋体" w:cs="新宋体"/>
                <w:spacing w:val="0"/>
                <w:sz w:val="24"/>
                <w:szCs w:val="24"/>
                <w:lang w:eastAsia="zh-CN"/>
              </w:rPr>
              <w:t>、</w:t>
            </w:r>
            <w:r>
              <w:rPr>
                <w:rFonts w:ascii="新宋体" w:hAnsi="新宋体" w:eastAsia="新宋体" w:cs="新宋体"/>
                <w:spacing w:val="0"/>
                <w:sz w:val="24"/>
                <w:szCs w:val="24"/>
              </w:rPr>
              <w:t>灌丛、沼生植物、水生植物，其中</w:t>
            </w:r>
            <w:r>
              <w:rPr>
                <w:rFonts w:hint="eastAsia" w:ascii="新宋体" w:hAnsi="新宋体" w:eastAsia="新宋体" w:cs="新宋体"/>
                <w:spacing w:val="0"/>
                <w:sz w:val="24"/>
                <w:szCs w:val="24"/>
                <w:lang w:eastAsia="zh-CN"/>
              </w:rPr>
              <w:t>：</w:t>
            </w:r>
            <w:r>
              <w:rPr>
                <w:rFonts w:ascii="新宋体" w:hAnsi="新宋体" w:eastAsia="新宋体" w:cs="新宋体"/>
                <w:spacing w:val="0"/>
                <w:sz w:val="24"/>
                <w:szCs w:val="24"/>
              </w:rPr>
              <w:t>沼生植物很大程度上是水位变化的产物，受水位变化特征控制。淹水的深度、持续时间、频度影响着植物群落的组成，每次洪水的持续时间在分开不同的植物群落显得非常重要。持续的水位升高会导致一些植物落叶、死亡，而水位下降之后其他的植物种类就有机会扩张生长，引起植物组合的改变，最终还会引起一系列其他相关生物群体变化。太大和太小的水位变化都会引起生物多样性的减少，因此消落带少有多年生植物存活，优势种群绝大多数都是一年生的植物。水位降低时，滨岸藻类由于丧失合适的栖息地（如：岩石和植物的表面）而减少，大型植物覆盖度下降了1/3；水位恢复后，植物开始恢复，但其物种类型发生了变化，苔属植物几乎绝迹，水池草的生物量和数量都有增加。</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sz w:val="24"/>
                <w:szCs w:val="24"/>
              </w:rPr>
            </w:pPr>
            <w:r>
              <w:rPr>
                <w:rFonts w:hint="eastAsia"/>
                <w:b/>
                <w:bCs/>
                <w:spacing w:val="-4"/>
                <w:sz w:val="24"/>
                <w:szCs w:val="24"/>
                <w:lang w:val="en-US" w:eastAsia="zh-CN"/>
              </w:rPr>
              <w:t xml:space="preserve">⑶ </w:t>
            </w:r>
            <w:r>
              <w:rPr>
                <w:b/>
                <w:bCs/>
                <w:spacing w:val="-4"/>
                <w:sz w:val="24"/>
                <w:szCs w:val="24"/>
              </w:rPr>
              <w:t>对消落带动物的影响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新宋体" w:hAnsi="新宋体" w:eastAsia="新宋体" w:cs="新宋体"/>
                <w:spacing w:val="0"/>
                <w:sz w:val="24"/>
                <w:szCs w:val="24"/>
              </w:rPr>
            </w:pPr>
            <w:r>
              <w:rPr>
                <w:rFonts w:ascii="新宋体" w:hAnsi="新宋体" w:eastAsia="新宋体" w:cs="新宋体"/>
                <w:spacing w:val="0"/>
                <w:sz w:val="24"/>
                <w:szCs w:val="24"/>
              </w:rPr>
              <w:t>大型无脊椎动物对水位变化敏感，是消落带研究最多的动物。</w:t>
            </w:r>
            <w:r>
              <w:rPr>
                <w:rFonts w:hint="eastAsia" w:ascii="新宋体" w:hAnsi="新宋体" w:eastAsia="新宋体" w:cs="新宋体"/>
                <w:spacing w:val="0"/>
                <w:sz w:val="24"/>
                <w:szCs w:val="24"/>
                <w:lang w:val="en-US" w:eastAsia="zh-CN"/>
              </w:rPr>
              <w:t>三合</w:t>
            </w:r>
            <w:r>
              <w:rPr>
                <w:rFonts w:ascii="新宋体" w:hAnsi="新宋体" w:eastAsia="新宋体" w:cs="新宋体"/>
                <w:spacing w:val="0"/>
                <w:sz w:val="24"/>
                <w:szCs w:val="24"/>
              </w:rPr>
              <w:t>水库大型无脊椎动物以消落带某些植物为栖息地、产卵场所和食物来源，因此水位的任何变化都会使无脊椎动物的数量大量减少。通常经过任何异常的水位变化的湖泊，无脊椎动物的数量都会发生部分减少甚至灭绝，之后需要很多年才能恢复，而且恢复后其种群组合也往往发生变化。由于大型无脊椎动物的移动性，而移动性又不如鱼类那么迅速，因而其对水位变化相对于大型植物更为敏感，更重要的是无脊椎动物是鱼类、鸟类、两栖类的食物来源，他们最终通过食物链对很多物种都有潜在的影响，大型无脊椎动物群落结构和丰度应该作为研究水位变化对环境影响的一项重要指标。</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sz w:val="24"/>
                <w:szCs w:val="24"/>
              </w:rPr>
            </w:pPr>
            <w:r>
              <w:rPr>
                <w:rFonts w:ascii="Times New Roman" w:hAnsi="Times New Roman" w:eastAsia="Times New Roman" w:cs="Times New Roman"/>
                <w:b/>
                <w:bCs/>
                <w:spacing w:val="-5"/>
                <w:sz w:val="24"/>
                <w:szCs w:val="24"/>
              </w:rPr>
              <w:t>5</w:t>
            </w:r>
            <w:r>
              <w:rPr>
                <w:b/>
                <w:bCs/>
                <w:spacing w:val="-5"/>
                <w:sz w:val="24"/>
                <w:szCs w:val="24"/>
              </w:rPr>
              <w:t>、对水生植物的影响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spacing w:val="-1"/>
                <w:sz w:val="24"/>
                <w:szCs w:val="24"/>
              </w:rPr>
              <w:t>水库坝址建成后蓄水区域水流速度减缓，泥沙沉</w:t>
            </w:r>
            <w:r>
              <w:rPr>
                <w:spacing w:val="-2"/>
                <w:sz w:val="24"/>
                <w:szCs w:val="24"/>
              </w:rPr>
              <w:t>降水体透明度降低，被淹没</w:t>
            </w:r>
            <w:r>
              <w:rPr>
                <w:spacing w:val="-1"/>
                <w:sz w:val="24"/>
                <w:szCs w:val="24"/>
              </w:rPr>
              <w:t>区域土壤内营养物质渗出，水中有机物质及矿物质增加</w:t>
            </w:r>
            <w:r>
              <w:rPr>
                <w:spacing w:val="-2"/>
                <w:sz w:val="24"/>
                <w:szCs w:val="24"/>
              </w:rPr>
              <w:t>，这些条件的变化均有利</w:t>
            </w:r>
            <w:r>
              <w:rPr>
                <w:spacing w:val="-1"/>
                <w:sz w:val="24"/>
                <w:szCs w:val="24"/>
              </w:rPr>
              <w:t>于水生植物的生长繁殖。预计蓄水区浮游植物生物量会</w:t>
            </w:r>
            <w:r>
              <w:rPr>
                <w:spacing w:val="-2"/>
                <w:sz w:val="24"/>
                <w:szCs w:val="24"/>
              </w:rPr>
              <w:t>有一定程度的增加，硅藻</w:t>
            </w:r>
            <w:r>
              <w:rPr>
                <w:spacing w:val="-1"/>
                <w:sz w:val="24"/>
                <w:szCs w:val="24"/>
              </w:rPr>
              <w:t>门种类将会一定程度地降低但仍将是坝上的优势种类。</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spacing w:val="-1"/>
                <w:sz w:val="24"/>
                <w:szCs w:val="24"/>
              </w:rPr>
              <w:t>取水工程建成后藻类植物总生物量将会减少，同</w:t>
            </w:r>
            <w:r>
              <w:rPr>
                <w:spacing w:val="-2"/>
                <w:sz w:val="24"/>
                <w:szCs w:val="24"/>
              </w:rPr>
              <w:t>时硅藻门等流水种类将可能</w:t>
            </w:r>
            <w:r>
              <w:rPr>
                <w:spacing w:val="-1"/>
                <w:sz w:val="24"/>
                <w:szCs w:val="24"/>
              </w:rPr>
              <w:t>减少，蓝藻中半气生性种类也会一定程度的增加。浮游藻类的生</w:t>
            </w:r>
            <w:r>
              <w:rPr>
                <w:spacing w:val="-2"/>
                <w:sz w:val="24"/>
                <w:szCs w:val="24"/>
              </w:rPr>
              <w:t>物量和种群密度</w:t>
            </w:r>
            <w:r>
              <w:rPr>
                <w:spacing w:val="-1"/>
                <w:sz w:val="24"/>
                <w:szCs w:val="24"/>
              </w:rPr>
              <w:t>不会受到河水减水的影响，其区系组成与种类组成基本不会改变。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z w:val="24"/>
                <w:szCs w:val="24"/>
              </w:rPr>
            </w:pPr>
            <w:r>
              <w:rPr>
                <w:rFonts w:ascii="Times New Roman" w:hAnsi="Times New Roman" w:eastAsia="Times New Roman" w:cs="Times New Roman"/>
                <w:b/>
                <w:bCs/>
                <w:spacing w:val="-6"/>
                <w:sz w:val="24"/>
                <w:szCs w:val="24"/>
              </w:rPr>
              <w:t>6</w:t>
            </w:r>
            <w:r>
              <w:rPr>
                <w:b/>
                <w:bCs/>
                <w:spacing w:val="-6"/>
                <w:sz w:val="24"/>
                <w:szCs w:val="24"/>
              </w:rPr>
              <w:t>、对水生动物的影响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jc w:val="both"/>
              <w:textAlignment w:val="auto"/>
              <w:rPr>
                <w:sz w:val="24"/>
                <w:szCs w:val="24"/>
              </w:rPr>
            </w:pPr>
            <w:r>
              <w:rPr>
                <w:spacing w:val="6"/>
                <w:sz w:val="24"/>
                <w:szCs w:val="24"/>
              </w:rPr>
              <w:t>水库建成后，坝上至库尾河段由原有的急流生态将变成河道型缓流水库生</w:t>
            </w:r>
            <w:r>
              <w:rPr>
                <w:spacing w:val="-1"/>
                <w:sz w:val="24"/>
                <w:szCs w:val="24"/>
              </w:rPr>
              <w:t>态，有利于浮游生物的生长繁殖。在蓄水区较短水域内原有</w:t>
            </w:r>
            <w:r>
              <w:rPr>
                <w:spacing w:val="-2"/>
                <w:sz w:val="24"/>
                <w:szCs w:val="24"/>
              </w:rPr>
              <w:t>急流生境丧失，底栖</w:t>
            </w:r>
            <w:r>
              <w:rPr>
                <w:spacing w:val="-1"/>
                <w:sz w:val="24"/>
                <w:szCs w:val="24"/>
              </w:rPr>
              <w:t>动物的种类组成和种群密度将会受到一定程度的影响。与此同时</w:t>
            </w:r>
            <w:r>
              <w:rPr>
                <w:spacing w:val="-2"/>
                <w:sz w:val="24"/>
                <w:szCs w:val="24"/>
              </w:rPr>
              <w:t>，减水河段内水</w:t>
            </w:r>
            <w:r>
              <w:rPr>
                <w:spacing w:val="-1"/>
                <w:sz w:val="24"/>
                <w:szCs w:val="24"/>
              </w:rPr>
              <w:t>流变缓、水面变浅等因素的变化，将会导致该区域的水生无脊椎</w:t>
            </w:r>
            <w:r>
              <w:rPr>
                <w:spacing w:val="-2"/>
                <w:sz w:val="24"/>
                <w:szCs w:val="24"/>
              </w:rPr>
              <w:t>动物的区系组成</w:t>
            </w:r>
            <w:r>
              <w:rPr>
                <w:spacing w:val="-1"/>
                <w:sz w:val="24"/>
                <w:szCs w:val="24"/>
              </w:rPr>
              <w:t>发生一定的变化，种类组成趋于简单。</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sz w:val="24"/>
                <w:szCs w:val="24"/>
              </w:rPr>
            </w:pPr>
            <w:r>
              <w:rPr>
                <w:rFonts w:hint="eastAsia"/>
                <w:spacing w:val="-2"/>
                <w:sz w:val="24"/>
                <w:szCs w:val="24"/>
                <w:lang w:val="en-US" w:eastAsia="zh-CN"/>
              </w:rPr>
              <w:t>三合</w:t>
            </w:r>
            <w:r>
              <w:rPr>
                <w:spacing w:val="-2"/>
                <w:sz w:val="24"/>
                <w:szCs w:val="24"/>
              </w:rPr>
              <w:t>水库修建后对鱼类的影响主要包括坝址对鱼类产生的阻隔效应、坝址</w:t>
            </w:r>
            <w:r>
              <w:rPr>
                <w:spacing w:val="-1"/>
                <w:sz w:val="24"/>
                <w:szCs w:val="24"/>
              </w:rPr>
              <w:t>下游的减水河段内水文形势发生的变化和坝址上游形成回水区等</w:t>
            </w:r>
            <w:r>
              <w:rPr>
                <w:spacing w:val="-2"/>
                <w:sz w:val="24"/>
                <w:szCs w:val="24"/>
              </w:rPr>
              <w:t>方面。大坝将破</w:t>
            </w:r>
            <w:r>
              <w:rPr>
                <w:sz w:val="24"/>
                <w:szCs w:val="24"/>
              </w:rPr>
              <w:t>坏河道原急流生态系统的连续性和完整性，导致坝址上、下游水生环境片段化，</w:t>
            </w:r>
            <w:r>
              <w:rPr>
                <w:spacing w:val="1"/>
                <w:sz w:val="24"/>
                <w:szCs w:val="24"/>
              </w:rPr>
              <w:t>使坝下的鱼类难以洄游到坝上，在一定程度</w:t>
            </w:r>
            <w:r>
              <w:rPr>
                <w:sz w:val="24"/>
                <w:szCs w:val="24"/>
              </w:rPr>
              <w:t>上影响鱼类生长、繁殖、基因交流。</w:t>
            </w:r>
            <w:r>
              <w:rPr>
                <w:spacing w:val="-1"/>
                <w:sz w:val="24"/>
                <w:szCs w:val="24"/>
              </w:rPr>
              <w:t>当水库建成蓄水后，浮游动植物数量的增加，为鱼类提供了丰富</w:t>
            </w:r>
            <w:r>
              <w:rPr>
                <w:spacing w:val="-2"/>
                <w:sz w:val="24"/>
                <w:szCs w:val="24"/>
              </w:rPr>
              <w:t>的饵料资源，最</w:t>
            </w:r>
            <w:r>
              <w:rPr>
                <w:spacing w:val="-1"/>
                <w:sz w:val="24"/>
                <w:szCs w:val="24"/>
              </w:rPr>
              <w:t>终会增加鱼产量，同时，在库湾地带出现了静水区域，为喜缓流</w:t>
            </w:r>
            <w:r>
              <w:rPr>
                <w:spacing w:val="-2"/>
                <w:sz w:val="24"/>
                <w:szCs w:val="24"/>
              </w:rPr>
              <w:t>和静水生活的鱼</w:t>
            </w:r>
            <w:r>
              <w:rPr>
                <w:spacing w:val="-1"/>
                <w:sz w:val="24"/>
                <w:szCs w:val="24"/>
              </w:rPr>
              <w:t>类提供了较好的栖息地，可提供良好的越冬场所。减水河段形成</w:t>
            </w:r>
            <w:r>
              <w:rPr>
                <w:spacing w:val="-2"/>
                <w:sz w:val="24"/>
                <w:szCs w:val="24"/>
              </w:rPr>
              <w:t>后河道水流量变</w:t>
            </w:r>
            <w:r>
              <w:rPr>
                <w:spacing w:val="-1"/>
                <w:sz w:val="24"/>
                <w:szCs w:val="24"/>
              </w:rPr>
              <w:t>小，流速变缓，导致其原来的水生生态功能大幅度丧失，鱼类资</w:t>
            </w:r>
            <w:r>
              <w:rPr>
                <w:spacing w:val="-2"/>
                <w:sz w:val="24"/>
                <w:szCs w:val="24"/>
              </w:rPr>
              <w:t>源量将受到较大</w:t>
            </w:r>
            <w:r>
              <w:rPr>
                <w:spacing w:val="-6"/>
                <w:sz w:val="24"/>
                <w:szCs w:val="24"/>
              </w:rPr>
              <w:t>影响，资源类型向小型化方向演替。枯水期下泄流量完全满足最小生态</w:t>
            </w:r>
            <w:r>
              <w:rPr>
                <w:spacing w:val="-7"/>
                <w:sz w:val="24"/>
                <w:szCs w:val="24"/>
              </w:rPr>
              <w:t>流量需求，</w:t>
            </w:r>
            <w:r>
              <w:rPr>
                <w:sz w:val="24"/>
                <w:szCs w:val="24"/>
              </w:rPr>
              <w:t>可改善下游水生态条件，基本保证减水河段鱼类主要</w:t>
            </w:r>
            <w:r>
              <w:rPr>
                <w:spacing w:val="-1"/>
                <w:sz w:val="24"/>
                <w:szCs w:val="24"/>
              </w:rPr>
              <w:t>的索饵、繁殖和越冬场。</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b/>
                <w:bCs/>
                <w:spacing w:val="-4"/>
                <w:sz w:val="24"/>
                <w:szCs w:val="24"/>
              </w:rPr>
              <w:t>五、移民安置影响分析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sz w:val="24"/>
                <w:szCs w:val="24"/>
              </w:rPr>
            </w:pPr>
            <w:r>
              <w:rPr>
                <w:rFonts w:ascii="Times New Roman" w:hAnsi="Times New Roman" w:eastAsia="Times New Roman" w:cs="Times New Roman"/>
                <w:b/>
                <w:bCs/>
                <w:spacing w:val="-5"/>
                <w:sz w:val="24"/>
                <w:szCs w:val="24"/>
              </w:rPr>
              <w:t>1</w:t>
            </w:r>
            <w:r>
              <w:rPr>
                <w:b/>
                <w:bCs/>
                <w:spacing w:val="-5"/>
                <w:sz w:val="24"/>
                <w:szCs w:val="24"/>
              </w:rPr>
              <w:t>、生产安置的环境影响分析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pacing w:val="-1"/>
                <w:sz w:val="24"/>
                <w:szCs w:val="24"/>
              </w:rPr>
            </w:pPr>
            <w:r>
              <w:rPr>
                <w:spacing w:val="-1"/>
                <w:sz w:val="24"/>
                <w:szCs w:val="24"/>
              </w:rPr>
              <w:t>本工程移民全部采取为农业安置，在土地开垦的过程</w:t>
            </w:r>
            <w:r>
              <w:rPr>
                <w:spacing w:val="-2"/>
                <w:sz w:val="24"/>
                <w:szCs w:val="24"/>
              </w:rPr>
              <w:t>中可能造成植被破坏和</w:t>
            </w:r>
            <w:r>
              <w:rPr>
                <w:spacing w:val="-1"/>
                <w:sz w:val="24"/>
                <w:szCs w:val="24"/>
              </w:rPr>
              <w:t>水土流失，同时移民的日常生活及圈养牲畜将会产生一定量的粪便和</w:t>
            </w:r>
            <w:r>
              <w:rPr>
                <w:spacing w:val="-2"/>
                <w:sz w:val="24"/>
                <w:szCs w:val="24"/>
              </w:rPr>
              <w:t>生活污水，</w:t>
            </w:r>
            <w:r>
              <w:rPr>
                <w:spacing w:val="-1"/>
                <w:sz w:val="24"/>
                <w:szCs w:val="24"/>
              </w:rPr>
              <w:t>但各户均修建有厕所和化粪池，生活污水及人畜粪便不外排，全部用</w:t>
            </w:r>
            <w:r>
              <w:rPr>
                <w:spacing w:val="-2"/>
                <w:sz w:val="24"/>
                <w:szCs w:val="24"/>
              </w:rPr>
              <w:t>作农家肥，</w:t>
            </w:r>
            <w:r>
              <w:rPr>
                <w:spacing w:val="-1"/>
                <w:sz w:val="24"/>
                <w:szCs w:val="24"/>
              </w:rPr>
              <w:t>对周边水环境基本没有影响。移民日常生活垃圾产生量较小，不可降</w:t>
            </w:r>
            <w:r>
              <w:rPr>
                <w:spacing w:val="-2"/>
                <w:sz w:val="24"/>
                <w:szCs w:val="24"/>
              </w:rPr>
              <w:t>解垃圾利用</w:t>
            </w:r>
            <w:r>
              <w:rPr>
                <w:spacing w:val="-1"/>
                <w:sz w:val="24"/>
                <w:szCs w:val="24"/>
              </w:rPr>
              <w:t>各村庄原有的垃圾堆放点，对周围环境影响不大。</w:t>
            </w:r>
          </w:p>
          <w:p>
            <w:pPr>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rFonts w:ascii="新宋体" w:hAnsi="新宋体" w:eastAsia="新宋体" w:cs="新宋体"/>
                <w:sz w:val="24"/>
                <w:szCs w:val="24"/>
              </w:rPr>
            </w:pPr>
            <w:r>
              <w:rPr>
                <w:rFonts w:ascii="Times New Roman" w:hAnsi="Times New Roman" w:eastAsia="Times New Roman" w:cs="Times New Roman"/>
                <w:b/>
                <w:bCs/>
                <w:spacing w:val="-5"/>
                <w:sz w:val="24"/>
                <w:szCs w:val="24"/>
              </w:rPr>
              <w:t>2</w:t>
            </w:r>
            <w:r>
              <w:rPr>
                <w:rFonts w:ascii="新宋体" w:hAnsi="新宋体" w:eastAsia="新宋体" w:cs="新宋体"/>
                <w:b/>
                <w:bCs/>
                <w:spacing w:val="-5"/>
                <w:sz w:val="24"/>
                <w:szCs w:val="24"/>
              </w:rPr>
              <w:t>、对人群健康的影响</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sz w:val="24"/>
                <w:szCs w:val="24"/>
              </w:rPr>
            </w:pPr>
            <w:r>
              <w:rPr>
                <w:spacing w:val="-1"/>
                <w:sz w:val="24"/>
                <w:szCs w:val="24"/>
              </w:rPr>
              <w:t>水库建成后浅水区增加，水坑、水塘增多，有利</w:t>
            </w:r>
            <w:r>
              <w:rPr>
                <w:spacing w:val="-2"/>
                <w:sz w:val="24"/>
                <w:szCs w:val="24"/>
              </w:rPr>
              <w:t>于蚊虫滋生，再加上鼠类迁</w:t>
            </w:r>
            <w:r>
              <w:rPr>
                <w:spacing w:val="-6"/>
                <w:sz w:val="24"/>
                <w:szCs w:val="24"/>
              </w:rPr>
              <w:t>向高处的居民集中区，病菌感染人群概率增多。施工区和移民安置区人员</w:t>
            </w:r>
            <w:r>
              <w:rPr>
                <w:spacing w:val="-7"/>
                <w:sz w:val="24"/>
                <w:szCs w:val="24"/>
              </w:rPr>
              <w:t>流动大，</w:t>
            </w:r>
            <w:r>
              <w:rPr>
                <w:spacing w:val="-6"/>
                <w:sz w:val="24"/>
                <w:szCs w:val="24"/>
              </w:rPr>
              <w:t>疾病传播概率增多。特别是由于用水、饮食卫生条件控制不好，居住区环</w:t>
            </w:r>
            <w:r>
              <w:rPr>
                <w:spacing w:val="-7"/>
                <w:sz w:val="24"/>
                <w:szCs w:val="24"/>
              </w:rPr>
              <w:t>境潮湿，</w:t>
            </w:r>
            <w:r>
              <w:rPr>
                <w:spacing w:val="-1"/>
                <w:sz w:val="24"/>
                <w:szCs w:val="24"/>
              </w:rPr>
              <w:t>通过水传播，伤寒、感染性肝炎的发病率可能会增加。</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新宋体" w:hAnsi="新宋体" w:eastAsia="新宋体" w:cs="新宋体"/>
                <w:sz w:val="24"/>
                <w:szCs w:val="24"/>
              </w:rPr>
            </w:pPr>
            <w:r>
              <w:rPr>
                <w:rFonts w:ascii="Times New Roman" w:hAnsi="Times New Roman" w:eastAsia="Times New Roman" w:cs="Times New Roman"/>
                <w:b/>
                <w:bCs/>
                <w:spacing w:val="-4"/>
                <w:sz w:val="24"/>
                <w:szCs w:val="24"/>
              </w:rPr>
              <w:t>3</w:t>
            </w:r>
            <w:r>
              <w:rPr>
                <w:rFonts w:ascii="新宋体" w:hAnsi="新宋体" w:eastAsia="新宋体" w:cs="新宋体"/>
                <w:b/>
                <w:bCs/>
                <w:spacing w:val="-4"/>
                <w:sz w:val="24"/>
                <w:szCs w:val="24"/>
              </w:rPr>
              <w:t>、专业项目复（迁）建的环境影响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Arial" w:hAnsi="Arial" w:cs="Arial"/>
                <w:sz w:val="24"/>
              </w:rPr>
            </w:pPr>
            <w:r>
              <w:rPr>
                <w:rFonts w:hint="eastAsia"/>
                <w:spacing w:val="-2"/>
                <w:sz w:val="24"/>
                <w:szCs w:val="24"/>
                <w:lang w:val="en-US" w:eastAsia="zh-CN"/>
              </w:rPr>
              <w:t>三合</w:t>
            </w:r>
            <w:r>
              <w:rPr>
                <w:spacing w:val="-2"/>
                <w:sz w:val="24"/>
                <w:szCs w:val="24"/>
              </w:rPr>
              <w:t>水库工程专项设施复建仅有交通设施。根据现场调查，交通设施复建</w:t>
            </w:r>
            <w:r>
              <w:rPr>
                <w:spacing w:val="-1"/>
                <w:sz w:val="24"/>
                <w:szCs w:val="24"/>
              </w:rPr>
              <w:t>占地不涉及生态环境敏感目标。交通设施复建工程规模小，工</w:t>
            </w:r>
            <w:r>
              <w:rPr>
                <w:spacing w:val="-2"/>
                <w:sz w:val="24"/>
                <w:szCs w:val="24"/>
              </w:rPr>
              <w:t>程永久占地面积较</w:t>
            </w:r>
            <w:r>
              <w:rPr>
                <w:spacing w:val="-1"/>
                <w:sz w:val="24"/>
                <w:szCs w:val="24"/>
              </w:rPr>
              <w:t>小，而临时占地施工结束后可立即进行植被恢复，工程区内未</w:t>
            </w:r>
            <w:r>
              <w:rPr>
                <w:spacing w:val="-2"/>
                <w:sz w:val="24"/>
                <w:szCs w:val="24"/>
              </w:rPr>
              <w:t>发现有国家重点保</w:t>
            </w:r>
            <w:r>
              <w:rPr>
                <w:spacing w:val="-1"/>
                <w:sz w:val="24"/>
                <w:szCs w:val="24"/>
              </w:rPr>
              <w:t>护和珍稀濒危野生植物，因此，对当地的植被影响较小。</w:t>
            </w:r>
            <w:r>
              <w:rPr>
                <w:rFonts w:ascii="新宋体" w:hAnsi="新宋体" w:eastAsia="新宋体" w:cs="新宋体"/>
                <w:spacing w:val="-1"/>
                <w:sz w:val="24"/>
                <w:szCs w:val="24"/>
              </w:rPr>
              <w:t>专项</w:t>
            </w:r>
            <w:r>
              <w:rPr>
                <w:rFonts w:ascii="新宋体" w:hAnsi="新宋体" w:eastAsia="新宋体" w:cs="新宋体"/>
                <w:spacing w:val="-2"/>
                <w:sz w:val="24"/>
                <w:szCs w:val="24"/>
              </w:rPr>
              <w:t>设施工程施工过程</w:t>
            </w:r>
            <w:r>
              <w:rPr>
                <w:rFonts w:ascii="新宋体" w:hAnsi="新宋体" w:eastAsia="新宋体" w:cs="新宋体"/>
                <w:sz w:val="24"/>
                <w:szCs w:val="24"/>
              </w:rPr>
              <w:t>中产生的</w:t>
            </w:r>
            <w:r>
              <w:rPr>
                <w:rFonts w:ascii="Times New Roman" w:hAnsi="Times New Roman" w:eastAsia="Times New Roman" w:cs="Times New Roman"/>
                <w:sz w:val="24"/>
                <w:szCs w:val="24"/>
              </w:rPr>
              <w:t>“</w:t>
            </w:r>
            <w:r>
              <w:rPr>
                <w:rFonts w:ascii="新宋体" w:hAnsi="新宋体" w:eastAsia="新宋体" w:cs="新宋体"/>
                <w:sz w:val="24"/>
                <w:szCs w:val="24"/>
              </w:rPr>
              <w:t>三废一噪</w:t>
            </w:r>
            <w:r>
              <w:rPr>
                <w:rFonts w:ascii="Times New Roman" w:hAnsi="Times New Roman" w:eastAsia="Times New Roman" w:cs="Times New Roman"/>
                <w:sz w:val="24"/>
                <w:szCs w:val="24"/>
              </w:rPr>
              <w:t>”</w:t>
            </w:r>
            <w:r>
              <w:rPr>
                <w:rFonts w:ascii="新宋体" w:hAnsi="新宋体" w:eastAsia="新宋体" w:cs="新宋体"/>
                <w:sz w:val="24"/>
                <w:szCs w:val="24"/>
              </w:rPr>
              <w:t>影响范围局限在工程占</w:t>
            </w:r>
            <w:r>
              <w:rPr>
                <w:rFonts w:ascii="新宋体" w:hAnsi="新宋体" w:eastAsia="新宋体" w:cs="新宋体"/>
                <w:spacing w:val="-1"/>
                <w:sz w:val="24"/>
                <w:szCs w:val="24"/>
              </w:rPr>
              <w:t>地区附近，影响的时间有限，施工结束后，这种不利影响将消失。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57" w:type="dxa"/>
            <w:vAlign w:val="center"/>
          </w:tcPr>
          <w:p>
            <w:pPr>
              <w:pStyle w:val="19"/>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选址选线环境合理性分析</w:t>
            </w:r>
          </w:p>
        </w:tc>
        <w:tc>
          <w:tcPr>
            <w:tcW w:w="9273" w:type="dxa"/>
          </w:tcPr>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Times New Roman" w:cs="Times New Roman"/>
                <w:b/>
                <w:bCs/>
                <w:spacing w:val="-4"/>
                <w:sz w:val="24"/>
                <w:szCs w:val="24"/>
              </w:rPr>
            </w:pPr>
            <w:r>
              <w:rPr>
                <w:rFonts w:hint="default" w:ascii="Times New Roman" w:hAnsi="Times New Roman" w:eastAsia="Times New Roman" w:cs="Times New Roman"/>
                <w:b/>
                <w:bCs/>
                <w:spacing w:val="-4"/>
                <w:sz w:val="24"/>
                <w:szCs w:val="24"/>
              </w:rPr>
              <w:t>一、工程选址合理性分析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default" w:ascii="Arial" w:hAnsi="Arial" w:cs="Arial"/>
                <w:sz w:val="24"/>
                <w:szCs w:val="24"/>
              </w:rPr>
            </w:pPr>
            <w:r>
              <w:rPr>
                <w:rFonts w:hint="default" w:ascii="Arial" w:hAnsi="Arial" w:cs="Arial"/>
                <w:spacing w:val="1"/>
                <w:sz w:val="24"/>
                <w:szCs w:val="24"/>
              </w:rPr>
              <w:t>本项目属于国家发展和改革委员会</w:t>
            </w:r>
            <w:r>
              <w:rPr>
                <w:rFonts w:hint="default" w:ascii="Arial" w:hAnsi="Arial" w:cs="Arial"/>
                <w:spacing w:val="-52"/>
                <w:sz w:val="24"/>
                <w:szCs w:val="24"/>
              </w:rPr>
              <w:t xml:space="preserve"> </w:t>
            </w:r>
            <w:r>
              <w:rPr>
                <w:rFonts w:hint="default" w:ascii="Arial" w:hAnsi="Arial" w:eastAsia="Times New Roman" w:cs="Arial"/>
                <w:spacing w:val="1"/>
                <w:sz w:val="24"/>
                <w:szCs w:val="24"/>
              </w:rPr>
              <w:t>2023</w:t>
            </w:r>
            <w:r>
              <w:rPr>
                <w:rFonts w:hint="default" w:ascii="Arial" w:hAnsi="Arial" w:cs="Arial"/>
                <w:spacing w:val="1"/>
                <w:sz w:val="24"/>
                <w:szCs w:val="24"/>
              </w:rPr>
              <w:t>年第</w:t>
            </w:r>
            <w:r>
              <w:rPr>
                <w:rFonts w:hint="default" w:ascii="Arial" w:hAnsi="Arial" w:cs="Arial"/>
                <w:spacing w:val="-46"/>
                <w:sz w:val="24"/>
                <w:szCs w:val="24"/>
              </w:rPr>
              <w:t xml:space="preserve"> </w:t>
            </w:r>
            <w:r>
              <w:rPr>
                <w:rFonts w:hint="default" w:ascii="Arial" w:hAnsi="Arial" w:eastAsia="Times New Roman" w:cs="Arial"/>
                <w:spacing w:val="1"/>
                <w:sz w:val="24"/>
                <w:szCs w:val="24"/>
              </w:rPr>
              <w:t>7</w:t>
            </w:r>
            <w:r>
              <w:rPr>
                <w:rFonts w:hint="default" w:ascii="Arial" w:hAnsi="Arial" w:cs="Arial"/>
                <w:spacing w:val="1"/>
                <w:sz w:val="24"/>
                <w:szCs w:val="24"/>
              </w:rPr>
              <w:t>号令《产业结构调整指导目</w:t>
            </w:r>
            <w:r>
              <w:rPr>
                <w:rFonts w:hint="default" w:ascii="Arial" w:hAnsi="Arial" w:cs="Arial"/>
                <w:spacing w:val="-3"/>
                <w:sz w:val="24"/>
                <w:szCs w:val="24"/>
              </w:rPr>
              <w:t>录（</w:t>
            </w:r>
            <w:r>
              <w:rPr>
                <w:rFonts w:hint="default" w:ascii="Arial" w:hAnsi="Arial" w:eastAsia="Times New Roman" w:cs="Arial"/>
                <w:spacing w:val="-3"/>
                <w:sz w:val="24"/>
                <w:szCs w:val="24"/>
              </w:rPr>
              <w:t>2024</w:t>
            </w:r>
            <w:r>
              <w:rPr>
                <w:rFonts w:hint="default" w:ascii="Arial" w:hAnsi="Arial" w:cs="Arial"/>
                <w:spacing w:val="-3"/>
                <w:sz w:val="24"/>
                <w:szCs w:val="24"/>
              </w:rPr>
              <w:t>年本）》中的鼓励类项目，建设符合国家现行发展政策，符合区域相关总体规划。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default" w:ascii="Arial" w:hAnsi="Arial" w:cs="Arial"/>
                <w:sz w:val="24"/>
                <w:szCs w:val="24"/>
              </w:rPr>
              <w:t>本工程</w:t>
            </w:r>
            <w:r>
              <w:rPr>
                <w:color w:val="000000" w:themeColor="text1"/>
                <w:sz w:val="24"/>
                <w:szCs w:val="24"/>
                <w14:textFill>
                  <w14:solidFill>
                    <w14:schemeClr w14:val="tx1"/>
                  </w14:solidFill>
                </w14:textFill>
              </w:rPr>
              <w:t>大坝枢纽工程位于旺苍县东河镇南峰村2组（右岸）与凤阳村5组（左岸）交界处，距离旺苍县城约7.5km。S202省道从旺苍县城经过，从S202省道连接144乡道，行驶约5km，转村道（144乡道～奉家河段）行驶约2.6km可到达坝址右岸</w:t>
            </w:r>
            <w:r>
              <w:rPr>
                <w:rFonts w:hint="eastAsia"/>
                <w:color w:val="000000" w:themeColor="text1"/>
                <w:sz w:val="24"/>
                <w:szCs w:val="24"/>
                <w14:textFill>
                  <w14:solidFill>
                    <w14:schemeClr w14:val="tx1"/>
                  </w14:solidFill>
                </w14:textFill>
              </w:rPr>
              <w:t>坝肩</w:t>
            </w:r>
            <w:r>
              <w:rPr>
                <w:color w:val="000000" w:themeColor="text1"/>
                <w:sz w:val="24"/>
                <w:szCs w:val="24"/>
                <w14:textFill>
                  <w14:solidFill>
                    <w14:schemeClr w14:val="tx1"/>
                  </w14:solidFill>
                </w14:textFill>
              </w:rPr>
              <w:t>。工程对外交通较为便利。</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z w:val="24"/>
                <w:szCs w:val="24"/>
              </w:rPr>
            </w:pPr>
            <w:r>
              <w:rPr>
                <w:rFonts w:hint="eastAsia" w:ascii="Arial" w:hAnsi="Arial" w:cs="Arial"/>
                <w:sz w:val="24"/>
                <w:szCs w:val="24"/>
                <w:lang w:val="en-US" w:eastAsia="zh-CN"/>
              </w:rPr>
              <w:t>除此之外，</w:t>
            </w:r>
            <w:r>
              <w:rPr>
                <w:rFonts w:hint="default" w:ascii="Arial" w:hAnsi="Arial" w:cs="Arial"/>
                <w:spacing w:val="-1"/>
                <w:sz w:val="24"/>
                <w:szCs w:val="24"/>
              </w:rPr>
              <w:t>本项目选址结合灌区分布及沿线地形、地质条件进行</w:t>
            </w:r>
            <w:r>
              <w:rPr>
                <w:rFonts w:hint="default" w:ascii="Arial" w:hAnsi="Arial" w:cs="Arial"/>
                <w:spacing w:val="-2"/>
                <w:sz w:val="24"/>
                <w:szCs w:val="24"/>
              </w:rPr>
              <w:t>总体布置，施工难度较小，项目建设符合国家和当地发展政策，本项目选址从环境保护角度较为合理。</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4"/>
                <w:szCs w:val="24"/>
              </w:rPr>
            </w:pPr>
            <w:r>
              <w:rPr>
                <w:rFonts w:hint="default" w:ascii="Arial" w:hAnsi="Arial" w:cs="Arial"/>
                <w:b/>
                <w:bCs/>
                <w:spacing w:val="-3"/>
                <w:sz w:val="24"/>
                <w:szCs w:val="24"/>
              </w:rPr>
              <w:t>二、临时用地选址合理性分析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000000" w:themeColor="text1"/>
                <w:sz w:val="24"/>
                <w:szCs w:val="24"/>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本项目施工临时用地包括施工营地、施工场</w:t>
            </w:r>
            <w:r>
              <w:rPr>
                <w:rFonts w:hint="default" w:ascii="Arial" w:hAnsi="Arial" w:cs="Arial"/>
                <w:color w:val="000000" w:themeColor="text1"/>
                <w:spacing w:val="-1"/>
                <w:sz w:val="24"/>
                <w:szCs w:val="24"/>
                <w14:textFill>
                  <w14:solidFill>
                    <w14:schemeClr w14:val="tx1"/>
                  </w14:solidFill>
                </w14:textFill>
              </w:rPr>
              <w:t>地、施工便道、</w:t>
            </w:r>
            <w:r>
              <w:rPr>
                <w:rFonts w:hint="eastAsia" w:ascii="Arial" w:hAnsi="Arial" w:cs="Arial"/>
                <w:color w:val="000000" w:themeColor="text1"/>
                <w:spacing w:val="-1"/>
                <w:sz w:val="24"/>
                <w:szCs w:val="24"/>
                <w:lang w:val="en-US" w:eastAsia="zh-CN"/>
                <w14:textFill>
                  <w14:solidFill>
                    <w14:schemeClr w14:val="tx1"/>
                  </w14:solidFill>
                </w14:textFill>
              </w:rPr>
              <w:t>石渣料场及</w:t>
            </w:r>
            <w:r>
              <w:rPr>
                <w:rFonts w:hint="default" w:ascii="Arial" w:hAnsi="Arial" w:cs="Arial"/>
                <w:color w:val="000000" w:themeColor="text1"/>
                <w:spacing w:val="-1"/>
                <w:sz w:val="24"/>
                <w:szCs w:val="24"/>
                <w14:textFill>
                  <w14:solidFill>
                    <w14:schemeClr w14:val="tx1"/>
                  </w14:solidFill>
                </w14:textFill>
              </w:rPr>
              <w:t>弃渣场等。</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Times New Roman" w:cs="Times New Roman"/>
                <w:b/>
                <w:bCs/>
                <w:color w:val="000000" w:themeColor="text1"/>
                <w:spacing w:val="-4"/>
                <w:sz w:val="24"/>
                <w:szCs w:val="24"/>
                <w14:textFill>
                  <w14:solidFill>
                    <w14:schemeClr w14:val="tx1"/>
                  </w14:solidFill>
                </w14:textFill>
              </w:rPr>
            </w:pPr>
            <w:r>
              <w:rPr>
                <w:rFonts w:ascii="Times New Roman" w:hAnsi="Times New Roman" w:eastAsia="Times New Roman" w:cs="Times New Roman"/>
                <w:b/>
                <w:bCs/>
                <w:color w:val="000000" w:themeColor="text1"/>
                <w:spacing w:val="-4"/>
                <w:sz w:val="24"/>
                <w:szCs w:val="24"/>
                <w14:textFill>
                  <w14:solidFill>
                    <w14:schemeClr w14:val="tx1"/>
                  </w14:solidFill>
                </w14:textFill>
              </w:rPr>
              <w:t>1、施工营地选址合理性分析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color w:val="000000" w:themeColor="text1"/>
                <w:sz w:val="24"/>
                <w:szCs w:val="24"/>
                <w:lang w:val="en-US" w:eastAsia="zh-CN"/>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本项目于</w:t>
            </w:r>
            <w:r>
              <w:rPr>
                <w:rFonts w:hint="eastAsia" w:ascii="Arial" w:hAnsi="Arial" w:cs="Arial"/>
                <w:color w:val="000000" w:themeColor="text1"/>
                <w:sz w:val="24"/>
                <w:szCs w:val="24"/>
                <w:lang w:val="en-US" w:eastAsia="zh-CN"/>
                <w14:textFill>
                  <w14:solidFill>
                    <w14:schemeClr w14:val="tx1"/>
                  </w14:solidFill>
                </w14:textFill>
              </w:rPr>
              <w:t>大坝右岸下游350m处设置1处施工营地，主要包括一处混凝土搅拌站、综合加工厂、办公设施区等，此处紧靠1#施工道路，且该道路在施工结束后将作为水库上坝道路永久保留，地势相对较平坦。</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另外，</w:t>
            </w:r>
            <w:r>
              <w:rPr>
                <w:rFonts w:hint="default" w:ascii="Arial" w:hAnsi="Arial" w:cs="Arial"/>
                <w:color w:val="000000" w:themeColor="text1"/>
                <w:sz w:val="24"/>
                <w:szCs w:val="24"/>
                <w14:textFill>
                  <w14:solidFill>
                    <w14:schemeClr w14:val="tx1"/>
                  </w14:solidFill>
                </w14:textFill>
              </w:rPr>
              <w:t>在施工营地设置生活垃圾桶及环保厕所对施工人员产生的生活垃圾和生活污水进行收集处理，生活垃圾定期清运至附近垃圾中转站，生活污水经临时化粪池处理后回用于周边林地施肥，不外排。临时设施待施工结束拆除后进行迹地恢复。总体而言，本项目施工营地布设对环境影响较小，选址合理，无明显制约因素。</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Times New Roman" w:cs="Times New Roman"/>
                <w:b/>
                <w:bCs/>
                <w:color w:val="000000" w:themeColor="text1"/>
                <w:spacing w:val="-4"/>
                <w:sz w:val="24"/>
                <w:szCs w:val="24"/>
                <w14:textFill>
                  <w14:solidFill>
                    <w14:schemeClr w14:val="tx1"/>
                  </w14:solidFill>
                </w14:textFill>
              </w:rPr>
            </w:pPr>
            <w:r>
              <w:rPr>
                <w:rFonts w:ascii="Times New Roman" w:hAnsi="Times New Roman" w:eastAsia="Times New Roman" w:cs="Times New Roman"/>
                <w:b/>
                <w:bCs/>
                <w:color w:val="000000" w:themeColor="text1"/>
                <w:spacing w:val="-4"/>
                <w:sz w:val="24"/>
                <w:szCs w:val="24"/>
                <w14:textFill>
                  <w14:solidFill>
                    <w14:schemeClr w14:val="tx1"/>
                  </w14:solidFill>
                </w14:textFill>
              </w:rPr>
              <w:t>2、施工便道选址合理性分析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根据项目施工方案，其中：枢纽工程共设置施工道路11条，总长度5.33km，宽度有3.5m、6m两种，主要用于大坝左右岸施工、取水隧道等永久工程施工以及通往临时堆料场等临时工程用途；灌区工程主要设置3条施工便道，宽度在3.5m，主要用于施工期间物料转运以及施工时产生的弃渣的转运等用途。</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针对施工期设置的施工便道，</w:t>
            </w:r>
            <w:r>
              <w:rPr>
                <w:rFonts w:hint="default" w:ascii="Arial" w:hAnsi="Arial" w:cs="Arial"/>
                <w:color w:val="000000" w:themeColor="text1"/>
                <w:sz w:val="24"/>
                <w:szCs w:val="24"/>
                <w14:textFill>
                  <w14:solidFill>
                    <w14:schemeClr w14:val="tx1"/>
                  </w14:solidFill>
                </w14:textFill>
              </w:rPr>
              <w:t>拟采取道路</w:t>
            </w:r>
            <w:r>
              <w:rPr>
                <w:rFonts w:hint="eastAsia" w:ascii="Arial" w:hAnsi="Arial" w:cs="Arial"/>
                <w:color w:val="000000" w:themeColor="text1"/>
                <w:sz w:val="24"/>
                <w:szCs w:val="24"/>
                <w:lang w:val="en-US" w:eastAsia="zh-CN"/>
                <w14:textFill>
                  <w14:solidFill>
                    <w14:schemeClr w14:val="tx1"/>
                  </w14:solidFill>
                </w14:textFill>
              </w:rPr>
              <w:t>硬化、及时</w:t>
            </w:r>
            <w:r>
              <w:rPr>
                <w:rFonts w:hint="default" w:ascii="Arial" w:hAnsi="Arial" w:cs="Arial"/>
                <w:color w:val="000000" w:themeColor="text1"/>
                <w:sz w:val="24"/>
                <w:szCs w:val="24"/>
                <w14:textFill>
                  <w14:solidFill>
                    <w14:schemeClr w14:val="tx1"/>
                  </w14:solidFill>
                </w14:textFill>
              </w:rPr>
              <w:t>清扫、洒水降尘等措施降低施工便道扬尘，环境影响较小。总体而言，本项目施工便道选址合理，无明显制约因素。</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Times New Roman" w:cs="Times New Roman"/>
                <w:b/>
                <w:bCs/>
                <w:color w:val="000000" w:themeColor="text1"/>
                <w:spacing w:val="-4"/>
                <w:sz w:val="24"/>
                <w:szCs w:val="24"/>
                <w14:textFill>
                  <w14:solidFill>
                    <w14:schemeClr w14:val="tx1"/>
                  </w14:solidFill>
                </w14:textFill>
              </w:rPr>
            </w:pPr>
            <w:r>
              <w:rPr>
                <w:rFonts w:ascii="Times New Roman" w:hAnsi="Times New Roman" w:eastAsia="Times New Roman" w:cs="Times New Roman"/>
                <w:b/>
                <w:bCs/>
                <w:color w:val="000000" w:themeColor="text1"/>
                <w:spacing w:val="-4"/>
                <w:sz w:val="24"/>
                <w:szCs w:val="24"/>
                <w14:textFill>
                  <w14:solidFill>
                    <w14:schemeClr w14:val="tx1"/>
                  </w14:solidFill>
                </w14:textFill>
              </w:rPr>
              <w:t>3、</w:t>
            </w:r>
            <w:r>
              <w:rPr>
                <w:rFonts w:hint="eastAsia" w:eastAsia="宋体" w:cs="Times New Roman"/>
                <w:b/>
                <w:bCs/>
                <w:color w:val="000000" w:themeColor="text1"/>
                <w:spacing w:val="-4"/>
                <w:sz w:val="24"/>
                <w:szCs w:val="24"/>
                <w:lang w:val="en-US" w:eastAsia="zh-CN"/>
                <w14:textFill>
                  <w14:solidFill>
                    <w14:schemeClr w14:val="tx1"/>
                  </w14:solidFill>
                </w14:textFill>
              </w:rPr>
              <w:t>沥青混凝土拌合站</w:t>
            </w:r>
            <w:r>
              <w:rPr>
                <w:rFonts w:ascii="Times New Roman" w:hAnsi="Times New Roman" w:eastAsia="Times New Roman" w:cs="Times New Roman"/>
                <w:b/>
                <w:bCs/>
                <w:color w:val="000000" w:themeColor="text1"/>
                <w:spacing w:val="-4"/>
                <w:sz w:val="24"/>
                <w:szCs w:val="24"/>
                <w14:textFill>
                  <w14:solidFill>
                    <w14:schemeClr w14:val="tx1"/>
                  </w14:solidFill>
                </w14:textFill>
              </w:rPr>
              <w:t>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color w:val="000000" w:themeColor="text1"/>
                <w:sz w:val="24"/>
                <w:szCs w:val="24"/>
                <w:lang w:val="en-US" w:eastAsia="zh-CN"/>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根据项目施工方案，设计在位于大坝下游右岸处设置一处沥青拌合站，占地面积约1500m2，主要用于施工期LHB30沥青混凝土的提供，因该处拌合站所在区域紧靠1#施工道路，且该道路在施工结束后将作为水库上坝道路永久保留，地势相对较平坦。</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eastAsia="宋体" w:cs="Arial"/>
                <w:color w:val="000000" w:themeColor="text1"/>
                <w:sz w:val="24"/>
                <w:szCs w:val="24"/>
                <w:lang w:eastAsia="zh-CN"/>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另外，针对拌合站使用期间产生的粉尘通过配套布袋除尘器处理后排放；沥青烟通过配套活性炭吸附系统吸附后排放，加之该区域周边100m范围内无居民等敏感点分布，</w:t>
            </w:r>
            <w:r>
              <w:rPr>
                <w:rFonts w:hint="default" w:ascii="Arial" w:hAnsi="Arial" w:cs="Arial"/>
                <w:color w:val="000000" w:themeColor="text1"/>
                <w:sz w:val="24"/>
                <w:szCs w:val="24"/>
                <w14:textFill>
                  <w14:solidFill>
                    <w14:schemeClr w14:val="tx1"/>
                  </w14:solidFill>
                </w14:textFill>
              </w:rPr>
              <w:t>无明显制约因素</w:t>
            </w:r>
            <w:r>
              <w:rPr>
                <w:rFonts w:hint="eastAsia" w:ascii="Arial" w:hAnsi="Arial" w:cs="Arial"/>
                <w:color w:val="000000" w:themeColor="text1"/>
                <w:sz w:val="24"/>
                <w:szCs w:val="24"/>
                <w:lang w:eastAsia="zh-CN"/>
                <w14:textFill>
                  <w14:solidFill>
                    <w14:schemeClr w14:val="tx1"/>
                  </w14:solidFill>
                </w14:textFill>
              </w:rPr>
              <w:t>，</w:t>
            </w:r>
            <w:r>
              <w:rPr>
                <w:rFonts w:hint="eastAsia" w:ascii="Arial" w:hAnsi="Arial" w:cs="Arial"/>
                <w:color w:val="000000" w:themeColor="text1"/>
                <w:sz w:val="24"/>
                <w:szCs w:val="24"/>
                <w:lang w:val="en-US" w:eastAsia="zh-CN"/>
                <w14:textFill>
                  <w14:solidFill>
                    <w14:schemeClr w14:val="tx1"/>
                  </w14:solidFill>
                </w14:textFill>
              </w:rPr>
              <w:t>其选址较合理</w:t>
            </w:r>
            <w:r>
              <w:rPr>
                <w:rFonts w:hint="eastAsia" w:ascii="Arial" w:hAnsi="Arial" w:cs="Arial"/>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ascii="Times New Roman" w:hAnsi="Times New Roman" w:eastAsia="Times New Roman" w:cs="Times New Roman"/>
                <w:b/>
                <w:bCs/>
                <w:color w:val="000000" w:themeColor="text1"/>
                <w:spacing w:val="-4"/>
                <w:sz w:val="24"/>
                <w:szCs w:val="24"/>
                <w14:textFill>
                  <w14:solidFill>
                    <w14:schemeClr w14:val="tx1"/>
                  </w14:solidFill>
                </w14:textFill>
              </w:rPr>
            </w:pPr>
            <w:r>
              <w:rPr>
                <w:rFonts w:hint="eastAsia" w:eastAsia="Times New Roman" w:cs="Times New Roman"/>
                <w:b/>
                <w:bCs/>
                <w:color w:val="000000" w:themeColor="text1"/>
                <w:spacing w:val="-4"/>
                <w:sz w:val="24"/>
                <w:szCs w:val="24"/>
                <w:lang w:val="en-US" w:eastAsia="zh-CN"/>
                <w14:textFill>
                  <w14:solidFill>
                    <w14:schemeClr w14:val="tx1"/>
                  </w14:solidFill>
                </w14:textFill>
              </w:rPr>
              <w:t>4、</w:t>
            </w:r>
            <w:r>
              <w:rPr>
                <w:rFonts w:hint="eastAsia" w:ascii="Times New Roman" w:hAnsi="Times New Roman" w:eastAsia="Times New Roman" w:cs="Times New Roman"/>
                <w:b/>
                <w:bCs/>
                <w:color w:val="000000" w:themeColor="text1"/>
                <w:spacing w:val="-4"/>
                <w:sz w:val="24"/>
                <w:szCs w:val="24"/>
                <w:lang w:val="en-US" w:eastAsia="zh-CN"/>
                <w14:textFill>
                  <w14:solidFill>
                    <w14:schemeClr w14:val="tx1"/>
                  </w14:solidFill>
                </w14:textFill>
              </w:rPr>
              <w:t>石渣料场</w:t>
            </w:r>
            <w:r>
              <w:rPr>
                <w:rFonts w:ascii="Times New Roman" w:hAnsi="Times New Roman" w:eastAsia="Times New Roman" w:cs="Times New Roman"/>
                <w:b/>
                <w:bCs/>
                <w:color w:val="000000" w:themeColor="text1"/>
                <w:spacing w:val="-4"/>
                <w:sz w:val="24"/>
                <w:szCs w:val="24"/>
                <w14:textFill>
                  <w14:solidFill>
                    <w14:schemeClr w14:val="tx1"/>
                  </w14:solidFill>
                </w14:textFill>
              </w:rPr>
              <w:t>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eastAsia="宋体" w:cs="Arial"/>
                <w:color w:val="000000" w:themeColor="text1"/>
                <w:sz w:val="24"/>
                <w:szCs w:val="24"/>
                <w:lang w:eastAsia="zh-CN"/>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根据项目施工方案，本次工程施工时在距离大坝上游约1.8km处的赵家山，总占地面积2.29hm</w:t>
            </w:r>
            <w:r>
              <w:rPr>
                <w:rFonts w:hint="eastAsia" w:ascii="Arial" w:hAnsi="Arial" w:cs="Arial"/>
                <w:color w:val="000000" w:themeColor="text1"/>
                <w:sz w:val="24"/>
                <w:szCs w:val="24"/>
                <w:vertAlign w:val="superscript"/>
                <w:lang w:val="en-US" w:eastAsia="zh-CN"/>
                <w14:textFill>
                  <w14:solidFill>
                    <w14:schemeClr w14:val="tx1"/>
                  </w14:solidFill>
                </w14:textFill>
              </w:rPr>
              <w:t>2</w:t>
            </w:r>
            <w:r>
              <w:rPr>
                <w:rFonts w:hint="eastAsia" w:ascii="Arial" w:hAnsi="Arial" w:cs="Arial"/>
                <w:color w:val="000000" w:themeColor="text1"/>
                <w:sz w:val="24"/>
                <w:szCs w:val="24"/>
                <w:lang w:val="en-US" w:eastAsia="zh-CN"/>
                <w14:textFill>
                  <w14:solidFill>
                    <w14:schemeClr w14:val="tx1"/>
                  </w14:solidFill>
                </w14:textFill>
              </w:rPr>
              <w:t>，设计石渣料开采量为40.8万m</w:t>
            </w:r>
            <w:r>
              <w:rPr>
                <w:rFonts w:hint="eastAsia" w:ascii="Arial" w:hAnsi="Arial" w:cs="Arial"/>
                <w:color w:val="000000" w:themeColor="text1"/>
                <w:sz w:val="24"/>
                <w:szCs w:val="24"/>
                <w:vertAlign w:val="superscript"/>
                <w:lang w:val="en-US" w:eastAsia="zh-CN"/>
                <w14:textFill>
                  <w14:solidFill>
                    <w14:schemeClr w14:val="tx1"/>
                  </w14:solidFill>
                </w14:textFill>
              </w:rPr>
              <w:t>3</w:t>
            </w:r>
            <w:r>
              <w:rPr>
                <w:rFonts w:hint="eastAsia" w:ascii="Arial" w:hAnsi="Arial" w:cs="Arial"/>
                <w:color w:val="000000" w:themeColor="text1"/>
                <w:sz w:val="24"/>
                <w:szCs w:val="24"/>
                <w:lang w:val="en-US" w:eastAsia="zh-CN"/>
                <w14:textFill>
                  <w14:solidFill>
                    <w14:schemeClr w14:val="tx1"/>
                  </w14:solidFill>
                </w14:textFill>
              </w:rPr>
              <w:t>。经调查，本次设置的石渣料场周围100m范围均为林地或农田，无居民等敏感点分布，也无其他</w:t>
            </w:r>
            <w:r>
              <w:rPr>
                <w:rFonts w:hint="default" w:ascii="Arial" w:hAnsi="Arial" w:cs="Arial"/>
                <w:color w:val="000000" w:themeColor="text1"/>
                <w:sz w:val="24"/>
                <w:szCs w:val="24"/>
                <w14:textFill>
                  <w14:solidFill>
                    <w14:schemeClr w14:val="tx1"/>
                  </w14:solidFill>
                </w14:textFill>
              </w:rPr>
              <w:t>无明显制约因素</w:t>
            </w:r>
            <w:r>
              <w:rPr>
                <w:rFonts w:hint="eastAsia" w:ascii="Arial" w:hAnsi="Arial" w:cs="Arial"/>
                <w:color w:val="000000" w:themeColor="text1"/>
                <w:sz w:val="24"/>
                <w:szCs w:val="24"/>
                <w:lang w:eastAsia="zh-CN"/>
                <w14:textFill>
                  <w14:solidFill>
                    <w14:schemeClr w14:val="tx1"/>
                  </w14:solidFill>
                </w14:textFill>
              </w:rPr>
              <w:t>，</w:t>
            </w:r>
            <w:r>
              <w:rPr>
                <w:rFonts w:hint="eastAsia" w:ascii="Arial" w:hAnsi="Arial" w:cs="Arial"/>
                <w:color w:val="000000" w:themeColor="text1"/>
                <w:sz w:val="24"/>
                <w:szCs w:val="24"/>
                <w:lang w:val="en-US" w:eastAsia="zh-CN"/>
                <w14:textFill>
                  <w14:solidFill>
                    <w14:schemeClr w14:val="tx1"/>
                  </w14:solidFill>
                </w14:textFill>
              </w:rPr>
              <w:t>其选址较合理</w:t>
            </w:r>
            <w:r>
              <w:rPr>
                <w:rFonts w:hint="eastAsia" w:ascii="Arial" w:hAnsi="Arial" w:cs="Arial"/>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eastAsia" w:ascii="Times New Roman" w:hAnsi="Times New Roman" w:eastAsia="Times New Roman" w:cs="Times New Roman"/>
                <w:b/>
                <w:bCs/>
                <w:color w:val="000000" w:themeColor="text1"/>
                <w:spacing w:val="-4"/>
                <w:sz w:val="24"/>
                <w:szCs w:val="24"/>
                <w:lang w:val="en-US" w:eastAsia="zh-CN"/>
                <w14:textFill>
                  <w14:solidFill>
                    <w14:schemeClr w14:val="tx1"/>
                  </w14:solidFill>
                </w14:textFill>
              </w:rPr>
            </w:pPr>
            <w:r>
              <w:rPr>
                <w:rFonts w:hint="eastAsia" w:eastAsia="Times New Roman" w:cs="Times New Roman"/>
                <w:b/>
                <w:bCs/>
                <w:color w:val="000000" w:themeColor="text1"/>
                <w:spacing w:val="-4"/>
                <w:sz w:val="24"/>
                <w:szCs w:val="24"/>
                <w:lang w:val="en-US" w:eastAsia="zh-CN"/>
                <w14:textFill>
                  <w14:solidFill>
                    <w14:schemeClr w14:val="tx1"/>
                  </w14:solidFill>
                </w14:textFill>
              </w:rPr>
              <w:t>5、</w:t>
            </w:r>
            <w:r>
              <w:rPr>
                <w:rFonts w:hint="eastAsia" w:ascii="Times New Roman" w:hAnsi="Times New Roman" w:eastAsia="Times New Roman" w:cs="Times New Roman"/>
                <w:b/>
                <w:bCs/>
                <w:color w:val="000000" w:themeColor="text1"/>
                <w:spacing w:val="-4"/>
                <w:sz w:val="24"/>
                <w:szCs w:val="24"/>
                <w:lang w:val="en-US" w:eastAsia="zh-CN"/>
                <w14:textFill>
                  <w14:solidFill>
                    <w14:schemeClr w14:val="tx1"/>
                  </w14:solidFill>
                </w14:textFill>
              </w:rPr>
              <w:t>弃渣场选址合理性分析</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color w:val="000000" w:themeColor="text1"/>
                <w:sz w:val="24"/>
                <w:szCs w:val="24"/>
                <w:lang w:val="en-US" w:eastAsia="zh-CN"/>
                <w14:textFill>
                  <w14:solidFill>
                    <w14:schemeClr w14:val="tx1"/>
                  </w14:solidFill>
                </w14:textFill>
              </w:rPr>
            </w:pPr>
            <w:r>
              <w:rPr>
                <w:rFonts w:hint="default" w:ascii="Arial" w:hAnsi="Arial" w:cs="Arial"/>
                <w:color w:val="000000" w:themeColor="text1"/>
                <w:sz w:val="24"/>
                <w:szCs w:val="24"/>
                <w14:textFill>
                  <w14:solidFill>
                    <w14:schemeClr w14:val="tx1"/>
                  </w14:solidFill>
                </w14:textFill>
              </w:rPr>
              <w:t>根据工程建筑物的分布，本工程枢纽工程</w:t>
            </w:r>
            <w:r>
              <w:rPr>
                <w:rFonts w:hint="eastAsia" w:ascii="Arial" w:hAnsi="Arial" w:cs="Arial"/>
                <w:color w:val="000000" w:themeColor="text1"/>
                <w:sz w:val="24"/>
                <w:szCs w:val="24"/>
                <w:lang w:val="en-US" w:eastAsia="zh-CN"/>
                <w14:textFill>
                  <w14:solidFill>
                    <w14:schemeClr w14:val="tx1"/>
                  </w14:solidFill>
                </w14:textFill>
              </w:rPr>
              <w:t>和罐区</w:t>
            </w:r>
            <w:r>
              <w:rPr>
                <w:rFonts w:hint="default" w:ascii="Arial" w:hAnsi="Arial" w:cs="Arial"/>
                <w:color w:val="000000" w:themeColor="text1"/>
                <w:sz w:val="24"/>
                <w:szCs w:val="24"/>
                <w14:textFill>
                  <w14:solidFill>
                    <w14:schemeClr w14:val="tx1"/>
                  </w14:solidFill>
                </w14:textFill>
              </w:rPr>
              <w:t>共设置</w:t>
            </w:r>
            <w:r>
              <w:rPr>
                <w:rFonts w:hint="eastAsia" w:ascii="Arial" w:hAnsi="Arial" w:cs="Arial"/>
                <w:color w:val="000000" w:themeColor="text1"/>
                <w:sz w:val="24"/>
                <w:szCs w:val="24"/>
                <w:lang w:val="en-US" w:eastAsia="zh-CN"/>
                <w14:textFill>
                  <w14:solidFill>
                    <w14:schemeClr w14:val="tx1"/>
                  </w14:solidFill>
                </w14:textFill>
              </w:rPr>
              <w:t>3</w:t>
            </w:r>
            <w:r>
              <w:rPr>
                <w:rFonts w:hint="default" w:ascii="Arial" w:hAnsi="Arial" w:cs="Arial"/>
                <w:color w:val="000000" w:themeColor="text1"/>
                <w:sz w:val="24"/>
                <w:szCs w:val="24"/>
                <w14:textFill>
                  <w14:solidFill>
                    <w14:schemeClr w14:val="tx1"/>
                  </w14:solidFill>
                </w14:textFill>
              </w:rPr>
              <w:t>个弃渣场，</w:t>
            </w:r>
            <w:r>
              <w:rPr>
                <w:rFonts w:hint="eastAsia" w:ascii="Arial" w:hAnsi="Arial" w:cs="Arial"/>
                <w:color w:val="000000" w:themeColor="text1"/>
                <w:sz w:val="24"/>
                <w:szCs w:val="24"/>
                <w:lang w:val="en-US" w:eastAsia="zh-CN"/>
                <w14:textFill>
                  <w14:solidFill>
                    <w14:schemeClr w14:val="tx1"/>
                  </w14:solidFill>
                </w14:textFill>
              </w:rPr>
              <w:t>其中：</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rPr>
                <w:rFonts w:hint="eastAsia" w:ascii="Arial" w:hAnsi="Arial" w:eastAsia="宋体" w:cs="Arial"/>
                <w:color w:val="000000" w:themeColor="text1"/>
                <w:sz w:val="24"/>
                <w:szCs w:val="24"/>
                <w:lang w:val="en-US" w:eastAsia="zh-CN"/>
                <w14:textFill>
                  <w14:solidFill>
                    <w14:schemeClr w14:val="tx1"/>
                  </w14:solidFill>
                </w14:textFill>
              </w:rPr>
            </w:pPr>
            <w:r>
              <w:rPr>
                <w:rFonts w:hint="eastAsia"/>
                <w:color w:val="000000" w:themeColor="text1"/>
                <w:spacing w:val="-4"/>
                <w:sz w:val="24"/>
                <w:szCs w:val="24"/>
                <w:lang w:val="en-US" w:eastAsia="zh-CN"/>
                <w14:textFill>
                  <w14:solidFill>
                    <w14:schemeClr w14:val="tx1"/>
                  </w14:solidFill>
                </w14:textFill>
              </w:rPr>
              <w:t>枢纽工程</w:t>
            </w:r>
            <w:r>
              <w:rPr>
                <w:color w:val="000000" w:themeColor="text1"/>
                <w:spacing w:val="-4"/>
                <w:sz w:val="24"/>
                <w:szCs w:val="24"/>
                <w14:textFill>
                  <w14:solidFill>
                    <w14:schemeClr w14:val="tx1"/>
                  </w14:solidFill>
                </w14:textFill>
              </w:rPr>
              <w:t>共设置</w:t>
            </w:r>
            <w:r>
              <w:rPr>
                <w:rFonts w:ascii="Times New Roman" w:hAnsi="Times New Roman" w:eastAsia="Times New Roman" w:cs="Times New Roman"/>
                <w:color w:val="000000" w:themeColor="text1"/>
                <w:spacing w:val="-4"/>
                <w:sz w:val="24"/>
                <w:szCs w:val="24"/>
                <w14:textFill>
                  <w14:solidFill>
                    <w14:schemeClr w14:val="tx1"/>
                  </w14:solidFill>
                </w14:textFill>
              </w:rPr>
              <w:t>1</w:t>
            </w:r>
            <w:r>
              <w:rPr>
                <w:color w:val="000000" w:themeColor="text1"/>
                <w:spacing w:val="-4"/>
                <w:sz w:val="24"/>
                <w:szCs w:val="24"/>
                <w14:textFill>
                  <w14:solidFill>
                    <w14:schemeClr w14:val="tx1"/>
                  </w14:solidFill>
                </w14:textFill>
              </w:rPr>
              <w:t>个弃渣场，位</w:t>
            </w:r>
            <w:r>
              <w:rPr>
                <w:color w:val="000000" w:themeColor="text1"/>
                <w:spacing w:val="1"/>
                <w:sz w:val="24"/>
                <w:szCs w:val="24"/>
                <w14:textFill>
                  <w14:solidFill>
                    <w14:schemeClr w14:val="tx1"/>
                  </w14:solidFill>
                </w14:textFill>
              </w:rPr>
              <w:t>于赵家山料场旁支沟处，弃渣场占地面积</w:t>
            </w:r>
            <w:r>
              <w:rPr>
                <w:rFonts w:ascii="Times New Roman" w:hAnsi="Times New Roman" w:eastAsia="Times New Roman" w:cs="Times New Roman"/>
                <w:color w:val="000000" w:themeColor="text1"/>
                <w:spacing w:val="1"/>
                <w:sz w:val="24"/>
                <w:szCs w:val="24"/>
                <w14:textFill>
                  <w14:solidFill>
                    <w14:schemeClr w14:val="tx1"/>
                  </w14:solidFill>
                </w14:textFill>
              </w:rPr>
              <w:t>2.57</w:t>
            </w:r>
            <w:r>
              <w:rPr>
                <w:rFonts w:ascii="Times New Roman" w:hAnsi="Times New Roman" w:eastAsia="Times New Roman" w:cs="Times New Roman"/>
                <w:color w:val="000000" w:themeColor="text1"/>
                <w:sz w:val="24"/>
                <w:szCs w:val="24"/>
                <w14:textFill>
                  <w14:solidFill>
                    <w14:schemeClr w14:val="tx1"/>
                  </w14:solidFill>
                </w14:textFill>
              </w:rPr>
              <w:t>hm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color w:val="000000" w:themeColor="text1"/>
                <w:spacing w:val="1"/>
                <w:sz w:val="24"/>
                <w:szCs w:val="24"/>
                <w14:textFill>
                  <w14:solidFill>
                    <w14:schemeClr w14:val="tx1"/>
                  </w14:solidFill>
                </w14:textFill>
              </w:rPr>
              <w:t>，渣场顶高程</w:t>
            </w:r>
            <w:r>
              <w:rPr>
                <w:rFonts w:ascii="Times New Roman" w:hAnsi="Times New Roman" w:eastAsia="Times New Roman" w:cs="Times New Roman"/>
                <w:color w:val="000000" w:themeColor="text1"/>
                <w:spacing w:val="7"/>
                <w:sz w:val="24"/>
                <w:szCs w:val="24"/>
                <w14:textFill>
                  <w14:solidFill>
                    <w14:schemeClr w14:val="tx1"/>
                  </w14:solidFill>
                </w14:textFill>
              </w:rPr>
              <w:t>695.00m</w:t>
            </w:r>
            <w:r>
              <w:rPr>
                <w:color w:val="000000" w:themeColor="text1"/>
                <w:spacing w:val="7"/>
                <w:sz w:val="24"/>
                <w:szCs w:val="24"/>
                <w14:textFill>
                  <w14:solidFill>
                    <w14:schemeClr w14:val="tx1"/>
                  </w14:solidFill>
                </w14:textFill>
              </w:rPr>
              <w:t>，渣场容量</w:t>
            </w:r>
            <w:r>
              <w:rPr>
                <w:rFonts w:hint="eastAsia" w:ascii="Times New Roman" w:hAnsi="Times New Roman" w:cs="Times New Roman"/>
                <w:color w:val="000000" w:themeColor="text1"/>
                <w:spacing w:val="7"/>
                <w:sz w:val="24"/>
                <w:szCs w:val="24"/>
                <w:lang w:val="en-US" w:eastAsia="zh-CN"/>
                <w14:textFill>
                  <w14:solidFill>
                    <w14:schemeClr w14:val="tx1"/>
                  </w14:solidFill>
                </w14:textFill>
              </w:rPr>
              <w:t>23.84</w:t>
            </w:r>
            <w:r>
              <w:rPr>
                <w:color w:val="000000" w:themeColor="text1"/>
                <w:spacing w:val="7"/>
                <w:sz w:val="24"/>
                <w:szCs w:val="24"/>
                <w14:textFill>
                  <w14:solidFill>
                    <w14:schemeClr w14:val="tx1"/>
                  </w14:solidFill>
                </w14:textFill>
              </w:rPr>
              <w:t>万</w:t>
            </w:r>
            <w:r>
              <w:rPr>
                <w:rFonts w:ascii="Times New Roman" w:hAnsi="Times New Roman" w:eastAsia="Times New Roman"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color w:val="000000" w:themeColor="text1"/>
                <w:sz w:val="24"/>
                <w:szCs w:val="24"/>
                <w14:textFill>
                  <w14:solidFill>
                    <w14:schemeClr w14:val="tx1"/>
                  </w14:solidFill>
                </w14:textFill>
              </w:rPr>
              <w:t>，设计堆渣为</w:t>
            </w:r>
            <w:r>
              <w:rPr>
                <w:rFonts w:hint="eastAsia"/>
                <w:color w:val="000000" w:themeColor="text1"/>
                <w:spacing w:val="-36"/>
                <w:sz w:val="24"/>
                <w:szCs w:val="24"/>
                <w:lang w:val="en-US" w:eastAsia="zh-CN"/>
                <w14:textFill>
                  <w14:solidFill>
                    <w14:schemeClr w14:val="tx1"/>
                  </w14:solidFill>
                </w14:textFill>
              </w:rPr>
              <w:t>22.9</w:t>
            </w:r>
            <w:r>
              <w:rPr>
                <w:color w:val="000000" w:themeColor="text1"/>
                <w:sz w:val="24"/>
                <w:szCs w:val="24"/>
                <w14:textFill>
                  <w14:solidFill>
                    <w14:schemeClr w14:val="tx1"/>
                  </w14:solidFill>
                </w14:textFill>
              </w:rPr>
              <w:t>万</w:t>
            </w:r>
            <w:r>
              <w:rPr>
                <w:rFonts w:ascii="Times New Roman" w:hAnsi="Times New Roman" w:eastAsia="Times New Roman" w:cs="Times New Roman"/>
                <w:color w:val="000000" w:themeColor="text1"/>
                <w:sz w:val="24"/>
                <w:szCs w:val="24"/>
                <w14:textFill>
                  <w14:solidFill>
                    <w14:schemeClr w14:val="tx1"/>
                  </w14:solidFill>
                </w14:textFill>
              </w:rPr>
              <w:t>m</w:t>
            </w:r>
            <w:r>
              <w:rPr>
                <w:rFonts w:ascii="Times New Roman" w:hAnsi="Times New Roman" w:eastAsia="Times New Roman" w:cs="Times New Roman"/>
                <w:color w:val="000000" w:themeColor="text1"/>
                <w:position w:val="7"/>
                <w:sz w:val="24"/>
                <w:szCs w:val="24"/>
                <w14:textFill>
                  <w14:solidFill>
                    <w14:schemeClr w14:val="tx1"/>
                  </w14:solidFill>
                </w14:textFill>
              </w:rPr>
              <w:t>3</w:t>
            </w:r>
            <w:r>
              <w:rPr>
                <w:color w:val="000000" w:themeColor="text1"/>
                <w:sz w:val="24"/>
                <w:szCs w:val="24"/>
                <w14:textFill>
                  <w14:solidFill>
                    <w14:schemeClr w14:val="tx1"/>
                  </w14:solidFill>
                </w14:textFill>
              </w:rPr>
              <w:t>（松</w:t>
            </w:r>
            <w:r>
              <w:rPr>
                <w:color w:val="000000" w:themeColor="text1"/>
                <w:spacing w:val="-1"/>
                <w:sz w:val="24"/>
                <w:szCs w:val="24"/>
                <w14:textFill>
                  <w14:solidFill>
                    <w14:schemeClr w14:val="tx1"/>
                  </w14:solidFill>
                </w14:textFill>
              </w:rPr>
              <w:t>方）</w:t>
            </w:r>
            <w:r>
              <w:rPr>
                <w:rFonts w:hint="eastAsia"/>
                <w:color w:val="000000" w:themeColor="text1"/>
                <w:spacing w:val="-1"/>
                <w:sz w:val="24"/>
                <w:szCs w:val="24"/>
                <w:lang w:eastAsia="zh-CN"/>
                <w14:textFill>
                  <w14:solidFill>
                    <w14:schemeClr w14:val="tx1"/>
                  </w14:solidFill>
                </w14:textFill>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Arial" w:hAnsi="Arial" w:cs="Arial"/>
                <w:color w:val="000000" w:themeColor="text1"/>
                <w:sz w:val="24"/>
                <w:szCs w:val="24"/>
                <w:lang w:val="en-US" w:eastAsia="zh-CN"/>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罐区工程共设置2个弃渣场，分别位于主干管G4+200段西侧，距离主干管的最近距离约为580m；另一处位于主干管G9+200段南侧，直线距离约为700m处；上述两处弃渣场总占地面积约为0.98hm</w:t>
            </w:r>
            <w:r>
              <w:rPr>
                <w:rFonts w:hint="eastAsia" w:ascii="Arial" w:hAnsi="Arial" w:cs="Arial"/>
                <w:color w:val="000000" w:themeColor="text1"/>
                <w:sz w:val="24"/>
                <w:szCs w:val="24"/>
                <w:vertAlign w:val="superscript"/>
                <w:lang w:val="en-US" w:eastAsia="zh-CN"/>
                <w14:textFill>
                  <w14:solidFill>
                    <w14:schemeClr w14:val="tx1"/>
                  </w14:solidFill>
                </w14:textFill>
              </w:rPr>
              <w:t>2</w:t>
            </w:r>
            <w:r>
              <w:rPr>
                <w:rFonts w:hint="eastAsia" w:ascii="Arial" w:hAnsi="Arial" w:cs="Arial"/>
                <w:color w:val="000000" w:themeColor="text1"/>
                <w:sz w:val="24"/>
                <w:szCs w:val="24"/>
                <w:lang w:val="en-US" w:eastAsia="zh-CN"/>
                <w14:textFill>
                  <w14:solidFill>
                    <w14:schemeClr w14:val="tx1"/>
                  </w14:solidFill>
                </w14:textFill>
              </w:rPr>
              <w:t>，占地类型均为灌木林地。</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lang w:val="en-US" w:eastAsia="zh-CN"/>
                <w14:textFill>
                  <w14:solidFill>
                    <w14:schemeClr w14:val="tx1"/>
                  </w14:solidFill>
                </w14:textFill>
              </w:rPr>
              <w:t>经现场调查，本次工程拟设置的3处弃渣场周围100m范围均为林地、农田等，无居民等制约因素分布，且各弃渣场均通过新建施工便道予以相连接，</w:t>
            </w:r>
            <w:r>
              <w:rPr>
                <w:rFonts w:hint="default" w:ascii="Arial" w:hAnsi="Arial" w:cs="Arial"/>
                <w:color w:val="000000" w:themeColor="text1"/>
                <w:sz w:val="24"/>
                <w:szCs w:val="24"/>
                <w14:textFill>
                  <w14:solidFill>
                    <w14:schemeClr w14:val="tx1"/>
                  </w14:solidFill>
                </w14:textFill>
              </w:rPr>
              <w:t>交通较为便利，运距较短，可减少土、石料运输过程中的沿途散落。</w:t>
            </w:r>
            <w:r>
              <w:rPr>
                <w:rFonts w:hint="eastAsia" w:ascii="Arial" w:hAnsi="Arial" w:cs="Arial"/>
                <w:color w:val="000000" w:themeColor="text1"/>
                <w:sz w:val="24"/>
                <w:szCs w:val="24"/>
                <w:lang w:val="en-US" w:eastAsia="zh-CN"/>
                <w14:textFill>
                  <w14:solidFill>
                    <w14:schemeClr w14:val="tx1"/>
                  </w14:solidFill>
                </w14:textFill>
              </w:rPr>
              <w:t>通过施工期做好洒水降尘、临时覆盖等措施，施工结束后及时</w:t>
            </w:r>
            <w:r>
              <w:rPr>
                <w:rFonts w:hint="default" w:ascii="Arial" w:hAnsi="Arial" w:cs="Arial"/>
                <w:color w:val="000000" w:themeColor="text1"/>
                <w:sz w:val="24"/>
                <w:szCs w:val="24"/>
                <w14:textFill>
                  <w14:solidFill>
                    <w14:schemeClr w14:val="tx1"/>
                  </w14:solidFill>
                </w14:textFill>
              </w:rPr>
              <w:t>做好后期的复耕、植被恢复及运行期的管护监督工作。</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Arial" w:hAnsi="Arial" w:cs="Arial"/>
                <w:sz w:val="24"/>
                <w:szCs w:val="24"/>
              </w:rPr>
            </w:pPr>
            <w:r>
              <w:rPr>
                <w:rFonts w:hint="default" w:ascii="Arial" w:hAnsi="Arial" w:cs="Arial"/>
                <w:color w:val="000000" w:themeColor="text1"/>
                <w:sz w:val="24"/>
                <w:szCs w:val="24"/>
                <w14:textFill>
                  <w14:solidFill>
                    <w14:schemeClr w14:val="tx1"/>
                  </w14:solidFill>
                </w14:textFill>
              </w:rPr>
              <w:t>综合以上分析，本项目施工营地、施工场地、施工便道、弃渣场等临时工程选址布局清晰、合理，不会产生新增占地，临时工程占地范围内未发现珍稀动、植物，无明显的环境制约因素，在建设单位采取相应的环境保护措施、生态恢复 措施后其影响可降至最低，因此项目临时用地选址合理。</w:t>
            </w:r>
          </w:p>
          <w:p>
            <w:pPr>
              <w:adjustRightInd w:val="0"/>
              <w:snapToGrid w:val="0"/>
              <w:jc w:val="center"/>
              <w:rPr>
                <w:rFonts w:ascii="宋体" w:hAnsi="宋体" w:cs="宋体"/>
                <w:bCs/>
                <w:szCs w:val="21"/>
              </w:rPr>
            </w:pPr>
          </w:p>
          <w:p>
            <w:pPr>
              <w:adjustRightInd w:val="0"/>
              <w:snapToGrid w:val="0"/>
              <w:rPr>
                <w:rFonts w:ascii="宋体" w:hAnsi="宋体" w:cs="宋体"/>
                <w:bCs/>
                <w:szCs w:val="21"/>
              </w:rPr>
            </w:pPr>
          </w:p>
          <w:p>
            <w:pPr>
              <w:adjustRightInd w:val="0"/>
              <w:snapToGrid w:val="0"/>
              <w:rPr>
                <w:rFonts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p>
            <w:pPr>
              <w:adjustRightInd w:val="0"/>
              <w:snapToGrid w:val="0"/>
              <w:rPr>
                <w:rFonts w:hint="eastAsia" w:ascii="宋体" w:hAnsi="宋体" w:cs="宋体"/>
                <w:bCs/>
                <w:szCs w:val="21"/>
              </w:rPr>
            </w:pPr>
          </w:p>
        </w:tc>
      </w:tr>
    </w:tbl>
    <w:p>
      <w:pPr>
        <w:pStyle w:val="19"/>
        <w:jc w:val="center"/>
        <w:rPr>
          <w:rFonts w:ascii="黑体" w:hAnsi="黑体" w:eastAsia="黑体"/>
          <w:snapToGrid w:val="0"/>
          <w:sz w:val="36"/>
          <w:szCs w:val="36"/>
        </w:rPr>
        <w:sectPr>
          <w:pgSz w:w="11905" w:h="16838"/>
          <w:pgMar w:top="1701" w:right="1531" w:bottom="1701" w:left="1531" w:header="851" w:footer="1077" w:gutter="0"/>
          <w:pgBorders>
            <w:top w:val="none" w:sz="0" w:space="0"/>
            <w:left w:val="none" w:sz="0" w:space="0"/>
            <w:bottom w:val="none" w:sz="0" w:space="0"/>
            <w:right w:val="none" w:sz="0" w:space="0"/>
          </w:pgBorders>
          <w:cols w:space="0" w:num="1"/>
          <w:rtlGutter w:val="0"/>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5" w:hRule="atLeast"/>
          <w:jc w:val="center"/>
        </w:trPr>
        <w:tc>
          <w:tcPr>
            <w:tcW w:w="753" w:type="dxa"/>
            <w:tcMar>
              <w:left w:w="28" w:type="dxa"/>
              <w:right w:w="28" w:type="dxa"/>
            </w:tcMar>
            <w:vAlign w:val="center"/>
          </w:tcPr>
          <w:p>
            <w:pPr>
              <w:keepNext/>
              <w:keepLines w:val="0"/>
              <w:pageBreakBefore w:val="0"/>
              <w:widowControl/>
              <w:kinsoku/>
              <w:wordWrap/>
              <w:overflowPunct/>
              <w:topLinePunct w:val="0"/>
              <w:autoSpaceDE/>
              <w:autoSpaceDN/>
              <w:bidi w:val="0"/>
              <w:adjustRightInd w:val="0"/>
              <w:snapToGrid w:val="0"/>
              <w:jc w:val="center"/>
              <w:textAlignment w:val="auto"/>
              <w:rPr>
                <w:rFonts w:ascii="宋体" w:hAnsi="宋体"/>
                <w:bCs/>
                <w:szCs w:val="21"/>
              </w:rPr>
            </w:pPr>
            <w:r>
              <w:rPr>
                <w:rFonts w:hint="eastAsia" w:ascii="宋体" w:hAnsi="宋体" w:cs="宋体"/>
                <w:bCs/>
                <w:spacing w:val="10"/>
                <w:szCs w:val="21"/>
              </w:rPr>
              <w:t>施工期生态环境保护措施</w:t>
            </w:r>
          </w:p>
        </w:tc>
        <w:tc>
          <w:tcPr>
            <w:tcW w:w="8457" w:type="dxa"/>
            <w:vAlign w:val="top"/>
          </w:tcPr>
          <w:p>
            <w:pPr>
              <w:keepNext/>
              <w:keepLines w:val="0"/>
              <w:pageBreakBefore w:val="0"/>
              <w:widowControl/>
              <w:kinsoku/>
              <w:wordWrap/>
              <w:overflowPunct/>
              <w:topLinePunct w:val="0"/>
              <w:autoSpaceDE/>
              <w:autoSpaceDN/>
              <w:bidi w:val="0"/>
              <w:spacing w:line="360" w:lineRule="auto"/>
              <w:textAlignment w:val="auto"/>
              <w:rPr>
                <w:rFonts w:hint="eastAsia" w:ascii="宋体" w:hAnsi="宋体" w:eastAsia="宋体"/>
                <w:b/>
                <w:sz w:val="24"/>
                <w:lang w:val="en-US" w:eastAsia="zh-CN"/>
              </w:rPr>
            </w:pPr>
            <w:r>
              <w:rPr>
                <w:rFonts w:ascii="宋体" w:hAnsi="宋体"/>
                <w:b/>
                <w:sz w:val="24"/>
              </w:rPr>
              <w:t>一、施工期废水</w:t>
            </w:r>
            <w:r>
              <w:rPr>
                <w:rFonts w:hint="eastAsia" w:ascii="宋体" w:hAnsi="宋体"/>
                <w:b/>
                <w:sz w:val="24"/>
                <w:lang w:val="en-US" w:eastAsia="zh-CN"/>
              </w:rPr>
              <w:t>污染防治措施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eastAsia="宋体"/>
                <w:spacing w:val="-2"/>
                <w:sz w:val="24"/>
                <w:szCs w:val="24"/>
                <w:lang w:val="en-US" w:eastAsia="zh-CN"/>
              </w:rPr>
            </w:pPr>
            <w:r>
              <w:rPr>
                <w:rFonts w:hint="eastAsia" w:eastAsia="宋体"/>
                <w:spacing w:val="-2"/>
                <w:sz w:val="24"/>
                <w:szCs w:val="24"/>
                <w:lang w:val="en-US" w:eastAsia="zh-CN"/>
              </w:rPr>
              <w:t>根据分析，施工期废水主要包括施工废水和生活废水两部分，具体各部分废水治理措施分别如下：</w:t>
            </w:r>
          </w:p>
          <w:p>
            <w:pPr>
              <w:pStyle w:val="75"/>
              <w:keepNext/>
              <w:keepLines w:val="0"/>
              <w:pageBreakBefore w:val="0"/>
              <w:widowControl/>
              <w:kinsoku/>
              <w:wordWrap/>
              <w:overflowPunct/>
              <w:topLinePunct w:val="0"/>
              <w:autoSpaceDE/>
              <w:autoSpaceDN/>
              <w:bidi w:val="0"/>
              <w:adjustRightInd/>
              <w:snapToGrid/>
              <w:spacing w:line="360" w:lineRule="auto"/>
              <w:ind w:left="0" w:right="0" w:firstLine="444" w:firstLineChars="200"/>
              <w:textAlignment w:val="auto"/>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b/>
                <w:bCs/>
                <w:spacing w:val="-9"/>
                <w:sz w:val="24"/>
                <w:szCs w:val="24"/>
              </w:rPr>
              <w:t>、施工废水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sz w:val="24"/>
                <w:szCs w:val="24"/>
              </w:rPr>
            </w:pPr>
            <w:r>
              <w:rPr>
                <w:spacing w:val="-2"/>
                <w:sz w:val="24"/>
                <w:szCs w:val="24"/>
              </w:rPr>
              <w:t>施工废水主要包括设备冲洗废水、混凝土拌合废水、施工含油废水、管道试</w:t>
            </w:r>
            <w:r>
              <w:rPr>
                <w:spacing w:val="10"/>
                <w:sz w:val="24"/>
                <w:szCs w:val="24"/>
              </w:rPr>
              <w:t xml:space="preserve"> </w:t>
            </w:r>
            <w:r>
              <w:rPr>
                <w:spacing w:val="-2"/>
                <w:sz w:val="24"/>
                <w:szCs w:val="24"/>
              </w:rPr>
              <w:t>压废水、基坑排水</w:t>
            </w:r>
            <w:r>
              <w:rPr>
                <w:rFonts w:hint="eastAsia"/>
                <w:spacing w:val="-2"/>
                <w:sz w:val="24"/>
                <w:szCs w:val="24"/>
                <w:lang w:val="en-US" w:eastAsia="zh-CN"/>
              </w:rPr>
              <w:t>等</w:t>
            </w:r>
            <w:r>
              <w:rPr>
                <w:spacing w:val="-2"/>
                <w:sz w:val="24"/>
                <w:szCs w:val="24"/>
              </w:rPr>
              <w:t>。</w:t>
            </w:r>
          </w:p>
          <w:p>
            <w:pPr>
              <w:pStyle w:val="75"/>
              <w:keepNext/>
              <w:keepLines w:val="0"/>
              <w:pageBreakBefore w:val="0"/>
              <w:widowControl/>
              <w:kinsoku/>
              <w:wordWrap/>
              <w:overflowPunct/>
              <w:topLinePunct w:val="0"/>
              <w:autoSpaceDE/>
              <w:autoSpaceDN/>
              <w:bidi w:val="0"/>
              <w:adjustRightInd/>
              <w:snapToGrid/>
              <w:spacing w:line="360" w:lineRule="auto"/>
              <w:ind w:left="0" w:right="0" w:firstLine="444" w:firstLineChars="200"/>
              <w:textAlignment w:val="auto"/>
              <w:rPr>
                <w:rFonts w:ascii="Times New Roman" w:hAnsi="Times New Roman" w:eastAsia="Times New Roman" w:cs="Times New Roman"/>
                <w:b/>
                <w:bCs/>
                <w:spacing w:val="-9"/>
                <w:sz w:val="24"/>
                <w:szCs w:val="24"/>
              </w:rPr>
            </w:pPr>
            <w:r>
              <w:rPr>
                <w:rFonts w:hint="eastAsia" w:ascii="Times New Roman" w:hAnsi="Times New Roman" w:eastAsia="Times New Roman" w:cs="Times New Roman"/>
                <w:b/>
                <w:bCs/>
                <w:spacing w:val="-9"/>
                <w:sz w:val="24"/>
                <w:szCs w:val="24"/>
                <w:lang w:val="en-US" w:eastAsia="zh-CN"/>
              </w:rPr>
              <w:t xml:space="preserve">⑴ </w:t>
            </w:r>
            <w:r>
              <w:rPr>
                <w:rFonts w:ascii="Times New Roman" w:hAnsi="Times New Roman" w:eastAsia="Times New Roman" w:cs="Times New Roman"/>
                <w:b/>
                <w:bCs/>
                <w:spacing w:val="-9"/>
                <w:sz w:val="24"/>
                <w:szCs w:val="24"/>
              </w:rPr>
              <w:t>混凝土拌和废水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0" w:firstLineChars="200"/>
              <w:textAlignment w:val="auto"/>
              <w:rPr>
                <w:spacing w:val="0"/>
                <w:position w:val="0"/>
                <w:sz w:val="24"/>
                <w:szCs w:val="24"/>
              </w:rPr>
            </w:pPr>
            <w:r>
              <w:rPr>
                <w:rFonts w:hint="eastAsia"/>
                <w:b w:val="0"/>
                <w:bCs w:val="0"/>
                <w:spacing w:val="-5"/>
                <w:sz w:val="24"/>
                <w:szCs w:val="24"/>
                <w:lang w:val="en-US" w:eastAsia="zh-CN"/>
              </w:rPr>
              <w:t>根据本评价分析，</w:t>
            </w:r>
            <w:r>
              <w:rPr>
                <w:spacing w:val="0"/>
                <w:position w:val="0"/>
                <w:sz w:val="24"/>
                <w:szCs w:val="24"/>
              </w:rPr>
              <w:t>设备冲洗废水主要包括施工车辆进出冲洗废水、机械冲洗废水，冲洗地面、墙角以及桩基施工中排出的泥浆，这些废水中的主要污染物为</w:t>
            </w:r>
            <w:r>
              <w:rPr>
                <w:rFonts w:ascii="Times New Roman" w:hAnsi="Times New Roman" w:eastAsia="Times New Roman" w:cs="Times New Roman"/>
                <w:spacing w:val="0"/>
                <w:position w:val="0"/>
                <w:sz w:val="24"/>
                <w:szCs w:val="24"/>
              </w:rPr>
              <w:t>SS</w:t>
            </w:r>
            <w:r>
              <w:rPr>
                <w:spacing w:val="0"/>
                <w:position w:val="0"/>
                <w:sz w:val="24"/>
                <w:szCs w:val="24"/>
              </w:rPr>
              <w:t>，并带有少量油污。</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textAlignment w:val="auto"/>
              <w:rPr>
                <w:rFonts w:hint="default" w:ascii="Arial" w:hAnsi="Arial" w:cs="Arial"/>
                <w:spacing w:val="-1"/>
                <w:sz w:val="24"/>
                <w:szCs w:val="24"/>
                <w:lang w:val="en-US" w:eastAsia="zh-CN"/>
              </w:rPr>
            </w:pPr>
            <w:r>
              <w:rPr>
                <w:rFonts w:hint="eastAsia"/>
                <w:b/>
                <w:bCs/>
                <w:spacing w:val="-8"/>
                <w:sz w:val="24"/>
                <w:szCs w:val="24"/>
                <w:lang w:val="en-US" w:eastAsia="zh-CN"/>
              </w:rPr>
              <w:t>已采取</w:t>
            </w:r>
            <w:r>
              <w:rPr>
                <w:b/>
                <w:bCs/>
                <w:spacing w:val="-8"/>
                <w:sz w:val="24"/>
                <w:szCs w:val="24"/>
              </w:rPr>
              <w:t>治理措施：</w:t>
            </w:r>
            <w:r>
              <w:rPr>
                <w:rFonts w:hint="eastAsia" w:ascii="Arial" w:hAnsi="Arial" w:cs="Arial"/>
                <w:spacing w:val="-1"/>
                <w:sz w:val="24"/>
                <w:szCs w:val="24"/>
                <w:lang w:val="en-US" w:eastAsia="zh-CN"/>
              </w:rPr>
              <w:t>针对上述混凝土拌合废水，</w:t>
            </w:r>
            <w:r>
              <w:rPr>
                <w:rFonts w:hint="default" w:ascii="Arial" w:hAnsi="Arial" w:cs="Arial"/>
                <w:spacing w:val="-1"/>
                <w:sz w:val="24"/>
                <w:szCs w:val="24"/>
                <w:lang w:val="en-US" w:eastAsia="zh-CN"/>
              </w:rPr>
              <w:t>用自然沉淀方法进行处理，</w:t>
            </w:r>
            <w:r>
              <w:rPr>
                <w:rFonts w:hint="eastAsia" w:ascii="Arial" w:hAnsi="Arial" w:cs="Arial"/>
                <w:spacing w:val="-1"/>
                <w:sz w:val="24"/>
                <w:szCs w:val="24"/>
                <w:lang w:val="en-US" w:eastAsia="zh-CN"/>
              </w:rPr>
              <w:t>分别在枢纽工程和罐区工程拟设置的拌合站附近</w:t>
            </w:r>
            <w:r>
              <w:rPr>
                <w:rFonts w:hint="default" w:ascii="Arial" w:hAnsi="Arial" w:cs="Arial"/>
                <w:spacing w:val="-1"/>
                <w:sz w:val="24"/>
                <w:szCs w:val="24"/>
                <w:lang w:val="en-US" w:eastAsia="zh-CN"/>
              </w:rPr>
              <w:t>设置1座沉淀池，采用矩形设计，设计尺寸(长×宽×高)2.0m×1.0m×1.3m，每台班末的冲洗废水排入沉淀池内，静置沉淀到下一台班末上清液回用于混凝土拌和，沉淀时间达6h以上，沉淀运至渣场</w:t>
            </w:r>
            <w:r>
              <w:rPr>
                <w:rFonts w:hint="eastAsia" w:ascii="Arial" w:hAnsi="Arial" w:cs="Arial"/>
                <w:spacing w:val="-1"/>
                <w:sz w:val="24"/>
                <w:szCs w:val="24"/>
                <w:lang w:val="en-US" w:eastAsia="zh-CN"/>
              </w:rPr>
              <w:t>进行堆放</w:t>
            </w:r>
            <w:r>
              <w:rPr>
                <w:rFonts w:hint="default" w:ascii="Arial" w:hAnsi="Arial" w:cs="Arial"/>
                <w:spacing w:val="-1"/>
                <w:sz w:val="24"/>
                <w:szCs w:val="24"/>
                <w:lang w:val="en-US" w:eastAsia="zh-CN"/>
              </w:rPr>
              <w:t>。</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8" w:firstLineChars="200"/>
              <w:jc w:val="both"/>
              <w:textAlignment w:val="auto"/>
              <w:rPr>
                <w:rFonts w:hint="default" w:ascii="Arial" w:hAnsi="Arial" w:eastAsia="宋体" w:cs="Arial"/>
                <w:spacing w:val="-1"/>
                <w:sz w:val="24"/>
                <w:szCs w:val="24"/>
                <w:lang w:val="en-US" w:eastAsia="zh-CN"/>
              </w:rPr>
            </w:pPr>
            <w:r>
              <w:rPr>
                <w:rFonts w:hint="eastAsia" w:ascii="Arial" w:hAnsi="Arial" w:cs="Arial"/>
                <w:b/>
                <w:bCs/>
                <w:spacing w:val="-1"/>
                <w:sz w:val="24"/>
                <w:szCs w:val="24"/>
                <w:lang w:val="en-US" w:eastAsia="zh-CN"/>
              </w:rPr>
              <w:t>需补充的措施</w:t>
            </w:r>
            <w:r>
              <w:rPr>
                <w:rFonts w:hint="eastAsia" w:ascii="Arial" w:hAnsi="Arial" w:cs="Arial"/>
                <w:spacing w:val="-1"/>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2" w:firstLineChars="200"/>
              <w:textAlignment w:val="auto"/>
              <w:rPr>
                <w:sz w:val="24"/>
                <w:szCs w:val="24"/>
              </w:rPr>
            </w:pPr>
            <w:r>
              <w:rPr>
                <w:rFonts w:hint="eastAsia"/>
                <w:b/>
                <w:bCs/>
                <w:spacing w:val="0"/>
                <w:position w:val="0"/>
                <w:sz w:val="24"/>
                <w:szCs w:val="24"/>
                <w:lang w:val="en-US" w:eastAsia="zh-CN"/>
              </w:rPr>
              <w:t xml:space="preserve">⑵ </w:t>
            </w:r>
            <w:r>
              <w:rPr>
                <w:b/>
                <w:bCs/>
                <w:spacing w:val="-5"/>
                <w:sz w:val="24"/>
                <w:szCs w:val="24"/>
              </w:rPr>
              <w:t>设备冲洗废水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sz w:val="24"/>
                <w:szCs w:val="24"/>
              </w:rPr>
            </w:pPr>
            <w:r>
              <w:rPr>
                <w:rFonts w:hint="eastAsia"/>
                <w:spacing w:val="-2"/>
                <w:sz w:val="24"/>
                <w:szCs w:val="24"/>
                <w:lang w:val="en-US" w:eastAsia="zh-CN"/>
              </w:rPr>
              <w:t>根据分析，</w:t>
            </w:r>
            <w:r>
              <w:rPr>
                <w:spacing w:val="-2"/>
                <w:sz w:val="24"/>
                <w:szCs w:val="24"/>
              </w:rPr>
              <w:t>设备冲洗废水主要包括施工车辆进出冲洗废水、机械冲洗废</w:t>
            </w:r>
            <w:r>
              <w:rPr>
                <w:spacing w:val="-3"/>
                <w:sz w:val="24"/>
                <w:szCs w:val="24"/>
              </w:rPr>
              <w:t>水，</w:t>
            </w:r>
            <w:r>
              <w:rPr>
                <w:spacing w:val="2"/>
                <w:sz w:val="24"/>
                <w:szCs w:val="24"/>
              </w:rPr>
              <w:t>冲洗地面、墙角以及桩基施工中排出的泥浆，</w:t>
            </w:r>
            <w:r>
              <w:rPr>
                <w:spacing w:val="1"/>
                <w:sz w:val="24"/>
                <w:szCs w:val="24"/>
              </w:rPr>
              <w:t>这些废水中的主要污染物为</w:t>
            </w:r>
            <w:r>
              <w:rPr>
                <w:spacing w:val="-42"/>
                <w:sz w:val="24"/>
                <w:szCs w:val="24"/>
              </w:rPr>
              <w:t xml:space="preserve"> </w:t>
            </w:r>
            <w:r>
              <w:rPr>
                <w:rFonts w:ascii="Times New Roman" w:hAnsi="Times New Roman" w:eastAsia="Times New Roman" w:cs="Times New Roman"/>
                <w:sz w:val="24"/>
                <w:szCs w:val="24"/>
              </w:rPr>
              <w:t>SS</w:t>
            </w:r>
            <w:r>
              <w:rPr>
                <w:spacing w:val="1"/>
                <w:sz w:val="24"/>
                <w:szCs w:val="24"/>
              </w:rPr>
              <w:t>，</w:t>
            </w:r>
            <w:r>
              <w:rPr>
                <w:spacing w:val="-2"/>
                <w:sz w:val="24"/>
                <w:szCs w:val="24"/>
              </w:rPr>
              <w:t>并带有少量油污。</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jc w:val="both"/>
              <w:textAlignment w:val="auto"/>
              <w:rPr>
                <w:rFonts w:hint="eastAsia" w:eastAsia="宋体"/>
                <w:b w:val="0"/>
                <w:bCs w:val="0"/>
                <w:spacing w:val="-3"/>
                <w:sz w:val="24"/>
                <w:szCs w:val="24"/>
                <w:lang w:val="en-US" w:eastAsia="zh-CN"/>
              </w:rPr>
            </w:pPr>
            <w:r>
              <w:rPr>
                <w:rFonts w:hint="eastAsia"/>
                <w:b/>
                <w:bCs/>
                <w:spacing w:val="-8"/>
                <w:sz w:val="24"/>
                <w:szCs w:val="24"/>
                <w:lang w:val="en-US" w:eastAsia="zh-CN"/>
              </w:rPr>
              <w:t>已采取</w:t>
            </w:r>
            <w:r>
              <w:rPr>
                <w:b/>
                <w:bCs/>
                <w:spacing w:val="-8"/>
                <w:sz w:val="24"/>
                <w:szCs w:val="24"/>
              </w:rPr>
              <w:t>治理措施：</w:t>
            </w:r>
            <w:r>
              <w:rPr>
                <w:rFonts w:hint="eastAsia"/>
                <w:b w:val="0"/>
                <w:bCs w:val="0"/>
                <w:spacing w:val="-8"/>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spacing w:val="0"/>
                <w:position w:val="0"/>
                <w:sz w:val="24"/>
                <w:szCs w:val="24"/>
              </w:rPr>
            </w:pPr>
            <w:r>
              <w:rPr>
                <w:rFonts w:hint="eastAsia"/>
                <w:b/>
                <w:bCs/>
                <w:spacing w:val="-3"/>
                <w:sz w:val="24"/>
                <w:szCs w:val="24"/>
                <w:lang w:val="en-US" w:eastAsia="zh-CN"/>
              </w:rPr>
              <w:t>需补充完善的措施</w:t>
            </w:r>
            <w:r>
              <w:rPr>
                <w:b/>
                <w:bCs/>
                <w:spacing w:val="-3"/>
                <w:sz w:val="24"/>
                <w:szCs w:val="24"/>
              </w:rPr>
              <w:t>：</w:t>
            </w:r>
            <w:r>
              <w:rPr>
                <w:spacing w:val="0"/>
                <w:position w:val="0"/>
                <w:sz w:val="24"/>
                <w:szCs w:val="24"/>
              </w:rPr>
              <w:t>本次评价要求建设单位在施工场地设置简易</w:t>
            </w:r>
            <w:r>
              <w:rPr>
                <w:rFonts w:hint="eastAsia"/>
                <w:spacing w:val="0"/>
                <w:position w:val="0"/>
                <w:sz w:val="24"/>
                <w:szCs w:val="24"/>
                <w:lang w:val="en-US" w:eastAsia="zh-CN"/>
              </w:rPr>
              <w:t>隔油</w:t>
            </w:r>
            <w:r>
              <w:rPr>
                <w:spacing w:val="0"/>
                <w:position w:val="0"/>
                <w:sz w:val="24"/>
                <w:szCs w:val="24"/>
              </w:rPr>
              <w:t>沉淀池（</w:t>
            </w:r>
            <w:r>
              <w:rPr>
                <w:rFonts w:ascii="Times New Roman" w:hAnsi="Times New Roman" w:eastAsia="Times New Roman" w:cs="Times New Roman"/>
                <w:spacing w:val="0"/>
                <w:position w:val="0"/>
                <w:sz w:val="24"/>
                <w:szCs w:val="24"/>
              </w:rPr>
              <w:t>50m</w:t>
            </w:r>
            <w:r>
              <w:rPr>
                <w:rFonts w:ascii="Times New Roman" w:hAnsi="Times New Roman" w:eastAsia="Times New Roman" w:cs="Times New Roman"/>
                <w:spacing w:val="0"/>
                <w:position w:val="0"/>
                <w:sz w:val="24"/>
                <w:szCs w:val="24"/>
                <w:vertAlign w:val="superscript"/>
              </w:rPr>
              <w:t>3</w:t>
            </w:r>
            <w:r>
              <w:rPr>
                <w:spacing w:val="0"/>
                <w:position w:val="0"/>
                <w:sz w:val="24"/>
                <w:szCs w:val="24"/>
              </w:rPr>
              <w:t>）对施工过程中产生的设备冲洗废水进行沉淀处理，处理后的设备冲洗废水应回用于施工洒水降尘、周边区域绿化等过程，不得外排。沉淀池内淤泥应定期清理，运往垃圾填埋场处置。施工材料应集中堆放，并采取一定的防雨措施，及时清扫施工运输过程中抛洒的施工材料，以免这些物质随雨水冲刷污染附近水体。</w:t>
            </w:r>
          </w:p>
          <w:p>
            <w:pPr>
              <w:pStyle w:val="75"/>
              <w:keepNext/>
              <w:keepLines w:val="0"/>
              <w:pageBreakBefore w:val="0"/>
              <w:widowControl/>
              <w:kinsoku/>
              <w:wordWrap/>
              <w:overflowPunct/>
              <w:topLinePunct w:val="0"/>
              <w:autoSpaceDE/>
              <w:autoSpaceDN/>
              <w:bidi w:val="0"/>
              <w:adjustRightInd/>
              <w:snapToGrid/>
              <w:spacing w:line="360" w:lineRule="auto"/>
              <w:ind w:left="0" w:firstLine="462" w:firstLineChars="200"/>
              <w:textAlignment w:val="auto"/>
              <w:rPr>
                <w:rFonts w:hint="eastAsia"/>
                <w:b/>
                <w:bCs/>
                <w:spacing w:val="-5"/>
                <w:sz w:val="24"/>
                <w:szCs w:val="24"/>
                <w:lang w:val="en-US" w:eastAsia="zh-CN"/>
              </w:rPr>
            </w:pPr>
            <w:r>
              <w:rPr>
                <w:rFonts w:hint="eastAsia"/>
                <w:b/>
                <w:bCs/>
                <w:spacing w:val="-5"/>
                <w:sz w:val="24"/>
                <w:szCs w:val="24"/>
                <w:lang w:val="en-US" w:eastAsia="zh-CN"/>
              </w:rPr>
              <w:t>⑶ 大坝基座灌浆冲洗钻孔废水及混凝土养护废水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spacing w:val="0"/>
                <w:position w:val="0"/>
                <w:sz w:val="24"/>
                <w:szCs w:val="24"/>
              </w:rPr>
            </w:pPr>
            <w:r>
              <w:rPr>
                <w:rFonts w:hint="default" w:ascii="Arial" w:hAnsi="Arial" w:cs="Arial"/>
                <w:spacing w:val="0"/>
                <w:position w:val="0"/>
                <w:sz w:val="24"/>
                <w:szCs w:val="24"/>
                <w:lang w:val="en-US" w:eastAsia="zh-CN"/>
              </w:rPr>
              <w:t>根据分析，</w:t>
            </w:r>
            <w:r>
              <w:rPr>
                <w:rFonts w:hint="default" w:ascii="Arial" w:hAnsi="Arial" w:cs="Arial"/>
                <w:spacing w:val="0"/>
                <w:position w:val="0"/>
                <w:sz w:val="24"/>
                <w:szCs w:val="24"/>
              </w:rPr>
              <w:t>本项目大坝基座混凝土浇筑养护过程中将会产生混凝土养护废水，同时大坝基座及灌浆平洞在进行灌浆施工作业过程中会产生冲洗钻孔产生废水，产生量约为5m</w:t>
            </w:r>
            <w:r>
              <w:rPr>
                <w:rFonts w:hint="default" w:ascii="Arial" w:hAnsi="Arial" w:cs="Arial"/>
                <w:spacing w:val="0"/>
                <w:position w:val="0"/>
                <w:sz w:val="24"/>
                <w:szCs w:val="24"/>
                <w:vertAlign w:val="superscript"/>
              </w:rPr>
              <w:t>3</w:t>
            </w:r>
            <w:r>
              <w:rPr>
                <w:rFonts w:hint="default" w:ascii="Arial" w:hAnsi="Arial" w:cs="Arial"/>
                <w:spacing w:val="0"/>
                <w:position w:val="0"/>
                <w:sz w:val="24"/>
                <w:szCs w:val="24"/>
              </w:rPr>
              <w:t>/d。</w:t>
            </w:r>
          </w:p>
          <w:p>
            <w:pPr>
              <w:keepNext/>
              <w:keepLines w:val="0"/>
              <w:pageBreakBefore w:val="0"/>
              <w:widowControl/>
              <w:kinsoku/>
              <w:wordWrap/>
              <w:overflowPunct/>
              <w:topLinePunct w:val="0"/>
              <w:autoSpaceDE/>
              <w:autoSpaceDN/>
              <w:bidi w:val="0"/>
              <w:adjustRightInd/>
              <w:snapToGrid/>
              <w:spacing w:line="360" w:lineRule="auto"/>
              <w:ind w:left="0" w:right="0" w:firstLine="450" w:firstLineChars="200"/>
              <w:jc w:val="both"/>
              <w:textAlignment w:val="auto"/>
              <w:rPr>
                <w:rFonts w:ascii="宋体" w:hAnsi="宋体" w:eastAsia="宋体" w:cs="宋体"/>
                <w:spacing w:val="-3"/>
                <w:sz w:val="24"/>
                <w:szCs w:val="24"/>
              </w:rPr>
            </w:pPr>
            <w:r>
              <w:rPr>
                <w:rFonts w:hint="eastAsia"/>
                <w:b/>
                <w:bCs/>
                <w:spacing w:val="-8"/>
                <w:sz w:val="24"/>
                <w:szCs w:val="24"/>
                <w:lang w:val="en-US" w:eastAsia="zh-CN"/>
              </w:rPr>
              <w:t>已采取</w:t>
            </w:r>
            <w:r>
              <w:rPr>
                <w:b/>
                <w:bCs/>
                <w:spacing w:val="-8"/>
                <w:sz w:val="24"/>
                <w:szCs w:val="24"/>
              </w:rPr>
              <w:t>治理措施：</w:t>
            </w:r>
            <w:r>
              <w:rPr>
                <w:rFonts w:hint="eastAsia" w:ascii="宋体" w:hAnsi="宋体" w:eastAsia="宋体" w:cs="宋体"/>
                <w:spacing w:val="-2"/>
                <w:sz w:val="24"/>
                <w:szCs w:val="24"/>
                <w:lang w:val="en-US" w:eastAsia="zh-CN"/>
              </w:rPr>
              <w:t>针对上述废水，通过</w:t>
            </w:r>
            <w:r>
              <w:rPr>
                <w:rFonts w:ascii="宋体" w:hAnsi="宋体" w:eastAsia="宋体" w:cs="宋体"/>
                <w:spacing w:val="-2"/>
                <w:sz w:val="24"/>
                <w:szCs w:val="24"/>
              </w:rPr>
              <w:t>在大坝基座下游设置</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
                <w:position w:val="9"/>
                <w:sz w:val="15"/>
                <w:szCs w:val="15"/>
              </w:rPr>
              <w:t>3</w:t>
            </w:r>
            <w:r>
              <w:rPr>
                <w:rFonts w:ascii="宋体" w:hAnsi="宋体" w:eastAsia="宋体" w:cs="宋体"/>
                <w:spacing w:val="-3"/>
                <w:sz w:val="24"/>
                <w:szCs w:val="24"/>
              </w:rPr>
              <w:t>的沉淀池，池体内壁采用防渗水泥，</w:t>
            </w:r>
            <w:r>
              <w:rPr>
                <w:rFonts w:ascii="宋体" w:hAnsi="宋体" w:eastAsia="宋体" w:cs="宋体"/>
                <w:spacing w:val="1"/>
                <w:sz w:val="24"/>
                <w:szCs w:val="24"/>
              </w:rPr>
              <w:t>对灌浆冲洗钻孔废水及混凝土养护废水进行收集处理，沉淀之后的上清液用于</w:t>
            </w:r>
            <w:r>
              <w:rPr>
                <w:rFonts w:ascii="宋体" w:hAnsi="宋体" w:eastAsia="宋体" w:cs="宋体"/>
                <w:sz w:val="24"/>
                <w:szCs w:val="24"/>
              </w:rPr>
              <w:t>洒水</w:t>
            </w:r>
            <w:r>
              <w:rPr>
                <w:rFonts w:ascii="宋体" w:hAnsi="宋体" w:eastAsia="宋体" w:cs="宋体"/>
                <w:spacing w:val="-3"/>
                <w:sz w:val="24"/>
                <w:szCs w:val="24"/>
              </w:rPr>
              <w:t>降尘使用，施工完毕后拆除。</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2" w:firstLineChars="200"/>
              <w:textAlignment w:val="auto"/>
              <w:rPr>
                <w:rFonts w:hint="eastAsia"/>
                <w:b/>
                <w:bCs/>
                <w:spacing w:val="-5"/>
                <w:sz w:val="24"/>
                <w:szCs w:val="24"/>
                <w:lang w:val="en-US" w:eastAsia="zh-CN"/>
              </w:rPr>
            </w:pPr>
            <w:r>
              <w:rPr>
                <w:rFonts w:hint="eastAsia"/>
                <w:b/>
                <w:bCs/>
                <w:spacing w:val="-5"/>
                <w:sz w:val="24"/>
                <w:szCs w:val="24"/>
                <w:lang w:val="en-US" w:eastAsia="zh-CN"/>
              </w:rPr>
              <w:t>⑷ 管道试压废水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spacing w:val="0"/>
                <w:position w:val="0"/>
                <w:sz w:val="24"/>
                <w:szCs w:val="24"/>
              </w:rPr>
              <w:t>在施工过程中需要对项目原水、给水管道进行试压和清管处理。在管道连接好时即进行管道试压，确认压降满足要求后再进行管沟覆土处理；管道施工完毕 后需要进行清管处理，在清管过程时清洗时间为24h。项目试压、清管废水主要污染物为SS，浓度约15~40mg/L，该部分废水污染物含量较少。</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jc w:val="both"/>
              <w:textAlignment w:val="auto"/>
              <w:rPr>
                <w:spacing w:val="0"/>
                <w:position w:val="0"/>
                <w:sz w:val="24"/>
                <w:szCs w:val="24"/>
              </w:rPr>
            </w:pPr>
            <w:r>
              <w:rPr>
                <w:rFonts w:hint="eastAsia"/>
                <w:b/>
                <w:bCs/>
                <w:spacing w:val="-8"/>
                <w:sz w:val="24"/>
                <w:szCs w:val="24"/>
                <w:lang w:val="en-US" w:eastAsia="zh-CN"/>
              </w:rPr>
              <w:t>已采取</w:t>
            </w:r>
            <w:r>
              <w:rPr>
                <w:b/>
                <w:bCs/>
                <w:spacing w:val="-8"/>
                <w:sz w:val="24"/>
                <w:szCs w:val="24"/>
              </w:rPr>
              <w:t>治理措施：</w:t>
            </w:r>
            <w:r>
              <w:rPr>
                <w:rFonts w:hint="eastAsia"/>
                <w:spacing w:val="0"/>
                <w:position w:val="0"/>
                <w:sz w:val="24"/>
                <w:szCs w:val="24"/>
                <w:lang w:val="en-US" w:eastAsia="zh-CN"/>
              </w:rPr>
              <w:t>通过</w:t>
            </w:r>
            <w:r>
              <w:rPr>
                <w:spacing w:val="0"/>
                <w:position w:val="0"/>
                <w:sz w:val="24"/>
                <w:szCs w:val="24"/>
              </w:rPr>
              <w:t>在管道末端设置简易沉淀池（5m</w:t>
            </w:r>
            <w:r>
              <w:rPr>
                <w:spacing w:val="0"/>
                <w:position w:val="0"/>
                <w:sz w:val="24"/>
                <w:szCs w:val="24"/>
                <w:vertAlign w:val="superscript"/>
              </w:rPr>
              <w:t xml:space="preserve">3 </w:t>
            </w:r>
            <w:r>
              <w:rPr>
                <w:spacing w:val="0"/>
                <w:position w:val="0"/>
                <w:sz w:val="24"/>
                <w:szCs w:val="24"/>
              </w:rPr>
              <w:t>）沉淀后</w:t>
            </w:r>
            <w:r>
              <w:rPr>
                <w:rFonts w:hint="eastAsia"/>
                <w:spacing w:val="0"/>
                <w:position w:val="0"/>
                <w:sz w:val="24"/>
                <w:szCs w:val="24"/>
                <w:lang w:val="en-US" w:eastAsia="zh-CN"/>
              </w:rPr>
              <w:t>用于项目附近洒水降尘的使用</w:t>
            </w:r>
            <w:r>
              <w:rPr>
                <w:spacing w:val="0"/>
                <w:position w:val="0"/>
                <w:sz w:val="24"/>
                <w:szCs w:val="24"/>
              </w:rPr>
              <w:t>，不外排。</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2" w:firstLineChars="200"/>
              <w:textAlignment w:val="auto"/>
              <w:rPr>
                <w:sz w:val="24"/>
                <w:szCs w:val="24"/>
              </w:rPr>
            </w:pPr>
            <w:r>
              <w:rPr>
                <w:rFonts w:hint="eastAsia"/>
                <w:b/>
                <w:bCs/>
                <w:spacing w:val="-5"/>
                <w:sz w:val="24"/>
                <w:szCs w:val="24"/>
                <w:lang w:val="en-US" w:eastAsia="zh-CN"/>
              </w:rPr>
              <w:t xml:space="preserve">⑸ </w:t>
            </w:r>
            <w:r>
              <w:rPr>
                <w:b/>
                <w:bCs/>
                <w:spacing w:val="-5"/>
                <w:sz w:val="24"/>
                <w:szCs w:val="24"/>
              </w:rPr>
              <w:t>基坑排水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spacing w:val="0"/>
                <w:position w:val="0"/>
                <w:sz w:val="24"/>
                <w:szCs w:val="24"/>
              </w:rPr>
            </w:pPr>
            <w:r>
              <w:rPr>
                <w:spacing w:val="0"/>
                <w:position w:val="0"/>
                <w:sz w:val="24"/>
                <w:szCs w:val="24"/>
              </w:rPr>
              <w:t>项目施工开挖时可能会造成地下水涌出，因此，若开挖时遇地下水，应把地下水位降到设计构筑物埋深标高以下，降低地下水位即为基坑降水。由于降雨、渗水造成的基坑积水需要及时导排。根据类比同类工程，基坑</w:t>
            </w:r>
            <w:r>
              <w:rPr>
                <w:rFonts w:hint="eastAsia"/>
                <w:spacing w:val="0"/>
                <w:position w:val="0"/>
                <w:sz w:val="24"/>
                <w:szCs w:val="24"/>
                <w:lang w:val="en-US" w:eastAsia="zh-CN"/>
              </w:rPr>
              <w:t>降水中</w:t>
            </w:r>
            <w:r>
              <w:rPr>
                <w:spacing w:val="0"/>
                <w:position w:val="0"/>
                <w:sz w:val="24"/>
                <w:szCs w:val="24"/>
              </w:rPr>
              <w:t>悬浮物浓度</w:t>
            </w:r>
            <w:r>
              <w:rPr>
                <w:rFonts w:hint="eastAsia"/>
                <w:spacing w:val="0"/>
                <w:position w:val="0"/>
                <w:sz w:val="24"/>
                <w:szCs w:val="24"/>
                <w:lang w:val="en-US" w:eastAsia="zh-CN"/>
              </w:rPr>
              <w:t>一般</w:t>
            </w:r>
            <w:r>
              <w:rPr>
                <w:spacing w:val="0"/>
                <w:position w:val="0"/>
                <w:sz w:val="24"/>
                <w:szCs w:val="24"/>
              </w:rPr>
              <w:t>2000mg/L左右。</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jc w:val="both"/>
              <w:textAlignment w:val="auto"/>
              <w:rPr>
                <w:sz w:val="24"/>
                <w:szCs w:val="24"/>
              </w:rPr>
            </w:pPr>
            <w:r>
              <w:rPr>
                <w:rFonts w:hint="eastAsia"/>
                <w:b/>
                <w:bCs/>
                <w:spacing w:val="-8"/>
                <w:sz w:val="24"/>
                <w:szCs w:val="24"/>
                <w:lang w:val="en-US" w:eastAsia="zh-CN"/>
              </w:rPr>
              <w:t>已采取</w:t>
            </w:r>
            <w:r>
              <w:rPr>
                <w:b/>
                <w:bCs/>
                <w:spacing w:val="-8"/>
                <w:sz w:val="24"/>
                <w:szCs w:val="24"/>
              </w:rPr>
              <w:t>治理措施：</w:t>
            </w:r>
            <w:r>
              <w:rPr>
                <w:spacing w:val="0"/>
                <w:position w:val="0"/>
                <w:sz w:val="24"/>
                <w:szCs w:val="24"/>
              </w:rPr>
              <w:t>在基坑地势低洼处开挖沉淀池（5m</w:t>
            </w:r>
            <w:r>
              <w:rPr>
                <w:spacing w:val="0"/>
                <w:position w:val="0"/>
                <w:sz w:val="24"/>
                <w:szCs w:val="24"/>
                <w:vertAlign w:val="superscript"/>
              </w:rPr>
              <w:t>3</w:t>
            </w:r>
            <w:r>
              <w:rPr>
                <w:spacing w:val="0"/>
                <w:position w:val="0"/>
                <w:sz w:val="24"/>
                <w:szCs w:val="24"/>
              </w:rPr>
              <w:t>），沉淀后上清液用于施工洒水、道路降尘等过程中，不外排。</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2" w:firstLineChars="200"/>
              <w:textAlignment w:val="auto"/>
              <w:rPr>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b/>
                <w:bCs/>
                <w:spacing w:val="-7"/>
                <w:sz w:val="24"/>
                <w:szCs w:val="24"/>
              </w:rPr>
              <w:t>、生活污水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default"/>
                <w:spacing w:val="-1"/>
                <w:sz w:val="24"/>
                <w:szCs w:val="24"/>
                <w:lang w:val="en-US" w:eastAsia="zh-CN"/>
              </w:rPr>
            </w:pPr>
            <w:r>
              <w:rPr>
                <w:sz w:val="24"/>
                <w:szCs w:val="24"/>
              </w:rPr>
              <w:t>本项目枢纽工程高峰期施工人员</w:t>
            </w:r>
            <w:r>
              <w:rPr>
                <w:rFonts w:hint="eastAsia" w:ascii="Times New Roman" w:hAnsi="Times New Roman" w:eastAsia="宋体" w:cs="Times New Roman"/>
                <w:sz w:val="24"/>
                <w:szCs w:val="24"/>
                <w:lang w:val="en-US" w:eastAsia="zh-CN"/>
              </w:rPr>
              <w:t>18</w:t>
            </w:r>
            <w:r>
              <w:rPr>
                <w:rFonts w:ascii="Times New Roman" w:hAnsi="Times New Roman" w:eastAsia="Times New Roman" w:cs="Times New Roman"/>
                <w:sz w:val="24"/>
                <w:szCs w:val="24"/>
              </w:rPr>
              <w:t>0</w:t>
            </w:r>
            <w:r>
              <w:rPr>
                <w:sz w:val="24"/>
                <w:szCs w:val="24"/>
              </w:rPr>
              <w:t>人，</w:t>
            </w:r>
            <w:r>
              <w:rPr>
                <w:rFonts w:hint="eastAsia"/>
                <w:sz w:val="24"/>
                <w:szCs w:val="24"/>
                <w:lang w:val="en-US" w:eastAsia="zh-CN"/>
              </w:rPr>
              <w:t>灌区</w:t>
            </w:r>
            <w:r>
              <w:rPr>
                <w:spacing w:val="-1"/>
                <w:sz w:val="24"/>
                <w:szCs w:val="24"/>
              </w:rPr>
              <w:t>工程高峰期施工人员</w:t>
            </w:r>
            <w:r>
              <w:rPr>
                <w:rFonts w:hint="eastAsia"/>
                <w:spacing w:val="-49"/>
                <w:sz w:val="24"/>
                <w:szCs w:val="24"/>
                <w:lang w:val="en-US" w:eastAsia="zh-CN"/>
              </w:rPr>
              <w:t>1</w:t>
            </w:r>
            <w:r>
              <w:rPr>
                <w:rFonts w:ascii="Times New Roman" w:hAnsi="Times New Roman" w:eastAsia="Times New Roman" w:cs="Times New Roman"/>
                <w:spacing w:val="-1"/>
                <w:sz w:val="24"/>
                <w:szCs w:val="24"/>
              </w:rPr>
              <w:t xml:space="preserve">00 </w:t>
            </w:r>
            <w:r>
              <w:rPr>
                <w:spacing w:val="-1"/>
                <w:sz w:val="24"/>
                <w:szCs w:val="24"/>
              </w:rPr>
              <w:t>人，</w:t>
            </w:r>
            <w:r>
              <w:rPr>
                <w:rFonts w:hint="eastAsia"/>
                <w:spacing w:val="-1"/>
                <w:sz w:val="24"/>
                <w:szCs w:val="24"/>
                <w:lang w:val="en-US" w:eastAsia="zh-CN"/>
              </w:rPr>
              <w:t>其在施工期间将会产生一定量的生活污水。</w:t>
            </w:r>
          </w:p>
          <w:p>
            <w:pPr>
              <w:keepNext/>
              <w:keepLines w:val="0"/>
              <w:pageBreakBefore w:val="0"/>
              <w:widowControl/>
              <w:kinsoku/>
              <w:wordWrap/>
              <w:overflowPunct/>
              <w:topLinePunct w:val="0"/>
              <w:autoSpaceDE/>
              <w:autoSpaceDN/>
              <w:bidi w:val="0"/>
              <w:adjustRightInd/>
              <w:snapToGrid/>
              <w:spacing w:line="360" w:lineRule="auto"/>
              <w:ind w:left="0" w:right="0" w:firstLine="482" w:firstLineChars="200"/>
              <w:jc w:val="both"/>
              <w:textAlignment w:val="auto"/>
              <w:rPr>
                <w:rFonts w:ascii="宋体" w:hAnsi="宋体" w:eastAsia="宋体" w:cs="宋体"/>
                <w:spacing w:val="0"/>
                <w:sz w:val="24"/>
                <w:szCs w:val="24"/>
              </w:rPr>
            </w:pPr>
            <w:r>
              <w:rPr>
                <w:rFonts w:hint="eastAsia"/>
                <w:b/>
                <w:bCs/>
                <w:spacing w:val="0"/>
                <w:sz w:val="24"/>
                <w:szCs w:val="24"/>
                <w:lang w:val="en-US" w:eastAsia="zh-CN"/>
              </w:rPr>
              <w:t>已采取</w:t>
            </w:r>
            <w:r>
              <w:rPr>
                <w:b/>
                <w:bCs/>
                <w:spacing w:val="0"/>
                <w:sz w:val="24"/>
                <w:szCs w:val="24"/>
              </w:rPr>
              <w:t>治理措施：</w:t>
            </w:r>
            <w:r>
              <w:rPr>
                <w:rFonts w:ascii="宋体" w:hAnsi="宋体" w:eastAsia="宋体" w:cs="宋体"/>
                <w:spacing w:val="0"/>
                <w:sz w:val="24"/>
                <w:szCs w:val="24"/>
              </w:rPr>
              <w:t>在枢纽工区设置两个简易旱厕，另在料场区配备一个简易旱厕。</w:t>
            </w:r>
            <w:r>
              <w:rPr>
                <w:rFonts w:hint="eastAsia" w:ascii="宋体" w:hAnsi="宋体" w:eastAsia="宋体" w:cs="宋体"/>
                <w:spacing w:val="0"/>
                <w:sz w:val="24"/>
                <w:szCs w:val="24"/>
                <w:lang w:val="en-US" w:eastAsia="zh-CN"/>
              </w:rPr>
              <w:t>灌区</w:t>
            </w:r>
            <w:r>
              <w:rPr>
                <w:rFonts w:ascii="宋体" w:hAnsi="宋体" w:eastAsia="宋体" w:cs="宋体"/>
                <w:spacing w:val="0"/>
                <w:sz w:val="24"/>
                <w:szCs w:val="24"/>
              </w:rPr>
              <w:t>工程施工人员分散在干</w:t>
            </w:r>
            <w:r>
              <w:rPr>
                <w:rFonts w:hint="eastAsia" w:ascii="宋体" w:hAnsi="宋体" w:eastAsia="宋体" w:cs="宋体"/>
                <w:spacing w:val="0"/>
                <w:sz w:val="24"/>
                <w:szCs w:val="24"/>
                <w:lang w:val="en-US" w:eastAsia="zh-CN"/>
              </w:rPr>
              <w:t>管周围</w:t>
            </w:r>
            <w:r>
              <w:rPr>
                <w:rFonts w:hint="eastAsia" w:ascii="宋体" w:hAnsi="宋体" w:eastAsia="宋体" w:cs="宋体"/>
                <w:spacing w:val="0"/>
                <w:sz w:val="24"/>
                <w:szCs w:val="24"/>
                <w:lang w:eastAsia="zh-CN"/>
              </w:rPr>
              <w:t>，</w:t>
            </w:r>
            <w:r>
              <w:rPr>
                <w:rFonts w:ascii="宋体" w:hAnsi="宋体" w:eastAsia="宋体" w:cs="宋体"/>
                <w:spacing w:val="0"/>
                <w:sz w:val="24"/>
                <w:szCs w:val="24"/>
              </w:rPr>
              <w:t>工区附近无大的地表径流，因此，拟在施工点配备</w:t>
            </w:r>
            <w:r>
              <w:rPr>
                <w:rFonts w:ascii="Times New Roman" w:hAnsi="Times New Roman" w:eastAsia="Times New Roman" w:cs="Times New Roman"/>
                <w:spacing w:val="0"/>
                <w:sz w:val="24"/>
                <w:szCs w:val="24"/>
              </w:rPr>
              <w:t>2</w:t>
            </w:r>
            <w:r>
              <w:rPr>
                <w:rFonts w:ascii="宋体" w:hAnsi="宋体" w:eastAsia="宋体" w:cs="宋体"/>
                <w:spacing w:val="0"/>
                <w:sz w:val="24"/>
                <w:szCs w:val="24"/>
              </w:rPr>
              <w:t>个简易旱厕。施工期生活污水经旱厕及化粪池初步处理后，用于农业生产，这在以往的工程中应用很广泛。运行期主要是管理人员生活废水，经自建的防渗旱厕后用于周边耕地和林地施肥，不外排。</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二、地下水环境保护措施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2" w:firstLineChars="200"/>
              <w:textAlignment w:val="auto"/>
              <w:rPr>
                <w:rFonts w:hint="default" w:ascii="Arial" w:hAnsi="Arial" w:eastAsia="Times New Roman" w:cs="Arial"/>
                <w:b/>
                <w:bCs/>
                <w:spacing w:val="-7"/>
                <w:sz w:val="24"/>
                <w:szCs w:val="24"/>
              </w:rPr>
            </w:pPr>
            <w:r>
              <w:rPr>
                <w:rFonts w:hint="default" w:ascii="Arial" w:hAnsi="Arial" w:eastAsia="Times New Roman" w:cs="Arial"/>
                <w:b/>
                <w:bCs/>
                <w:spacing w:val="-7"/>
                <w:sz w:val="24"/>
                <w:szCs w:val="24"/>
              </w:rPr>
              <w:t>1、隧洞施工常规地下水保护措施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jc w:val="both"/>
              <w:textAlignment w:val="auto"/>
              <w:rPr>
                <w:rFonts w:hint="default" w:ascii="Arial" w:hAnsi="Arial" w:cs="Arial"/>
                <w:spacing w:val="0"/>
                <w:sz w:val="24"/>
                <w:szCs w:val="24"/>
              </w:rPr>
            </w:pPr>
            <w:r>
              <w:rPr>
                <w:rFonts w:hint="eastAsia"/>
                <w:b/>
                <w:bCs/>
                <w:spacing w:val="-8"/>
                <w:sz w:val="24"/>
                <w:szCs w:val="24"/>
                <w:lang w:val="en-US" w:eastAsia="zh-CN"/>
              </w:rPr>
              <w:t>已采取</w:t>
            </w:r>
            <w:r>
              <w:rPr>
                <w:b/>
                <w:bCs/>
                <w:spacing w:val="-8"/>
                <w:sz w:val="24"/>
                <w:szCs w:val="24"/>
              </w:rPr>
              <w:t>治理措施：</w:t>
            </w:r>
            <w:r>
              <w:rPr>
                <w:rFonts w:hint="default" w:ascii="Arial" w:hAnsi="Arial" w:cs="Arial"/>
                <w:spacing w:val="0"/>
                <w:sz w:val="24"/>
                <w:szCs w:val="24"/>
              </w:rPr>
              <w:t>在隧</w:t>
            </w:r>
            <w:r>
              <w:rPr>
                <w:rFonts w:hint="eastAsia" w:ascii="Arial" w:hAnsi="Arial" w:cs="Arial"/>
                <w:spacing w:val="0"/>
                <w:sz w:val="24"/>
                <w:szCs w:val="24"/>
                <w:lang w:val="en-US" w:eastAsia="zh-CN"/>
              </w:rPr>
              <w:t>洞</w:t>
            </w:r>
            <w:r>
              <w:rPr>
                <w:rFonts w:hint="default" w:ascii="Arial" w:hAnsi="Arial" w:cs="Arial"/>
                <w:spacing w:val="0"/>
                <w:sz w:val="24"/>
                <w:szCs w:val="24"/>
              </w:rPr>
              <w:t>施工过程中，施工单位需按照</w:t>
            </w:r>
            <w:r>
              <w:rPr>
                <w:rFonts w:hint="default" w:ascii="Arial" w:hAnsi="Arial" w:eastAsia="Times New Roman" w:cs="Arial"/>
                <w:spacing w:val="0"/>
                <w:sz w:val="24"/>
                <w:szCs w:val="24"/>
              </w:rPr>
              <w:t>“</w:t>
            </w:r>
            <w:r>
              <w:rPr>
                <w:rFonts w:hint="default" w:ascii="Arial" w:hAnsi="Arial" w:cs="Arial"/>
                <w:spacing w:val="0"/>
                <w:sz w:val="24"/>
                <w:szCs w:val="24"/>
              </w:rPr>
              <w:t>超前预报、提前支护、以堵为主、限制排放</w:t>
            </w:r>
            <w:r>
              <w:rPr>
                <w:rFonts w:hint="default" w:ascii="Arial" w:hAnsi="Arial" w:eastAsia="Times New Roman" w:cs="Arial"/>
                <w:spacing w:val="0"/>
                <w:sz w:val="24"/>
                <w:szCs w:val="24"/>
              </w:rPr>
              <w:t>”</w:t>
            </w:r>
            <w:r>
              <w:rPr>
                <w:rFonts w:hint="default" w:ascii="Arial" w:hAnsi="Arial" w:cs="Arial"/>
                <w:spacing w:val="0"/>
                <w:sz w:val="24"/>
                <w:szCs w:val="24"/>
              </w:rPr>
              <w:t>原则开展施工。施工可能存在一定的地下水渗漏甚至施工涌水问题，施 工中需要预防为主，及时全断面衬砌并注意地下水涌水预报，应实时监测地下水变化情况；如地下水漏失影响居民用水，应立即封堵地下水漏水点，并可采取修建拦蓄工程或租用运水车辆就近运输饮用水等措施。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spacing w:val="0"/>
                <w:sz w:val="24"/>
                <w:szCs w:val="24"/>
              </w:rPr>
            </w:pPr>
            <w:r>
              <w:rPr>
                <w:rFonts w:hint="default" w:ascii="Arial" w:hAnsi="Arial" w:cs="Arial"/>
                <w:spacing w:val="0"/>
                <w:sz w:val="24"/>
                <w:szCs w:val="24"/>
              </w:rPr>
              <w:t>隧道施工废水中污染物成分简单，主要为泥沙等小颗粒悬浮物，其</w:t>
            </w:r>
            <w:r>
              <w:rPr>
                <w:rFonts w:hint="default" w:ascii="Arial" w:hAnsi="Arial" w:eastAsia="Times New Roman" w:cs="Arial"/>
                <w:spacing w:val="0"/>
                <w:sz w:val="24"/>
                <w:szCs w:val="24"/>
              </w:rPr>
              <w:t>SS</w:t>
            </w:r>
            <w:r>
              <w:rPr>
                <w:rFonts w:hint="default" w:ascii="Arial" w:hAnsi="Arial" w:cs="Arial"/>
                <w:spacing w:val="0"/>
                <w:sz w:val="24"/>
                <w:szCs w:val="24"/>
              </w:rPr>
              <w:t>浓度一般在</w:t>
            </w:r>
            <w:r>
              <w:rPr>
                <w:rFonts w:hint="default" w:ascii="Arial" w:hAnsi="Arial" w:eastAsia="Times New Roman" w:cs="Arial"/>
                <w:spacing w:val="0"/>
                <w:sz w:val="24"/>
                <w:szCs w:val="24"/>
              </w:rPr>
              <w:t>800~10000mg/L</w:t>
            </w:r>
            <w:r>
              <w:rPr>
                <w:rFonts w:hint="default" w:ascii="Arial" w:hAnsi="Arial" w:cs="Arial"/>
                <w:spacing w:val="0"/>
                <w:sz w:val="24"/>
                <w:szCs w:val="24"/>
              </w:rPr>
              <w:t>之间，该类污染物比重大，施工期应在上述隧道进出口设沉淀池处理，沉淀后的上清液循环利用，沉淀池弃渣集中堆存处理。施工期应根据隧道废水发生量采取设置沉淀池、蓄水池等设施，进行处理后回用。</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4" w:firstLineChars="200"/>
              <w:textAlignment w:val="auto"/>
              <w:rPr>
                <w:rFonts w:hint="default" w:ascii="Arial" w:hAnsi="Arial" w:cs="Arial"/>
                <w:sz w:val="24"/>
                <w:szCs w:val="24"/>
              </w:rPr>
            </w:pPr>
            <w:r>
              <w:rPr>
                <w:rFonts w:hint="default" w:ascii="Arial" w:hAnsi="Arial" w:eastAsia="Times New Roman" w:cs="Arial"/>
                <w:b/>
                <w:bCs/>
                <w:spacing w:val="-4"/>
                <w:sz w:val="24"/>
                <w:szCs w:val="24"/>
              </w:rPr>
              <w:t>2</w:t>
            </w:r>
            <w:r>
              <w:rPr>
                <w:rFonts w:hint="default" w:ascii="Arial" w:hAnsi="Arial" w:cs="Arial"/>
                <w:b/>
                <w:bCs/>
                <w:spacing w:val="-4"/>
                <w:sz w:val="24"/>
                <w:szCs w:val="24"/>
              </w:rPr>
              <w:t>、隧洞漏水时地下水环境保护措施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500" w:firstLineChars="200"/>
              <w:textAlignment w:val="auto"/>
              <w:rPr>
                <w:rFonts w:hint="default" w:ascii="Arial" w:hAnsi="Arial" w:cs="Arial"/>
                <w:sz w:val="24"/>
                <w:szCs w:val="24"/>
              </w:rPr>
            </w:pPr>
            <w:r>
              <w:rPr>
                <w:rFonts w:hint="eastAsia" w:ascii="Arial" w:hAnsi="Arial" w:cs="Arial"/>
                <w:spacing w:val="5"/>
                <w:sz w:val="24"/>
                <w:szCs w:val="24"/>
                <w:lang w:val="en-US" w:eastAsia="zh-CN"/>
              </w:rPr>
              <w:t>隧洞</w:t>
            </w:r>
            <w:r>
              <w:rPr>
                <w:rFonts w:hint="default" w:ascii="Arial" w:hAnsi="Arial" w:cs="Arial"/>
                <w:spacing w:val="5"/>
                <w:sz w:val="24"/>
                <w:szCs w:val="24"/>
              </w:rPr>
              <w:t>在通过大型洞软塑充填物或厚度较大的软塑状断层破碎带时采用全断</w:t>
            </w:r>
            <w:r>
              <w:rPr>
                <w:rFonts w:hint="default" w:ascii="Arial" w:hAnsi="Arial" w:cs="Arial"/>
                <w:spacing w:val="-2"/>
                <w:sz w:val="24"/>
                <w:szCs w:val="24"/>
              </w:rPr>
              <w:t>面深孔预注浆；隧道掘进中，经物探勘测及超落钻孔发现前方某方位可能存在岩</w:t>
            </w:r>
            <w:r>
              <w:rPr>
                <w:rFonts w:hint="default" w:ascii="Arial" w:hAnsi="Arial" w:cs="Arial"/>
                <w:sz w:val="24"/>
                <w:szCs w:val="24"/>
              </w:rPr>
              <w:t>溶、洞穴或管道，向可能的洞穴或管道进行强注浆，</w:t>
            </w:r>
            <w:r>
              <w:rPr>
                <w:rFonts w:hint="default" w:ascii="Arial" w:hAnsi="Arial" w:cs="Arial"/>
                <w:spacing w:val="-1"/>
                <w:sz w:val="24"/>
                <w:szCs w:val="24"/>
              </w:rPr>
              <w:t>采用部分断面深孔预注浆；</w:t>
            </w:r>
            <w:r>
              <w:rPr>
                <w:rFonts w:hint="default" w:ascii="Arial" w:hAnsi="Arial" w:cs="Arial"/>
                <w:spacing w:val="-5"/>
                <w:sz w:val="24"/>
                <w:szCs w:val="24"/>
              </w:rPr>
              <w:t>当地层裂隙水较大，而围岩类别在</w:t>
            </w:r>
            <w:r>
              <w:rPr>
                <w:rFonts w:hint="default" w:ascii="Arial" w:hAnsi="Arial" w:eastAsia="Times New Roman" w:cs="Arial"/>
                <w:spacing w:val="-5"/>
                <w:sz w:val="24"/>
                <w:szCs w:val="24"/>
              </w:rPr>
              <w:t>Ⅳ</w:t>
            </w:r>
            <w:r>
              <w:rPr>
                <w:rFonts w:hint="default" w:ascii="Arial" w:hAnsi="Arial" w:cs="Arial"/>
                <w:spacing w:val="-5"/>
                <w:sz w:val="24"/>
                <w:szCs w:val="24"/>
              </w:rPr>
              <w:t>类以上者（含</w:t>
            </w:r>
            <w:r>
              <w:rPr>
                <w:rFonts w:hint="default" w:ascii="Arial" w:hAnsi="Arial" w:eastAsia="Times New Roman" w:cs="Arial"/>
                <w:spacing w:val="-5"/>
                <w:sz w:val="24"/>
                <w:szCs w:val="24"/>
              </w:rPr>
              <w:t>Ⅳ</w:t>
            </w:r>
            <w:r>
              <w:rPr>
                <w:rFonts w:hint="default" w:ascii="Arial" w:hAnsi="Arial" w:cs="Arial"/>
                <w:spacing w:val="-5"/>
                <w:sz w:val="24"/>
                <w:szCs w:val="24"/>
              </w:rPr>
              <w:t>类</w:t>
            </w:r>
            <w:r>
              <w:rPr>
                <w:rFonts w:hint="default" w:ascii="Arial" w:hAnsi="Arial" w:cs="Arial"/>
                <w:spacing w:val="-43"/>
                <w:sz w:val="24"/>
                <w:szCs w:val="24"/>
              </w:rPr>
              <w:t>），</w:t>
            </w:r>
            <w:r>
              <w:rPr>
                <w:rFonts w:hint="default" w:ascii="Arial" w:hAnsi="Arial" w:cs="Arial"/>
                <w:spacing w:val="-5"/>
                <w:sz w:val="24"/>
                <w:szCs w:val="24"/>
              </w:rPr>
              <w:t>采用</w:t>
            </w:r>
            <w:r>
              <w:rPr>
                <w:rFonts w:hint="default" w:ascii="Arial" w:hAnsi="Arial" w:cs="Arial"/>
                <w:spacing w:val="-6"/>
                <w:sz w:val="24"/>
                <w:szCs w:val="24"/>
              </w:rPr>
              <w:t>开挖后周边注浆；</w:t>
            </w:r>
            <w:r>
              <w:rPr>
                <w:rFonts w:hint="default" w:ascii="Arial" w:hAnsi="Arial" w:cs="Arial"/>
                <w:spacing w:val="-2"/>
                <w:sz w:val="24"/>
                <w:szCs w:val="24"/>
              </w:rPr>
              <w:t>当隧道开掘到砂岩大型裂隙及管道涌水时，采用隧道开挖后局部注浆，防止隧址区地下水大量漏失。同时要加强施工期的监控及应急措施</w:t>
            </w:r>
            <w:r>
              <w:rPr>
                <w:rFonts w:hint="eastAsia" w:ascii="Arial" w:hAnsi="Arial" w:cs="Arial"/>
                <w:spacing w:val="-2"/>
                <w:sz w:val="24"/>
                <w:szCs w:val="24"/>
                <w:lang w:eastAsia="zh-CN"/>
              </w:rPr>
              <w:t>，</w:t>
            </w:r>
            <w:r>
              <w:rPr>
                <w:rFonts w:hint="eastAsia" w:ascii="Arial" w:hAnsi="Arial" w:cs="Arial"/>
                <w:b/>
                <w:bCs/>
                <w:spacing w:val="-2"/>
                <w:sz w:val="24"/>
                <w:szCs w:val="24"/>
                <w:lang w:val="en-US" w:eastAsia="zh-CN"/>
              </w:rPr>
              <w:t>计划采取措施如下</w:t>
            </w:r>
            <w:r>
              <w:rPr>
                <w:rFonts w:hint="default" w:ascii="Arial" w:hAnsi="Arial" w:cs="Arial"/>
                <w:spacing w:val="-2"/>
                <w:sz w:val="24"/>
                <w:szCs w:val="24"/>
              </w:rPr>
              <w:t>：</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default" w:ascii="Arial" w:hAnsi="Arial" w:cs="Arial"/>
                <w:sz w:val="24"/>
                <w:szCs w:val="24"/>
              </w:rPr>
            </w:pPr>
            <w:r>
              <w:rPr>
                <w:rFonts w:hint="eastAsia" w:ascii="Arial" w:hAnsi="Arial" w:cs="Arial"/>
                <w:spacing w:val="1"/>
                <w:sz w:val="24"/>
                <w:szCs w:val="24"/>
                <w:lang w:val="en-US" w:eastAsia="zh-CN"/>
              </w:rPr>
              <w:t xml:space="preserve">⑴ </w:t>
            </w:r>
            <w:r>
              <w:rPr>
                <w:rFonts w:hint="default" w:ascii="Arial" w:hAnsi="Arial" w:cs="Arial"/>
                <w:spacing w:val="1"/>
                <w:sz w:val="24"/>
                <w:szCs w:val="24"/>
              </w:rPr>
              <w:t>为了确保施工顺利进行，并较为准确地掌握施工过程中围岩的稳定状</w:t>
            </w:r>
            <w:r>
              <w:rPr>
                <w:rFonts w:hint="default" w:ascii="Arial" w:hAnsi="Arial" w:cs="Arial"/>
                <w:spacing w:val="-2"/>
                <w:sz w:val="24"/>
                <w:szCs w:val="24"/>
              </w:rPr>
              <w:t>态，检测各项支护手段的效果，指导施工和变更设计，应按要求进行施工监控测</w:t>
            </w:r>
            <w:r>
              <w:rPr>
                <w:rFonts w:hint="default" w:ascii="Arial" w:hAnsi="Arial" w:cs="Arial"/>
                <w:spacing w:val="-1"/>
                <w:sz w:val="24"/>
                <w:szCs w:val="24"/>
              </w:rPr>
              <w:t>量工作，遇到可能漏水情况，及时采取防漏水措施；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default" w:ascii="Arial" w:hAnsi="Arial" w:cs="Arial"/>
                <w:sz w:val="24"/>
                <w:szCs w:val="24"/>
              </w:rPr>
            </w:pPr>
            <w:r>
              <w:rPr>
                <w:rFonts w:hint="default" w:ascii="Arial" w:hAnsi="Arial" w:cs="Arial"/>
                <w:spacing w:val="1"/>
                <w:sz w:val="24"/>
                <w:szCs w:val="24"/>
                <w:lang w:val="en-US" w:eastAsia="zh-CN"/>
              </w:rPr>
              <w:t xml:space="preserve">⑵ </w:t>
            </w:r>
            <w:r>
              <w:rPr>
                <w:rFonts w:hint="default" w:ascii="Arial" w:hAnsi="Arial" w:cs="Arial"/>
                <w:spacing w:val="1"/>
                <w:sz w:val="24"/>
                <w:szCs w:val="24"/>
              </w:rPr>
              <w:t>洞口施工应在做好洞顶排水设施后方可开挖边仰坡，洞口开挖后应及</w:t>
            </w:r>
            <w:r>
              <w:rPr>
                <w:rFonts w:hint="default" w:ascii="Arial" w:hAnsi="Arial" w:cs="Arial"/>
                <w:spacing w:val="-2"/>
                <w:sz w:val="24"/>
                <w:szCs w:val="24"/>
              </w:rPr>
              <w:t>时按设计做好边仰坡防护；洞口衬砌应及早施工，明洞应及时回填，并随时修建</w:t>
            </w:r>
            <w:r>
              <w:rPr>
                <w:rFonts w:hint="default" w:ascii="Arial" w:hAnsi="Arial" w:cs="Arial"/>
                <w:spacing w:val="-1"/>
                <w:sz w:val="24"/>
                <w:szCs w:val="24"/>
              </w:rPr>
              <w:t>洞门墙，以确保洞口山体稳定；</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default" w:ascii="Arial" w:hAnsi="Arial" w:cs="Arial"/>
                <w:sz w:val="24"/>
                <w:szCs w:val="24"/>
              </w:rPr>
            </w:pPr>
            <w:r>
              <w:rPr>
                <w:rFonts w:hint="eastAsia" w:ascii="Arial" w:hAnsi="Arial" w:cs="Arial"/>
                <w:spacing w:val="1"/>
                <w:sz w:val="24"/>
                <w:szCs w:val="24"/>
                <w:lang w:val="en-US" w:eastAsia="zh-CN"/>
              </w:rPr>
              <w:t xml:space="preserve">⑶ </w:t>
            </w:r>
            <w:r>
              <w:rPr>
                <w:rFonts w:hint="default" w:ascii="Arial" w:hAnsi="Arial" w:cs="Arial"/>
                <w:spacing w:val="1"/>
                <w:sz w:val="24"/>
                <w:szCs w:val="24"/>
              </w:rPr>
              <w:t>应建立专门的地质超前预报机制，调配足够的仪器设备对地勘报告揭</w:t>
            </w:r>
            <w:r>
              <w:rPr>
                <w:rFonts w:hint="default" w:ascii="Arial" w:hAnsi="Arial" w:cs="Arial"/>
                <w:spacing w:val="-2"/>
                <w:sz w:val="24"/>
                <w:szCs w:val="24"/>
              </w:rPr>
              <w:t>示的地下水可能集中涌入突水的段落，在施工中进行地质预探、预报，进一步从微观上查明水文、地质形态及分布等，为顺利施工创造条件，杜绝漏报、错报；</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default" w:ascii="Arial" w:hAnsi="Arial" w:cs="Arial"/>
                <w:sz w:val="24"/>
                <w:szCs w:val="24"/>
              </w:rPr>
            </w:pPr>
            <w:r>
              <w:rPr>
                <w:rFonts w:hint="eastAsia" w:ascii="Arial" w:hAnsi="Arial" w:cs="Arial"/>
                <w:spacing w:val="1"/>
                <w:sz w:val="24"/>
                <w:szCs w:val="24"/>
                <w:lang w:val="en-US" w:eastAsia="zh-CN"/>
              </w:rPr>
              <w:t xml:space="preserve">⑷ </w:t>
            </w:r>
            <w:r>
              <w:rPr>
                <w:rFonts w:hint="default" w:ascii="Arial" w:hAnsi="Arial" w:cs="Arial"/>
                <w:spacing w:val="1"/>
                <w:sz w:val="24"/>
                <w:szCs w:val="24"/>
              </w:rPr>
              <w:t>应成立专门的注浆堵水队伍，配备足够的技术工人和熟练工人以及必</w:t>
            </w:r>
            <w:r>
              <w:rPr>
                <w:rFonts w:hint="default" w:ascii="Arial" w:hAnsi="Arial" w:cs="Arial"/>
                <w:spacing w:val="-1"/>
                <w:sz w:val="24"/>
                <w:szCs w:val="24"/>
              </w:rPr>
              <w:t>要的打孔、注浆机具，专门负责注浆堵水。</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三、大气环境保护措施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根据分析，施工区环境空气污染防治主要从取料场及弃渣场扬尘、混凝土拌和站废气、工程爆破粉尘、施工扬尘、沥青拌合站废气以及施工机械尾气等方面进行防治。</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1、取料场及弃渣场扬尘防治措施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textAlignment w:val="auto"/>
              <w:rPr>
                <w:rFonts w:hint="default" w:ascii="Arial" w:hAnsi="Arial" w:cs="Arial"/>
                <w:spacing w:val="0"/>
                <w:sz w:val="24"/>
                <w:szCs w:val="24"/>
                <w:lang w:val="en-US" w:eastAsia="zh-CN"/>
              </w:rPr>
            </w:pPr>
            <w:r>
              <w:rPr>
                <w:rFonts w:hint="eastAsia"/>
                <w:b/>
                <w:bCs/>
                <w:spacing w:val="-8"/>
                <w:sz w:val="24"/>
                <w:szCs w:val="24"/>
                <w:lang w:val="en-US" w:eastAsia="zh-CN"/>
              </w:rPr>
              <w:t>已采取</w:t>
            </w:r>
            <w:r>
              <w:rPr>
                <w:b/>
                <w:bCs/>
                <w:spacing w:val="-8"/>
                <w:sz w:val="24"/>
                <w:szCs w:val="24"/>
              </w:rPr>
              <w:t>治理措施：</w:t>
            </w:r>
            <w:r>
              <w:rPr>
                <w:rFonts w:hint="default" w:ascii="Arial" w:hAnsi="Arial" w:cs="Arial"/>
                <w:spacing w:val="0"/>
                <w:sz w:val="24"/>
                <w:szCs w:val="24"/>
                <w:lang w:val="en-US" w:eastAsia="zh-CN"/>
              </w:rPr>
              <w:t>针对</w:t>
            </w:r>
            <w:r>
              <w:rPr>
                <w:rFonts w:hint="default" w:ascii="Arial" w:hAnsi="Arial" w:cs="Arial"/>
                <w:spacing w:val="0"/>
                <w:sz w:val="24"/>
                <w:szCs w:val="24"/>
              </w:rPr>
              <w:t>工程</w:t>
            </w:r>
            <w:r>
              <w:rPr>
                <w:rFonts w:hint="default" w:ascii="Arial" w:hAnsi="Arial" w:cs="Arial"/>
                <w:spacing w:val="0"/>
                <w:sz w:val="24"/>
                <w:szCs w:val="24"/>
                <w:lang w:val="en-US" w:eastAsia="zh-CN"/>
              </w:rPr>
              <w:t>石渣</w:t>
            </w:r>
            <w:r>
              <w:rPr>
                <w:rFonts w:hint="default" w:ascii="Arial" w:hAnsi="Arial" w:cs="Arial"/>
                <w:spacing w:val="0"/>
                <w:sz w:val="24"/>
                <w:szCs w:val="24"/>
              </w:rPr>
              <w:t>料场开采期间喷雾洒水降尘，仅开采初期表土剥离扬尘明显，石料开采均为块状石料，洒水降尘后起尘不明显，控尘率按照60%计，取料场开采期间扬尘排放量为</w:t>
            </w:r>
            <w:r>
              <w:rPr>
                <w:rFonts w:hint="default" w:ascii="Arial" w:hAnsi="Arial" w:cs="Arial"/>
                <w:spacing w:val="0"/>
                <w:sz w:val="24"/>
                <w:szCs w:val="24"/>
                <w:lang w:val="en-US" w:eastAsia="zh-CN"/>
              </w:rPr>
              <w:t>20.0</w:t>
            </w:r>
            <w:r>
              <w:rPr>
                <w:rFonts w:hint="default" w:ascii="Arial" w:hAnsi="Arial" w:cs="Arial"/>
                <w:spacing w:val="0"/>
                <w:sz w:val="24"/>
                <w:szCs w:val="24"/>
              </w:rPr>
              <w:t>t</w:t>
            </w:r>
            <w:r>
              <w:rPr>
                <w:rFonts w:hint="default" w:ascii="Arial" w:hAnsi="Arial" w:cs="Arial"/>
                <w:spacing w:val="0"/>
                <w:sz w:val="24"/>
                <w:szCs w:val="24"/>
                <w:lang w:eastAsia="zh-CN"/>
              </w:rPr>
              <w:t>；</w:t>
            </w:r>
            <w:r>
              <w:rPr>
                <w:rFonts w:hint="default" w:ascii="Arial" w:hAnsi="Arial" w:cs="Arial"/>
                <w:spacing w:val="0"/>
                <w:sz w:val="24"/>
                <w:szCs w:val="24"/>
                <w:lang w:val="en-US" w:eastAsia="zh-CN"/>
              </w:rPr>
              <w:t>赵家山</w:t>
            </w:r>
            <w:r>
              <w:rPr>
                <w:rFonts w:hint="default" w:ascii="Arial" w:hAnsi="Arial" w:cs="Arial"/>
                <w:spacing w:val="0"/>
                <w:sz w:val="24"/>
                <w:szCs w:val="24"/>
              </w:rPr>
              <w:t>弃渣场剥离表土及库区清理固废堆存过程中采取边堆存边恢复生态的措施，堆存面临时覆盖并洒水降尘，采取以上控尘措施后，弃渣场扬尘去除率可达80%，扬尘排放量为</w:t>
            </w:r>
            <w:r>
              <w:rPr>
                <w:rFonts w:hint="default" w:ascii="Arial" w:hAnsi="Arial" w:cs="Arial"/>
                <w:spacing w:val="0"/>
                <w:sz w:val="24"/>
                <w:szCs w:val="24"/>
                <w:lang w:val="en-US" w:eastAsia="zh-CN"/>
              </w:rPr>
              <w:t>1.95</w:t>
            </w:r>
            <w:r>
              <w:rPr>
                <w:rFonts w:hint="default" w:ascii="Arial" w:hAnsi="Arial" w:cs="Arial"/>
                <w:spacing w:val="0"/>
                <w:sz w:val="24"/>
                <w:szCs w:val="24"/>
              </w:rPr>
              <w:t>t</w:t>
            </w:r>
            <w:r>
              <w:rPr>
                <w:rFonts w:hint="default" w:ascii="Arial" w:hAnsi="Arial" w:cs="Arial"/>
                <w:spacing w:val="0"/>
                <w:sz w:val="24"/>
                <w:szCs w:val="24"/>
                <w:lang w:eastAsia="zh-CN"/>
              </w:rPr>
              <w:t>；</w:t>
            </w:r>
            <w:r>
              <w:rPr>
                <w:rFonts w:hint="default" w:ascii="Arial" w:hAnsi="Arial" w:cs="Arial"/>
                <w:spacing w:val="0"/>
                <w:sz w:val="24"/>
                <w:szCs w:val="24"/>
                <w:lang w:val="en-US" w:eastAsia="zh-CN"/>
              </w:rPr>
              <w:t>灌区弃渣场在定期洒水降尘并及时使用帆布或草垫等覆盖后，</w:t>
            </w:r>
            <w:r>
              <w:rPr>
                <w:rFonts w:hint="default" w:ascii="Arial" w:hAnsi="Arial" w:cs="Arial"/>
                <w:spacing w:val="0"/>
                <w:sz w:val="24"/>
                <w:szCs w:val="24"/>
              </w:rPr>
              <w:t>弃渣场扬尘去除率可达80%扬尘排放量为</w:t>
            </w:r>
            <w:r>
              <w:rPr>
                <w:rFonts w:hint="default" w:ascii="Arial" w:hAnsi="Arial" w:cs="Arial"/>
                <w:spacing w:val="0"/>
                <w:sz w:val="24"/>
                <w:szCs w:val="24"/>
                <w:lang w:val="en-US" w:eastAsia="zh-CN"/>
              </w:rPr>
              <w:t>3.52</w:t>
            </w:r>
            <w:r>
              <w:rPr>
                <w:rFonts w:hint="default" w:ascii="Arial" w:hAnsi="Arial" w:cs="Arial"/>
                <w:spacing w:val="0"/>
                <w:sz w:val="24"/>
                <w:szCs w:val="24"/>
              </w:rPr>
              <w:t>t。</w:t>
            </w:r>
            <w:r>
              <w:rPr>
                <w:rFonts w:hint="default" w:ascii="Arial" w:hAnsi="Arial" w:cs="Arial"/>
                <w:spacing w:val="0"/>
                <w:sz w:val="24"/>
                <w:szCs w:val="24"/>
                <w:lang w:val="en-US" w:eastAsia="zh-CN"/>
              </w:rPr>
              <w:t>经采取上述措施后整个取料场及弃渣场在整个施工期的扬尘排放量为25.47t。</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2、车辆运输扬尘</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spacing w:val="-1"/>
                <w:sz w:val="24"/>
                <w:szCs w:val="24"/>
                <w:lang w:val="en-US" w:eastAsia="zh-CN"/>
              </w:rPr>
            </w:pPr>
            <w:r>
              <w:rPr>
                <w:rFonts w:hint="eastAsia" w:ascii="Arial" w:hAnsi="Arial" w:cs="Arial"/>
                <w:b/>
                <w:bCs/>
                <w:spacing w:val="1"/>
                <w:sz w:val="24"/>
                <w:szCs w:val="24"/>
                <w:lang w:val="en-US" w:eastAsia="zh-CN"/>
              </w:rPr>
              <w:t>目前已采取防治措施如下所示：</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pacing w:val="0"/>
                <w:sz w:val="24"/>
                <w:szCs w:val="24"/>
                <w:lang w:val="en-US" w:eastAsia="zh-CN"/>
              </w:rPr>
            </w:pPr>
            <w:r>
              <w:rPr>
                <w:rFonts w:hint="eastAsia" w:ascii="Arial" w:hAnsi="Arial" w:cs="Arial"/>
                <w:spacing w:val="0"/>
                <w:sz w:val="24"/>
                <w:szCs w:val="24"/>
                <w:lang w:val="en-US" w:eastAsia="zh-CN"/>
              </w:rPr>
              <w:t xml:space="preserve">⑴ </w:t>
            </w:r>
            <w:r>
              <w:rPr>
                <w:rFonts w:hint="default" w:ascii="Arial" w:hAnsi="Arial" w:cs="Arial"/>
                <w:spacing w:val="0"/>
                <w:sz w:val="24"/>
                <w:szCs w:val="24"/>
                <w:lang w:val="en-US" w:eastAsia="zh-CN"/>
              </w:rPr>
              <w:t>工程建设期间，在工地边界设置围挡，围挡还应视施工地点与保护目标距离而适当增加，围挡底端设置防溢座，针对场镇特性，施工围挡高度可适当调高，同时设置冲洗设施、设备，注意洒水降尘，配齐保洁人员定时清扫施工现场；不准车辆带泥出门，不准运渣车辆超载，不准高空抛洒建渣，不准现场搅拌混凝土；</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pacing w:val="0"/>
                <w:sz w:val="24"/>
                <w:szCs w:val="24"/>
                <w:lang w:val="en-US" w:eastAsia="zh-CN"/>
              </w:rPr>
            </w:pPr>
            <w:r>
              <w:rPr>
                <w:rFonts w:hint="eastAsia" w:ascii="Arial" w:hAnsi="Arial" w:cs="Arial"/>
                <w:spacing w:val="0"/>
                <w:sz w:val="24"/>
                <w:szCs w:val="24"/>
                <w:lang w:val="en-US" w:eastAsia="zh-CN"/>
              </w:rPr>
              <w:t xml:space="preserve">⑵ </w:t>
            </w:r>
            <w:r>
              <w:rPr>
                <w:rFonts w:hint="default" w:ascii="Arial" w:hAnsi="Arial" w:cs="Arial"/>
                <w:spacing w:val="0"/>
                <w:sz w:val="24"/>
                <w:szCs w:val="24"/>
                <w:lang w:val="en-US" w:eastAsia="zh-CN"/>
              </w:rPr>
              <w:t>为避免扬尘，建筑垃圾应及时清运，运至指定的建筑垃圾处理厂集中处置，并在运输过程中严禁沿途抛、漏、撒，不能及时清运的，应在施工工地设置临时密闭性堆场进行保存，并适时采取洒水措施，使其保持湿润状态，减少扬尘产生；</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cs="Arial"/>
                <w:spacing w:val="-3"/>
                <w:sz w:val="24"/>
                <w:szCs w:val="24"/>
                <w:lang w:val="en-US" w:eastAsia="zh-CN"/>
              </w:rPr>
            </w:pPr>
            <w:r>
              <w:rPr>
                <w:rFonts w:hint="eastAsia" w:ascii="Arial" w:hAnsi="Arial" w:cs="Arial"/>
                <w:spacing w:val="0"/>
                <w:sz w:val="24"/>
                <w:szCs w:val="24"/>
                <w:lang w:val="en-US" w:eastAsia="zh-CN"/>
              </w:rPr>
              <w:t xml:space="preserve">⑶ </w:t>
            </w:r>
            <w:r>
              <w:rPr>
                <w:rFonts w:hint="default" w:ascii="Arial" w:hAnsi="Arial" w:cs="Arial"/>
                <w:spacing w:val="0"/>
                <w:sz w:val="24"/>
                <w:szCs w:val="24"/>
                <w:lang w:val="en-US" w:eastAsia="zh-CN"/>
              </w:rPr>
              <w:t>工程建设期间，物料、渣土运输车辆的出入口内侧应设置洗车平台，设施</w:t>
            </w:r>
            <w:r>
              <w:rPr>
                <w:rFonts w:hint="default" w:ascii="Arial" w:hAnsi="Arial" w:cs="Arial"/>
                <w:spacing w:val="-3"/>
                <w:sz w:val="24"/>
                <w:szCs w:val="24"/>
                <w:lang w:val="en-US" w:eastAsia="zh-CN"/>
              </w:rPr>
              <w:t>应符合下列要求：洗车平台四周应设置防溢座或其他防治设施，防止洗车废水溢出工地；设置废水收集坑及沉淀池。车辆驶离工地前，应在洗车平台冲洗轮胎及车身，其表面不得附着污泥。物料、渣土运输车辆装载的物料、渣土高度不得超过车辆槽帮上沿，车斗用苫布遮盖或者采用密闭车斗以防止散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cs="Arial"/>
                <w:spacing w:val="-3"/>
                <w:sz w:val="24"/>
                <w:szCs w:val="24"/>
                <w:lang w:val="en-US" w:eastAsia="zh-CN"/>
              </w:rPr>
            </w:pPr>
            <w:r>
              <w:rPr>
                <w:rFonts w:hint="eastAsia" w:ascii="Arial" w:hAnsi="Arial" w:cs="Arial"/>
                <w:spacing w:val="-3"/>
                <w:sz w:val="24"/>
                <w:szCs w:val="24"/>
                <w:lang w:val="en-US" w:eastAsia="zh-CN"/>
              </w:rPr>
              <w:t xml:space="preserve">⑷ </w:t>
            </w:r>
            <w:r>
              <w:rPr>
                <w:rFonts w:hint="default" w:ascii="Arial" w:hAnsi="Arial" w:cs="Arial"/>
                <w:spacing w:val="-3"/>
                <w:sz w:val="24"/>
                <w:szCs w:val="24"/>
                <w:lang w:val="en-US" w:eastAsia="zh-CN"/>
              </w:rPr>
              <w:t>认真做好施工场地管理工作，对施工现场及周边采取专人管理，每天定时洒水清扫，对绿化区域的花草树木定期洒水冲洗尘土；禁止在风天进行渣土堆放作业；</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cs="Arial"/>
                <w:spacing w:val="-3"/>
                <w:sz w:val="24"/>
                <w:szCs w:val="24"/>
                <w:lang w:val="en-US" w:eastAsia="zh-CN"/>
              </w:rPr>
            </w:pPr>
            <w:r>
              <w:rPr>
                <w:rFonts w:hint="eastAsia" w:ascii="Arial" w:hAnsi="Arial" w:cs="Arial"/>
                <w:spacing w:val="-3"/>
                <w:sz w:val="24"/>
                <w:szCs w:val="24"/>
                <w:lang w:val="en-US" w:eastAsia="zh-CN"/>
              </w:rPr>
              <w:t xml:space="preserve">⑸ </w:t>
            </w:r>
            <w:r>
              <w:rPr>
                <w:rFonts w:hint="default" w:ascii="Arial" w:hAnsi="Arial" w:cs="Arial"/>
                <w:spacing w:val="-3"/>
                <w:sz w:val="24"/>
                <w:szCs w:val="24"/>
                <w:lang w:val="en-US" w:eastAsia="zh-CN"/>
              </w:rPr>
              <w:t>施工现场架设2.5-3m高墙，封闭施工现场，采用密目安全网，以减少结构和装修过程中的粉尘飞扬现象，降低粉尘向大气中的排放；脚手架在拆除前，先将脚手板上的垃圾清理干净，清理时应避免扬尘；使用混凝土、胶合板等搭设的简易封闭棚、对于松散或粉状材料等采取砌墙围挡，表面用塑料薄膜覆盖，防止刮风时粉尘弥漫，另设喷淋系统，使堆放材料保持湿润，从而减少粉尘的产生；</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cs="Arial"/>
                <w:spacing w:val="-3"/>
                <w:sz w:val="24"/>
                <w:szCs w:val="24"/>
                <w:lang w:val="en-US" w:eastAsia="zh-CN"/>
              </w:rPr>
            </w:pPr>
            <w:r>
              <w:rPr>
                <w:rFonts w:hint="eastAsia" w:ascii="Arial" w:hAnsi="Arial" w:cs="Arial"/>
                <w:spacing w:val="-3"/>
                <w:sz w:val="24"/>
                <w:szCs w:val="24"/>
                <w:lang w:val="en-US" w:eastAsia="zh-CN"/>
              </w:rPr>
              <w:t xml:space="preserve">⑹ </w:t>
            </w:r>
            <w:r>
              <w:rPr>
                <w:rFonts w:hint="default" w:ascii="Arial" w:hAnsi="Arial" w:cs="Arial"/>
                <w:spacing w:val="-3"/>
                <w:sz w:val="24"/>
                <w:szCs w:val="24"/>
                <w:lang w:val="en-US" w:eastAsia="zh-CN"/>
              </w:rPr>
              <w:t>加强对施工人员的环保教育，增强全体施工人员的环保意识，坚持文明施工、科学施工，减少施工期间的大气污染。</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rFonts w:hint="default" w:ascii="Arial" w:hAnsi="Arial" w:cs="Arial"/>
                <w:spacing w:val="-3"/>
                <w:sz w:val="24"/>
                <w:szCs w:val="24"/>
                <w:lang w:val="en-US" w:eastAsia="zh-CN"/>
              </w:rPr>
            </w:pPr>
            <w:r>
              <w:rPr>
                <w:rFonts w:hint="eastAsia" w:ascii="Arial" w:hAnsi="Arial" w:cs="Arial"/>
                <w:spacing w:val="-3"/>
                <w:sz w:val="24"/>
                <w:szCs w:val="24"/>
                <w:lang w:val="en-US" w:eastAsia="zh-CN"/>
              </w:rPr>
              <w:t xml:space="preserve">⑺ </w:t>
            </w:r>
            <w:r>
              <w:rPr>
                <w:rFonts w:hint="default" w:ascii="Arial" w:hAnsi="Arial" w:cs="Arial"/>
                <w:spacing w:val="-3"/>
                <w:sz w:val="24"/>
                <w:szCs w:val="24"/>
                <w:lang w:val="en-US" w:eastAsia="zh-CN"/>
              </w:rPr>
              <w:t>在原料堆场设置篷布遮盖，并且在堆场周边设置不低于堆存高度的围挡，并在围挡上方设置喷雾洒水装置降尘。</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3、混凝土拌和站粉尘防治措施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混凝土拌和站粉尘目前已采取防治措施如下：</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⑴ 原料堆放区应建为全封闭式，并做好水泥地面硬化等防渗措施，建设彩钢围挡+顶棚遮盖，做到防风防雨，日常应对原料加抑尘网遮盖，同时进行洒水降尘；</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⑵ 优化集料投料时序。合理设计集料投料顺序，进行交叉投料，可有效降低粉尘产生量。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⑶ 拌和机外设置彩钢板整体包装拌和机楼，形成全封闭拌和机楼。</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⑷ 优化拌和机盖布水管结构及进水方式。选择加压投水、拌和机设置高压清洗装置、优化设计盖布水管结构、改善布水管喷嘴结构等方式，提供卸水压 力，卸水时形成水模，从而对搅拌机集料斗落料时产生的粉尘起到压实作用。</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⑸ 水泥筒仓、拌和机安装布袋除尘器，对密闭拌和机顶部进行整体抽气进行处理。</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⑹ 对原料输送廊道进行封闭；料斗、卸料口与输送皮带设置彩钢罩封闭。</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⑺ 粉状材料如水泥、石灰等应灌装或袋装，禁止散装运输，严禁运输途 中扬尘散落，储存时应用篷布覆盖。</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u w:val="single"/>
                <w:lang w:val="en-US" w:eastAsia="zh-CN"/>
              </w:rPr>
              <w:t>需补充完善的措施</w:t>
            </w:r>
            <w:r>
              <w:rPr>
                <w:rFonts w:hint="eastAsia" w:ascii="Arial" w:hAnsi="Arial" w:cs="Arial"/>
                <w:b/>
                <w:bCs/>
                <w:spacing w:val="1"/>
                <w:sz w:val="24"/>
                <w:szCs w:val="24"/>
                <w:lang w:val="en-US" w:eastAsia="zh-CN"/>
              </w:rPr>
              <w:t>：</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评价要求项目在施工时应加强拌和站的管理，定期检查除尘装置的运行情况，及时更换及修理无法运行的除尘设备。在水泥装卸过程中，保持良好的密封状态，定期检修保养混凝土拌和机械。</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4、工程爆破防治措施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Arial" w:hAnsi="Arial" w:cs="Arial"/>
                <w:spacing w:val="0"/>
                <w:sz w:val="24"/>
                <w:szCs w:val="24"/>
                <w:lang w:val="en-US" w:eastAsia="zh-CN"/>
              </w:rPr>
            </w:pPr>
            <w:r>
              <w:rPr>
                <w:rFonts w:hint="eastAsia" w:ascii="Arial" w:hAnsi="Arial" w:cs="Arial"/>
                <w:spacing w:val="0"/>
                <w:sz w:val="24"/>
                <w:szCs w:val="24"/>
                <w:lang w:val="en-US" w:eastAsia="zh-CN"/>
              </w:rPr>
              <w:t>根据初步设计报告，项目采用梯段爆破、浅孔爆破、钻孔爆破、预裂爆破定向爆破、静态爆破等方案，从源头上减少粉尘产生量。凿裂、钻孔以及爆破尽量采取湿法作业，尽量用草袋覆盖爆破面，降低粉尘量。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50" w:firstLineChars="200"/>
              <w:textAlignment w:val="auto"/>
              <w:rPr>
                <w:rFonts w:hint="eastAsia" w:ascii="Arial" w:hAnsi="Arial" w:cs="Arial"/>
                <w:spacing w:val="0"/>
                <w:sz w:val="24"/>
                <w:szCs w:val="24"/>
                <w:lang w:val="en-US" w:eastAsia="zh-CN"/>
              </w:rPr>
            </w:pPr>
            <w:r>
              <w:rPr>
                <w:rFonts w:hint="eastAsia"/>
                <w:b/>
                <w:bCs/>
                <w:spacing w:val="-8"/>
                <w:sz w:val="24"/>
                <w:szCs w:val="24"/>
                <w:lang w:val="en-US" w:eastAsia="zh-CN"/>
              </w:rPr>
              <w:t>已采取</w:t>
            </w:r>
            <w:r>
              <w:rPr>
                <w:b/>
                <w:bCs/>
                <w:spacing w:val="-8"/>
                <w:sz w:val="24"/>
                <w:szCs w:val="24"/>
              </w:rPr>
              <w:t>治理措施：</w:t>
            </w:r>
            <w:r>
              <w:rPr>
                <w:rFonts w:hint="eastAsia" w:ascii="Arial" w:hAnsi="Arial" w:cs="Arial"/>
                <w:spacing w:val="0"/>
                <w:sz w:val="24"/>
                <w:szCs w:val="24"/>
                <w:lang w:val="en-US" w:eastAsia="zh-CN"/>
              </w:rPr>
              <w:t>在开挖、爆破高度集中区域配置洒水车进行定期洒水；非雨日各施工场地、路面每天增加洒水次数，加速粉尘沉降。特别是在施工、爆破前后应增加洒水降尘频次，可起到防止粉尘扬起和加速粉尘沉降的作用，以缩小粉尘影响的时间与范围，缩短粉尘污染的影响时段，缩小污染范围。</w:t>
            </w:r>
          </w:p>
          <w:p>
            <w:pPr>
              <w:keepNext/>
              <w:keepLines w:val="0"/>
              <w:pageBreakBefore w:val="0"/>
              <w:widowControl/>
              <w:kinsoku/>
              <w:wordWrap/>
              <w:overflowPunct/>
              <w:topLinePunct w:val="0"/>
              <w:autoSpaceDE/>
              <w:autoSpaceDN/>
              <w:bidi w:val="0"/>
              <w:adjustRightInd/>
              <w:snapToGrid/>
              <w:spacing w:line="360" w:lineRule="auto"/>
              <w:ind w:left="0" w:right="0" w:firstLine="470" w:firstLineChars="200"/>
              <w:jc w:val="both"/>
              <w:textAlignment w:val="auto"/>
              <w:rPr>
                <w:rFonts w:hint="default" w:ascii="宋体" w:hAnsi="宋体" w:eastAsia="宋体" w:cs="宋体"/>
                <w:spacing w:val="-3"/>
                <w:sz w:val="24"/>
                <w:szCs w:val="24"/>
                <w:lang w:val="en-US" w:eastAsia="zh-CN"/>
              </w:rPr>
            </w:pPr>
            <w:r>
              <w:rPr>
                <w:rFonts w:hint="eastAsia" w:ascii="宋体" w:hAnsi="宋体" w:cs="宋体"/>
                <w:b/>
                <w:bCs/>
                <w:spacing w:val="-3"/>
                <w:sz w:val="24"/>
                <w:szCs w:val="24"/>
                <w:lang w:val="en-US" w:eastAsia="zh-CN"/>
              </w:rPr>
              <w:t>需补充完善的措施</w:t>
            </w:r>
            <w:r>
              <w:rPr>
                <w:rFonts w:hint="eastAsia" w:ascii="宋体" w:hAnsi="宋体" w:cs="宋体"/>
                <w:spacing w:val="-3"/>
                <w:sz w:val="24"/>
                <w:szCs w:val="24"/>
                <w:lang w:val="en-US" w:eastAsia="zh-CN"/>
              </w:rPr>
              <w:t>：无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5、沥青拌合站废气</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default" w:ascii="Arial" w:hAnsi="Arial" w:cs="Arial"/>
                <w:spacing w:val="1"/>
                <w:sz w:val="24"/>
                <w:szCs w:val="24"/>
                <w:lang w:val="en-US" w:eastAsia="zh-CN"/>
              </w:rPr>
            </w:pPr>
            <w:r>
              <w:rPr>
                <w:rFonts w:hint="eastAsia" w:ascii="Arial" w:hAnsi="Arial" w:cs="Arial"/>
                <w:spacing w:val="1"/>
                <w:sz w:val="24"/>
                <w:szCs w:val="24"/>
                <w:lang w:val="en-US" w:eastAsia="zh-CN"/>
              </w:rPr>
              <w:t>根据分析，本项目施工期间配套的沥青拌合站废气主要包括</w:t>
            </w:r>
            <w:r>
              <w:rPr>
                <w:rFonts w:hint="default" w:ascii="Arial" w:hAnsi="Arial" w:cs="Arial"/>
                <w:spacing w:val="-1"/>
                <w:sz w:val="24"/>
                <w:szCs w:val="24"/>
              </w:rPr>
              <w:t>下料和输送粉尘、烘干滚筒烘干粉尘、振动筛筛分粉尘</w:t>
            </w:r>
            <w:r>
              <w:rPr>
                <w:rFonts w:hint="eastAsia" w:ascii="Arial" w:hAnsi="Arial" w:cs="Arial"/>
                <w:spacing w:val="-1"/>
                <w:sz w:val="24"/>
                <w:szCs w:val="24"/>
                <w:lang w:val="en-US" w:eastAsia="zh-CN"/>
              </w:rPr>
              <w:t>以及</w:t>
            </w:r>
            <w:r>
              <w:rPr>
                <w:rFonts w:hint="default" w:ascii="Arial" w:hAnsi="Arial" w:cs="Arial"/>
                <w:spacing w:val="-1"/>
                <w:sz w:val="24"/>
                <w:szCs w:val="24"/>
              </w:rPr>
              <w:t>沥青废气（搅拌混合烟气、主机卸料烟气、成品卸料烟气、沥青加热烟气）</w:t>
            </w:r>
            <w:r>
              <w:rPr>
                <w:rFonts w:hint="eastAsia" w:ascii="Arial" w:hAnsi="Arial" w:cs="Arial"/>
                <w:spacing w:val="-1"/>
                <w:sz w:val="24"/>
                <w:szCs w:val="24"/>
                <w:lang w:val="en-US" w:eastAsia="zh-CN"/>
              </w:rPr>
              <w:t>等。</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eastAsia" w:ascii="Arial" w:hAnsi="Arial" w:cs="Arial"/>
                <w:b/>
                <w:bCs/>
                <w:spacing w:val="1"/>
                <w:sz w:val="24"/>
                <w:szCs w:val="24"/>
                <w:lang w:val="en-US" w:eastAsia="zh-CN"/>
              </w:rPr>
            </w:pPr>
            <w:r>
              <w:rPr>
                <w:rFonts w:hint="eastAsia" w:ascii="Arial" w:hAnsi="Arial" w:cs="Arial"/>
                <w:b/>
                <w:bCs/>
                <w:spacing w:val="1"/>
                <w:sz w:val="24"/>
                <w:szCs w:val="24"/>
                <w:lang w:val="en-US" w:eastAsia="zh-CN"/>
              </w:rPr>
              <w:t>⑴ 下料和输送粉尘</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针对下料和输送粉尘粉尘，通过</w:t>
            </w:r>
            <w:r>
              <w:rPr>
                <w:rFonts w:hint="default" w:ascii="Arial" w:hAnsi="Arial" w:cs="Arial"/>
                <w:spacing w:val="1"/>
                <w:sz w:val="24"/>
                <w:szCs w:val="24"/>
                <w:lang w:val="en-US" w:eastAsia="zh-CN"/>
              </w:rPr>
              <w:t>在冷料仓进料口设置三面围挡的半包围密闭罩进行收集，对下料和输送过程产生的粉尘设置“整体密闭+负压收集”，进行收集布袋除尘处理后经15m高排气筒排放，项目下料过程相对封闭且配以大风量使整个冷料供给系统呈负压工况状态，集尘能力按98%计。根据《废气处理工程技术手册》可知：布袋除尘器除尘效率一般可达到99%以上</w:t>
            </w:r>
            <w:r>
              <w:rPr>
                <w:rFonts w:hint="eastAsia" w:ascii="Arial" w:hAnsi="Arial" w:cs="Arial"/>
                <w:spacing w:val="1"/>
                <w:sz w:val="24"/>
                <w:szCs w:val="24"/>
                <w:lang w:val="en-US" w:eastAsia="zh-CN"/>
              </w:rPr>
              <w:t>。通过采取上述措施后下料和输送粉尘均可以实现达标排放。</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eastAsia="宋体" w:cs="Arial"/>
                <w:b/>
                <w:bCs/>
                <w:szCs w:val="24"/>
                <w:lang w:val="en-US" w:eastAsia="zh-CN"/>
              </w:rPr>
            </w:pPr>
            <w:r>
              <w:rPr>
                <w:rFonts w:hint="eastAsia" w:ascii="Arial" w:hAnsi="Arial" w:cs="Arial"/>
                <w:b/>
                <w:bCs/>
                <w:szCs w:val="24"/>
                <w:lang w:val="en-US" w:eastAsia="zh-CN"/>
              </w:rPr>
              <w:t xml:space="preserve">⑵ </w:t>
            </w:r>
            <w:r>
              <w:rPr>
                <w:rFonts w:hint="eastAsia" w:ascii="Arial" w:hAnsi="Arial" w:eastAsia="宋体" w:cs="Arial"/>
                <w:b/>
                <w:bCs/>
                <w:szCs w:val="24"/>
                <w:lang w:val="en-US" w:eastAsia="zh-CN"/>
              </w:rPr>
              <w:t>烘干滚筒烘干粉尘、振动筛筛分粉尘</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4" w:firstLineChars="200"/>
              <w:textAlignment w:val="auto"/>
              <w:rPr>
                <w:rFonts w:hint="eastAsia" w:ascii="Arial" w:hAnsi="Arial" w:cs="Arial"/>
                <w:spacing w:val="1"/>
                <w:sz w:val="24"/>
                <w:szCs w:val="24"/>
                <w:lang w:val="en-US" w:eastAsia="zh-CN"/>
              </w:rPr>
            </w:pPr>
            <w:r>
              <w:rPr>
                <w:rFonts w:hint="eastAsia" w:ascii="Arial" w:hAnsi="Arial" w:cs="Arial"/>
                <w:spacing w:val="1"/>
                <w:sz w:val="24"/>
                <w:szCs w:val="24"/>
                <w:lang w:val="en-US" w:eastAsia="zh-CN"/>
              </w:rPr>
              <w:t>针对沥青拌合站在烘干、筛分过程中产生的粉尘，通过设置密闭的烘干和筛分设备，其在烘干和筛分过程中产生的粉尘经密闭收集至下料和输送过程中配套的布袋除尘器处理后通过共用一根15m的排气筒排放（处理效率99%</w:t>
            </w:r>
            <w:r>
              <w:rPr>
                <w:rFonts w:hint="default" w:ascii="Arial" w:hAnsi="Arial" w:cs="Arial"/>
                <w:spacing w:val="1"/>
                <w:sz w:val="24"/>
                <w:szCs w:val="24"/>
                <w:lang w:val="en-US" w:eastAsia="zh-CN"/>
              </w:rPr>
              <w:t>以上</w:t>
            </w:r>
            <w:r>
              <w:rPr>
                <w:rFonts w:hint="eastAsia" w:ascii="Arial" w:hAnsi="Arial" w:cs="Arial"/>
                <w:spacing w:val="1"/>
                <w:sz w:val="24"/>
                <w:szCs w:val="24"/>
                <w:lang w:val="en-US" w:eastAsia="zh-CN"/>
              </w:rPr>
              <w:t>）。通过采取上述措施后烘干滚筒烘干粉尘、振动筛筛分粉尘均可以实现达标排放。</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spacing w:val="-11"/>
                <w:sz w:val="24"/>
                <w:szCs w:val="24"/>
              </w:rPr>
            </w:pPr>
            <w:r>
              <w:rPr>
                <w:rFonts w:hint="default" w:ascii="Arial" w:hAnsi="Arial" w:eastAsia="宋体" w:cs="Arial"/>
                <w:b/>
                <w:bCs/>
                <w:spacing w:val="-11"/>
                <w:sz w:val="24"/>
                <w:szCs w:val="24"/>
                <w:lang w:val="en-US" w:eastAsia="zh-CN"/>
              </w:rPr>
              <w:t xml:space="preserve">⑶ </w:t>
            </w:r>
            <w:r>
              <w:rPr>
                <w:rFonts w:hint="default" w:ascii="Arial" w:hAnsi="Arial" w:eastAsia="宋体" w:cs="Arial"/>
                <w:b/>
                <w:bCs/>
                <w:spacing w:val="-11"/>
                <w:sz w:val="24"/>
                <w:szCs w:val="24"/>
              </w:rPr>
              <w:t>沥青废气（搅拌混合烟气、主机卸料烟气、成品卸料烟气、沥青加热烟气）</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sz w:val="24"/>
                <w:szCs w:val="24"/>
              </w:rPr>
            </w:pPr>
            <w:r>
              <w:rPr>
                <w:rFonts w:hint="default" w:ascii="Arial" w:hAnsi="Arial" w:eastAsia="宋体" w:cs="Arial"/>
                <w:sz w:val="24"/>
                <w:szCs w:val="24"/>
              </w:rPr>
              <w:t>沥青在加热和搅拌过程中会产生多种化学物质的混合烟气——沥青烟，其主要污染因子为非甲烷总烃和苯并[a]芘。</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szCs w:val="24"/>
              </w:rPr>
            </w:pPr>
            <w:r>
              <w:rPr>
                <w:rFonts w:hint="eastAsia" w:ascii="Arial" w:hAnsi="Arial" w:cs="Arial"/>
                <w:szCs w:val="24"/>
                <w:lang w:val="en-US" w:eastAsia="zh-CN"/>
              </w:rPr>
              <w:t>针对沥青拌合站产生的废气，通过设置</w:t>
            </w:r>
            <w:r>
              <w:rPr>
                <w:rFonts w:hint="default" w:ascii="Arial" w:hAnsi="Arial" w:eastAsia="宋体" w:cs="Arial"/>
                <w:szCs w:val="24"/>
              </w:rPr>
              <w:t>全封闭结构</w:t>
            </w:r>
            <w:r>
              <w:rPr>
                <w:rFonts w:hint="eastAsia" w:ascii="Arial" w:hAnsi="Arial" w:cs="Arial"/>
                <w:szCs w:val="24"/>
                <w:lang w:val="en-US" w:eastAsia="zh-CN"/>
              </w:rPr>
              <w:t>的</w:t>
            </w:r>
            <w:r>
              <w:rPr>
                <w:rFonts w:hint="default" w:ascii="Arial" w:hAnsi="Arial" w:eastAsia="宋体" w:cs="Arial"/>
                <w:szCs w:val="24"/>
              </w:rPr>
              <w:t>生产系统，收集的沥青废气经负压管道密闭输送至“活性炭吸附装置”处理，然后经过1根15m高排气筒（处理效率</w:t>
            </w:r>
            <w:r>
              <w:rPr>
                <w:rFonts w:hint="eastAsia" w:ascii="Arial" w:hAnsi="Arial" w:eastAsia="宋体" w:cs="Arial"/>
                <w:szCs w:val="24"/>
                <w:lang w:val="en-US" w:eastAsia="zh-CN"/>
              </w:rPr>
              <w:t>80</w:t>
            </w:r>
            <w:r>
              <w:rPr>
                <w:rFonts w:hint="default" w:ascii="Arial" w:hAnsi="Arial" w:eastAsia="宋体" w:cs="Arial"/>
                <w:szCs w:val="24"/>
              </w:rPr>
              <w:t>%）排放。</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rPr>
            </w:pPr>
            <w:r>
              <w:rPr>
                <w:rFonts w:hint="eastAsia" w:ascii="Arial" w:hAnsi="Arial" w:cs="Arial"/>
                <w:b/>
                <w:bCs/>
                <w:szCs w:val="24"/>
                <w:lang w:val="en-US" w:eastAsia="zh-CN"/>
              </w:rPr>
              <w:t xml:space="preserve">⑷ </w:t>
            </w:r>
            <w:r>
              <w:rPr>
                <w:rFonts w:hint="default" w:ascii="Arial" w:hAnsi="Arial" w:eastAsia="宋体" w:cs="Arial"/>
                <w:b/>
                <w:bCs/>
                <w:szCs w:val="24"/>
              </w:rPr>
              <w:t>骨料堆棚产生的粉尘</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szCs w:val="24"/>
              </w:rPr>
            </w:pPr>
            <w:r>
              <w:rPr>
                <w:rFonts w:hint="default" w:ascii="Arial" w:hAnsi="Arial" w:eastAsia="宋体" w:cs="Arial"/>
                <w:szCs w:val="24"/>
              </w:rPr>
              <w:t>为了有效地控制各个扬尘点的粉尘，本项目采用</w:t>
            </w:r>
            <w:r>
              <w:rPr>
                <w:rFonts w:hint="eastAsia" w:ascii="Arial" w:hAnsi="Arial" w:eastAsia="宋体" w:cs="Arial"/>
                <w:szCs w:val="24"/>
              </w:rPr>
              <w:t>堆场设棚，三面围挡及喷雾降尘装置，不定期喷雾降尘</w:t>
            </w:r>
            <w:r>
              <w:rPr>
                <w:rFonts w:hint="default" w:ascii="Arial" w:hAnsi="Arial" w:eastAsia="宋体" w:cs="Arial"/>
                <w:szCs w:val="24"/>
              </w:rPr>
              <w:t>、降低物料转运的距离和落差，减少粉尘的产生，同时定期对原料堆场地面进行清扫，并加强厂区的绿化，减小粉尘对周边环境的影响。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5、施工机械尾气防治措施</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⑴ </w:t>
            </w:r>
            <w:r>
              <w:rPr>
                <w:rFonts w:hint="default" w:ascii="Arial" w:hAnsi="Arial" w:eastAsia="宋体" w:cs="Arial"/>
                <w:szCs w:val="24"/>
              </w:rPr>
              <w:t>施工期间应选择符合国家尾气排放标准的施工机械，强化机械设备的 维护、保养，尽可能降低尾气排放，加强管理、合理施工，禁止机械设备超负荷运行。由于施工期间往来车辆多为燃柴油的大型运输车辆，尾气排放量与污染物含量均较燃汽油车辆高，需安装尾气净化器，保证尾气达标排放。</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⑵ </w:t>
            </w:r>
            <w:r>
              <w:rPr>
                <w:rFonts w:hint="default" w:ascii="Arial" w:hAnsi="Arial" w:eastAsia="宋体" w:cs="Arial"/>
                <w:szCs w:val="24"/>
              </w:rPr>
              <w:t>严格执行《在用汽车报废标准》，推行强制更新报废制度，对于发动机耗油多、效率低、排放尾气严重超标的老、旧车辆，及时更新。</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⑶ </w:t>
            </w:r>
            <w:r>
              <w:rPr>
                <w:rFonts w:hint="default" w:ascii="Arial" w:hAnsi="Arial" w:eastAsia="宋体" w:cs="Arial"/>
                <w:szCs w:val="24"/>
              </w:rPr>
              <w:t>定时维护、保养机械及运输车辆，调整到最佳状态运行。</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default" w:ascii="Arial" w:hAnsi="Arial" w:eastAsia="宋体" w:cs="Arial"/>
                <w:szCs w:val="24"/>
              </w:rPr>
              <w:t>由于施工区场地开阔，空气流通性好，废气中的各项污染物能够很快扩散。</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四、噪声防治措施</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1、交通运输噪声</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eastAsia="宋体" w:cs="Arial"/>
                <w:szCs w:val="24"/>
                <w:lang w:eastAsia="zh-CN"/>
              </w:rPr>
            </w:pPr>
            <w:r>
              <w:rPr>
                <w:rFonts w:hint="eastAsia" w:ascii="Arial" w:hAnsi="Arial" w:cs="Arial"/>
                <w:szCs w:val="24"/>
                <w:lang w:val="en-US" w:eastAsia="zh-CN"/>
              </w:rPr>
              <w:t>⑴ 除连续浇筑外，其余工程均</w:t>
            </w:r>
            <w:r>
              <w:rPr>
                <w:rFonts w:hint="default" w:ascii="Arial" w:hAnsi="Arial" w:eastAsia="宋体" w:cs="Arial"/>
                <w:szCs w:val="24"/>
              </w:rPr>
              <w:t>避免在夜间进行施工</w:t>
            </w:r>
            <w:r>
              <w:rPr>
                <w:rFonts w:hint="eastAsia" w:ascii="Arial" w:hAnsi="Arial" w:cs="Arial"/>
                <w:szCs w:val="24"/>
                <w:lang w:eastAsia="zh-CN"/>
              </w:rPr>
              <w:t>；</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⑵ </w:t>
            </w:r>
            <w:r>
              <w:rPr>
                <w:rFonts w:hint="default" w:ascii="Arial" w:hAnsi="Arial" w:eastAsia="宋体" w:cs="Arial"/>
                <w:szCs w:val="24"/>
              </w:rPr>
              <w:t>加强道路的养护和车辆的维护保养，严禁车辆超载行驶，降低噪声源。</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⑶ </w:t>
            </w:r>
            <w:r>
              <w:rPr>
                <w:rFonts w:hint="default" w:ascii="Arial" w:hAnsi="Arial" w:eastAsia="宋体" w:cs="Arial"/>
                <w:szCs w:val="24"/>
              </w:rPr>
              <w:t>使用的施工运输车辆必须符合《汽车定置噪声限值》（GB16170-1996）和《汽车加速行驶车外噪声限值及测量方法》（GB 1495-2002），并尽量选用低噪声车辆。</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default" w:ascii="Arial" w:hAnsi="Arial" w:eastAsia="宋体" w:cs="Arial"/>
                <w:szCs w:val="24"/>
              </w:rPr>
            </w:pPr>
            <w:r>
              <w:rPr>
                <w:rFonts w:hint="eastAsia" w:ascii="Arial" w:hAnsi="Arial" w:cs="Arial"/>
                <w:szCs w:val="24"/>
                <w:lang w:val="en-US" w:eastAsia="zh-CN"/>
              </w:rPr>
              <w:t xml:space="preserve">⑷ </w:t>
            </w:r>
            <w:r>
              <w:rPr>
                <w:rFonts w:hint="default" w:ascii="Arial" w:hAnsi="Arial" w:eastAsia="宋体" w:cs="Arial"/>
                <w:szCs w:val="24"/>
              </w:rPr>
              <w:t>采取施工集中区段采取交通管制措施，施工区设立标志牌，限制车速，并在路牌上标明禁鸣；同时尽量避免夜间跨区位运输作业，把道路噪声影响降低到最低限度。</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2、工程施工噪声治理措施</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为降低混凝土拌和系统和施工机械噪声的影响，目前已采取如下措施：</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szCs w:val="24"/>
                <w:lang w:val="en-US" w:eastAsia="zh-CN"/>
              </w:rPr>
            </w:pPr>
            <w:r>
              <w:rPr>
                <w:rFonts w:hint="eastAsia" w:ascii="Arial" w:hAnsi="Arial" w:cs="Arial"/>
                <w:szCs w:val="24"/>
                <w:lang w:val="en-US" w:eastAsia="zh-CN"/>
              </w:rPr>
              <w:t>⑴ 优先选用低噪声的施工设备，对动力机械设备和运输车辆进行定期的维修和养护；</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szCs w:val="24"/>
                <w:lang w:val="en-US" w:eastAsia="zh-CN"/>
              </w:rPr>
            </w:pPr>
            <w:r>
              <w:rPr>
                <w:rFonts w:hint="eastAsia" w:ascii="Arial" w:hAnsi="Arial" w:cs="Arial"/>
                <w:szCs w:val="24"/>
                <w:lang w:val="en-US" w:eastAsia="zh-CN"/>
              </w:rPr>
              <w:t>⑵ 合理安排运输路线和运输时间，夜间禁止运输；</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szCs w:val="24"/>
                <w:lang w:val="en-US" w:eastAsia="zh-CN"/>
              </w:rPr>
            </w:pPr>
            <w:r>
              <w:rPr>
                <w:rFonts w:hint="eastAsia" w:ascii="Arial" w:hAnsi="Arial" w:cs="Arial"/>
                <w:szCs w:val="24"/>
                <w:lang w:val="en-US" w:eastAsia="zh-CN"/>
              </w:rPr>
              <w:t>⑶ 加强施工管理，合理安排作业时间，不在夜间施工，高噪声设备错峰作业，避免同时作业；</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szCs w:val="24"/>
                <w:lang w:val="en-US" w:eastAsia="zh-CN"/>
              </w:rPr>
            </w:pPr>
            <w:r>
              <w:rPr>
                <w:rFonts w:hint="eastAsia" w:ascii="Arial" w:hAnsi="Arial" w:cs="Arial"/>
                <w:szCs w:val="24"/>
                <w:lang w:val="en-US" w:eastAsia="zh-CN"/>
              </w:rPr>
              <w:t>⑷ 合理布局施工场地，避免在同一地点安装大量动力机械设备，以避免局部声级过高。</w:t>
            </w:r>
          </w:p>
          <w:p>
            <w:pPr>
              <w:pStyle w:val="84"/>
              <w:keepNext/>
              <w:keepLines w:val="0"/>
              <w:pageBreakBefore w:val="0"/>
              <w:widowControl/>
              <w:kinsoku/>
              <w:wordWrap/>
              <w:overflowPunct/>
              <w:topLinePunct w:val="0"/>
              <w:autoSpaceDE/>
              <w:autoSpaceDN/>
              <w:bidi w:val="0"/>
              <w:adjustRightInd w:val="0"/>
              <w:snapToGrid w:val="0"/>
              <w:ind w:firstLine="480"/>
              <w:textAlignment w:val="auto"/>
              <w:rPr>
                <w:rFonts w:hint="eastAsia" w:ascii="Arial" w:hAnsi="Arial" w:cs="Arial"/>
                <w:szCs w:val="24"/>
                <w:lang w:val="en-US" w:eastAsia="zh-CN"/>
              </w:rPr>
            </w:pPr>
            <w:r>
              <w:rPr>
                <w:rFonts w:hint="eastAsia" w:ascii="Arial" w:hAnsi="Arial" w:cs="Arial"/>
                <w:szCs w:val="24"/>
                <w:lang w:val="en-US" w:eastAsia="zh-CN"/>
              </w:rPr>
              <w:t>⑸ 对搅拌机、破碎机、提升机等机械设备，安装减震装置，在设备安装及设备与管路连接处可采用减震垫或柔性接头等措施；拌和站进、排风口加消声器；拌和站、空压机等车间尽可能采用多孔性吸声材料建立隔声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3、爆破噪声控制</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为减少爆破对环境噪声的影响，目前施工时已采取以下措施：</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⑴ 严格控制爆破时间，尽量定时爆破，夜间22:00~次日6:00禁止爆破</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⑵ 采用先进的爆破技术；</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⑶ 在岩石爆破前采取安全防范措施，避免爆破时产生的各种效应如振动、噪声、冲击破碎飞散物对过往人群、生物的伤害；</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⑷ 推荐采用无声爆破剂；</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⑸ 减少单孔最大炸药量，减少预裂或光面爆破导爆索的用量。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84"/>
              <w:keepNext/>
              <w:keepLines w:val="0"/>
              <w:pageBreakBefore w:val="0"/>
              <w:widowControl/>
              <w:kinsoku/>
              <w:wordWrap/>
              <w:overflowPunct/>
              <w:topLinePunct w:val="0"/>
              <w:autoSpaceDE/>
              <w:autoSpaceDN/>
              <w:bidi w:val="0"/>
              <w:ind w:firstLine="480"/>
              <w:textAlignment w:val="auto"/>
              <w:rPr>
                <w:rFonts w:hint="eastAsia" w:ascii="Arial" w:hAnsi="Arial" w:cs="Arial"/>
                <w:b/>
                <w:bCs/>
                <w:szCs w:val="24"/>
                <w:lang w:val="en-US" w:eastAsia="zh-CN"/>
              </w:rPr>
            </w:pPr>
            <w:r>
              <w:rPr>
                <w:rFonts w:hint="eastAsia" w:ascii="Arial" w:hAnsi="Arial" w:cs="Arial"/>
                <w:b/>
                <w:bCs/>
                <w:szCs w:val="24"/>
                <w:lang w:val="en-US" w:eastAsia="zh-CN"/>
              </w:rPr>
              <w:t>4、其他施工区域</w:t>
            </w:r>
          </w:p>
          <w:p>
            <w:pPr>
              <w:pStyle w:val="84"/>
              <w:keepNext/>
              <w:keepLines w:val="0"/>
              <w:pageBreakBefore w:val="0"/>
              <w:widowControl/>
              <w:kinsoku/>
              <w:wordWrap/>
              <w:overflowPunct/>
              <w:topLinePunct w:val="0"/>
              <w:autoSpaceDE/>
              <w:autoSpaceDN/>
              <w:bidi w:val="0"/>
              <w:adjustRightInd/>
              <w:snapToGrid/>
              <w:ind w:firstLine="480"/>
              <w:textAlignment w:val="auto"/>
              <w:rPr>
                <w:rFonts w:hint="eastAsia" w:ascii="Arial" w:hAnsi="Arial" w:cs="Arial"/>
                <w:szCs w:val="24"/>
                <w:lang w:val="en-US" w:eastAsia="zh-CN"/>
              </w:rPr>
            </w:pPr>
            <w:r>
              <w:rPr>
                <w:rFonts w:hint="eastAsia" w:ascii="Arial" w:hAnsi="Arial" w:cs="Arial"/>
                <w:szCs w:val="24"/>
                <w:lang w:val="en-US" w:eastAsia="zh-CN"/>
              </w:rPr>
              <w:t>施工区噪声污染源点多且分散，根据声环境预测结果，声环境保护措施应主要从交通源、施工工艺、阻断传声途径和保护敏感对象等多方面着手：</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2" w:firstLineChars="200"/>
              <w:textAlignment w:val="auto"/>
              <w:rPr>
                <w:sz w:val="24"/>
                <w:szCs w:val="24"/>
              </w:rPr>
            </w:pPr>
            <w:r>
              <w:rPr>
                <w:rFonts w:hint="eastAsia" w:ascii="Arial" w:hAnsi="Arial" w:cs="Arial"/>
                <w:b/>
                <w:bCs/>
                <w:sz w:val="24"/>
                <w:szCs w:val="24"/>
                <w:lang w:val="en-US" w:eastAsia="zh-CN"/>
              </w:rPr>
              <w:t xml:space="preserve">⑴ </w:t>
            </w:r>
            <w:r>
              <w:rPr>
                <w:b/>
                <w:bCs/>
                <w:spacing w:val="-5"/>
                <w:sz w:val="24"/>
                <w:szCs w:val="24"/>
              </w:rPr>
              <w:t>噪声源控制</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①</w:t>
            </w:r>
            <w:r>
              <w:rPr>
                <w:rFonts w:hint="eastAsia"/>
                <w:spacing w:val="-1"/>
                <w:sz w:val="24"/>
                <w:szCs w:val="24"/>
                <w:lang w:val="en-US" w:eastAsia="zh-CN"/>
              </w:rPr>
              <w:t xml:space="preserve"> </w:t>
            </w:r>
            <w:r>
              <w:rPr>
                <w:spacing w:val="-1"/>
                <w:sz w:val="24"/>
                <w:szCs w:val="24"/>
              </w:rPr>
              <w:t>选用低噪声的设备、工艺和车型，降低噪声源强。</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sz w:val="24"/>
                <w:szCs w:val="24"/>
              </w:rPr>
            </w:pPr>
            <w:r>
              <w:rPr>
                <w:spacing w:val="-2"/>
                <w:sz w:val="24"/>
                <w:szCs w:val="24"/>
              </w:rPr>
              <w:t>②</w:t>
            </w:r>
            <w:r>
              <w:rPr>
                <w:rFonts w:hint="eastAsia"/>
                <w:spacing w:val="-2"/>
                <w:sz w:val="24"/>
                <w:szCs w:val="24"/>
                <w:lang w:val="en-US" w:eastAsia="zh-CN"/>
              </w:rPr>
              <w:t xml:space="preserve"> </w:t>
            </w:r>
            <w:r>
              <w:rPr>
                <w:spacing w:val="-2"/>
                <w:sz w:val="24"/>
                <w:szCs w:val="24"/>
              </w:rPr>
              <w:t>加强设备和车辆的维护和保养，保持机械润滑，限制车辆超载，减少运行</w:t>
            </w:r>
            <w:r>
              <w:rPr>
                <w:spacing w:val="11"/>
                <w:sz w:val="24"/>
                <w:szCs w:val="24"/>
              </w:rPr>
              <w:t xml:space="preserve"> </w:t>
            </w:r>
            <w:r>
              <w:rPr>
                <w:spacing w:val="-7"/>
                <w:sz w:val="24"/>
                <w:szCs w:val="24"/>
              </w:rPr>
              <w:t>噪声。</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rPr>
                <w:sz w:val="24"/>
                <w:szCs w:val="24"/>
              </w:rPr>
            </w:pPr>
            <w:r>
              <w:rPr>
                <w:spacing w:val="-1"/>
                <w:sz w:val="24"/>
                <w:szCs w:val="24"/>
              </w:rPr>
              <w:t>③</w:t>
            </w:r>
            <w:r>
              <w:rPr>
                <w:rFonts w:hint="eastAsia"/>
                <w:spacing w:val="-1"/>
                <w:sz w:val="24"/>
                <w:szCs w:val="24"/>
                <w:lang w:val="en-US" w:eastAsia="zh-CN"/>
              </w:rPr>
              <w:t xml:space="preserve"> </w:t>
            </w:r>
            <w:r>
              <w:rPr>
                <w:spacing w:val="-1"/>
                <w:sz w:val="24"/>
                <w:szCs w:val="24"/>
              </w:rPr>
              <w:t>振动大的机械设备使用减振垫降低噪声。</w:t>
            </w:r>
          </w:p>
          <w:p>
            <w:pPr>
              <w:pStyle w:val="75"/>
              <w:keepNext/>
              <w:keepLines w:val="0"/>
              <w:pageBreakBefore w:val="0"/>
              <w:widowControl/>
              <w:kinsoku/>
              <w:wordWrap/>
              <w:overflowPunct/>
              <w:topLinePunct w:val="0"/>
              <w:autoSpaceDE/>
              <w:autoSpaceDN/>
              <w:bidi w:val="0"/>
              <w:adjustRightInd/>
              <w:snapToGrid/>
              <w:spacing w:line="360" w:lineRule="auto"/>
              <w:ind w:left="0" w:right="0" w:firstLine="504" w:firstLineChars="200"/>
              <w:textAlignment w:val="auto"/>
              <w:rPr>
                <w:sz w:val="24"/>
                <w:szCs w:val="24"/>
              </w:rPr>
            </w:pPr>
            <w:r>
              <w:rPr>
                <w:spacing w:val="6"/>
                <w:sz w:val="24"/>
                <w:szCs w:val="24"/>
              </w:rPr>
              <w:t>④</w:t>
            </w:r>
            <w:r>
              <w:rPr>
                <w:rFonts w:hint="eastAsia"/>
                <w:spacing w:val="6"/>
                <w:sz w:val="24"/>
                <w:szCs w:val="24"/>
                <w:lang w:val="en-US" w:eastAsia="zh-CN"/>
              </w:rPr>
              <w:t xml:space="preserve"> </w:t>
            </w:r>
            <w:r>
              <w:rPr>
                <w:spacing w:val="6"/>
                <w:sz w:val="24"/>
                <w:szCs w:val="24"/>
              </w:rPr>
              <w:t>混凝土生产系统的空压机出管道端设置消声器，其型号</w:t>
            </w:r>
            <w:r>
              <w:rPr>
                <w:spacing w:val="5"/>
                <w:sz w:val="24"/>
                <w:szCs w:val="24"/>
              </w:rPr>
              <w:t>与空压机配套使</w:t>
            </w:r>
            <w:r>
              <w:rPr>
                <w:spacing w:val="-2"/>
                <w:sz w:val="24"/>
                <w:szCs w:val="24"/>
              </w:rPr>
              <w:t>用，消声量可达</w:t>
            </w:r>
            <w:r>
              <w:rPr>
                <w:spacing w:val="-41"/>
                <w:sz w:val="24"/>
                <w:szCs w:val="24"/>
              </w:rPr>
              <w:t xml:space="preserve"> </w:t>
            </w:r>
            <w:r>
              <w:rPr>
                <w:rFonts w:ascii="Times New Roman" w:hAnsi="Times New Roman" w:eastAsia="Times New Roman" w:cs="Times New Roman"/>
                <w:spacing w:val="-2"/>
                <w:sz w:val="24"/>
                <w:szCs w:val="24"/>
              </w:rPr>
              <w:t>20dB</w:t>
            </w:r>
            <w:r>
              <w:rPr>
                <w:spacing w:val="-2"/>
                <w:sz w:val="24"/>
                <w:szCs w:val="24"/>
              </w:rPr>
              <w:t>（</w:t>
            </w:r>
            <w:r>
              <w:rPr>
                <w:rFonts w:ascii="Times New Roman" w:hAnsi="Times New Roman" w:eastAsia="Times New Roman" w:cs="Times New Roman"/>
                <w:spacing w:val="-2"/>
                <w:sz w:val="24"/>
                <w:szCs w:val="24"/>
              </w:rPr>
              <w:t>A</w:t>
            </w:r>
            <w:r>
              <w:rPr>
                <w:spacing w:val="-2"/>
                <w:sz w:val="24"/>
                <w:szCs w:val="24"/>
              </w:rPr>
              <w:t>）左右。</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6" w:firstLineChars="200"/>
              <w:textAlignment w:val="auto"/>
              <w:rPr>
                <w:spacing w:val="-4"/>
                <w:sz w:val="24"/>
                <w:szCs w:val="24"/>
              </w:rPr>
            </w:pPr>
            <w:r>
              <w:rPr>
                <w:spacing w:val="-1"/>
                <w:sz w:val="24"/>
                <w:szCs w:val="24"/>
              </w:rPr>
              <w:t>⑤</w:t>
            </w:r>
            <w:r>
              <w:rPr>
                <w:rFonts w:hint="eastAsia"/>
                <w:spacing w:val="-1"/>
                <w:sz w:val="24"/>
                <w:szCs w:val="24"/>
                <w:lang w:val="en-US" w:eastAsia="zh-CN"/>
              </w:rPr>
              <w:t xml:space="preserve"> </w:t>
            </w:r>
            <w:r>
              <w:rPr>
                <w:spacing w:val="-1"/>
                <w:sz w:val="24"/>
                <w:szCs w:val="24"/>
              </w:rPr>
              <w:t>合理安排施工时间，统一爆破时间，夜间</w:t>
            </w:r>
            <w:r>
              <w:rPr>
                <w:spacing w:val="-55"/>
                <w:sz w:val="24"/>
                <w:szCs w:val="24"/>
              </w:rPr>
              <w:t xml:space="preserve"> </w:t>
            </w:r>
            <w:r>
              <w:rPr>
                <w:rFonts w:ascii="Times New Roman" w:hAnsi="Times New Roman" w:eastAsia="Times New Roman" w:cs="Times New Roman"/>
                <w:spacing w:val="-1"/>
                <w:sz w:val="24"/>
                <w:szCs w:val="24"/>
              </w:rPr>
              <w:t>22</w:t>
            </w:r>
            <w:r>
              <w:rPr>
                <w:spacing w:val="-1"/>
                <w:sz w:val="24"/>
                <w:szCs w:val="24"/>
              </w:rPr>
              <w:t>：</w:t>
            </w:r>
            <w:r>
              <w:rPr>
                <w:rFonts w:ascii="Times New Roman" w:hAnsi="Times New Roman" w:eastAsia="Times New Roman" w:cs="Times New Roman"/>
                <w:spacing w:val="-2"/>
                <w:sz w:val="24"/>
                <w:szCs w:val="24"/>
              </w:rPr>
              <w:t>00~</w:t>
            </w:r>
            <w:r>
              <w:rPr>
                <w:spacing w:val="-2"/>
                <w:sz w:val="24"/>
                <w:szCs w:val="24"/>
              </w:rPr>
              <w:t>次日</w:t>
            </w:r>
            <w:r>
              <w:rPr>
                <w:spacing w:val="-50"/>
                <w:sz w:val="24"/>
                <w:szCs w:val="24"/>
              </w:rPr>
              <w:t xml:space="preserve"> </w:t>
            </w:r>
            <w:r>
              <w:rPr>
                <w:rFonts w:ascii="Times New Roman" w:hAnsi="Times New Roman" w:eastAsia="Times New Roman" w:cs="Times New Roman"/>
                <w:spacing w:val="-2"/>
                <w:sz w:val="24"/>
                <w:szCs w:val="24"/>
              </w:rPr>
              <w:t>6</w:t>
            </w:r>
            <w:r>
              <w:rPr>
                <w:spacing w:val="-2"/>
                <w:sz w:val="24"/>
                <w:szCs w:val="24"/>
              </w:rPr>
              <w:t>：</w:t>
            </w:r>
            <w:r>
              <w:rPr>
                <w:rFonts w:ascii="Times New Roman" w:hAnsi="Times New Roman" w:eastAsia="Times New Roman" w:cs="Times New Roman"/>
                <w:spacing w:val="-2"/>
                <w:sz w:val="24"/>
                <w:szCs w:val="24"/>
              </w:rPr>
              <w:t xml:space="preserve">00 </w:t>
            </w:r>
            <w:r>
              <w:rPr>
                <w:spacing w:val="-2"/>
                <w:sz w:val="24"/>
                <w:szCs w:val="24"/>
              </w:rPr>
              <w:t>尽量避免露</w:t>
            </w:r>
            <w:r>
              <w:rPr>
                <w:sz w:val="24"/>
                <w:szCs w:val="24"/>
              </w:rPr>
              <w:t xml:space="preserve"> </w:t>
            </w:r>
            <w:r>
              <w:rPr>
                <w:spacing w:val="-4"/>
                <w:sz w:val="24"/>
                <w:szCs w:val="24"/>
              </w:rPr>
              <w:t>天爆破。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2" w:firstLineChars="200"/>
              <w:textAlignment w:val="auto"/>
              <w:rPr>
                <w:sz w:val="24"/>
                <w:szCs w:val="24"/>
              </w:rPr>
            </w:pPr>
            <w:r>
              <w:rPr>
                <w:rFonts w:hint="eastAsia"/>
                <w:b/>
                <w:bCs/>
                <w:spacing w:val="-5"/>
                <w:sz w:val="24"/>
                <w:szCs w:val="24"/>
                <w:lang w:val="en-US" w:eastAsia="zh-CN"/>
              </w:rPr>
              <w:t xml:space="preserve">⑵ </w:t>
            </w:r>
            <w:r>
              <w:rPr>
                <w:b/>
                <w:bCs/>
                <w:spacing w:val="-5"/>
                <w:sz w:val="24"/>
                <w:szCs w:val="24"/>
              </w:rPr>
              <w:t>传播途径控制</w:t>
            </w:r>
          </w:p>
          <w:p>
            <w:pPr>
              <w:pStyle w:val="84"/>
              <w:keepNext/>
              <w:keepLines w:val="0"/>
              <w:pageBreakBefore w:val="0"/>
              <w:widowControl/>
              <w:kinsoku/>
              <w:wordWrap/>
              <w:overflowPunct/>
              <w:topLinePunct w:val="0"/>
              <w:autoSpaceDE/>
              <w:autoSpaceDN/>
              <w:bidi w:val="0"/>
              <w:ind w:firstLine="480"/>
              <w:textAlignment w:val="auto"/>
              <w:rPr>
                <w:rFonts w:hint="default" w:ascii="Arial" w:hAnsi="Arial" w:eastAsia="宋体" w:cs="Arial"/>
                <w:b/>
                <w:bCs/>
                <w:szCs w:val="24"/>
                <w:lang w:val="en-US"/>
              </w:rPr>
            </w:pPr>
            <w:r>
              <w:rPr>
                <w:rFonts w:hint="eastAsia" w:ascii="Arial" w:hAnsi="Arial" w:cs="Arial"/>
                <w:b/>
                <w:bCs/>
                <w:spacing w:val="1"/>
                <w:sz w:val="24"/>
                <w:szCs w:val="24"/>
                <w:lang w:val="en-US" w:eastAsia="zh-CN"/>
              </w:rPr>
              <w:t>目前已采取防治措施: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sz w:val="24"/>
                <w:szCs w:val="24"/>
              </w:rPr>
            </w:pPr>
            <w:r>
              <w:rPr>
                <w:spacing w:val="-2"/>
                <w:sz w:val="24"/>
                <w:szCs w:val="24"/>
              </w:rPr>
              <w:t>①</w:t>
            </w:r>
            <w:r>
              <w:rPr>
                <w:rFonts w:hint="eastAsia"/>
                <w:spacing w:val="-2"/>
                <w:sz w:val="24"/>
                <w:szCs w:val="24"/>
                <w:lang w:val="en-US" w:eastAsia="zh-CN"/>
              </w:rPr>
              <w:t xml:space="preserve"> </w:t>
            </w:r>
            <w:r>
              <w:rPr>
                <w:spacing w:val="-2"/>
                <w:sz w:val="24"/>
                <w:szCs w:val="24"/>
              </w:rPr>
              <w:t>在施工场地周边种植乔木等高大植物，做好绿化工作，降低噪声，尽量结</w:t>
            </w:r>
            <w:r>
              <w:rPr>
                <w:spacing w:val="-1"/>
                <w:sz w:val="24"/>
                <w:szCs w:val="24"/>
              </w:rPr>
              <w:t>合水土保持植物措施，对施工道路两侧进行绿化。</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spacing w:val="-3"/>
                <w:sz w:val="24"/>
                <w:szCs w:val="24"/>
              </w:rPr>
            </w:pPr>
            <w:r>
              <w:rPr>
                <w:spacing w:val="-3"/>
                <w:sz w:val="24"/>
                <w:szCs w:val="24"/>
              </w:rPr>
              <w:t>②</w:t>
            </w:r>
            <w:r>
              <w:rPr>
                <w:rFonts w:hint="eastAsia"/>
                <w:spacing w:val="-3"/>
                <w:sz w:val="24"/>
                <w:szCs w:val="24"/>
                <w:lang w:val="en-US" w:eastAsia="zh-CN"/>
              </w:rPr>
              <w:t xml:space="preserve"> </w:t>
            </w:r>
            <w:r>
              <w:rPr>
                <w:spacing w:val="-3"/>
                <w:sz w:val="24"/>
                <w:szCs w:val="24"/>
              </w:rPr>
              <w:t>拌和站、空压机等车间尽可能采用多孔性吸声材料建立隔声间，采用</w:t>
            </w:r>
            <w:r>
              <w:rPr>
                <w:spacing w:val="-34"/>
                <w:sz w:val="24"/>
                <w:szCs w:val="24"/>
              </w:rPr>
              <w:t xml:space="preserve"> </w:t>
            </w:r>
            <w:r>
              <w:rPr>
                <w:rFonts w:ascii="Times New Roman" w:hAnsi="Times New Roman" w:eastAsia="Times New Roman" w:cs="Times New Roman"/>
                <w:spacing w:val="-3"/>
                <w:sz w:val="24"/>
                <w:szCs w:val="24"/>
              </w:rPr>
              <w:t>GPS</w:t>
            </w:r>
            <w:r>
              <w:rPr>
                <w:rFonts w:ascii="Times New Roman" w:hAnsi="Times New Roman" w:eastAsia="Times New Roman" w:cs="Times New Roman"/>
                <w:sz w:val="24"/>
                <w:szCs w:val="24"/>
              </w:rPr>
              <w:t xml:space="preserve"> </w:t>
            </w:r>
            <w:r>
              <w:rPr>
                <w:spacing w:val="-3"/>
                <w:sz w:val="24"/>
                <w:szCs w:val="24"/>
              </w:rPr>
              <w:t>系列隔声屏等；</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sz w:val="24"/>
                <w:szCs w:val="24"/>
              </w:rPr>
            </w:pPr>
            <w:r>
              <w:rPr>
                <w:rFonts w:hint="eastAsia"/>
                <w:b/>
                <w:bCs/>
                <w:spacing w:val="-4"/>
                <w:sz w:val="24"/>
                <w:szCs w:val="24"/>
                <w:lang w:val="en-US" w:eastAsia="zh-CN"/>
              </w:rPr>
              <w:t xml:space="preserve">⑶ </w:t>
            </w:r>
            <w:r>
              <w:rPr>
                <w:b/>
                <w:bCs/>
                <w:spacing w:val="-4"/>
                <w:sz w:val="24"/>
                <w:szCs w:val="24"/>
              </w:rPr>
              <w:t>对敏感点的防护</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cs="Arial"/>
                <w:spacing w:val="-2"/>
                <w:sz w:val="24"/>
                <w:szCs w:val="24"/>
              </w:rPr>
            </w:pPr>
            <w:r>
              <w:rPr>
                <w:rFonts w:hint="default" w:ascii="Arial" w:hAnsi="Arial" w:cs="Arial"/>
                <w:spacing w:val="-2"/>
                <w:sz w:val="24"/>
                <w:szCs w:val="24"/>
              </w:rPr>
              <w:t>针对敏感点附近管线施工，可在居民点一侧设置施工围挡，受影响居民安装 隔音窗，在夜间 20：00~次日8</w:t>
            </w:r>
            <w:r>
              <w:rPr>
                <w:rFonts w:hint="default" w:ascii="Arial" w:hAnsi="Arial" w:cs="Arial"/>
                <w:spacing w:val="-2"/>
                <w:sz w:val="24"/>
                <w:szCs w:val="24"/>
                <w:lang w:eastAsia="zh-CN"/>
              </w:rPr>
              <w:t>：</w:t>
            </w:r>
            <w:r>
              <w:rPr>
                <w:rFonts w:hint="default" w:ascii="Arial" w:hAnsi="Arial" w:cs="Arial"/>
                <w:spacing w:val="-2"/>
                <w:sz w:val="24"/>
                <w:szCs w:val="24"/>
              </w:rPr>
              <w:t>00 禁止临近道路通行大型运输车辆，夜间严禁 施工等方式降低噪声对其影响。</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五、</w:t>
            </w:r>
            <w:r>
              <w:rPr>
                <w:rFonts w:hint="eastAsia" w:ascii="宋体" w:hAnsi="宋体"/>
                <w:b/>
                <w:sz w:val="24"/>
                <w:lang w:val="en-US" w:eastAsia="zh-CN"/>
              </w:rPr>
              <w:t>施工期</w:t>
            </w:r>
            <w:r>
              <w:rPr>
                <w:rFonts w:ascii="宋体" w:hAnsi="宋体"/>
                <w:b/>
                <w:sz w:val="24"/>
              </w:rPr>
              <w:t>固废防治措施</w:t>
            </w:r>
          </w:p>
          <w:p>
            <w:pPr>
              <w:keepNext/>
              <w:keepLines w:val="0"/>
              <w:pageBreakBefore w:val="0"/>
              <w:widowControl/>
              <w:kinsoku/>
              <w:wordWrap/>
              <w:overflowPunct/>
              <w:topLinePunct w:val="0"/>
              <w:autoSpaceDE/>
              <w:autoSpaceDN/>
              <w:bidi w:val="0"/>
              <w:spacing w:line="360" w:lineRule="auto"/>
              <w:ind w:firstLine="480" w:firstLineChars="200"/>
              <w:textAlignment w:val="auto"/>
              <w:rPr>
                <w:rFonts w:hint="eastAsia" w:ascii="Times New Roman" w:hAnsi="Times New Roman" w:cs="Times New Roman"/>
                <w:sz w:val="24"/>
              </w:rPr>
            </w:pPr>
            <w:r>
              <w:rPr>
                <w:rFonts w:hint="eastAsia" w:cs="Times New Roman"/>
                <w:sz w:val="24"/>
                <w:lang w:val="en-US" w:eastAsia="zh-CN"/>
              </w:rPr>
              <w:t>根据分析，</w:t>
            </w:r>
            <w:r>
              <w:rPr>
                <w:rFonts w:hint="eastAsia" w:ascii="Times New Roman" w:hAnsi="Times New Roman" w:cs="Times New Roman"/>
                <w:sz w:val="24"/>
              </w:rPr>
              <w:t>工程施工期产生的固废主要为建筑垃圾、废弃土石方、库底垃圾、施工人员生活垃圾</w:t>
            </w:r>
            <w:r>
              <w:rPr>
                <w:rFonts w:hint="eastAsia" w:ascii="Times New Roman" w:hAnsi="Times New Roman" w:cs="Times New Roman"/>
                <w:sz w:val="24"/>
                <w:lang w:val="en-US" w:eastAsia="zh-CN"/>
              </w:rPr>
              <w:t>以及设备维修过程中产生的废矿物油、含油废棉纱、沥青拌合站运行过程中产生的废沥青、定期更换的废活性炭等危险废物</w:t>
            </w:r>
            <w:r>
              <w:rPr>
                <w:rFonts w:hint="eastAsia" w:ascii="Times New Roman" w:hAnsi="Times New Roman" w:cs="Times New Roman"/>
                <w:sz w:val="24"/>
              </w:rPr>
              <w:t>。</w:t>
            </w:r>
          </w:p>
          <w:p>
            <w:pPr>
              <w:pStyle w:val="75"/>
              <w:keepNext/>
              <w:keepLines w:val="0"/>
              <w:pageBreakBefore w:val="0"/>
              <w:widowControl/>
              <w:numPr>
                <w:ilvl w:val="0"/>
                <w:numId w:val="12"/>
              </w:numPr>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一般固废</w:t>
            </w:r>
          </w:p>
          <w:p>
            <w:pPr>
              <w:pStyle w:val="75"/>
              <w:keepNext/>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b/>
                <w:bCs/>
                <w:spacing w:val="-4"/>
                <w:sz w:val="24"/>
                <w:szCs w:val="24"/>
                <w:lang w:val="en-US" w:eastAsia="zh-CN"/>
              </w:rPr>
            </w:pPr>
            <w:r>
              <w:rPr>
                <w:rFonts w:hint="eastAsia"/>
                <w:b/>
                <w:bCs/>
                <w:spacing w:val="-4"/>
                <w:sz w:val="24"/>
                <w:szCs w:val="24"/>
                <w:lang w:val="en-US" w:eastAsia="zh-CN"/>
              </w:rPr>
              <w:t>目前已采取的措施：</w:t>
            </w:r>
          </w:p>
          <w:p>
            <w:pPr>
              <w:keepNext/>
              <w:keepLines w:val="0"/>
              <w:pageBreakBefore w:val="0"/>
              <w:widowControl/>
              <w:kinsoku/>
              <w:wordWrap/>
              <w:overflowPunct/>
              <w:topLinePunct w:val="0"/>
              <w:autoSpaceDE/>
              <w:autoSpaceDN/>
              <w:bidi w:val="0"/>
              <w:spacing w:line="360" w:lineRule="auto"/>
              <w:ind w:firstLine="464" w:firstLineChars="200"/>
              <w:textAlignment w:val="auto"/>
              <w:rPr>
                <w:rFonts w:hint="eastAsia" w:cs="Times New Roman"/>
                <w:sz w:val="24"/>
                <w:lang w:val="en-US" w:eastAsia="zh-CN"/>
              </w:rPr>
            </w:pPr>
            <w:r>
              <w:rPr>
                <w:rFonts w:hint="eastAsia"/>
                <w:b w:val="0"/>
                <w:bCs w:val="0"/>
                <w:spacing w:val="-4"/>
                <w:sz w:val="24"/>
                <w:szCs w:val="24"/>
                <w:lang w:val="en-US" w:eastAsia="zh-CN"/>
              </w:rPr>
              <w:t>经调查，目前项目在施工期间产生的建筑垃圾</w:t>
            </w:r>
            <w:r>
              <w:rPr>
                <w:rFonts w:hint="default" w:ascii="Arial" w:hAnsi="Arial" w:eastAsia="宋体" w:cs="Arial"/>
                <w:spacing w:val="-2"/>
                <w:sz w:val="24"/>
                <w:szCs w:val="24"/>
              </w:rPr>
              <w:t>如砂石、钢材、木材等。建筑垃圾中可回收利用</w:t>
            </w:r>
            <w:r>
              <w:rPr>
                <w:rFonts w:hint="default" w:ascii="Arial" w:hAnsi="Arial" w:eastAsia="宋体" w:cs="Arial"/>
                <w:spacing w:val="-3"/>
                <w:sz w:val="24"/>
                <w:szCs w:val="24"/>
              </w:rPr>
              <w:t>的钢材、木材</w:t>
            </w:r>
            <w:r>
              <w:rPr>
                <w:rFonts w:hint="default" w:ascii="Arial" w:hAnsi="Arial" w:eastAsia="宋体" w:cs="Arial"/>
                <w:spacing w:val="-6"/>
                <w:sz w:val="24"/>
                <w:szCs w:val="24"/>
              </w:rPr>
              <w:t>等进行回收利用，不能利用的应集中堆放，定期清运至政府规划的渣场进行堆</w:t>
            </w:r>
            <w:r>
              <w:rPr>
                <w:rFonts w:hint="default" w:ascii="Arial" w:hAnsi="Arial" w:eastAsia="宋体" w:cs="Arial"/>
                <w:spacing w:val="-7"/>
                <w:sz w:val="24"/>
                <w:szCs w:val="24"/>
              </w:rPr>
              <w:t>放</w:t>
            </w:r>
            <w:r>
              <w:rPr>
                <w:rFonts w:hint="eastAsia" w:ascii="Arial" w:hAnsi="Arial" w:cs="Arial"/>
                <w:spacing w:val="-7"/>
                <w:sz w:val="24"/>
                <w:szCs w:val="24"/>
                <w:lang w:eastAsia="zh-CN"/>
              </w:rPr>
              <w:t>；</w:t>
            </w:r>
            <w:r>
              <w:rPr>
                <w:rFonts w:hint="eastAsia" w:ascii="Arial" w:hAnsi="Arial" w:cs="Arial"/>
                <w:spacing w:val="-7"/>
                <w:sz w:val="24"/>
                <w:szCs w:val="24"/>
                <w:lang w:val="en-US" w:eastAsia="zh-CN"/>
              </w:rPr>
              <w:t>废弃土石方</w:t>
            </w:r>
            <w:r>
              <w:rPr>
                <w:rFonts w:hint="default" w:ascii="Arial" w:hAnsi="Arial" w:eastAsia="宋体" w:cs="Arial"/>
                <w:sz w:val="24"/>
                <w:szCs w:val="24"/>
              </w:rPr>
              <w:t>堆放至规划的</w:t>
            </w:r>
            <w:r>
              <w:rPr>
                <w:rFonts w:hint="eastAsia" w:ascii="Arial" w:hAnsi="Arial" w:cs="Arial"/>
                <w:sz w:val="24"/>
                <w:szCs w:val="24"/>
                <w:lang w:val="en-US" w:eastAsia="zh-CN"/>
              </w:rPr>
              <w:t>3处弃</w:t>
            </w:r>
            <w:r>
              <w:rPr>
                <w:rFonts w:hint="default" w:ascii="Arial" w:hAnsi="Arial" w:eastAsia="宋体" w:cs="Arial"/>
                <w:sz w:val="24"/>
                <w:szCs w:val="24"/>
              </w:rPr>
              <w:t>渣场，堆渣完毕后应进行迹地</w:t>
            </w:r>
            <w:r>
              <w:rPr>
                <w:rFonts w:hint="default" w:ascii="Arial" w:hAnsi="Arial" w:eastAsia="宋体" w:cs="Arial"/>
                <w:spacing w:val="-1"/>
                <w:sz w:val="24"/>
                <w:szCs w:val="24"/>
              </w:rPr>
              <w:t>恢复，种植当地植被</w:t>
            </w:r>
            <w:r>
              <w:rPr>
                <w:rFonts w:hint="eastAsia" w:ascii="Arial" w:hAnsi="Arial" w:cs="Arial"/>
                <w:spacing w:val="-1"/>
                <w:sz w:val="24"/>
                <w:szCs w:val="24"/>
                <w:lang w:eastAsia="zh-CN"/>
              </w:rPr>
              <w:t>；</w:t>
            </w:r>
            <w:r>
              <w:rPr>
                <w:rFonts w:hint="eastAsia" w:ascii="Arial" w:hAnsi="Arial" w:cs="Arial"/>
                <w:spacing w:val="-1"/>
                <w:sz w:val="24"/>
                <w:szCs w:val="24"/>
                <w:lang w:val="en-US" w:eastAsia="zh-CN"/>
              </w:rPr>
              <w:t>库底清理过程中产生的垃圾集中收集后运至政府部门制定的建筑垃圾堆放场处置。施工人员产生的生活垃圾由当地环卫部门</w:t>
            </w:r>
            <w:r>
              <w:rPr>
                <w:rFonts w:hint="eastAsia" w:ascii="Times New Roman" w:hAnsi="Times New Roman" w:cs="Times New Roman"/>
                <w:sz w:val="24"/>
              </w:rPr>
              <w:t>运至生活垃圾集中填埋场</w:t>
            </w:r>
            <w:r>
              <w:rPr>
                <w:rFonts w:hint="eastAsia" w:cs="Times New Roman"/>
                <w:sz w:val="24"/>
                <w:lang w:val="en-US" w:eastAsia="zh-CN"/>
              </w:rPr>
              <w:t>进行最终处置；除尘器收集的除尘灰、沥青拌合站滴漏沥青及拌合残渣收集后回用于生产过程中不外排。</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keepNext/>
              <w:keepLines w:val="0"/>
              <w:pageBreakBefore w:val="0"/>
              <w:widowControl/>
              <w:kinsoku/>
              <w:wordWrap/>
              <w:overflowPunct/>
              <w:topLinePunct w:val="0"/>
              <w:autoSpaceDE/>
              <w:autoSpaceDN/>
              <w:bidi w:val="0"/>
              <w:spacing w:line="360" w:lineRule="auto"/>
              <w:ind w:firstLine="482" w:firstLineChars="200"/>
              <w:textAlignment w:val="auto"/>
              <w:rPr>
                <w:rFonts w:hint="default" w:cs="Times New Roman"/>
                <w:b/>
                <w:bCs/>
                <w:sz w:val="24"/>
                <w:lang w:val="en-US" w:eastAsia="zh-CN"/>
              </w:rPr>
            </w:pPr>
            <w:r>
              <w:rPr>
                <w:rFonts w:hint="eastAsia" w:cs="Times New Roman"/>
                <w:b/>
                <w:bCs/>
                <w:sz w:val="24"/>
                <w:lang w:val="en-US" w:eastAsia="zh-CN"/>
              </w:rPr>
              <w:t>2、危险废物</w:t>
            </w:r>
          </w:p>
          <w:p>
            <w:pPr>
              <w:pStyle w:val="75"/>
              <w:keepNext/>
              <w:keepLines w:val="0"/>
              <w:pageBreakBefore w:val="0"/>
              <w:widowControl/>
              <w:kinsoku/>
              <w:wordWrap/>
              <w:overflowPunct/>
              <w:topLinePunct w:val="0"/>
              <w:autoSpaceDE/>
              <w:autoSpaceDN/>
              <w:bidi w:val="0"/>
              <w:spacing w:before="36" w:line="351" w:lineRule="auto"/>
              <w:ind w:left="113" w:right="26" w:firstLine="479"/>
              <w:jc w:val="both"/>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针对项目施工期间设备维修过程中产生的废矿物油、含油废棉纱以及沥青烟气治理过程中产生的废活性炭，目前并未产生该部分废物，也未与有资质单位签订危险废物处置协议。对此，评价要求项目在后续施工时应补充一下措施：</w:t>
            </w:r>
          </w:p>
          <w:p>
            <w:pPr>
              <w:pStyle w:val="75"/>
              <w:keepNext/>
              <w:keepLines w:val="0"/>
              <w:pageBreakBefore w:val="0"/>
              <w:widowControl/>
              <w:kinsoku/>
              <w:wordWrap/>
              <w:overflowPunct/>
              <w:topLinePunct w:val="0"/>
              <w:autoSpaceDE/>
              <w:autoSpaceDN/>
              <w:bidi w:val="0"/>
              <w:spacing w:before="36" w:line="351" w:lineRule="auto"/>
              <w:ind w:left="113" w:right="26" w:firstLine="479"/>
              <w:jc w:val="both"/>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⑴ 及时补充与有资质单位签订的危险废物处置协议；</w:t>
            </w:r>
          </w:p>
          <w:p>
            <w:pPr>
              <w:pStyle w:val="75"/>
              <w:keepNext/>
              <w:keepLines w:val="0"/>
              <w:pageBreakBefore w:val="0"/>
              <w:widowControl/>
              <w:kinsoku/>
              <w:wordWrap/>
              <w:overflowPunct/>
              <w:topLinePunct w:val="0"/>
              <w:autoSpaceDE/>
              <w:autoSpaceDN/>
              <w:bidi w:val="0"/>
              <w:spacing w:before="36" w:line="351" w:lineRule="auto"/>
              <w:ind w:left="113" w:right="26" w:firstLine="479"/>
              <w:jc w:val="both"/>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⑵ 施工期间产生的各类危险废物应设置专门的危险废物暂存间，对此，评价结合项目施工总体布局，建议将</w:t>
            </w:r>
            <w:r>
              <w:rPr>
                <w:rFonts w:hint="default" w:ascii="Arial" w:hAnsi="Arial" w:eastAsia="宋体" w:cs="Arial"/>
                <w:sz w:val="24"/>
                <w:szCs w:val="24"/>
              </w:rPr>
              <w:t>项目危险废物贮存</w:t>
            </w:r>
            <w:r>
              <w:rPr>
                <w:rFonts w:hint="eastAsia" w:ascii="Arial" w:hAnsi="Arial" w:eastAsia="宋体" w:cs="Arial"/>
                <w:sz w:val="24"/>
                <w:szCs w:val="24"/>
                <w:lang w:val="en-US" w:eastAsia="zh-CN"/>
              </w:rPr>
              <w:t>间</w:t>
            </w:r>
            <w:r>
              <w:rPr>
                <w:rFonts w:hint="default" w:ascii="Arial" w:hAnsi="Arial" w:eastAsia="宋体" w:cs="Arial"/>
                <w:sz w:val="24"/>
                <w:szCs w:val="24"/>
              </w:rPr>
              <w:t>设置在</w:t>
            </w:r>
            <w:r>
              <w:rPr>
                <w:rFonts w:hint="eastAsia" w:ascii="Arial" w:hAnsi="Arial" w:eastAsia="宋体" w:cs="Arial"/>
                <w:sz w:val="24"/>
                <w:szCs w:val="24"/>
                <w:lang w:val="en-US" w:eastAsia="zh-CN"/>
              </w:rPr>
              <w:t>沥青拌合站内</w:t>
            </w:r>
            <w:r>
              <w:rPr>
                <w:rFonts w:hint="default" w:ascii="Arial" w:hAnsi="Arial" w:eastAsia="宋体" w:cs="Arial"/>
                <w:sz w:val="24"/>
                <w:szCs w:val="24"/>
              </w:rPr>
              <w:t>，</w:t>
            </w:r>
            <w:r>
              <w:rPr>
                <w:rFonts w:hint="eastAsia" w:ascii="Arial" w:hAnsi="Arial" w:eastAsia="宋体" w:cs="Arial"/>
                <w:sz w:val="24"/>
                <w:szCs w:val="24"/>
                <w:lang w:val="en-US" w:eastAsia="zh-CN"/>
              </w:rPr>
              <w:t>建筑面不小于10m</w:t>
            </w:r>
            <w:r>
              <w:rPr>
                <w:rFonts w:hint="eastAsia" w:ascii="Arial" w:hAnsi="Arial" w:eastAsia="宋体" w:cs="Arial"/>
                <w:sz w:val="24"/>
                <w:szCs w:val="24"/>
                <w:vertAlign w:val="superscript"/>
                <w:lang w:val="en-US" w:eastAsia="zh-CN"/>
              </w:rPr>
              <w:t>2</w:t>
            </w:r>
            <w:r>
              <w:rPr>
                <w:rFonts w:hint="eastAsia" w:ascii="Arial" w:hAnsi="Arial" w:eastAsia="宋体" w:cs="Arial"/>
                <w:sz w:val="24"/>
                <w:szCs w:val="24"/>
                <w:lang w:val="en-US" w:eastAsia="zh-CN"/>
              </w:rPr>
              <w:t>，且</w:t>
            </w:r>
            <w:r>
              <w:rPr>
                <w:rFonts w:ascii="Arial" w:hAnsi="宋体" w:cs="Arial"/>
                <w:color w:val="auto"/>
                <w:sz w:val="24"/>
              </w:rPr>
              <w:t>危险废物暂存间底板及四周壁面</w:t>
            </w:r>
            <w:r>
              <w:rPr>
                <w:rFonts w:hint="eastAsia" w:ascii="Arial" w:hAnsi="宋体" w:cs="Arial"/>
                <w:color w:val="auto"/>
                <w:sz w:val="24"/>
                <w:lang w:val="en-US" w:eastAsia="zh-CN"/>
              </w:rPr>
              <w:t>应</w:t>
            </w:r>
            <w:r>
              <w:rPr>
                <w:rFonts w:ascii="Arial" w:hAnsi="宋体" w:cs="Arial"/>
                <w:color w:val="auto"/>
                <w:sz w:val="24"/>
              </w:rPr>
              <w:t>采用钢筋混凝土结构，并在其上设置防渗层，</w:t>
            </w:r>
            <w:r>
              <w:rPr>
                <w:rFonts w:ascii="Arial" w:hAnsi="宋体" w:cs="Arial"/>
                <w:bCs/>
                <w:color w:val="auto"/>
                <w:sz w:val="24"/>
              </w:rPr>
              <w:t>防渗结构为</w:t>
            </w:r>
            <w:r>
              <w:rPr>
                <w:rFonts w:ascii="Arial" w:hAnsi="Arial" w:cs="Arial"/>
                <w:bCs/>
                <w:color w:val="auto"/>
                <w:sz w:val="24"/>
              </w:rPr>
              <w:t>“P8</w:t>
            </w:r>
            <w:r>
              <w:rPr>
                <w:rFonts w:ascii="Arial" w:hAnsi="宋体" w:cs="Arial"/>
                <w:bCs/>
                <w:color w:val="auto"/>
                <w:sz w:val="24"/>
              </w:rPr>
              <w:t>等级混凝土</w:t>
            </w:r>
            <w:r>
              <w:rPr>
                <w:rFonts w:ascii="Arial" w:hAnsi="Arial" w:cs="Arial"/>
                <w:bCs/>
                <w:color w:val="auto"/>
                <w:sz w:val="24"/>
              </w:rPr>
              <w:t>+2mmHDPE</w:t>
            </w:r>
            <w:r>
              <w:rPr>
                <w:rFonts w:ascii="Arial" w:hAnsi="宋体" w:cs="Arial"/>
                <w:bCs/>
                <w:color w:val="auto"/>
                <w:sz w:val="24"/>
              </w:rPr>
              <w:t>膜</w:t>
            </w:r>
            <w:r>
              <w:rPr>
                <w:rFonts w:ascii="Arial" w:hAnsi="Arial" w:cs="Arial"/>
                <w:bCs/>
                <w:color w:val="auto"/>
                <w:sz w:val="24"/>
              </w:rPr>
              <w:t>”</w:t>
            </w:r>
            <w:r>
              <w:rPr>
                <w:rFonts w:ascii="Arial" w:hAnsi="宋体" w:cs="Arial"/>
                <w:bCs/>
                <w:color w:val="auto"/>
                <w:sz w:val="24"/>
              </w:rPr>
              <w:t>防渗结构，地面防渗结构由下至上为：混凝土底板（厚度</w:t>
            </w:r>
            <w:r>
              <w:rPr>
                <w:rFonts w:ascii="Arial" w:hAnsi="Arial" w:cs="Arial"/>
                <w:bCs/>
                <w:color w:val="auto"/>
                <w:sz w:val="24"/>
              </w:rPr>
              <w:t>300mm</w:t>
            </w:r>
            <w:r>
              <w:rPr>
                <w:rFonts w:ascii="Arial" w:hAnsi="宋体" w:cs="Arial"/>
                <w:bCs/>
                <w:color w:val="auto"/>
                <w:sz w:val="24"/>
              </w:rPr>
              <w:t>，抗渗等级为</w:t>
            </w:r>
            <w:r>
              <w:rPr>
                <w:rFonts w:ascii="Arial" w:hAnsi="Arial" w:cs="Arial"/>
                <w:bCs/>
                <w:color w:val="auto"/>
                <w:sz w:val="24"/>
              </w:rPr>
              <w:t>P8</w:t>
            </w:r>
            <w:r>
              <w:rPr>
                <w:rFonts w:ascii="Arial" w:hAnsi="宋体" w:cs="Arial"/>
                <w:bCs/>
                <w:color w:val="auto"/>
                <w:sz w:val="24"/>
              </w:rPr>
              <w:t>）、</w:t>
            </w:r>
            <w:r>
              <w:rPr>
                <w:rFonts w:ascii="Arial" w:hAnsi="Arial" w:cs="Arial"/>
                <w:bCs/>
                <w:color w:val="auto"/>
                <w:sz w:val="24"/>
              </w:rPr>
              <w:t>600g/m</w:t>
            </w:r>
            <w:r>
              <w:rPr>
                <w:rFonts w:ascii="Arial" w:hAnsi="Arial" w:cs="Arial"/>
                <w:bCs/>
                <w:color w:val="auto"/>
                <w:sz w:val="24"/>
                <w:vertAlign w:val="superscript"/>
              </w:rPr>
              <w:t>2</w:t>
            </w:r>
            <w:r>
              <w:rPr>
                <w:rFonts w:ascii="Arial" w:hAnsi="宋体" w:cs="Arial"/>
                <w:bCs/>
                <w:color w:val="auto"/>
                <w:sz w:val="24"/>
              </w:rPr>
              <w:t>土工布、</w:t>
            </w:r>
            <w:r>
              <w:rPr>
                <w:rFonts w:ascii="Arial" w:hAnsi="Arial" w:cs="Arial"/>
                <w:bCs/>
                <w:color w:val="auto"/>
                <w:sz w:val="24"/>
              </w:rPr>
              <w:t>2mm</w:t>
            </w:r>
            <w:r>
              <w:rPr>
                <w:rFonts w:ascii="Arial" w:hAnsi="宋体" w:cs="Arial"/>
                <w:bCs/>
                <w:color w:val="auto"/>
                <w:sz w:val="24"/>
              </w:rPr>
              <w:t>厚</w:t>
            </w:r>
            <w:r>
              <w:rPr>
                <w:rFonts w:ascii="Arial" w:hAnsi="Arial" w:cs="Arial"/>
                <w:bCs/>
                <w:color w:val="auto"/>
                <w:sz w:val="24"/>
              </w:rPr>
              <w:t>HDPE</w:t>
            </w:r>
            <w:r>
              <w:rPr>
                <w:rFonts w:ascii="Arial" w:hAnsi="宋体" w:cs="Arial"/>
                <w:bCs/>
                <w:color w:val="auto"/>
                <w:sz w:val="24"/>
              </w:rPr>
              <w:t>防渗膜、</w:t>
            </w:r>
            <w:r>
              <w:rPr>
                <w:rFonts w:ascii="Arial" w:hAnsi="Arial" w:cs="Arial"/>
                <w:bCs/>
                <w:color w:val="auto"/>
                <w:sz w:val="24"/>
              </w:rPr>
              <w:t>600g/m</w:t>
            </w:r>
            <w:r>
              <w:rPr>
                <w:rFonts w:ascii="Arial" w:hAnsi="Arial" w:cs="Arial"/>
                <w:bCs/>
                <w:color w:val="auto"/>
                <w:sz w:val="24"/>
                <w:vertAlign w:val="superscript"/>
              </w:rPr>
              <w:t>2</w:t>
            </w:r>
            <w:r>
              <w:rPr>
                <w:rFonts w:ascii="Arial" w:hAnsi="宋体" w:cs="Arial"/>
                <w:bCs/>
                <w:color w:val="auto"/>
                <w:sz w:val="24"/>
              </w:rPr>
              <w:t>土工布、混凝土保护层（厚度</w:t>
            </w:r>
            <w:r>
              <w:rPr>
                <w:rFonts w:ascii="Arial" w:hAnsi="Arial" w:cs="Arial"/>
                <w:bCs/>
                <w:color w:val="auto"/>
                <w:sz w:val="24"/>
              </w:rPr>
              <w:t>100mm</w:t>
            </w:r>
            <w:r>
              <w:rPr>
                <w:rFonts w:ascii="Arial" w:hAnsi="宋体" w:cs="Arial"/>
                <w:bCs/>
                <w:color w:val="auto"/>
                <w:sz w:val="24"/>
              </w:rPr>
              <w:t>）</w:t>
            </w:r>
            <w:r>
              <w:rPr>
                <w:rFonts w:hint="eastAsia" w:ascii="Arial" w:hAnsi="宋体" w:cs="Arial"/>
                <w:bCs/>
                <w:color w:val="auto"/>
                <w:sz w:val="24"/>
              </w:rPr>
              <w:t>，</w:t>
            </w:r>
            <w:r>
              <w:rPr>
                <w:rFonts w:ascii="Arial" w:hAnsi="宋体" w:cs="Arial"/>
                <w:bCs/>
                <w:color w:val="auto"/>
                <w:sz w:val="24"/>
              </w:rPr>
              <w:t>可以满足</w:t>
            </w:r>
            <w:r>
              <w:rPr>
                <w:color w:val="auto"/>
                <w:sz w:val="24"/>
              </w:rPr>
              <w:t>渗透系数≤10</w:t>
            </w:r>
            <w:r>
              <w:rPr>
                <w:color w:val="auto"/>
                <w:sz w:val="24"/>
                <w:vertAlign w:val="superscript"/>
              </w:rPr>
              <w:t>-10</w:t>
            </w:r>
            <w:r>
              <w:rPr>
                <w:rFonts w:hint="eastAsia"/>
                <w:color w:val="auto"/>
                <w:sz w:val="24"/>
              </w:rPr>
              <w:t>cm</w:t>
            </w:r>
            <w:r>
              <w:rPr>
                <w:color w:val="auto"/>
                <w:sz w:val="24"/>
              </w:rPr>
              <w:t>/</w:t>
            </w:r>
            <w:r>
              <w:rPr>
                <w:rFonts w:hint="eastAsia"/>
                <w:color w:val="auto"/>
                <w:sz w:val="24"/>
              </w:rPr>
              <w:t>s的防渗要求</w:t>
            </w:r>
            <w:r>
              <w:rPr>
                <w:rFonts w:hint="eastAsia"/>
                <w:color w:val="auto"/>
                <w:sz w:val="24"/>
                <w:lang w:eastAsia="zh-CN"/>
              </w:rPr>
              <w:t>。</w:t>
            </w:r>
          </w:p>
          <w:p>
            <w:pPr>
              <w:pStyle w:val="75"/>
              <w:keepNext/>
              <w:keepLines w:val="0"/>
              <w:pageBreakBefore w:val="0"/>
              <w:widowControl/>
              <w:kinsoku/>
              <w:wordWrap/>
              <w:overflowPunct/>
              <w:topLinePunct w:val="0"/>
              <w:autoSpaceDE/>
              <w:autoSpaceDN/>
              <w:bidi w:val="0"/>
              <w:spacing w:before="45" w:line="347" w:lineRule="auto"/>
              <w:ind w:left="113" w:right="107" w:firstLine="479"/>
              <w:textAlignment w:val="auto"/>
              <w:rPr>
                <w:rFonts w:hint="default" w:ascii="Arial" w:hAnsi="Arial" w:eastAsia="宋体" w:cs="Arial"/>
                <w:sz w:val="24"/>
                <w:szCs w:val="24"/>
              </w:rPr>
            </w:pPr>
            <w:r>
              <w:rPr>
                <w:rFonts w:hint="default" w:ascii="Arial" w:hAnsi="Arial" w:eastAsia="宋体" w:cs="Arial"/>
                <w:spacing w:val="-2"/>
                <w:sz w:val="24"/>
                <w:szCs w:val="24"/>
              </w:rPr>
              <w:t>在采取以上措施后，项目施工期产生的固体废物能够得到较妥善处置，环境影响可降至最低。</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六、陆生生态保护措施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1、生态影响避让措施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spacing w:val="-2"/>
                <w:sz w:val="24"/>
                <w:szCs w:val="24"/>
              </w:rPr>
            </w:pPr>
            <w:r>
              <w:rPr>
                <w:rFonts w:hint="eastAsia"/>
                <w:b/>
                <w:bCs/>
                <w:spacing w:val="-4"/>
                <w:sz w:val="24"/>
                <w:szCs w:val="24"/>
                <w:lang w:val="en-US" w:eastAsia="zh-CN"/>
              </w:rPr>
              <w:t>目前已采取的措施：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施工活动保证在征地范围内进行，施工便道和临时用地要采取“永临结合”的方式，尽量缩小范围，减少对林地和农田的占用。尽量减少对珍稀动物及其栖息地的破坏，施工中尽量避免破坏野生动物集中的洞穴、窝巢等，对工程建设区域内的各类生物群落予以保护。防止爆破噪声对野生动物的惊扰。尽量根据动物生物节律安排施工时间和施工方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合理安排施工时间，尽量避开动物活动的高峰期。野生鸟类和哺乳动物大多在晨、昏（早晨、黄昏）或夜间外出觅食，正午是鸟类休息时间。为了减少施工建设噪声对野生动物的惊扰，应做好施工方式、数量、时间的计划，并力求避免在晨昏和正午施工等。</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严格落实各项污染防治措施，避免污染物对周边动植物产生影响。施工现场施工产生的建筑垃圾，能利用的尽可能重新利用和回收，不能利用的应集中堆置，并清运至政府规划的渣场进行堆放，施工人员生活垃圾设置垃圾收集桶，收集</w:t>
            </w:r>
            <w:r>
              <w:rPr>
                <w:rFonts w:hint="eastAsia" w:ascii="Arial" w:hAnsi="Arial" w:eastAsia="宋体" w:cs="Arial"/>
                <w:spacing w:val="-2"/>
                <w:sz w:val="24"/>
                <w:szCs w:val="24"/>
                <w:lang w:val="en-US" w:eastAsia="zh-CN"/>
              </w:rPr>
              <w:t>后</w:t>
            </w:r>
            <w:r>
              <w:rPr>
                <w:rFonts w:hint="default" w:ascii="Arial" w:hAnsi="Arial" w:eastAsia="宋体" w:cs="Arial"/>
                <w:spacing w:val="-2"/>
                <w:sz w:val="24"/>
                <w:szCs w:val="24"/>
              </w:rPr>
              <w:t>暂存于垃圾收集点为交由环卫部门清运处理，避免废弃物被鼠类等疫源性兽类接触，引起鼠疫等病害的发生。对项目生产废物要进行快速、集中处理，坚持集中和实时处理生活污染，以减少对环境的污染，保护水体的清洁，减少环境污染对生物个体、种群、群落、生态系统的影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2、生态影响减缓措施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eastAsia="宋体" w:cs="Arial"/>
                <w:spacing w:val="-2"/>
                <w:sz w:val="24"/>
                <w:szCs w:val="24"/>
              </w:rPr>
            </w:pPr>
            <w:r>
              <w:rPr>
                <w:rFonts w:hint="eastAsia"/>
                <w:b/>
                <w:bCs/>
                <w:spacing w:val="-4"/>
                <w:sz w:val="24"/>
                <w:szCs w:val="24"/>
                <w:lang w:val="en-US" w:eastAsia="zh-CN"/>
              </w:rPr>
              <w:t>目前已采取的措施：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施工过程中，对物料堆放场应采取临时防风、防雨设施；对施工车辆应采取 遮挡措施，尽量避免对周围农业土壤和灌溉水体的不利影响。临时用地在施工活 动完成后，应尽快进行植被恢复。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对施工人员开展生态保护教育，禁止伤害对人类有益的野生动物。采取有效 措施，抑制鼠类危害；保护鼠类天敌，如蛇、鹰等。保护水禽及其他鸟类资源， 同时可采取措施，保护、招引有益鸟类。</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采取措施降低施工机械噪声，如尽可能用多孔性吸声材料建立隔声屏障等。 在大多数动物的发情期和繁殖期（春季、初夏），减少噪音、施工强度和范围。</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对施工人员开展生态保护教育，增强施工人员环境保护意识。禁止伤害、捕 捉野生动物，禁止采挖珍稀野生植物。降低由于项目施工人员活动对区内生态环 境的影响。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加大保护巡护力度，实施严格监管监控，可在一些动物可能跨越道路的通道处，设立减速、禁止鸣笛等标牌，以减小施工运输对动物迁移的阻隔作用，若在施工过程中发现珍稀动植物，应第一时间上报相关部门，并咨询专业人士采取适宜的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项目虽然为水库建设项目，但建设区域内植被茂盛，应做好森林防火相关的各项准备工作，做好施工期防火宣传，严格落实各项森林防火措施，避免森林火灾的发生，对区内生态环境造成破坏。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6" w:firstLineChars="200"/>
              <w:textAlignment w:val="auto"/>
              <w:rPr>
                <w:rFonts w:hint="default" w:ascii="Arial" w:hAnsi="Arial" w:cs="Arial"/>
                <w:b/>
                <w:bCs/>
                <w:spacing w:val="1"/>
                <w:sz w:val="24"/>
                <w:szCs w:val="24"/>
                <w:lang w:val="en-US" w:eastAsia="zh-CN"/>
              </w:rPr>
            </w:pPr>
            <w:r>
              <w:rPr>
                <w:rFonts w:hint="eastAsia" w:ascii="Arial" w:hAnsi="Arial" w:cs="Arial"/>
                <w:b/>
                <w:bCs/>
                <w:spacing w:val="1"/>
                <w:sz w:val="24"/>
                <w:szCs w:val="24"/>
                <w:lang w:val="en-US" w:eastAsia="zh-CN"/>
              </w:rPr>
              <w:t>需补充完善的措施：无</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3、陆生植被恢复与补偿措施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default" w:ascii="Arial" w:hAnsi="Arial" w:eastAsia="宋体" w:cs="Arial"/>
                <w:spacing w:val="-2"/>
                <w:sz w:val="24"/>
                <w:szCs w:val="24"/>
              </w:rPr>
            </w:pPr>
            <w:r>
              <w:rPr>
                <w:rFonts w:hint="default" w:ascii="Arial" w:hAnsi="Arial" w:eastAsia="宋体" w:cs="Arial"/>
                <w:spacing w:val="-2"/>
                <w:sz w:val="24"/>
                <w:szCs w:val="24"/>
              </w:rPr>
              <w:t>陆生植被修复措施应遵循保护原有生态系统的原则，保护生物多样性，保护 耕地资源。弃渣场生态修复，可选用碎石覆盖土壤表面，再用保水剂处理土壤， 使其含水力增大；利用植物营养法、生态袋等方法修复边坡。同时需要做好生态 恢复初期的养护管理。同时根据水土保持方案，从水土流失防治分区与措施总体 布局等方面做好水土流失防治工作。在进行植被恢复时，植被选择当地本土物种， 如桤木、柏木等，避免外来物种入侵风险。</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default" w:ascii="Arial" w:hAnsi="Arial" w:cs="Arial"/>
                <w:spacing w:val="0"/>
                <w:w w:val="100"/>
                <w:sz w:val="24"/>
                <w:szCs w:val="24"/>
              </w:rPr>
            </w:pPr>
            <w:r>
              <w:rPr>
                <w:rFonts w:hint="default" w:ascii="Arial" w:hAnsi="Arial" w:cs="Arial"/>
                <w:spacing w:val="0"/>
                <w:w w:val="100"/>
                <w:sz w:val="24"/>
                <w:szCs w:val="24"/>
              </w:rPr>
              <w:t>根据本项目已取得的建设项目用地预审与选址意见书</w:t>
            </w:r>
            <w:r>
              <w:rPr>
                <w:rFonts w:hint="eastAsia" w:ascii="Arial" w:hAnsi="Arial" w:cs="Arial"/>
                <w:spacing w:val="0"/>
                <w:w w:val="100"/>
                <w:sz w:val="24"/>
                <w:szCs w:val="24"/>
                <w:lang w:eastAsia="zh-CN"/>
              </w:rPr>
              <w:t>（</w:t>
            </w:r>
            <w:r>
              <w:rPr>
                <w:rFonts w:hint="default" w:ascii="Arial" w:hAnsi="Arial" w:cs="Arial"/>
                <w:spacing w:val="0"/>
                <w:w w:val="100"/>
                <w:sz w:val="24"/>
                <w:szCs w:val="24"/>
              </w:rPr>
              <w:t xml:space="preserve">用字第 </w:t>
            </w:r>
            <w:r>
              <w:rPr>
                <w:rFonts w:hint="default" w:ascii="Arial" w:hAnsi="Arial" w:eastAsia="Times New Roman" w:cs="Arial"/>
                <w:spacing w:val="0"/>
                <w:w w:val="100"/>
                <w:sz w:val="24"/>
                <w:szCs w:val="24"/>
              </w:rPr>
              <w:t>510821202</w:t>
            </w:r>
            <w:r>
              <w:rPr>
                <w:rFonts w:hint="eastAsia" w:ascii="Arial" w:hAnsi="Arial" w:cs="Arial"/>
                <w:spacing w:val="0"/>
                <w:w w:val="100"/>
                <w:sz w:val="24"/>
                <w:szCs w:val="24"/>
                <w:lang w:val="en-US" w:eastAsia="zh-CN"/>
              </w:rPr>
              <w:t>300006</w:t>
            </w:r>
            <w:r>
              <w:rPr>
                <w:rFonts w:hint="default" w:ascii="Arial" w:hAnsi="Arial" w:cs="Arial"/>
                <w:spacing w:val="0"/>
                <w:w w:val="100"/>
                <w:sz w:val="24"/>
                <w:szCs w:val="24"/>
              </w:rPr>
              <w:t>）号，项目总用地</w:t>
            </w:r>
            <w:r>
              <w:rPr>
                <w:rFonts w:hint="eastAsia" w:ascii="Arial" w:hAnsi="Arial" w:cs="Arial"/>
                <w:spacing w:val="0"/>
                <w:w w:val="100"/>
                <w:sz w:val="24"/>
                <w:szCs w:val="24"/>
                <w:lang w:val="en-US" w:eastAsia="zh-CN"/>
              </w:rPr>
              <w:t>规模189373m</w:t>
            </w:r>
            <w:r>
              <w:rPr>
                <w:rFonts w:hint="eastAsia" w:ascii="Arial" w:hAnsi="Arial" w:cs="Arial"/>
                <w:spacing w:val="0"/>
                <w:w w:val="100"/>
                <w:sz w:val="24"/>
                <w:szCs w:val="24"/>
                <w:vertAlign w:val="superscript"/>
                <w:lang w:val="en-US" w:eastAsia="zh-CN"/>
              </w:rPr>
              <w:t>2</w:t>
            </w:r>
            <w:r>
              <w:rPr>
                <w:rFonts w:hint="default" w:ascii="Arial" w:hAnsi="Arial" w:cs="Arial"/>
                <w:spacing w:val="0"/>
                <w:w w:val="100"/>
                <w:sz w:val="24"/>
                <w:szCs w:val="24"/>
              </w:rPr>
              <w:t>，</w:t>
            </w:r>
            <w:r>
              <w:rPr>
                <w:rFonts w:hint="eastAsia" w:ascii="Arial" w:hAnsi="Arial" w:cs="Arial"/>
                <w:color w:val="0000FF"/>
                <w:spacing w:val="0"/>
                <w:w w:val="100"/>
                <w:sz w:val="24"/>
                <w:szCs w:val="24"/>
                <w:highlight w:val="none"/>
                <w:lang w:val="en-US" w:eastAsia="zh-CN"/>
              </w:rPr>
              <w:t>其中：拟使用原国有建设用地0m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；本次申请用地54474</w:t>
            </w:r>
            <w:r>
              <w:rPr>
                <w:rFonts w:hint="eastAsia" w:ascii="Arial" w:hAnsi="Arial" w:cs="Arial"/>
                <w:color w:val="0000FF"/>
                <w:spacing w:val="0"/>
                <w:w w:val="100"/>
                <w:sz w:val="24"/>
                <w:szCs w:val="24"/>
                <w:highlight w:val="none"/>
                <w:lang w:val="en-US" w:eastAsia="zh-CN"/>
              </w:rPr>
              <w:t>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lang w:val="en-US" w:eastAsia="zh-CN"/>
              </w:rPr>
              <w:t>折合约81.7亩；</w:t>
            </w:r>
            <w:r>
              <w:rPr>
                <w:rFonts w:hint="eastAsia" w:ascii="Arial" w:hAnsi="Arial" w:cs="Arial"/>
                <w:color w:val="0000FF"/>
                <w:spacing w:val="0"/>
                <w:w w:val="100"/>
                <w:sz w:val="24"/>
                <w:szCs w:val="24"/>
                <w:highlight w:val="none"/>
                <w:lang w:val="en-US" w:eastAsia="zh-CN"/>
              </w:rPr>
              <w:t>农用地49918m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w:t>
            </w:r>
            <w:r>
              <w:rPr>
                <w:rFonts w:hint="eastAsia" w:ascii="Arial" w:hAnsi="Arial" w:cs="Arial"/>
                <w:color w:val="0000FF"/>
                <w:spacing w:val="0"/>
                <w:w w:val="100"/>
                <w:sz w:val="24"/>
                <w:szCs w:val="24"/>
                <w:lang w:val="en-US" w:eastAsia="zh-CN"/>
              </w:rPr>
              <w:t>折合约74.87亩</w:t>
            </w:r>
            <w:r>
              <w:rPr>
                <w:rFonts w:hint="eastAsia" w:ascii="Arial" w:hAnsi="Arial" w:cs="Arial"/>
                <w:color w:val="0000FF"/>
                <w:spacing w:val="0"/>
                <w:w w:val="100"/>
                <w:sz w:val="24"/>
                <w:szCs w:val="24"/>
                <w:highlight w:val="none"/>
                <w:lang w:eastAsia="zh-CN"/>
              </w:rPr>
              <w:t>（</w:t>
            </w:r>
            <w:r>
              <w:rPr>
                <w:rFonts w:hint="eastAsia" w:ascii="Arial" w:hAnsi="Arial" w:cs="Arial"/>
                <w:color w:val="0000FF"/>
                <w:spacing w:val="0"/>
                <w:w w:val="100"/>
                <w:sz w:val="24"/>
                <w:szCs w:val="24"/>
                <w:highlight w:val="none"/>
                <w:lang w:val="en-US" w:eastAsia="zh-CN"/>
              </w:rPr>
              <w:t>耕地7456m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lang w:val="en-US" w:eastAsia="zh-CN"/>
              </w:rPr>
              <w:t>折合约11.2亩；其中：</w:t>
            </w:r>
            <w:r>
              <w:rPr>
                <w:rFonts w:hint="eastAsia" w:ascii="Arial" w:hAnsi="Arial" w:cs="Arial"/>
                <w:color w:val="0000FF"/>
                <w:spacing w:val="0"/>
                <w:w w:val="100"/>
                <w:sz w:val="24"/>
                <w:szCs w:val="24"/>
                <w:highlight w:val="none"/>
                <w:lang w:val="en-US" w:eastAsia="zh-CN"/>
              </w:rPr>
              <w:t>涉及基本农田1509m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lang w:val="en-US" w:eastAsia="zh-CN"/>
              </w:rPr>
              <w:t>折合约2.26亩</w:t>
            </w:r>
            <w:r>
              <w:rPr>
                <w:rFonts w:hint="eastAsia" w:ascii="Arial" w:hAnsi="Arial" w:cs="Arial"/>
                <w:color w:val="0000FF"/>
                <w:spacing w:val="0"/>
                <w:w w:val="100"/>
                <w:sz w:val="24"/>
                <w:szCs w:val="24"/>
                <w:highlight w:val="none"/>
                <w:lang w:eastAsia="zh-CN"/>
              </w:rPr>
              <w:t>），</w:t>
            </w:r>
            <w:r>
              <w:rPr>
                <w:rFonts w:hint="eastAsia" w:ascii="Arial" w:hAnsi="Arial" w:cs="Arial"/>
                <w:color w:val="0000FF"/>
                <w:spacing w:val="0"/>
                <w:w w:val="100"/>
                <w:sz w:val="24"/>
                <w:szCs w:val="24"/>
                <w:highlight w:val="none"/>
                <w:lang w:val="en-US" w:eastAsia="zh-CN"/>
              </w:rPr>
              <w:t>建设用地0m</w:t>
            </w:r>
            <w:r>
              <w:rPr>
                <w:rFonts w:hint="eastAsia" w:ascii="Arial" w:hAnsi="Arial" w:cs="Arial"/>
                <w:color w:val="0000FF"/>
                <w:spacing w:val="0"/>
                <w:w w:val="100"/>
                <w:sz w:val="24"/>
                <w:szCs w:val="24"/>
                <w:highlight w:val="none"/>
                <w:vertAlign w:val="superscript"/>
                <w:lang w:val="en-US" w:eastAsia="zh-CN"/>
              </w:rPr>
              <w:t>2</w:t>
            </w:r>
            <w:r>
              <w:rPr>
                <w:rFonts w:hint="default" w:ascii="Arial" w:hAnsi="Arial" w:cs="Arial"/>
                <w:color w:val="0000FF"/>
                <w:spacing w:val="0"/>
                <w:w w:val="100"/>
                <w:sz w:val="24"/>
                <w:szCs w:val="24"/>
                <w:highlight w:val="none"/>
              </w:rPr>
              <w:t>，</w:t>
            </w:r>
            <w:r>
              <w:rPr>
                <w:rFonts w:hint="eastAsia" w:ascii="Arial" w:hAnsi="Arial" w:cs="Arial"/>
                <w:color w:val="0000FF"/>
                <w:spacing w:val="0"/>
                <w:w w:val="100"/>
                <w:sz w:val="24"/>
                <w:szCs w:val="24"/>
                <w:highlight w:val="none"/>
                <w:lang w:val="en-US" w:eastAsia="zh-CN"/>
              </w:rPr>
              <w:t>未利用地4556m</w:t>
            </w:r>
            <w:r>
              <w:rPr>
                <w:rFonts w:hint="eastAsia" w:ascii="Arial" w:hAnsi="Arial" w:cs="Arial"/>
                <w:color w:val="0000FF"/>
                <w:spacing w:val="0"/>
                <w:w w:val="100"/>
                <w:sz w:val="24"/>
                <w:szCs w:val="24"/>
                <w:highlight w:val="none"/>
                <w:vertAlign w:val="superscript"/>
                <w:lang w:val="en-US" w:eastAsia="zh-CN"/>
              </w:rPr>
              <w:t>2</w:t>
            </w:r>
            <w:r>
              <w:rPr>
                <w:rFonts w:hint="eastAsia" w:ascii="Arial" w:hAnsi="Arial" w:cs="Arial"/>
                <w:color w:val="0000FF"/>
                <w:spacing w:val="0"/>
                <w:w w:val="100"/>
                <w:sz w:val="24"/>
                <w:szCs w:val="24"/>
                <w:highlight w:val="none"/>
                <w:vertAlign w:val="baseline"/>
                <w:lang w:val="en-US" w:eastAsia="zh-CN"/>
              </w:rPr>
              <w:t>，</w:t>
            </w:r>
            <w:r>
              <w:rPr>
                <w:rFonts w:hint="eastAsia" w:ascii="Arial" w:hAnsi="Arial" w:cs="Arial"/>
                <w:color w:val="0000FF"/>
                <w:spacing w:val="0"/>
                <w:w w:val="100"/>
                <w:sz w:val="24"/>
                <w:szCs w:val="24"/>
                <w:lang w:val="en-US" w:eastAsia="zh-CN"/>
              </w:rPr>
              <w:t>折合约6.83亩</w:t>
            </w:r>
            <w:r>
              <w:rPr>
                <w:rFonts w:hint="eastAsia" w:ascii="Arial" w:hAnsi="Arial" w:cs="Arial"/>
                <w:color w:val="0000FF"/>
                <w:spacing w:val="0"/>
                <w:w w:val="100"/>
                <w:sz w:val="24"/>
                <w:szCs w:val="24"/>
                <w:highlight w:val="none"/>
                <w:vertAlign w:val="baseline"/>
                <w:lang w:val="en-US" w:eastAsia="zh-CN"/>
              </w:rPr>
              <w:t>。</w:t>
            </w:r>
            <w:r>
              <w:rPr>
                <w:rFonts w:hint="default" w:ascii="Arial" w:hAnsi="Arial" w:cs="Arial"/>
                <w:spacing w:val="0"/>
                <w:w w:val="100"/>
                <w:sz w:val="24"/>
                <w:szCs w:val="24"/>
              </w:rPr>
              <w:t>项目建设未突破土地资源利用上线。</w:t>
            </w:r>
          </w:p>
          <w:p>
            <w:pPr>
              <w:keepNext/>
              <w:keepLines w:val="0"/>
              <w:pageBreakBefore w:val="0"/>
              <w:widowControl/>
              <w:kinsoku/>
              <w:wordWrap/>
              <w:overflowPunct/>
              <w:topLinePunct w:val="0"/>
              <w:autoSpaceDE/>
              <w:autoSpaceDN/>
              <w:bidi w:val="0"/>
              <w:spacing w:line="360" w:lineRule="auto"/>
              <w:ind w:firstLine="472" w:firstLineChars="200"/>
              <w:textAlignment w:val="auto"/>
              <w:rPr>
                <w:rFonts w:hint="default" w:ascii="Arial" w:hAnsi="Arial" w:cs="Arial"/>
                <w:color w:val="0000FF"/>
                <w:spacing w:val="-2"/>
                <w:sz w:val="24"/>
                <w:szCs w:val="24"/>
                <w:lang w:val="en-US" w:eastAsia="zh-CN"/>
              </w:rPr>
            </w:pPr>
            <w:r>
              <w:rPr>
                <w:rFonts w:hint="eastAsia" w:ascii="Arial" w:hAnsi="Arial" w:cs="Arial"/>
                <w:color w:val="0000FF"/>
                <w:spacing w:val="-2"/>
                <w:sz w:val="24"/>
                <w:szCs w:val="24"/>
                <w:lang w:val="en-US" w:eastAsia="zh-CN"/>
              </w:rPr>
              <w:t>针对本次评价项目占用的基本农田，位于取料场附近，本次占用属于临时占用。对此，评价要求在占用基本农田时需取得合法的占用手续，且施工结束后应及时进行基地恢复，并经相关部门验收后方可移交政府。</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七、水生生态环境保护措施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1、优化工程设计及施工工艺</w:t>
            </w:r>
          </w:p>
          <w:p>
            <w:pPr>
              <w:keepNext/>
              <w:keepLines w:val="0"/>
              <w:pageBreakBefore w:val="0"/>
              <w:widowControl/>
              <w:kinsoku/>
              <w:wordWrap/>
              <w:overflowPunct/>
              <w:topLinePunct w:val="0"/>
              <w:autoSpaceDE/>
              <w:autoSpaceDN/>
              <w:bidi w:val="0"/>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合理调整施工进度和施工期，工程影响水域鱼类繁殖期大多数在 3~9月，同时涉水工程应避开广元禁渔期时段，以减少工程施工对鱼类繁殖活动的影响，并严格控制夜间施工时间。</w:t>
            </w:r>
          </w:p>
          <w:p>
            <w:pPr>
              <w:keepNext/>
              <w:keepLines w:val="0"/>
              <w:pageBreakBefore w:val="0"/>
              <w:widowControl/>
              <w:kinsoku/>
              <w:wordWrap/>
              <w:overflowPunct/>
              <w:topLinePunct w:val="0"/>
              <w:autoSpaceDE/>
              <w:autoSpaceDN/>
              <w:bidi w:val="0"/>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涉水施工对下游河段的饵料生物，产卵场会产生较大的影响，为此，要优化 涉水施工期，应选择在枯水期施工，并避开鱼类繁殖期。同时，通过选择低噪音 机械降低施工噪音，弃渣地点尽量远离河岸，以减少施工作业对水质及浑浊度的影响。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b/>
                <w:bCs/>
                <w:spacing w:val="-4"/>
                <w:sz w:val="24"/>
                <w:szCs w:val="24"/>
                <w:lang w:val="en-US" w:eastAsia="zh-CN"/>
              </w:rPr>
            </w:pPr>
            <w:r>
              <w:rPr>
                <w:rFonts w:hint="eastAsia"/>
                <w:b/>
                <w:bCs/>
                <w:spacing w:val="-4"/>
                <w:sz w:val="24"/>
                <w:szCs w:val="24"/>
                <w:lang w:val="en-US" w:eastAsia="zh-CN"/>
              </w:rPr>
              <w:t>2、加强鱼类保护管理</w:t>
            </w:r>
          </w:p>
          <w:p>
            <w:pPr>
              <w:keepNext/>
              <w:keepLines w:val="0"/>
              <w:pageBreakBefore w:val="0"/>
              <w:widowControl/>
              <w:kinsoku/>
              <w:wordWrap/>
              <w:overflowPunct/>
              <w:topLinePunct w:val="0"/>
              <w:autoSpaceDE/>
              <w:autoSpaceDN/>
              <w:bidi w:val="0"/>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打击违法捕鱼，如电捕鱼、炸鱼、毒鱼等，加强《渔业法》的宣传，严禁在 禁渔明捕鱼，发动群众参与鱼类资源的保护。繁殖季节禁止采卵捞苗，确保常规 品种鲤、鲫及其他鱼类的自然繁殖。</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八、社会环境</w:t>
            </w:r>
            <w:r>
              <w:rPr>
                <w:rFonts w:hint="eastAsia" w:ascii="宋体" w:hAnsi="宋体"/>
                <w:b/>
                <w:sz w:val="24"/>
                <w:lang w:val="en-US" w:eastAsia="zh-CN"/>
              </w:rPr>
              <w:t>减缓</w:t>
            </w:r>
            <w:r>
              <w:rPr>
                <w:rFonts w:ascii="宋体" w:hAnsi="宋体"/>
                <w:b/>
                <w:sz w:val="24"/>
              </w:rPr>
              <w:t>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default" w:ascii="Arial" w:hAnsi="Arial" w:cs="Arial"/>
                <w:b/>
                <w:bCs/>
                <w:spacing w:val="-4"/>
                <w:sz w:val="24"/>
                <w:szCs w:val="24"/>
                <w:lang w:val="en-US" w:eastAsia="zh-CN"/>
              </w:rPr>
              <w:t>1、施工区卫生清理</w:t>
            </w:r>
          </w:p>
          <w:p>
            <w:pPr>
              <w:keepNext/>
              <w:keepLines w:val="0"/>
              <w:pageBreakBefore w:val="0"/>
              <w:widowControl/>
              <w:kinsoku/>
              <w:wordWrap/>
              <w:overflowPunct/>
              <w:topLinePunct w:val="0"/>
              <w:autoSpaceDE/>
              <w:autoSpaceDN/>
              <w:bidi w:val="0"/>
              <w:adjustRightInd/>
              <w:snapToGrid/>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在施工时定期做好施工营地清理和消毒工作，并及时对清理施工营地产生的各类固体废物。除此之外，加强在施工区的卫生管理和卫生宣传教育，普及卫生常识。定期检查和消灭与传播疾病有关的媒介生物，如蚊虫、鼠、苍蝇等。特别要加强灭鼠工作，建议每季度进行一次，选用灭害灵灭蚊、灭蝇，每年两次，避免传染病流行。</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default" w:ascii="Arial" w:hAnsi="Arial" w:cs="Arial"/>
                <w:b/>
                <w:bCs/>
                <w:spacing w:val="-4"/>
                <w:sz w:val="24"/>
                <w:szCs w:val="24"/>
                <w:lang w:val="en-US" w:eastAsia="zh-CN"/>
              </w:rPr>
              <w:t>2、环境卫生及食品卫生管理</w:t>
            </w:r>
          </w:p>
          <w:p>
            <w:pPr>
              <w:keepNext/>
              <w:keepLines w:val="0"/>
              <w:pageBreakBefore w:val="0"/>
              <w:widowControl/>
              <w:kinsoku/>
              <w:wordWrap/>
              <w:overflowPunct/>
              <w:topLinePunct w:val="0"/>
              <w:autoSpaceDE/>
              <w:autoSpaceDN/>
              <w:bidi w:val="0"/>
              <w:adjustRightInd/>
              <w:snapToGrid/>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施工期加强对各施工人员生活区、办公区饮用水源、垃圾堆 放点、公共厕所等地的环境卫生管理，定期进行卫生检查，除日常清理外，每月至少集中清理2次。成立专门的清洁队伍，负责施工区、办公区、生活区的清扫工作，并根据办公生活区的布置，分设垃圾桶（箱）。公共卫生设施应达到国家卫生标准和要求。</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default" w:ascii="Arial" w:hAnsi="Arial" w:cs="Arial"/>
                <w:b/>
                <w:bCs/>
                <w:spacing w:val="-4"/>
                <w:sz w:val="24"/>
                <w:szCs w:val="24"/>
                <w:lang w:val="en-US" w:eastAsia="zh-CN"/>
              </w:rPr>
              <w:t>3、施工人员疾病防治</w:t>
            </w:r>
          </w:p>
          <w:p>
            <w:pPr>
              <w:keepNext/>
              <w:keepLines w:val="0"/>
              <w:pageBreakBefore w:val="0"/>
              <w:widowControl/>
              <w:kinsoku/>
              <w:wordWrap/>
              <w:overflowPunct/>
              <w:topLinePunct w:val="0"/>
              <w:autoSpaceDE/>
              <w:autoSpaceDN/>
              <w:bidi w:val="0"/>
              <w:adjustRightInd/>
              <w:snapToGrid/>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在工程施工高峰年对10%的施工人群抽查检疫，以了解施工人员健康状况，预防疾病流行；在施工人员相对集中的地点设立医疗点，配备常用的治疗药品，开展简单治疗和工伤事故紧急 处理。</w:t>
            </w:r>
          </w:p>
          <w:p>
            <w:pPr>
              <w:keepNext/>
              <w:keepLines w:val="0"/>
              <w:pageBreakBefore w:val="0"/>
              <w:widowControl/>
              <w:kinsoku/>
              <w:wordWrap/>
              <w:overflowPunct/>
              <w:topLinePunct w:val="0"/>
              <w:autoSpaceDE/>
              <w:autoSpaceDN/>
              <w:bidi w:val="0"/>
              <w:adjustRightInd/>
              <w:snapToGrid/>
              <w:spacing w:line="360" w:lineRule="auto"/>
              <w:ind w:firstLine="472" w:firstLineChars="200"/>
              <w:textAlignment w:val="auto"/>
              <w:rPr>
                <w:rFonts w:hint="eastAsia" w:ascii="Arial" w:hAnsi="Arial" w:cs="Arial"/>
                <w:spacing w:val="-2"/>
                <w:sz w:val="24"/>
                <w:szCs w:val="24"/>
                <w:lang w:val="en-US" w:eastAsia="zh-CN"/>
              </w:rPr>
            </w:pPr>
            <w:r>
              <w:rPr>
                <w:rFonts w:hint="eastAsia" w:ascii="Arial" w:hAnsi="Arial" w:cs="Arial"/>
                <w:spacing w:val="-2"/>
                <w:sz w:val="24"/>
                <w:szCs w:val="24"/>
                <w:lang w:val="en-US" w:eastAsia="zh-CN"/>
              </w:rPr>
              <w:t>施工区各施工单位和工程管理部门应明确卫生防疫责任人，负责管理范围内 的卫生防疫工作并通过广播、墙报、印发宣传手册等多种形式，对施工人员进行 饮食卫生宣传教育，提高施工人员自我预防疾病的健康意识。</w:t>
            </w:r>
          </w:p>
          <w:p>
            <w:pPr>
              <w:keepNext/>
              <w:keepLines w:val="0"/>
              <w:pageBreakBefore w:val="0"/>
              <w:widowControl/>
              <w:kinsoku/>
              <w:wordWrap/>
              <w:overflowPunct/>
              <w:topLinePunct w:val="0"/>
              <w:autoSpaceDE/>
              <w:autoSpaceDN/>
              <w:bidi w:val="0"/>
              <w:spacing w:line="360" w:lineRule="auto"/>
              <w:textAlignment w:val="auto"/>
              <w:rPr>
                <w:rFonts w:ascii="宋体" w:hAnsi="宋体"/>
                <w:b/>
                <w:sz w:val="24"/>
              </w:rPr>
            </w:pPr>
            <w:r>
              <w:rPr>
                <w:rFonts w:ascii="宋体" w:hAnsi="宋体"/>
                <w:b/>
                <w:sz w:val="24"/>
              </w:rPr>
              <w:t>九、移民安置环境保护措施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default" w:ascii="Arial" w:hAnsi="Arial" w:cs="Arial"/>
                <w:b/>
                <w:bCs/>
                <w:spacing w:val="-4"/>
                <w:sz w:val="24"/>
                <w:szCs w:val="24"/>
                <w:lang w:val="en-US" w:eastAsia="zh-CN"/>
              </w:rPr>
              <w:t>1、生态环境保护</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rFonts w:hint="eastAsia" w:ascii="Arial" w:hAnsi="Arial" w:eastAsia="宋体" w:cs="Arial"/>
                <w:spacing w:val="-2"/>
                <w:kern w:val="2"/>
                <w:sz w:val="24"/>
                <w:szCs w:val="24"/>
                <w:lang w:val="en-US" w:eastAsia="zh-CN" w:bidi="ar-SA"/>
              </w:rPr>
            </w:pPr>
            <w:r>
              <w:rPr>
                <w:rFonts w:ascii="Arial" w:hAnsi="Arial" w:cs="Arial"/>
                <w:sz w:val="24"/>
                <w:szCs w:val="24"/>
              </w:rPr>
              <w:t>根据生产安置任务和环境容量分析成果，在充分征求移民安置意愿的基础上，确定三合水库工程农村移民生产安置方案为</w:t>
            </w:r>
            <w:r>
              <w:rPr>
                <w:rFonts w:hint="eastAsia" w:ascii="Arial" w:hAnsi="Arial" w:cs="Arial"/>
                <w:sz w:val="24"/>
                <w:szCs w:val="24"/>
                <w:lang w:val="en-US" w:eastAsia="zh-CN"/>
              </w:rPr>
              <w:t>货币补偿，</w:t>
            </w:r>
            <w:r>
              <w:rPr>
                <w:rFonts w:hint="eastAsia" w:ascii="Arial" w:hAnsi="Arial" w:cs="Arial"/>
                <w:sz w:val="24"/>
                <w:szCs w:val="24"/>
              </w:rPr>
              <w:t>自谋职业安置</w:t>
            </w:r>
            <w:r>
              <w:rPr>
                <w:rFonts w:ascii="Arial" w:hAnsi="Arial" w:cs="Arial"/>
                <w:sz w:val="24"/>
                <w:szCs w:val="24"/>
              </w:rPr>
              <w:t>，</w:t>
            </w:r>
            <w:r>
              <w:rPr>
                <w:rFonts w:hint="eastAsia" w:ascii="Arial" w:hAnsi="Arial" w:cs="Arial"/>
                <w:sz w:val="24"/>
                <w:szCs w:val="24"/>
              </w:rPr>
              <w:t>人数为84</w:t>
            </w:r>
            <w:r>
              <w:rPr>
                <w:rFonts w:ascii="Arial" w:hAnsi="Arial" w:cs="Arial"/>
                <w:sz w:val="24"/>
                <w:szCs w:val="24"/>
              </w:rPr>
              <w:t>人</w:t>
            </w:r>
            <w:r>
              <w:rPr>
                <w:rFonts w:hint="eastAsia" w:ascii="Arial" w:hAnsi="Arial" w:eastAsia="宋体" w:cs="Arial"/>
                <w:spacing w:val="-2"/>
                <w:kern w:val="2"/>
                <w:sz w:val="24"/>
                <w:szCs w:val="24"/>
                <w:lang w:val="en-US" w:eastAsia="zh-CN" w:bidi="ar-SA"/>
              </w:rPr>
              <w:t>。</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对于移民安置中新开垦耕地以及配套建设的水利工程、交通道路等进行植 被保护措施，当地政府要争取更多的国家有关生态工程的投入，加大营造和保护 移民安置区周边天然林的力度，以逐步改善其生态环境；在移民安置区大力开展 生态环境保护宣传工作，重点加强野生动物保护法规、条例的宣传和执行，防止 随意捕杀野生动物的行为发生。一方面加强宣传教育，禁止人为捕杀，另一方面， 控制农药化肥的使用量，减少对其生境的影响，防止安置区的生态环境破坏。</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default" w:ascii="Arial" w:hAnsi="Arial" w:cs="Arial"/>
                <w:b/>
                <w:bCs/>
                <w:spacing w:val="-4"/>
                <w:sz w:val="24"/>
                <w:szCs w:val="24"/>
                <w:lang w:val="en-US" w:eastAsia="zh-CN"/>
              </w:rPr>
              <w:t>2、专项设施复（迁）建</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spacing w:val="-4"/>
                <w:sz w:val="24"/>
                <w:szCs w:val="24"/>
                <w:lang w:val="en-US" w:eastAsia="zh-CN"/>
              </w:rPr>
            </w:pPr>
            <w:r>
              <w:rPr>
                <w:rFonts w:hint="eastAsia" w:ascii="Arial" w:hAnsi="Arial" w:cs="Arial"/>
                <w:b/>
                <w:bCs/>
                <w:spacing w:val="-4"/>
                <w:sz w:val="24"/>
                <w:szCs w:val="24"/>
                <w:lang w:val="en-US" w:eastAsia="zh-CN"/>
              </w:rPr>
              <w:t xml:space="preserve">⑴ </w:t>
            </w:r>
            <w:r>
              <w:rPr>
                <w:rFonts w:hint="default" w:ascii="Arial" w:hAnsi="Arial" w:cs="Arial"/>
                <w:b/>
                <w:bCs/>
                <w:spacing w:val="-4"/>
                <w:sz w:val="24"/>
                <w:szCs w:val="24"/>
                <w:lang w:val="en-US" w:eastAsia="zh-CN"/>
              </w:rPr>
              <w:t>生态环境保护措施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①</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优化工程设计方案，成立生态环境保护管理小组，制定生态保护管理办法；</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②</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加强施工期火源管理；</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③</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划定最小施工范围，减小植被受影响面积等；</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④</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施工结束后采取当地适生树草种乔木柏木、马桑、黄荆、狗牙根、白喜草等对施工临时占用迹地进行恢复；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⑤</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加强宣传教育，禁止人为猎捕及人为捕鱼；</w:t>
            </w:r>
          </w:p>
          <w:p>
            <w:pPr>
              <w:pStyle w:val="75"/>
              <w:keepNext/>
              <w:keepLines w:val="0"/>
              <w:pageBreakBefore w:val="0"/>
              <w:widowControl/>
              <w:kinsoku/>
              <w:wordWrap/>
              <w:overflowPunct/>
              <w:topLinePunct w:val="0"/>
              <w:autoSpaceDE/>
              <w:autoSpaceDN/>
              <w:bidi w:val="0"/>
              <w:adjustRightInd/>
              <w:snapToGrid/>
              <w:spacing w:line="360" w:lineRule="auto"/>
              <w:ind w:left="0" w:right="0" w:firstLine="472" w:firstLineChars="200"/>
              <w:textAlignment w:val="auto"/>
              <w:rPr>
                <w:rFonts w:hint="eastAsia" w:ascii="Arial" w:hAnsi="Arial" w:eastAsia="宋体" w:cs="Arial"/>
                <w:spacing w:val="-2"/>
                <w:kern w:val="2"/>
                <w:sz w:val="24"/>
                <w:szCs w:val="24"/>
                <w:lang w:val="en-US" w:eastAsia="zh-CN" w:bidi="ar-SA"/>
              </w:rPr>
            </w:pPr>
            <w:r>
              <w:rPr>
                <w:rFonts w:hint="eastAsia" w:ascii="Arial" w:hAnsi="Arial" w:eastAsia="宋体" w:cs="Arial"/>
                <w:spacing w:val="-2"/>
                <w:kern w:val="2"/>
                <w:sz w:val="24"/>
                <w:szCs w:val="24"/>
                <w:lang w:val="en-US" w:eastAsia="zh-CN" w:bidi="ar-SA"/>
              </w:rPr>
              <w:t>⑥</w:t>
            </w:r>
            <w:r>
              <w:rPr>
                <w:rFonts w:hint="eastAsia" w:ascii="Arial" w:hAnsi="Arial" w:cs="Arial"/>
                <w:spacing w:val="-2"/>
                <w:kern w:val="2"/>
                <w:sz w:val="24"/>
                <w:szCs w:val="24"/>
                <w:lang w:val="en-US" w:eastAsia="zh-CN" w:bidi="ar-SA"/>
              </w:rPr>
              <w:t xml:space="preserve"> </w:t>
            </w:r>
            <w:r>
              <w:rPr>
                <w:rFonts w:hint="eastAsia" w:ascii="Arial" w:hAnsi="Arial" w:eastAsia="宋体" w:cs="Arial"/>
                <w:spacing w:val="-2"/>
                <w:kern w:val="2"/>
                <w:sz w:val="24"/>
                <w:szCs w:val="24"/>
                <w:lang w:val="en-US" w:eastAsia="zh-CN" w:bidi="ar-SA"/>
              </w:rPr>
              <w:t>施工单位应优化施工工艺和施工时序，尽量减少施工开挖和降低施工噪 声，减少对动物的惊扰。</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⑵ 生活垃圾处理措施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sz w:val="24"/>
                <w:szCs w:val="24"/>
              </w:rPr>
            </w:pPr>
            <w:r>
              <w:rPr>
                <w:spacing w:val="-3"/>
                <w:sz w:val="24"/>
                <w:szCs w:val="24"/>
              </w:rPr>
              <w:t>由于专项设施复建生活垃圾产生量较小，因此在施工工区设垃圾桶，经收集</w:t>
            </w:r>
            <w:r>
              <w:rPr>
                <w:spacing w:val="-1"/>
                <w:sz w:val="24"/>
                <w:szCs w:val="24"/>
              </w:rPr>
              <w:t>后纳入就近乡镇、村的垃圾收集点统一进行处理。</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⑶ 生活污水处理措施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8" w:firstLineChars="200"/>
              <w:textAlignment w:val="auto"/>
              <w:rPr>
                <w:sz w:val="24"/>
                <w:szCs w:val="24"/>
              </w:rPr>
            </w:pPr>
            <w:r>
              <w:rPr>
                <w:spacing w:val="-3"/>
                <w:sz w:val="24"/>
                <w:szCs w:val="24"/>
              </w:rPr>
              <w:t>由于专项设施复建工程人员较分散，因此，可在较集中的工区设旱厕。其他</w:t>
            </w:r>
            <w:r>
              <w:rPr>
                <w:spacing w:val="-1"/>
                <w:sz w:val="24"/>
                <w:szCs w:val="24"/>
              </w:rPr>
              <w:t>施工人员生活污水均纳入其居住的乡镇、村统一处理。</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⑷ 大气及声环境保护措施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jc w:val="both"/>
              <w:textAlignment w:val="auto"/>
              <w:rPr>
                <w:spacing w:val="0"/>
                <w:sz w:val="24"/>
                <w:szCs w:val="24"/>
              </w:rPr>
            </w:pPr>
            <w:r>
              <w:rPr>
                <w:spacing w:val="0"/>
                <w:sz w:val="24"/>
                <w:szCs w:val="24"/>
              </w:rPr>
              <w:t>对交通噪声采取如下措施：尽量避免夜间施工、设置限速标志及选用低噪声车辆等措施。对施工企业噪声采取：尽量选择低噪声设备和工艺、加强设备的维 护和养护等措施。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对施工期开挖粉尘及混凝土系统粉尘分别采取降尘措施、施工人员防护措施等。对交通粉尘主要采取：设置限速标志、洒水降尘、实施道路绿化等措施。</w:t>
            </w:r>
          </w:p>
          <w:p>
            <w:pPr>
              <w:keepNext/>
              <w:keepLines w:val="0"/>
              <w:pageBreakBefore w:val="0"/>
              <w:widowControl/>
              <w:kinsoku/>
              <w:wordWrap/>
              <w:overflowPunct/>
              <w:topLinePunct w:val="0"/>
              <w:autoSpaceDE/>
              <w:autoSpaceDN/>
              <w:bidi w:val="0"/>
              <w:spacing w:line="360" w:lineRule="auto"/>
              <w:textAlignment w:val="auto"/>
              <w:rPr>
                <w:rFonts w:ascii="宋体" w:hAnsi="宋体"/>
                <w:b/>
                <w:color w:val="0000FF"/>
                <w:sz w:val="24"/>
              </w:rPr>
            </w:pPr>
            <w:r>
              <w:rPr>
                <w:rFonts w:hint="eastAsia" w:ascii="宋体" w:hAnsi="宋体"/>
                <w:b/>
                <w:sz w:val="24"/>
                <w:lang w:val="en-US" w:eastAsia="zh-CN"/>
              </w:rPr>
              <w:t>十</w:t>
            </w:r>
            <w:r>
              <w:rPr>
                <w:rFonts w:ascii="宋体" w:hAnsi="宋体"/>
                <w:b/>
                <w:sz w:val="24"/>
              </w:rPr>
              <w:t>、</w:t>
            </w:r>
            <w:r>
              <w:rPr>
                <w:rFonts w:ascii="宋体" w:hAnsi="宋体"/>
                <w:b/>
                <w:color w:val="0000FF"/>
                <w:sz w:val="24"/>
              </w:rPr>
              <w:t>施工期风险防范措施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color w:val="0000FF"/>
                <w:spacing w:val="-4"/>
                <w:sz w:val="24"/>
                <w:szCs w:val="24"/>
                <w:lang w:val="en-US" w:eastAsia="zh-CN"/>
              </w:rPr>
            </w:pPr>
            <w:r>
              <w:rPr>
                <w:rFonts w:hint="eastAsia" w:ascii="Arial" w:hAnsi="Arial" w:cs="Arial"/>
                <w:b/>
                <w:bCs/>
                <w:color w:val="0000FF"/>
                <w:spacing w:val="-4"/>
                <w:sz w:val="24"/>
                <w:szCs w:val="24"/>
                <w:lang w:val="en-US" w:eastAsia="zh-CN"/>
              </w:rPr>
              <w:t>1、环境风险防范措施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①</w:t>
            </w:r>
            <w:r>
              <w:rPr>
                <w:rFonts w:hint="eastAsia"/>
                <w:spacing w:val="0"/>
                <w:sz w:val="24"/>
                <w:szCs w:val="24"/>
                <w:lang w:val="en-US" w:eastAsia="zh-CN"/>
              </w:rPr>
              <w:t xml:space="preserve"> </w:t>
            </w:r>
            <w:r>
              <w:rPr>
                <w:spacing w:val="0"/>
                <w:sz w:val="24"/>
                <w:szCs w:val="24"/>
              </w:rPr>
              <w:t>加强施工废水处理，按照环评要求建设废水处理设施，废水回用不外排， 加强施工管理，设置专人负责施工废水处理设施的日常管理、监督和维护。</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②</w:t>
            </w:r>
            <w:r>
              <w:rPr>
                <w:rFonts w:hint="eastAsia"/>
                <w:spacing w:val="0"/>
                <w:sz w:val="24"/>
                <w:szCs w:val="24"/>
                <w:lang w:val="en-US" w:eastAsia="zh-CN"/>
              </w:rPr>
              <w:t xml:space="preserve"> </w:t>
            </w:r>
            <w:r>
              <w:rPr>
                <w:spacing w:val="0"/>
                <w:sz w:val="24"/>
                <w:szCs w:val="24"/>
              </w:rPr>
              <w:t>涉水工程一旦出现施工废水事故排放事件，应立即停止相关生产设施的</w:t>
            </w:r>
            <w:r>
              <w:rPr>
                <w:rFonts w:hint="eastAsia"/>
                <w:spacing w:val="0"/>
                <w:sz w:val="24"/>
                <w:szCs w:val="24"/>
                <w:lang w:val="en-US" w:eastAsia="zh-CN"/>
              </w:rPr>
              <w:t>施工</w:t>
            </w:r>
            <w:r>
              <w:rPr>
                <w:spacing w:val="0"/>
                <w:sz w:val="24"/>
                <w:szCs w:val="24"/>
              </w:rPr>
              <w:t>，停止废水处理和排放，从源头控制废水产生，并尽快找出事故原因，检修事故设备，尽快恢复废水处理设备运行。同时，应立即向地方政府和当地</w:t>
            </w:r>
            <w:r>
              <w:rPr>
                <w:rFonts w:hint="eastAsia"/>
                <w:spacing w:val="0"/>
                <w:sz w:val="24"/>
                <w:szCs w:val="24"/>
                <w:lang w:val="en-US" w:eastAsia="zh-CN"/>
              </w:rPr>
              <w:t>生态环境</w:t>
            </w:r>
            <w:r>
              <w:rPr>
                <w:spacing w:val="0"/>
                <w:sz w:val="24"/>
                <w:szCs w:val="24"/>
              </w:rPr>
              <w:t>部门汇报出现的事故情况，并对事故发生后的上、下游水质进行监测分析，进行事故评价。</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2、生态风险防范措施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⑴ 防火措施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施工期间加强森林火灾建设系统建设，建立施工森林防火、火警警报管理制度，做好施工人员火源管理，没有许可的情况下严禁一切野外用火，以避免森林火灾的发生和及时发现森林火灾。</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⑵ 生态入侵防范措施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A、</w:t>
            </w:r>
            <w:r>
              <w:rPr>
                <w:spacing w:val="0"/>
                <w:sz w:val="24"/>
                <w:szCs w:val="24"/>
              </w:rPr>
              <w:t>加强《全国生态环境保护纲要》和《国家林业局关于加强野生动物外来物种管理的通知》的宣传力度，提高施工人员保护野生动植物资源、维护生态安全的意识。</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B、</w:t>
            </w:r>
            <w:r>
              <w:rPr>
                <w:spacing w:val="0"/>
                <w:sz w:val="24"/>
                <w:szCs w:val="24"/>
              </w:rPr>
              <w:t>做好施工人员和其他外来人员入境检查工作，禁止将外来物种带入项目区 内饲养和种植。</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C、</w:t>
            </w:r>
            <w:r>
              <w:rPr>
                <w:spacing w:val="0"/>
                <w:sz w:val="24"/>
                <w:szCs w:val="24"/>
              </w:rPr>
              <w:t>加强施工人员和其他外来人员管理，严禁在项目建设区内及其周边地区开展外来物种的野外放生活动。</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D、</w:t>
            </w:r>
            <w:r>
              <w:rPr>
                <w:spacing w:val="0"/>
                <w:sz w:val="24"/>
                <w:szCs w:val="24"/>
              </w:rPr>
              <w:t>做好项目工程植被恢复物种的选择工作，尽量使用当地分布的常见物种或本地培育的树苗，选用常见景观用植物，如高羊茅、黑麦草、草地早熟禾等，禁止携带放生当地无分布的外来植物，以免造成外来物种入侵。</w:t>
            </w:r>
          </w:p>
          <w:p>
            <w:pPr>
              <w:pStyle w:val="75"/>
              <w:keepNext/>
              <w:keepLines w:val="0"/>
              <w:pageBreakBefore w:val="0"/>
              <w:widowControl/>
              <w:kinsoku/>
              <w:wordWrap/>
              <w:overflowPunct/>
              <w:topLinePunct w:val="0"/>
              <w:autoSpaceDE/>
              <w:autoSpaceDN/>
              <w:bidi w:val="0"/>
              <w:adjustRightInd/>
              <w:snapToGrid/>
              <w:spacing w:line="360" w:lineRule="auto"/>
              <w:ind w:left="0" w:right="0" w:firstLine="466" w:firstLineChars="200"/>
              <w:textAlignment w:val="auto"/>
              <w:rPr>
                <w:rFonts w:hint="eastAsia" w:ascii="Arial" w:hAnsi="Arial" w:cs="Arial"/>
                <w:b/>
                <w:bCs/>
                <w:spacing w:val="-4"/>
                <w:sz w:val="24"/>
                <w:szCs w:val="24"/>
                <w:lang w:val="en-US" w:eastAsia="zh-CN"/>
              </w:rPr>
            </w:pPr>
            <w:r>
              <w:rPr>
                <w:rFonts w:hint="eastAsia" w:ascii="Arial" w:hAnsi="Arial" w:cs="Arial"/>
                <w:b/>
                <w:bCs/>
                <w:spacing w:val="-4"/>
                <w:sz w:val="24"/>
                <w:szCs w:val="24"/>
                <w:lang w:val="en-US" w:eastAsia="zh-CN"/>
              </w:rPr>
              <w:t>⑶ 强化水生态环境的风险应对措施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项目建设单位应当具备应对突发危险品事故的技术、人力和物料基础，拥有应对一般危险品事故的能力。为更好应对突发事故，降低事故损失，建设单位还应落实如下措施：</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A、</w:t>
            </w:r>
            <w:r>
              <w:rPr>
                <w:spacing w:val="0"/>
                <w:sz w:val="24"/>
                <w:szCs w:val="24"/>
              </w:rPr>
              <w:t>工程建设过程中，严格落实重大事故及时上报制度，切实发挥重大事故协同救援优势，缩短事故救援时间，最大限度降低事故损失。</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hint="eastAsia"/>
                <w:spacing w:val="0"/>
                <w:sz w:val="24"/>
                <w:szCs w:val="24"/>
                <w:lang w:val="en-US" w:eastAsia="zh-CN"/>
              </w:rPr>
              <w:t>B、</w:t>
            </w:r>
            <w:r>
              <w:rPr>
                <w:spacing w:val="0"/>
                <w:sz w:val="24"/>
                <w:szCs w:val="24"/>
              </w:rPr>
              <w:t>施工作业期间发生燃烧、爆炸、污染、中毒等事故时，事故救援小组应立即采取相应紧急措施，防止事态扩大，并及时向当地生态环境部门报告，共同采取措施消除危害。</w:t>
            </w:r>
          </w:p>
          <w:p>
            <w:pPr>
              <w:pStyle w:val="75"/>
              <w:keepNext/>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ascii="Arial" w:hAnsi="Arial" w:cs="Arial"/>
                <w:color w:val="000000"/>
                <w:sz w:val="24"/>
              </w:rPr>
            </w:pPr>
            <w:r>
              <w:rPr>
                <w:rFonts w:hint="eastAsia"/>
                <w:spacing w:val="0"/>
                <w:sz w:val="24"/>
                <w:szCs w:val="24"/>
                <w:lang w:val="en-US" w:eastAsia="zh-CN"/>
              </w:rPr>
              <w:t>C、</w:t>
            </w:r>
            <w:r>
              <w:rPr>
                <w:spacing w:val="0"/>
                <w:sz w:val="24"/>
                <w:szCs w:val="24"/>
              </w:rPr>
              <w:t>工程建设过程中，应严防施工废水或其他危险品进入水体，一旦发生此类事件，除采取上述措施以外，应立即协调所在地政府部门派出环境专业人员和监测人员到场工作，对水体污染带进行监测和分析，并视情况采取必要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tcMar>
              <w:left w:w="28" w:type="dxa"/>
              <w:right w:w="28" w:type="dxa"/>
            </w:tcMar>
            <w:vAlign w:val="center"/>
          </w:tcPr>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tc>
        <w:tc>
          <w:tcPr>
            <w:tcW w:w="8457" w:type="dxa"/>
            <w:vAlign w:val="top"/>
          </w:tcPr>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bCs/>
                <w:spacing w:val="-3"/>
                <w:sz w:val="24"/>
                <w:szCs w:val="24"/>
                <w:lang w:val="en-US" w:eastAsia="zh-CN"/>
              </w:rPr>
            </w:pPr>
            <w:r>
              <w:rPr>
                <w:b/>
                <w:bCs/>
                <w:spacing w:val="-3"/>
                <w:sz w:val="24"/>
                <w:szCs w:val="24"/>
              </w:rPr>
              <w:t>一、</w:t>
            </w:r>
            <w:r>
              <w:rPr>
                <w:rFonts w:hint="eastAsia"/>
                <w:b/>
                <w:bCs/>
                <w:spacing w:val="-3"/>
                <w:sz w:val="24"/>
                <w:szCs w:val="24"/>
                <w:lang w:val="en-US" w:eastAsia="zh-CN"/>
              </w:rPr>
              <w:t>运行期水环境保护措施</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Arial" w:hAnsi="Arial" w:cs="Arial"/>
                <w:b/>
                <w:bCs/>
                <w:color w:val="0000FF"/>
                <w:spacing w:val="-4"/>
                <w:sz w:val="24"/>
                <w:szCs w:val="24"/>
                <w:lang w:val="en-US" w:eastAsia="zh-CN"/>
              </w:rPr>
            </w:pPr>
            <w:r>
              <w:rPr>
                <w:rFonts w:hint="eastAsia" w:ascii="Arial" w:hAnsi="Arial" w:cs="Arial"/>
                <w:b/>
                <w:bCs/>
                <w:color w:val="0000FF"/>
                <w:spacing w:val="-4"/>
                <w:sz w:val="24"/>
                <w:szCs w:val="24"/>
                <w:lang w:val="en-US" w:eastAsia="zh-CN"/>
              </w:rPr>
              <w:t>具体详见地表水专项评价</w:t>
            </w:r>
            <w:r>
              <w:rPr>
                <w:rFonts w:hint="eastAsia" w:ascii="Arial" w:hAnsi="Arial" w:cs="Arial"/>
                <w:b w:val="0"/>
                <w:bCs w:val="0"/>
                <w:color w:val="0000FF"/>
                <w:spacing w:val="-4"/>
                <w:sz w:val="24"/>
                <w:szCs w:val="24"/>
                <w:lang w:val="en-US" w:eastAsia="zh-CN"/>
              </w:rPr>
              <w:t>6.2小节</w:t>
            </w:r>
            <w:r>
              <w:rPr>
                <w:rFonts w:hint="eastAsia" w:ascii="Arial" w:hAnsi="Arial" w:cs="Arial"/>
                <w:b/>
                <w:bCs/>
                <w:color w:val="0000FF"/>
                <w:spacing w:val="-4"/>
                <w:sz w:val="24"/>
                <w:szCs w:val="24"/>
                <w:lang w:val="en-US" w:eastAsia="zh-CN"/>
              </w:rPr>
              <w:t>。</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eastAsia"/>
                <w:b/>
                <w:bCs/>
                <w:spacing w:val="-1"/>
                <w:sz w:val="24"/>
                <w:szCs w:val="24"/>
                <w:lang w:val="en-US" w:eastAsia="zh-CN"/>
              </w:rPr>
            </w:pPr>
            <w:r>
              <w:rPr>
                <w:rFonts w:hint="eastAsia"/>
                <w:b/>
                <w:bCs/>
                <w:spacing w:val="-1"/>
                <w:sz w:val="24"/>
                <w:szCs w:val="24"/>
                <w:lang w:val="en-US" w:eastAsia="zh-CN"/>
              </w:rPr>
              <w:t>1、库底清理，包括建筑物清理、林木清理以及易漂浮物清理、卫生清理等；</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eastAsia"/>
                <w:b/>
                <w:bCs/>
                <w:spacing w:val="-1"/>
                <w:sz w:val="24"/>
                <w:szCs w:val="24"/>
                <w:lang w:val="en-US" w:eastAsia="zh-CN"/>
              </w:rPr>
            </w:pPr>
            <w:r>
              <w:rPr>
                <w:rFonts w:hint="eastAsia"/>
                <w:b/>
                <w:bCs/>
                <w:spacing w:val="-1"/>
                <w:sz w:val="24"/>
                <w:szCs w:val="24"/>
                <w:lang w:val="en-US" w:eastAsia="zh-CN"/>
              </w:rPr>
              <w:t>2、划定饮用水源保护区</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spacing w:val="-1"/>
                <w:sz w:val="24"/>
                <w:szCs w:val="24"/>
                <w:lang w:val="en-US" w:eastAsia="zh-CN"/>
              </w:rPr>
            </w:pPr>
            <w:r>
              <w:rPr>
                <w:rFonts w:hint="default"/>
                <w:spacing w:val="-1"/>
                <w:sz w:val="24"/>
                <w:szCs w:val="24"/>
                <w:lang w:val="en-US" w:eastAsia="zh-CN"/>
              </w:rPr>
              <w:t>鉴于水库具有乡镇及农村供水功能，应按照《中华人民共和国水法》和《中华人民共和国水污染防治法》的相关要求，组织相关部门对水源区进行水源保护区的划分。</w:t>
            </w:r>
          </w:p>
          <w:p>
            <w:pPr>
              <w:spacing w:before="32" w:line="220" w:lineRule="auto"/>
              <w:ind w:left="483"/>
              <w:rPr>
                <w:rFonts w:ascii="宋体" w:hAnsi="宋体" w:eastAsia="宋体" w:cs="宋体"/>
                <w:sz w:val="24"/>
                <w:szCs w:val="24"/>
              </w:rPr>
            </w:pPr>
            <w:r>
              <w:rPr>
                <w:rFonts w:hint="eastAsia" w:ascii="宋体" w:hAnsi="宋体" w:eastAsia="宋体" w:cs="宋体"/>
                <w:b/>
                <w:bCs/>
                <w:spacing w:val="-3"/>
                <w:sz w:val="24"/>
                <w:szCs w:val="24"/>
                <w:lang w:val="en-US" w:eastAsia="zh-CN"/>
              </w:rPr>
              <w:t>3</w:t>
            </w:r>
            <w:r>
              <w:rPr>
                <w:rFonts w:ascii="宋体" w:hAnsi="宋体" w:eastAsia="宋体" w:cs="宋体"/>
                <w:b/>
                <w:bCs/>
                <w:spacing w:val="-3"/>
                <w:sz w:val="24"/>
                <w:szCs w:val="24"/>
              </w:rPr>
              <w:t>、库区及上游区域污染源治理</w:t>
            </w:r>
          </w:p>
          <w:p>
            <w:pPr>
              <w:spacing w:before="184" w:line="353" w:lineRule="auto"/>
              <w:ind w:left="1" w:firstLine="481"/>
              <w:jc w:val="both"/>
              <w:rPr>
                <w:rFonts w:ascii="宋体" w:hAnsi="宋体" w:eastAsia="宋体" w:cs="宋体"/>
                <w:spacing w:val="0"/>
                <w:sz w:val="24"/>
                <w:szCs w:val="24"/>
              </w:rPr>
            </w:pPr>
            <w:r>
              <w:rPr>
                <w:rFonts w:ascii="宋体" w:hAnsi="宋体" w:eastAsia="宋体" w:cs="宋体"/>
                <w:spacing w:val="0"/>
                <w:sz w:val="24"/>
                <w:szCs w:val="24"/>
              </w:rPr>
              <w:t>建议加大力度宣传水源保护相关要求，重点宣传对象为水库范围内农户。并要求生活洗衣等所有生活污水一律进入农户粪坑内，采取农地浇灌，禁止向水库排污。生活垃圾通过环卫垃圾箱等设施收集后，定期清运，垃圾箱贮放场所应设置于水库保护区外，防止地面渗漏液随雨水进入水库。</w:t>
            </w:r>
          </w:p>
          <w:p>
            <w:pPr>
              <w:spacing w:before="34" w:line="220" w:lineRule="auto"/>
              <w:ind w:left="505"/>
              <w:rPr>
                <w:rFonts w:ascii="宋体" w:hAnsi="宋体" w:eastAsia="宋体" w:cs="宋体"/>
                <w:sz w:val="24"/>
                <w:szCs w:val="24"/>
              </w:rPr>
            </w:pPr>
            <w:r>
              <w:rPr>
                <w:rFonts w:hint="eastAsia" w:ascii="宋体" w:hAnsi="宋体" w:eastAsia="宋体" w:cs="宋体"/>
                <w:b/>
                <w:bCs/>
                <w:spacing w:val="-5"/>
                <w:sz w:val="24"/>
                <w:szCs w:val="24"/>
                <w:lang w:val="en-US" w:eastAsia="zh-CN"/>
              </w:rPr>
              <w:t>4、</w:t>
            </w:r>
            <w:r>
              <w:rPr>
                <w:rFonts w:ascii="宋体" w:hAnsi="宋体" w:eastAsia="宋体" w:cs="宋体"/>
                <w:b/>
                <w:bCs/>
                <w:spacing w:val="-5"/>
                <w:sz w:val="24"/>
                <w:szCs w:val="24"/>
              </w:rPr>
              <w:t>水库富营养化防治措施</w:t>
            </w:r>
          </w:p>
          <w:p>
            <w:pPr>
              <w:spacing w:before="184" w:line="353" w:lineRule="auto"/>
              <w:ind w:left="1" w:firstLine="481"/>
              <w:jc w:val="both"/>
              <w:rPr>
                <w:rFonts w:hint="eastAsia" w:ascii="宋体" w:hAnsi="宋体" w:eastAsia="宋体" w:cs="宋体"/>
                <w:spacing w:val="0"/>
                <w:sz w:val="24"/>
                <w:szCs w:val="24"/>
                <w:lang w:eastAsia="zh-CN"/>
              </w:rPr>
            </w:pPr>
            <w:r>
              <w:rPr>
                <w:rFonts w:ascii="宋体" w:hAnsi="宋体" w:eastAsia="宋体" w:cs="宋体"/>
                <w:spacing w:val="0"/>
                <w:sz w:val="24"/>
                <w:szCs w:val="24"/>
              </w:rPr>
              <w:t>要防治库区水体富营养化，除控制输入性营养物质外，利用合适的水动力条件去除污水中的营养物质、加快营养化控制物质的释放和输出等均是防治库区水体营养化的重要措施</w:t>
            </w:r>
            <w:r>
              <w:rPr>
                <w:rFonts w:hint="eastAsia" w:ascii="宋体" w:hAnsi="宋体" w:cs="宋体"/>
                <w:spacing w:val="0"/>
                <w:sz w:val="24"/>
                <w:szCs w:val="24"/>
                <w:lang w:eastAsia="zh-CN"/>
              </w:rPr>
              <w:t>。</w:t>
            </w:r>
          </w:p>
          <w:p>
            <w:pPr>
              <w:spacing w:before="34" w:line="220" w:lineRule="auto"/>
              <w:ind w:left="505"/>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5、其他水环境保护措施</w:t>
            </w:r>
          </w:p>
          <w:p>
            <w:pPr>
              <w:spacing w:before="184" w:line="353" w:lineRule="auto"/>
              <w:ind w:left="1" w:firstLine="481"/>
              <w:jc w:val="both"/>
              <w:rPr>
                <w:rFonts w:hint="eastAsia" w:ascii="宋体" w:hAnsi="宋体" w:eastAsia="宋体" w:cs="宋体"/>
                <w:spacing w:val="5"/>
                <w:sz w:val="24"/>
                <w:szCs w:val="24"/>
                <w:lang w:val="en-US" w:eastAsia="zh-CN"/>
              </w:rPr>
            </w:pPr>
            <w:r>
              <w:rPr>
                <w:rFonts w:hint="eastAsia" w:ascii="宋体" w:hAnsi="宋体" w:cs="宋体"/>
                <w:b/>
                <w:bCs/>
                <w:spacing w:val="5"/>
                <w:sz w:val="24"/>
                <w:szCs w:val="24"/>
                <w:lang w:val="en-US" w:eastAsia="zh-CN"/>
              </w:rPr>
              <w:t xml:space="preserve">⑴ </w:t>
            </w:r>
            <w:r>
              <w:rPr>
                <w:rFonts w:ascii="宋体" w:hAnsi="宋体" w:eastAsia="宋体" w:cs="宋体"/>
                <w:b/>
                <w:bCs/>
                <w:spacing w:val="-4"/>
                <w:sz w:val="24"/>
                <w:szCs w:val="24"/>
              </w:rPr>
              <w:t>减水河段预警措施</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在工程河段，特别是坝下建立减水河段安全警示标记及预告管理制度是非常必要的，以防止河水突然变化带来的人、畜伤亡和财产损失。</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项目实施后坝址下游至汇入东河段将形成减水河段，减水段水量减小，河面缩窄，形成较多的裸露河滩地，为当地村民下河创造了条件。但本水库的调节运行可能在部分时段使河道水量发生陡涨的现象，河道水位的迅速变化，可能威胁到下游的生命安全。因此，在脱减水河段设立警示牌，避免安全事故的发生。同时在水库建设过程中，对当地村民进行安全教育，使其对水库运行方式有所了解，避免安全事故的发生。</w:t>
            </w:r>
          </w:p>
          <w:p>
            <w:pPr>
              <w:keepNext w:val="0"/>
              <w:keepLines w:val="0"/>
              <w:pageBreakBefore w:val="0"/>
              <w:widowControl w:val="0"/>
              <w:kinsoku/>
              <w:wordWrap/>
              <w:overflowPunct/>
              <w:topLinePunct w:val="0"/>
              <w:autoSpaceDE/>
              <w:autoSpaceDN/>
              <w:bidi w:val="0"/>
              <w:adjustRightInd/>
              <w:snapToGrid/>
              <w:spacing w:line="360" w:lineRule="auto"/>
              <w:ind w:left="0" w:firstLine="466" w:firstLineChars="200"/>
              <w:textAlignment w:val="auto"/>
              <w:rPr>
                <w:rFonts w:ascii="宋体" w:hAnsi="宋体" w:eastAsia="宋体" w:cs="宋体"/>
                <w:sz w:val="24"/>
                <w:szCs w:val="24"/>
              </w:rPr>
            </w:pPr>
            <w:r>
              <w:rPr>
                <w:rFonts w:hint="eastAsia" w:ascii="宋体" w:hAnsi="宋体" w:eastAsia="宋体" w:cs="宋体"/>
                <w:b/>
                <w:bCs/>
                <w:spacing w:val="-4"/>
                <w:sz w:val="24"/>
                <w:szCs w:val="24"/>
                <w:lang w:val="en-US" w:eastAsia="zh-CN"/>
              </w:rPr>
              <w:t xml:space="preserve">⑵ </w:t>
            </w:r>
            <w:r>
              <w:rPr>
                <w:rFonts w:ascii="宋体" w:hAnsi="宋体" w:eastAsia="宋体" w:cs="宋体"/>
                <w:b/>
                <w:bCs/>
                <w:spacing w:val="-4"/>
                <w:sz w:val="24"/>
                <w:szCs w:val="24"/>
              </w:rPr>
              <w:t>低温水影响减缓措施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根据工程布置，在取水隧洞末端设置消力池，采用水池增温，分层取水或田间调温等方式能满足农作物对水温要求较高的作物对灌溉水温的要求。</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spacing w:val="0"/>
                <w:sz w:val="24"/>
                <w:szCs w:val="24"/>
              </w:rPr>
            </w:pPr>
            <w:r>
              <w:rPr>
                <w:b/>
                <w:bCs/>
                <w:spacing w:val="0"/>
                <w:sz w:val="24"/>
                <w:szCs w:val="24"/>
              </w:rPr>
              <w:t>二、固废防治措施</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spacing w:val="0"/>
                <w:sz w:val="24"/>
                <w:szCs w:val="24"/>
              </w:rPr>
              <w:t>运行期主要固体废弃物为枢纽管理人员的生活垃圾。</w:t>
            </w:r>
            <w:r>
              <w:rPr>
                <w:rFonts w:hint="eastAsia"/>
                <w:spacing w:val="0"/>
                <w:sz w:val="24"/>
                <w:szCs w:val="24"/>
                <w:lang w:val="en-US" w:eastAsia="zh-CN"/>
              </w:rPr>
              <w:t>通过在</w:t>
            </w:r>
            <w:r>
              <w:rPr>
                <w:spacing w:val="0"/>
                <w:sz w:val="24"/>
                <w:szCs w:val="24"/>
              </w:rPr>
              <w:t>管理区设置垃圾桶进行垃圾收集，定期清运至附近的垃圾填埋场处置。</w:t>
            </w:r>
          </w:p>
          <w:p>
            <w:pPr>
              <w:pStyle w:val="75"/>
              <w:spacing w:before="35" w:line="220" w:lineRule="auto"/>
              <w:rPr>
                <w:spacing w:val="0"/>
                <w:sz w:val="24"/>
                <w:szCs w:val="24"/>
              </w:rPr>
            </w:pPr>
            <w:r>
              <w:rPr>
                <w:b/>
                <w:bCs/>
                <w:spacing w:val="0"/>
                <w:sz w:val="24"/>
                <w:szCs w:val="24"/>
              </w:rPr>
              <w:t>三、生态保护措施</w:t>
            </w:r>
          </w:p>
          <w:p>
            <w:pPr>
              <w:spacing w:before="182" w:line="352" w:lineRule="auto"/>
              <w:ind w:right="190" w:firstLine="480"/>
              <w:jc w:val="both"/>
              <w:rPr>
                <w:rFonts w:hint="default" w:ascii="宋体" w:hAnsi="宋体" w:eastAsia="宋体" w:cs="宋体"/>
                <w:spacing w:val="0"/>
                <w:sz w:val="24"/>
                <w:szCs w:val="24"/>
                <w:lang w:val="en-US" w:eastAsia="zh-CN"/>
              </w:rPr>
            </w:pPr>
            <w:r>
              <w:rPr>
                <w:rFonts w:ascii="宋体" w:hAnsi="宋体" w:eastAsia="宋体" w:cs="宋体"/>
                <w:spacing w:val="0"/>
                <w:sz w:val="24"/>
                <w:szCs w:val="24"/>
              </w:rPr>
              <w:t>根据工程河段鱼类的生物学及生态学特性和水生生态影响评价结论，本工程提出了施工期及蓄水初期鱼类保护措施、下泄生态流量和渔政管理为主的鱼类保护措施体系。</w:t>
            </w:r>
            <w:r>
              <w:rPr>
                <w:rFonts w:hint="eastAsia" w:ascii="宋体" w:hAnsi="宋体" w:eastAsia="宋体" w:cs="宋体"/>
                <w:spacing w:val="0"/>
                <w:sz w:val="24"/>
                <w:szCs w:val="24"/>
                <w:lang w:val="en-US" w:eastAsia="zh-CN"/>
              </w:rPr>
              <w:t>具体详见地表水专项评价6.2.3。</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ascii="宋体" w:hAnsi="宋体" w:eastAsia="宋体" w:cs="宋体"/>
                <w:spacing w:val="0"/>
                <w:sz w:val="24"/>
                <w:szCs w:val="24"/>
              </w:rPr>
            </w:pPr>
            <w:r>
              <w:rPr>
                <w:rFonts w:hint="eastAsia" w:ascii="宋体" w:hAnsi="宋体" w:eastAsia="宋体" w:cs="宋体"/>
                <w:b/>
                <w:bCs/>
                <w:spacing w:val="0"/>
                <w:sz w:val="24"/>
                <w:szCs w:val="24"/>
                <w:lang w:val="en-US" w:eastAsia="zh-CN"/>
              </w:rPr>
              <w:t>1</w:t>
            </w:r>
            <w:r>
              <w:rPr>
                <w:rFonts w:ascii="宋体" w:hAnsi="宋体" w:eastAsia="宋体" w:cs="宋体"/>
                <w:b/>
                <w:bCs/>
                <w:spacing w:val="0"/>
                <w:sz w:val="24"/>
                <w:szCs w:val="24"/>
              </w:rPr>
              <w:t>、施工期及蓄水初期鱼类保护措施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hint="eastAsia" w:ascii="宋体" w:hAnsi="宋体" w:eastAsia="宋体" w:cs="宋体"/>
                <w:spacing w:val="0"/>
                <w:sz w:val="24"/>
                <w:szCs w:val="24"/>
                <w:lang w:val="en-US" w:eastAsia="zh-CN"/>
              </w:rPr>
              <w:t xml:space="preserve">⑴ </w:t>
            </w:r>
            <w:r>
              <w:rPr>
                <w:rFonts w:ascii="宋体" w:hAnsi="宋体" w:eastAsia="宋体" w:cs="宋体"/>
                <w:spacing w:val="0"/>
                <w:sz w:val="24"/>
                <w:szCs w:val="24"/>
              </w:rPr>
              <w:t>加强宣传，制定《水生生态环境保护手册》，建立和完善鱼类资源保护规章制度，在工程施工区设置水生生物保护警示牌，增强施工人员的环保意识，严禁施工人员下河捕捞。</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z w:val="24"/>
                <w:szCs w:val="24"/>
              </w:rPr>
            </w:pPr>
            <w:r>
              <w:rPr>
                <w:rFonts w:hint="eastAsia" w:ascii="宋体" w:hAnsi="宋体" w:eastAsia="宋体" w:cs="宋体"/>
                <w:spacing w:val="0"/>
                <w:sz w:val="24"/>
                <w:szCs w:val="24"/>
                <w:lang w:val="en-US" w:eastAsia="zh-CN"/>
              </w:rPr>
              <w:t xml:space="preserve">⑵ </w:t>
            </w:r>
            <w:r>
              <w:rPr>
                <w:rFonts w:ascii="宋体" w:hAnsi="宋体" w:eastAsia="宋体" w:cs="宋体"/>
                <w:spacing w:val="0"/>
                <w:sz w:val="24"/>
                <w:szCs w:val="24"/>
              </w:rPr>
              <w:t>加强监管，严格按环保要求施工，生活污水和施工废水按环保要求处理后回</w:t>
            </w:r>
            <w:r>
              <w:rPr>
                <w:rFonts w:ascii="宋体" w:hAnsi="宋体" w:eastAsia="宋体" w:cs="宋体"/>
                <w:spacing w:val="-3"/>
                <w:sz w:val="24"/>
                <w:szCs w:val="24"/>
              </w:rPr>
              <w:t>用或综合利用，杜绝影响水生生境的污染事故发生。</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hint="eastAsia" w:ascii="宋体" w:hAnsi="宋体" w:eastAsia="宋体" w:cs="宋体"/>
                <w:spacing w:val="0"/>
                <w:sz w:val="24"/>
                <w:szCs w:val="24"/>
                <w:lang w:val="en-US" w:eastAsia="zh-CN"/>
              </w:rPr>
              <w:t xml:space="preserve">⑶ </w:t>
            </w:r>
            <w:r>
              <w:rPr>
                <w:rFonts w:ascii="宋体" w:hAnsi="宋体" w:eastAsia="宋体" w:cs="宋体"/>
                <w:spacing w:val="0"/>
                <w:sz w:val="24"/>
                <w:szCs w:val="24"/>
              </w:rPr>
              <w:t>建立鱼类保护应急机制。对围堰内的鱼类及时进行捕捞、暂养或放归；在 截流、初期蓄水期间下游出现减水情况时，及时启动应急保护机制，对该河段实施临时限捕或禁止捕捞，对搁浅鱼类及时救护，最大限度保护鱼类资源。</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ascii="宋体" w:hAnsi="宋体" w:eastAsia="宋体" w:cs="宋体"/>
                <w:spacing w:val="0"/>
                <w:sz w:val="24"/>
                <w:szCs w:val="24"/>
              </w:rPr>
            </w:pPr>
            <w:r>
              <w:rPr>
                <w:rFonts w:hint="eastAsia" w:ascii="宋体" w:hAnsi="宋体" w:eastAsia="宋体" w:cs="宋体"/>
                <w:b/>
                <w:bCs/>
                <w:spacing w:val="0"/>
                <w:sz w:val="24"/>
                <w:szCs w:val="24"/>
                <w:lang w:val="en-US" w:eastAsia="zh-CN"/>
              </w:rPr>
              <w:t>2</w:t>
            </w:r>
            <w:r>
              <w:rPr>
                <w:rFonts w:ascii="宋体" w:hAnsi="宋体" w:eastAsia="宋体" w:cs="宋体"/>
                <w:b/>
                <w:bCs/>
                <w:spacing w:val="0"/>
                <w:sz w:val="24"/>
                <w:szCs w:val="24"/>
              </w:rPr>
              <w:t>、过鱼措施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由于坝址段适生鱼类均为小型鱼类，无长距离洄游习性，坝址处未设置过鱼设施。评价建议根据生态监测情况，采取人工网捕措施从坝址下游捕获鱼类放流至库区及上游，维持区域生态环境完整性。</w:t>
            </w:r>
          </w:p>
          <w:p>
            <w:pPr>
              <w:keepNext w:val="0"/>
              <w:keepLines w:val="0"/>
              <w:pageBreakBefore w:val="0"/>
              <w:widowControl w:val="0"/>
              <w:kinsoku/>
              <w:wordWrap/>
              <w:overflowPunct/>
              <w:topLinePunct w:val="0"/>
              <w:autoSpaceDE/>
              <w:autoSpaceDN/>
              <w:bidi w:val="0"/>
              <w:adjustRightInd/>
              <w:snapToGrid/>
              <w:spacing w:line="360" w:lineRule="auto"/>
              <w:ind w:left="0" w:firstLine="470" w:firstLineChars="200"/>
              <w:textAlignment w:val="auto"/>
              <w:rPr>
                <w:rFonts w:ascii="宋体" w:hAnsi="宋体" w:eastAsia="宋体" w:cs="宋体"/>
                <w:sz w:val="24"/>
                <w:szCs w:val="24"/>
              </w:rPr>
            </w:pPr>
            <w:r>
              <w:rPr>
                <w:rFonts w:hint="eastAsia" w:ascii="宋体" w:hAnsi="宋体" w:eastAsia="宋体" w:cs="宋体"/>
                <w:b/>
                <w:bCs/>
                <w:spacing w:val="-3"/>
                <w:sz w:val="24"/>
                <w:szCs w:val="24"/>
                <w:lang w:val="en-US" w:eastAsia="zh-CN"/>
              </w:rPr>
              <w:t>3</w:t>
            </w:r>
            <w:r>
              <w:rPr>
                <w:rFonts w:ascii="宋体" w:hAnsi="宋体" w:eastAsia="宋体" w:cs="宋体"/>
                <w:b/>
                <w:bCs/>
                <w:spacing w:val="-3"/>
                <w:sz w:val="24"/>
                <w:szCs w:val="24"/>
              </w:rPr>
              <w:t>、资源及生态环境监测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三合水库的修建和运行不可避免地对工程区河流域的鱼类资源和活动产生干扰。为了科学地评估工程建设对该区域的影响，需要在工程施工期和运行期对工程直接影响和间接影响的评价水域的水生生物（藻类、浮游动物、底栖动物）、鱼类资源及鱼类重要栖息生境等进行监测，以及时反映受影响的河段生态环境及水生生物的变化情况，为实时优化或调整保护方案提供科学的依据。</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ascii="宋体" w:hAnsi="宋体" w:eastAsia="宋体" w:cs="宋体"/>
                <w:spacing w:val="0"/>
                <w:sz w:val="24"/>
                <w:szCs w:val="24"/>
              </w:rPr>
            </w:pPr>
            <w:r>
              <w:rPr>
                <w:rFonts w:ascii="宋体" w:hAnsi="宋体" w:eastAsia="宋体" w:cs="宋体"/>
                <w:spacing w:val="0"/>
                <w:sz w:val="24"/>
                <w:szCs w:val="24"/>
              </w:rPr>
              <w:t xml:space="preserve">监测点的设置应包括库区和减水河段，监测工作应从工程开工开始，连续监测时间根据工程施工年限来确定，施工期连续监测，主要评估施工活动对鱼类及其水生生物和环境的影响状况；运行期连续监测 </w:t>
            </w:r>
            <w:r>
              <w:rPr>
                <w:rFonts w:ascii="Times New Roman" w:hAnsi="Times New Roman" w:eastAsia="Times New Roman" w:cs="Times New Roman"/>
                <w:spacing w:val="0"/>
                <w:sz w:val="24"/>
                <w:szCs w:val="24"/>
              </w:rPr>
              <w:t>3</w:t>
            </w:r>
            <w:r>
              <w:rPr>
                <w:rFonts w:ascii="宋体" w:hAnsi="宋体" w:eastAsia="宋体" w:cs="宋体"/>
                <w:spacing w:val="0"/>
                <w:sz w:val="24"/>
                <w:szCs w:val="24"/>
              </w:rPr>
              <w:t>年以评估工程的影响情况，如果影响巨大可以根据实际情况再做监测年限调整。监察结果与工程实施前的状况及时进行比对，及时掌握变化情况，如果发现问题应立即采取其他补救措施。</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ascii="宋体" w:hAnsi="宋体" w:eastAsia="宋体" w:cs="宋体"/>
                <w:sz w:val="24"/>
                <w:szCs w:val="24"/>
              </w:rPr>
            </w:pPr>
            <w:r>
              <w:rPr>
                <w:rFonts w:ascii="宋体" w:hAnsi="宋体" w:eastAsia="宋体" w:cs="宋体"/>
                <w:spacing w:val="0"/>
                <w:sz w:val="24"/>
                <w:szCs w:val="24"/>
              </w:rPr>
              <w:t>监测内容主要包括</w:t>
            </w:r>
            <w:r>
              <w:rPr>
                <w:rFonts w:ascii="Times New Roman" w:hAnsi="Times New Roman" w:eastAsia="Times New Roman" w:cs="Times New Roman"/>
                <w:spacing w:val="0"/>
                <w:sz w:val="24"/>
                <w:szCs w:val="24"/>
              </w:rPr>
              <w:t>3</w:t>
            </w:r>
            <w:r>
              <w:rPr>
                <w:rFonts w:ascii="宋体" w:hAnsi="宋体" w:eastAsia="宋体" w:cs="宋体"/>
                <w:spacing w:val="0"/>
                <w:sz w:val="24"/>
                <w:szCs w:val="24"/>
              </w:rPr>
              <w:t>个方面：水生生态要素监测</w:t>
            </w:r>
            <w:r>
              <w:rPr>
                <w:rFonts w:ascii="Times New Roman" w:hAnsi="Times New Roman" w:eastAsia="Times New Roman" w:cs="Times New Roman"/>
                <w:spacing w:val="0"/>
                <w:sz w:val="24"/>
                <w:szCs w:val="24"/>
              </w:rPr>
              <w:t>-</w:t>
            </w:r>
            <w:r>
              <w:rPr>
                <w:rFonts w:ascii="宋体" w:hAnsi="宋体" w:eastAsia="宋体" w:cs="宋体"/>
                <w:spacing w:val="0"/>
                <w:sz w:val="24"/>
                <w:szCs w:val="24"/>
              </w:rPr>
              <w:t xml:space="preserve">浮游植物、浮游动物、底栖动物等种类、分布密度、生物量与水温及流态等的变化关系，监测时间可以安排在 </w:t>
            </w:r>
            <w:r>
              <w:rPr>
                <w:rFonts w:ascii="Times New Roman" w:hAnsi="Times New Roman" w:eastAsia="Times New Roman" w:cs="Times New Roman"/>
                <w:spacing w:val="0"/>
                <w:sz w:val="24"/>
                <w:szCs w:val="24"/>
              </w:rPr>
              <w:t>4</w:t>
            </w:r>
            <w:r>
              <w:rPr>
                <w:rFonts w:ascii="宋体" w:hAnsi="宋体" w:eastAsia="宋体" w:cs="宋体"/>
                <w:spacing w:val="0"/>
                <w:sz w:val="24"/>
                <w:szCs w:val="24"/>
              </w:rPr>
              <w:t>月和</w:t>
            </w:r>
            <w:r>
              <w:rPr>
                <w:rFonts w:ascii="Times New Roman" w:hAnsi="Times New Roman" w:eastAsia="Times New Roman" w:cs="Times New Roman"/>
                <w:spacing w:val="0"/>
                <w:sz w:val="24"/>
                <w:szCs w:val="24"/>
              </w:rPr>
              <w:t>10</w:t>
            </w:r>
            <w:r>
              <w:rPr>
                <w:rFonts w:ascii="宋体" w:hAnsi="宋体" w:eastAsia="宋体" w:cs="宋体"/>
                <w:spacing w:val="0"/>
                <w:sz w:val="24"/>
                <w:szCs w:val="24"/>
              </w:rPr>
              <w:t>月各监测一次；此外还包括鱼类种群动态及其群落组成变化监测和鱼类产卵场监测。鱼类种群动态监测应该在</w:t>
            </w:r>
            <w:r>
              <w:rPr>
                <w:rFonts w:ascii="Times New Roman" w:hAnsi="Times New Roman" w:eastAsia="Times New Roman" w:cs="Times New Roman"/>
                <w:spacing w:val="0"/>
                <w:sz w:val="24"/>
                <w:szCs w:val="24"/>
              </w:rPr>
              <w:t>3~10</w:t>
            </w:r>
            <w:r>
              <w:rPr>
                <w:rFonts w:ascii="宋体" w:hAnsi="宋体" w:eastAsia="宋体" w:cs="宋体"/>
                <w:spacing w:val="0"/>
                <w:sz w:val="24"/>
                <w:szCs w:val="24"/>
              </w:rPr>
              <w:t>月份进行，每月</w:t>
            </w:r>
            <w:r>
              <w:rPr>
                <w:rFonts w:ascii="Times New Roman" w:hAnsi="Times New Roman" w:eastAsia="Times New Roman" w:cs="Times New Roman"/>
                <w:spacing w:val="0"/>
                <w:sz w:val="24"/>
                <w:szCs w:val="24"/>
              </w:rPr>
              <w:t>15</w:t>
            </w:r>
            <w:r>
              <w:rPr>
                <w:rFonts w:ascii="宋体" w:hAnsi="宋体" w:eastAsia="宋体" w:cs="宋体"/>
                <w:spacing w:val="0"/>
                <w:sz w:val="24"/>
                <w:szCs w:val="24"/>
              </w:rPr>
              <w:t xml:space="preserve">天。鱼类产卵场监测在 </w:t>
            </w:r>
            <w:r>
              <w:rPr>
                <w:rFonts w:ascii="Times New Roman" w:hAnsi="Times New Roman" w:eastAsia="Times New Roman" w:cs="Times New Roman"/>
                <w:spacing w:val="0"/>
                <w:sz w:val="24"/>
                <w:szCs w:val="24"/>
              </w:rPr>
              <w:t>4~8</w:t>
            </w:r>
            <w:r>
              <w:rPr>
                <w:rFonts w:ascii="宋体" w:hAnsi="宋体" w:eastAsia="宋体" w:cs="宋体"/>
                <w:spacing w:val="0"/>
                <w:sz w:val="24"/>
                <w:szCs w:val="24"/>
              </w:rPr>
              <w:t>月连续监测。监测时段和频次以及要素构成可以根据水库建设运营进程做相应调整。</w:t>
            </w:r>
          </w:p>
          <w:p>
            <w:pPr>
              <w:keepNext w:val="0"/>
              <w:keepLines w:val="0"/>
              <w:pageBreakBefore w:val="0"/>
              <w:widowControl w:val="0"/>
              <w:kinsoku/>
              <w:wordWrap/>
              <w:overflowPunct/>
              <w:topLinePunct w:val="0"/>
              <w:autoSpaceDE/>
              <w:autoSpaceDN/>
              <w:bidi w:val="0"/>
              <w:adjustRightInd/>
              <w:snapToGrid/>
              <w:spacing w:line="360" w:lineRule="auto"/>
              <w:ind w:left="0" w:firstLine="458" w:firstLineChars="200"/>
              <w:textAlignment w:val="auto"/>
              <w:rPr>
                <w:rFonts w:ascii="宋体" w:hAnsi="宋体" w:eastAsia="宋体" w:cs="宋体"/>
                <w:sz w:val="24"/>
                <w:szCs w:val="24"/>
              </w:rPr>
            </w:pPr>
            <w:r>
              <w:rPr>
                <w:rFonts w:hint="eastAsia" w:ascii="宋体" w:hAnsi="宋体" w:eastAsia="宋体" w:cs="宋体"/>
                <w:b/>
                <w:bCs/>
                <w:spacing w:val="-6"/>
                <w:sz w:val="24"/>
                <w:szCs w:val="24"/>
                <w:lang w:val="en-US" w:eastAsia="zh-CN"/>
              </w:rPr>
              <w:t>4</w:t>
            </w:r>
            <w:r>
              <w:rPr>
                <w:rFonts w:ascii="宋体" w:hAnsi="宋体" w:eastAsia="宋体" w:cs="宋体"/>
                <w:b/>
                <w:bCs/>
                <w:spacing w:val="-6"/>
                <w:sz w:val="24"/>
                <w:szCs w:val="24"/>
              </w:rPr>
              <w:t>、加强渔政管理</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eastAsia="Times New Roman" w:cs="Times New Roman"/>
                <w:b/>
                <w:bCs/>
                <w:spacing w:val="0"/>
                <w:sz w:val="24"/>
                <w:szCs w:val="24"/>
              </w:rPr>
            </w:pPr>
            <w:r>
              <w:rPr>
                <w:rFonts w:ascii="宋体" w:hAnsi="宋体" w:eastAsia="宋体" w:cs="宋体"/>
                <w:spacing w:val="0"/>
                <w:sz w:val="24"/>
                <w:szCs w:val="24"/>
              </w:rPr>
              <w:t>在水库的施工期和运行期，渔业主管部门应当加强监督管理，确保施工期生产废水和生活污水处理达标后综合利用不外排；渣场、料场和生活垃圾按相关措施处理，减小固体废弃物对水环境的影响；同时还应加强《渔业法》的宣传，发动群众参与鱼类资源的保护；水库建成后为保证水库水质达到饮用水的标准，应及时划定饮用水源保护区，明令禁止水库养殖和影响水库水质的行为，保护水源水质；工程影响区域加大宣传力度，设立宣传和警示牌，并加强对施工人员的管理和环境保护的宣传力度</w:t>
            </w:r>
          </w:p>
          <w:p>
            <w:pPr>
              <w:pStyle w:val="75"/>
              <w:keepNext w:val="0"/>
              <w:keepLines w:val="0"/>
              <w:pageBreakBefore w:val="0"/>
              <w:widowControl w:val="0"/>
              <w:kinsoku/>
              <w:wordWrap/>
              <w:overflowPunct/>
              <w:topLinePunct w:val="0"/>
              <w:autoSpaceDE/>
              <w:autoSpaceDN/>
              <w:bidi w:val="0"/>
              <w:adjustRightInd/>
              <w:snapToGrid/>
              <w:spacing w:line="360" w:lineRule="auto"/>
              <w:ind w:right="0"/>
              <w:textAlignment w:val="auto"/>
              <w:rPr>
                <w:sz w:val="24"/>
                <w:szCs w:val="24"/>
              </w:rPr>
            </w:pPr>
            <w:r>
              <w:rPr>
                <w:b/>
                <w:bCs/>
                <w:spacing w:val="-5"/>
                <w:sz w:val="24"/>
                <w:szCs w:val="24"/>
              </w:rPr>
              <w:t>四、土壤环境保护措施</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ascii="Times New Roman" w:hAnsi="Times New Roman" w:eastAsia="Times New Roman" w:cs="Times New Roman"/>
                <w:spacing w:val="0"/>
                <w:sz w:val="24"/>
                <w:szCs w:val="24"/>
              </w:rPr>
              <w:t>1</w:t>
            </w:r>
            <w:r>
              <w:rPr>
                <w:spacing w:val="0"/>
                <w:sz w:val="24"/>
                <w:szCs w:val="24"/>
              </w:rPr>
              <w:t>、加强灌溉水水质管理，开展灌溉水水质监测。灌溉用水应符合农田灌溉水水质标准，对因长期使用污水灌溉导致土壤污染严重、威胁农产品质量安全的，要及时调整种植结构。</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pacing w:val="0"/>
                <w:sz w:val="24"/>
                <w:szCs w:val="24"/>
              </w:rPr>
            </w:pPr>
            <w:r>
              <w:rPr>
                <w:rFonts w:ascii="Times New Roman" w:hAnsi="Times New Roman" w:eastAsia="Times New Roman" w:cs="Times New Roman"/>
                <w:spacing w:val="0"/>
                <w:sz w:val="24"/>
                <w:szCs w:val="24"/>
              </w:rPr>
              <w:t>2</w:t>
            </w:r>
            <w:r>
              <w:rPr>
                <w:spacing w:val="0"/>
                <w:sz w:val="24"/>
                <w:szCs w:val="24"/>
              </w:rPr>
              <w:t>、合理收集处理固废、废水。对运行期工作人员产生的生活废水及生活垃圾统一收集处理、确保其达标后排放。</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Arial" w:hAnsi="Arial" w:cs="Arial"/>
                <w:snapToGrid w:val="0"/>
                <w:color w:val="000000"/>
              </w:rPr>
            </w:pPr>
            <w:r>
              <w:rPr>
                <w:rFonts w:ascii="Times New Roman" w:hAnsi="Times New Roman" w:eastAsia="Times New Roman" w:cs="Times New Roman"/>
                <w:spacing w:val="0"/>
                <w:sz w:val="24"/>
                <w:szCs w:val="24"/>
              </w:rPr>
              <w:t>3</w:t>
            </w:r>
            <w:r>
              <w:rPr>
                <w:spacing w:val="0"/>
                <w:sz w:val="24"/>
                <w:szCs w:val="24"/>
              </w:rPr>
              <w:t>、增强周边住户保护意识。对水库灌区范围内住户进行土壤环境保护宣传，推广物理防治和生物防治技术，减少高毒、高残留化学农药的使用，禁止乱丢弃生活垃圾、农药等残留品，减小对灌区周边土壤的影响。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vAlign w:val="center"/>
          </w:tcPr>
          <w:p>
            <w:pPr>
              <w:adjustRightInd w:val="0"/>
              <w:snapToGrid w:val="0"/>
              <w:jc w:val="center"/>
              <w:rPr>
                <w:rFonts w:ascii="宋体" w:hAnsi="宋体" w:cs="宋体"/>
                <w:bCs/>
                <w:spacing w:val="10"/>
                <w:szCs w:val="21"/>
              </w:rPr>
            </w:pPr>
            <w:r>
              <w:rPr>
                <w:rFonts w:hint="eastAsia" w:ascii="宋体" w:hAnsi="宋体"/>
                <w:bCs/>
                <w:szCs w:val="21"/>
              </w:rPr>
              <w:t>其他</w:t>
            </w:r>
          </w:p>
        </w:tc>
        <w:tc>
          <w:tcPr>
            <w:tcW w:w="8457" w:type="dxa"/>
            <w:vAlign w:val="top"/>
          </w:tcPr>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b/>
                <w:bCs/>
                <w:sz w:val="24"/>
                <w:szCs w:val="24"/>
              </w:rPr>
            </w:pPr>
            <w:r>
              <w:rPr>
                <w:rFonts w:hint="default" w:ascii="Arial" w:hAnsi="Arial" w:eastAsia="宋体" w:cs="Arial"/>
                <w:b/>
                <w:bCs/>
                <w:spacing w:val="-1"/>
                <w:sz w:val="24"/>
                <w:szCs w:val="24"/>
              </w:rPr>
              <w:t>环境管理与环境监测计划：</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b/>
                <w:bCs/>
                <w:spacing w:val="-4"/>
                <w:sz w:val="24"/>
                <w:szCs w:val="24"/>
              </w:rPr>
              <w:t>一、环境管理</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sz w:val="24"/>
                <w:szCs w:val="24"/>
              </w:rPr>
            </w:pPr>
            <w:r>
              <w:rPr>
                <w:rFonts w:ascii="Times New Roman" w:hAnsi="Times New Roman" w:eastAsia="Times New Roman" w:cs="Times New Roman"/>
                <w:b/>
                <w:bCs/>
                <w:spacing w:val="-5"/>
                <w:sz w:val="24"/>
                <w:szCs w:val="24"/>
              </w:rPr>
              <w:t>1</w:t>
            </w:r>
            <w:r>
              <w:rPr>
                <w:b/>
                <w:bCs/>
                <w:spacing w:val="-5"/>
                <w:sz w:val="24"/>
                <w:szCs w:val="24"/>
              </w:rPr>
              <w:t>、环境管理机构设置的目的</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sz w:val="24"/>
                <w:szCs w:val="24"/>
              </w:rPr>
            </w:pPr>
            <w:r>
              <w:rPr>
                <w:spacing w:val="0"/>
                <w:sz w:val="24"/>
                <w:szCs w:val="24"/>
              </w:rPr>
              <w:t>环境管理机构的设置，目的是为了贯彻执行中华人民共和国环境保护法的有关法律法规，全面落实《国务院关于环境保护若干问题的决定》的有关规定，对项目</w:t>
            </w:r>
            <w:r>
              <w:rPr>
                <w:rFonts w:ascii="Times New Roman" w:hAnsi="Times New Roman" w:eastAsia="Times New Roman" w:cs="Times New Roman"/>
                <w:spacing w:val="0"/>
                <w:sz w:val="24"/>
                <w:szCs w:val="24"/>
              </w:rPr>
              <w:t>“</w:t>
            </w:r>
            <w:r>
              <w:rPr>
                <w:spacing w:val="0"/>
                <w:sz w:val="24"/>
                <w:szCs w:val="24"/>
              </w:rPr>
              <w:t>三废</w:t>
            </w:r>
            <w:r>
              <w:rPr>
                <w:rFonts w:ascii="Times New Roman" w:hAnsi="Times New Roman" w:eastAsia="Times New Roman" w:cs="Times New Roman"/>
                <w:spacing w:val="0"/>
                <w:sz w:val="24"/>
                <w:szCs w:val="24"/>
              </w:rPr>
              <w:t>”</w:t>
            </w:r>
            <w:r>
              <w:rPr>
                <w:spacing w:val="0"/>
                <w:sz w:val="24"/>
                <w:szCs w:val="24"/>
              </w:rPr>
              <w:t>排放实行监控，确保建设项目经济、环境和社会效益协调发展；协调环保主管部门的工作，为企业的生产管理和环境管理提供保证，针对建设项目的具体情况，为加强严格管理，建设单位应设置相应的环境管理机构，并履行相应的职责。</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sz w:val="24"/>
                <w:szCs w:val="24"/>
              </w:rPr>
            </w:pPr>
            <w:r>
              <w:rPr>
                <w:rFonts w:ascii="Times New Roman" w:hAnsi="Times New Roman" w:eastAsia="Times New Roman" w:cs="Times New Roman"/>
                <w:b/>
                <w:bCs/>
                <w:spacing w:val="-7"/>
                <w:sz w:val="24"/>
                <w:szCs w:val="24"/>
              </w:rPr>
              <w:t>2</w:t>
            </w:r>
            <w:r>
              <w:rPr>
                <w:b/>
                <w:bCs/>
                <w:spacing w:val="-7"/>
                <w:sz w:val="24"/>
                <w:szCs w:val="24"/>
              </w:rPr>
              <w:t>、机构的设置</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spacing w:val="0"/>
                <w:sz w:val="24"/>
                <w:szCs w:val="24"/>
              </w:rPr>
            </w:pPr>
            <w:r>
              <w:rPr>
                <w:spacing w:val="0"/>
                <w:sz w:val="24"/>
                <w:szCs w:val="24"/>
              </w:rPr>
              <w:t>根据本建设项目的实际情况，在建设施工阶段，工程指挥部应设专人负责环境保护事宜。建设项目投入运营后，建立环境管理专门机构，纳入企业发展计划，建立、健全环保岗位，实行主要领导负责制，对该项目环境管理和环境监控负责，并受项目主管单位及环保部门的监督和指导。</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sz w:val="24"/>
                <w:szCs w:val="24"/>
              </w:rPr>
            </w:pPr>
            <w:r>
              <w:rPr>
                <w:rFonts w:ascii="Times New Roman" w:hAnsi="Times New Roman" w:eastAsia="Times New Roman" w:cs="Times New Roman"/>
                <w:b/>
                <w:bCs/>
                <w:spacing w:val="-6"/>
                <w:sz w:val="24"/>
                <w:szCs w:val="24"/>
              </w:rPr>
              <w:t>3</w:t>
            </w:r>
            <w:r>
              <w:rPr>
                <w:b/>
                <w:bCs/>
                <w:spacing w:val="-6"/>
                <w:sz w:val="24"/>
                <w:szCs w:val="24"/>
              </w:rPr>
              <w:t>、机构的职责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b/>
                <w:bCs/>
                <w:spacing w:val="-6"/>
                <w:sz w:val="24"/>
                <w:szCs w:val="24"/>
              </w:rPr>
            </w:pPr>
            <w:r>
              <w:rPr>
                <w:rFonts w:hint="eastAsia"/>
                <w:b/>
                <w:bCs/>
                <w:spacing w:val="-6"/>
                <w:sz w:val="24"/>
                <w:szCs w:val="24"/>
                <w:lang w:val="en-US" w:eastAsia="zh-CN"/>
              </w:rPr>
              <w:t xml:space="preserve">⑴ </w:t>
            </w:r>
            <w:r>
              <w:rPr>
                <w:b/>
                <w:bCs/>
                <w:spacing w:val="-6"/>
                <w:sz w:val="24"/>
                <w:szCs w:val="24"/>
              </w:rPr>
              <w:t>施工期</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sz w:val="24"/>
                <w:szCs w:val="24"/>
              </w:rPr>
            </w:pPr>
            <w:r>
              <w:rPr>
                <w:spacing w:val="-2"/>
                <w:sz w:val="24"/>
                <w:szCs w:val="24"/>
              </w:rPr>
              <w:t>加强项目施工期的环境管理，建设单位应设置施工期环保部，组织和协调施工期各项环境管理制度和减缓环境影响措施的落实，使之与工程建设紧密结合，</w:t>
            </w:r>
            <w:r>
              <w:rPr>
                <w:spacing w:val="5"/>
                <w:sz w:val="24"/>
                <w:szCs w:val="24"/>
              </w:rPr>
              <w:t>将环境管理工作融入整个工程实施过程中，有效控制工程施工期的环境破坏问</w:t>
            </w:r>
            <w:r>
              <w:rPr>
                <w:spacing w:val="-4"/>
                <w:sz w:val="24"/>
                <w:szCs w:val="24"/>
              </w:rPr>
              <w:t>题。</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sz w:val="24"/>
                <w:szCs w:val="24"/>
              </w:rPr>
            </w:pPr>
            <w:r>
              <w:rPr>
                <w:rFonts w:ascii="Times New Roman" w:hAnsi="Times New Roman" w:eastAsia="Times New Roman" w:cs="Times New Roman"/>
                <w:i/>
                <w:iCs/>
                <w:spacing w:val="2"/>
                <w:sz w:val="24"/>
                <w:szCs w:val="24"/>
              </w:rPr>
              <w:t>A</w:t>
            </w:r>
            <w:r>
              <w:rPr>
                <w:rFonts w:hint="eastAsia" w:ascii="Times New Roman" w:hAnsi="Times New Roman" w:eastAsia="宋体" w:cs="Times New Roman"/>
                <w:i/>
                <w:iCs/>
                <w:spacing w:val="2"/>
                <w:sz w:val="24"/>
                <w:szCs w:val="24"/>
                <w:lang w:eastAsia="zh-CN"/>
              </w:rPr>
              <w:t>、</w:t>
            </w:r>
            <w:r>
              <w:rPr>
                <w:spacing w:val="2"/>
                <w:sz w:val="24"/>
                <w:szCs w:val="24"/>
              </w:rPr>
              <w:t>对施工单位提出要求、明确目标，督促施工单位采取有效措</w:t>
            </w:r>
            <w:r>
              <w:rPr>
                <w:spacing w:val="1"/>
                <w:sz w:val="24"/>
                <w:szCs w:val="24"/>
              </w:rPr>
              <w:t>施减少施工</w:t>
            </w:r>
            <w:r>
              <w:rPr>
                <w:spacing w:val="-1"/>
                <w:sz w:val="24"/>
                <w:szCs w:val="24"/>
              </w:rPr>
              <w:t>过程的扬尘、建筑扬尘和施工机械尾气对环境空气的污染；</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sz w:val="24"/>
                <w:szCs w:val="24"/>
              </w:rPr>
            </w:pPr>
            <w:r>
              <w:rPr>
                <w:rFonts w:ascii="Times New Roman" w:hAnsi="Times New Roman" w:eastAsia="Times New Roman" w:cs="Times New Roman"/>
                <w:i/>
                <w:iCs/>
                <w:spacing w:val="-1"/>
                <w:position w:val="1"/>
                <w:sz w:val="24"/>
                <w:szCs w:val="24"/>
              </w:rPr>
              <w:t>B</w:t>
            </w:r>
            <w:r>
              <w:rPr>
                <w:rFonts w:hint="eastAsia" w:ascii="Times New Roman" w:hAnsi="Times New Roman" w:eastAsia="宋体" w:cs="Times New Roman"/>
                <w:i/>
                <w:iCs/>
                <w:spacing w:val="-1"/>
                <w:position w:val="1"/>
                <w:sz w:val="24"/>
                <w:szCs w:val="24"/>
                <w:lang w:eastAsia="zh-CN"/>
              </w:rPr>
              <w:t>、</w:t>
            </w:r>
            <w:r>
              <w:rPr>
                <w:spacing w:val="-1"/>
                <w:position w:val="1"/>
                <w:sz w:val="24"/>
                <w:szCs w:val="24"/>
              </w:rPr>
              <w:t>要求和监督施工单位对施工噪声进行控制；</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Times New Roman" w:hAnsi="Times New Roman" w:eastAsia="Times New Roman" w:cs="Times New Roman"/>
                <w:i/>
                <w:iCs/>
                <w:sz w:val="24"/>
                <w:szCs w:val="24"/>
              </w:rPr>
              <w:t>C</w:t>
            </w:r>
            <w:r>
              <w:rPr>
                <w:rFonts w:hint="eastAsia" w:ascii="Times New Roman" w:hAnsi="Times New Roman" w:eastAsia="宋体" w:cs="Times New Roman"/>
                <w:i/>
                <w:iCs/>
                <w:sz w:val="24"/>
                <w:szCs w:val="24"/>
                <w:lang w:eastAsia="zh-CN"/>
              </w:rPr>
              <w:t>、</w:t>
            </w:r>
            <w:r>
              <w:rPr>
                <w:sz w:val="24"/>
                <w:szCs w:val="24"/>
              </w:rPr>
              <w:t>组织协调建筑垃圾存放和处理，合理安排交通运输；</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spacing w:val="-4"/>
                <w:sz w:val="24"/>
                <w:szCs w:val="24"/>
              </w:rPr>
            </w:pPr>
            <w:r>
              <w:rPr>
                <w:rFonts w:ascii="Times New Roman" w:hAnsi="Times New Roman" w:eastAsia="Times New Roman" w:cs="Times New Roman"/>
                <w:i/>
                <w:iCs/>
                <w:spacing w:val="-4"/>
                <w:sz w:val="24"/>
                <w:szCs w:val="24"/>
              </w:rPr>
              <w:t>D</w:t>
            </w:r>
            <w:r>
              <w:rPr>
                <w:rFonts w:hint="eastAsia" w:ascii="Times New Roman" w:hAnsi="Times New Roman" w:eastAsia="宋体" w:cs="Times New Roman"/>
                <w:i/>
                <w:iCs/>
                <w:spacing w:val="-4"/>
                <w:sz w:val="24"/>
                <w:szCs w:val="24"/>
                <w:lang w:eastAsia="zh-CN"/>
              </w:rPr>
              <w:t>、</w:t>
            </w:r>
            <w:r>
              <w:rPr>
                <w:spacing w:val="-4"/>
                <w:sz w:val="24"/>
                <w:szCs w:val="24"/>
              </w:rPr>
              <w:t>组织实施施工期水土流失减缓措施；</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Times New Roman" w:hAnsi="Times New Roman" w:eastAsia="Times New Roman" w:cs="Times New Roman"/>
                <w:i/>
                <w:iCs/>
                <w:sz w:val="24"/>
                <w:szCs w:val="24"/>
              </w:rPr>
              <w:t>E</w:t>
            </w:r>
            <w:r>
              <w:rPr>
                <w:rFonts w:hint="eastAsia" w:ascii="Times New Roman" w:hAnsi="Times New Roman" w:eastAsia="宋体" w:cs="Times New Roman"/>
                <w:i/>
                <w:iCs/>
                <w:sz w:val="24"/>
                <w:szCs w:val="24"/>
                <w:lang w:eastAsia="zh-CN"/>
              </w:rPr>
              <w:t>、</w:t>
            </w:r>
            <w:r>
              <w:rPr>
                <w:sz w:val="24"/>
                <w:szCs w:val="24"/>
              </w:rPr>
              <w:t>监督和检查施工现场环境恢复；</w:t>
            </w:r>
          </w:p>
          <w:p>
            <w:pPr>
              <w:pStyle w:val="75"/>
              <w:keepNext w:val="0"/>
              <w:keepLines w:val="0"/>
              <w:pageBreakBefore w:val="0"/>
              <w:widowControl w:val="0"/>
              <w:kinsoku/>
              <w:wordWrap/>
              <w:overflowPunct/>
              <w:topLinePunct w:val="0"/>
              <w:autoSpaceDE/>
              <w:autoSpaceDN/>
              <w:bidi w:val="0"/>
              <w:adjustRightInd/>
              <w:snapToGrid/>
              <w:spacing w:line="360" w:lineRule="auto"/>
              <w:ind w:left="0" w:firstLine="484" w:firstLineChars="200"/>
              <w:textAlignment w:val="auto"/>
              <w:rPr>
                <w:sz w:val="24"/>
                <w:szCs w:val="24"/>
              </w:rPr>
            </w:pPr>
            <w:r>
              <w:rPr>
                <w:rFonts w:ascii="Times New Roman" w:hAnsi="Times New Roman" w:eastAsia="Times New Roman" w:cs="Times New Roman"/>
                <w:i/>
                <w:iCs/>
                <w:spacing w:val="1"/>
                <w:position w:val="2"/>
                <w:sz w:val="24"/>
                <w:szCs w:val="24"/>
              </w:rPr>
              <w:t>F</w:t>
            </w:r>
            <w:r>
              <w:rPr>
                <w:rFonts w:hint="eastAsia" w:ascii="Times New Roman" w:hAnsi="Times New Roman" w:eastAsia="宋体" w:cs="Times New Roman"/>
                <w:i/>
                <w:iCs/>
                <w:spacing w:val="1"/>
                <w:position w:val="2"/>
                <w:sz w:val="24"/>
                <w:szCs w:val="24"/>
                <w:lang w:eastAsia="zh-CN"/>
              </w:rPr>
              <w:t>、</w:t>
            </w:r>
            <w:r>
              <w:rPr>
                <w:spacing w:val="1"/>
                <w:position w:val="2"/>
                <w:sz w:val="24"/>
                <w:szCs w:val="24"/>
              </w:rPr>
              <w:t>监督环保工程的设计与施工是否按照有关规范实施。</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sz w:val="24"/>
                <w:szCs w:val="24"/>
              </w:rPr>
            </w:pPr>
            <w:r>
              <w:rPr>
                <w:rFonts w:hint="eastAsia"/>
                <w:b/>
                <w:bCs/>
                <w:spacing w:val="-6"/>
                <w:sz w:val="24"/>
                <w:szCs w:val="24"/>
                <w:lang w:val="en-US" w:eastAsia="zh-CN"/>
              </w:rPr>
              <w:t>⑵ 运行</w:t>
            </w:r>
            <w:r>
              <w:rPr>
                <w:b/>
                <w:bCs/>
                <w:spacing w:val="-6"/>
                <w:sz w:val="24"/>
                <w:szCs w:val="24"/>
              </w:rPr>
              <w:t>期</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sz w:val="24"/>
                <w:szCs w:val="24"/>
              </w:rPr>
            </w:pPr>
            <w:r>
              <w:rPr>
                <w:rFonts w:ascii="Times New Roman" w:hAnsi="Times New Roman" w:eastAsia="Times New Roman" w:cs="Times New Roman"/>
                <w:i/>
                <w:iCs/>
                <w:sz w:val="24"/>
                <w:szCs w:val="24"/>
              </w:rPr>
              <w:t>A</w:t>
            </w:r>
            <w:r>
              <w:rPr>
                <w:rFonts w:hint="eastAsia" w:ascii="Times New Roman" w:hAnsi="Times New Roman" w:eastAsia="宋体" w:cs="Times New Roman"/>
                <w:i/>
                <w:iCs/>
                <w:sz w:val="24"/>
                <w:szCs w:val="24"/>
                <w:lang w:eastAsia="zh-CN"/>
              </w:rPr>
              <w:t>、</w:t>
            </w:r>
            <w:r>
              <w:rPr>
                <w:sz w:val="24"/>
                <w:szCs w:val="24"/>
              </w:rPr>
              <w:t>贯彻、宣传国家的环保方针、政</w:t>
            </w:r>
            <w:r>
              <w:rPr>
                <w:spacing w:val="-1"/>
                <w:sz w:val="24"/>
                <w:szCs w:val="24"/>
              </w:rPr>
              <w:t>策和法律法规。</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sz w:val="24"/>
                <w:szCs w:val="24"/>
              </w:rPr>
            </w:pPr>
            <w:r>
              <w:rPr>
                <w:rFonts w:ascii="Times New Roman" w:hAnsi="Times New Roman" w:eastAsia="Times New Roman" w:cs="Times New Roman"/>
                <w:i/>
                <w:iCs/>
                <w:spacing w:val="2"/>
                <w:sz w:val="24"/>
                <w:szCs w:val="24"/>
              </w:rPr>
              <w:t>B</w:t>
            </w:r>
            <w:r>
              <w:rPr>
                <w:rFonts w:hint="eastAsia" w:ascii="Times New Roman" w:hAnsi="Times New Roman" w:eastAsia="宋体" w:cs="Times New Roman"/>
                <w:i/>
                <w:iCs/>
                <w:spacing w:val="2"/>
                <w:sz w:val="24"/>
                <w:szCs w:val="24"/>
                <w:lang w:eastAsia="zh-CN"/>
              </w:rPr>
              <w:t>、</w:t>
            </w:r>
            <w:r>
              <w:rPr>
                <w:spacing w:val="2"/>
                <w:sz w:val="24"/>
                <w:szCs w:val="24"/>
              </w:rPr>
              <w:t>制定本单位的环保管理制度、环保技术经济政策、环境保</w:t>
            </w:r>
            <w:r>
              <w:rPr>
                <w:spacing w:val="1"/>
                <w:sz w:val="24"/>
                <w:szCs w:val="24"/>
              </w:rPr>
              <w:t>护发展规划和</w:t>
            </w:r>
            <w:r>
              <w:rPr>
                <w:spacing w:val="-2"/>
                <w:sz w:val="24"/>
                <w:szCs w:val="24"/>
              </w:rPr>
              <w:t>年度实施计划。</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sz w:val="24"/>
                <w:szCs w:val="24"/>
              </w:rPr>
            </w:pPr>
            <w:r>
              <w:rPr>
                <w:rFonts w:ascii="Times New Roman" w:hAnsi="Times New Roman" w:eastAsia="Times New Roman" w:cs="Times New Roman"/>
                <w:i/>
                <w:iCs/>
                <w:spacing w:val="3"/>
                <w:sz w:val="24"/>
                <w:szCs w:val="24"/>
              </w:rPr>
              <w:t>C</w:t>
            </w:r>
            <w:r>
              <w:rPr>
                <w:rFonts w:hint="eastAsia" w:ascii="Times New Roman" w:hAnsi="Times New Roman" w:eastAsia="宋体" w:cs="Times New Roman"/>
                <w:i/>
                <w:iCs/>
                <w:spacing w:val="3"/>
                <w:sz w:val="24"/>
                <w:szCs w:val="24"/>
                <w:lang w:eastAsia="zh-CN"/>
              </w:rPr>
              <w:t>、</w:t>
            </w:r>
            <w:r>
              <w:rPr>
                <w:spacing w:val="3"/>
                <w:sz w:val="24"/>
                <w:szCs w:val="24"/>
              </w:rPr>
              <w:t>监督检查本项目执行</w:t>
            </w:r>
            <w:r>
              <w:rPr>
                <w:rFonts w:ascii="Times New Roman" w:hAnsi="Times New Roman" w:eastAsia="Times New Roman" w:cs="Times New Roman"/>
                <w:spacing w:val="3"/>
                <w:sz w:val="24"/>
                <w:szCs w:val="24"/>
              </w:rPr>
              <w:t>“</w:t>
            </w:r>
            <w:r>
              <w:rPr>
                <w:spacing w:val="3"/>
                <w:sz w:val="24"/>
                <w:szCs w:val="24"/>
              </w:rPr>
              <w:t>三同时</w:t>
            </w:r>
            <w:r>
              <w:rPr>
                <w:rFonts w:ascii="Times New Roman" w:hAnsi="Times New Roman" w:eastAsia="Times New Roman" w:cs="Times New Roman"/>
                <w:spacing w:val="3"/>
                <w:sz w:val="24"/>
                <w:szCs w:val="24"/>
              </w:rPr>
              <w:t>”</w:t>
            </w:r>
            <w:r>
              <w:rPr>
                <w:spacing w:val="3"/>
                <w:sz w:val="24"/>
                <w:szCs w:val="24"/>
              </w:rPr>
              <w:t>规定的情况，使环境保护工程措</w:t>
            </w:r>
            <w:r>
              <w:rPr>
                <w:spacing w:val="2"/>
                <w:sz w:val="24"/>
                <w:szCs w:val="24"/>
              </w:rPr>
              <w:t>施与主体</w:t>
            </w:r>
            <w:r>
              <w:rPr>
                <w:sz w:val="24"/>
                <w:szCs w:val="24"/>
              </w:rPr>
              <w:t xml:space="preserve"> </w:t>
            </w:r>
            <w:r>
              <w:rPr>
                <w:spacing w:val="-1"/>
                <w:sz w:val="24"/>
                <w:szCs w:val="24"/>
              </w:rPr>
              <w:t>工程同时设计、同时施工、同时投产，以保证有效的控制污染。</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sz w:val="24"/>
                <w:szCs w:val="24"/>
              </w:rPr>
            </w:pPr>
            <w:r>
              <w:rPr>
                <w:rFonts w:ascii="Times New Roman" w:hAnsi="Times New Roman" w:eastAsia="Times New Roman" w:cs="Times New Roman"/>
                <w:i/>
                <w:iCs/>
                <w:spacing w:val="1"/>
                <w:sz w:val="24"/>
                <w:szCs w:val="24"/>
              </w:rPr>
              <w:t>D</w:t>
            </w:r>
            <w:r>
              <w:rPr>
                <w:rFonts w:hint="eastAsia" w:ascii="Times New Roman" w:hAnsi="Times New Roman" w:eastAsia="宋体" w:cs="Times New Roman"/>
                <w:i/>
                <w:iCs/>
                <w:spacing w:val="1"/>
                <w:sz w:val="24"/>
                <w:szCs w:val="24"/>
                <w:lang w:eastAsia="zh-CN"/>
              </w:rPr>
              <w:t>、</w:t>
            </w:r>
            <w:r>
              <w:rPr>
                <w:spacing w:val="1"/>
                <w:sz w:val="24"/>
                <w:szCs w:val="24"/>
              </w:rPr>
              <w:t>定期进行环保设备检查、维修和保养工作，确保环保</w:t>
            </w:r>
            <w:r>
              <w:rPr>
                <w:sz w:val="24"/>
                <w:szCs w:val="24"/>
              </w:rPr>
              <w:t>设施长期、稳定、</w:t>
            </w:r>
            <w:r>
              <w:rPr>
                <w:spacing w:val="-2"/>
                <w:sz w:val="24"/>
                <w:szCs w:val="24"/>
              </w:rPr>
              <w:t>达标运转。</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sz w:val="24"/>
                <w:szCs w:val="24"/>
              </w:rPr>
            </w:pPr>
            <w:r>
              <w:rPr>
                <w:rFonts w:ascii="Times New Roman" w:hAnsi="Times New Roman" w:eastAsia="Times New Roman" w:cs="Times New Roman"/>
                <w:i/>
                <w:iCs/>
                <w:spacing w:val="2"/>
                <w:sz w:val="24"/>
                <w:szCs w:val="24"/>
              </w:rPr>
              <w:t>E</w:t>
            </w:r>
            <w:r>
              <w:rPr>
                <w:rFonts w:hint="eastAsia" w:ascii="Times New Roman" w:hAnsi="Times New Roman" w:eastAsia="宋体" w:cs="Times New Roman"/>
                <w:i/>
                <w:iCs/>
                <w:spacing w:val="2"/>
                <w:sz w:val="24"/>
                <w:szCs w:val="24"/>
                <w:lang w:eastAsia="zh-CN"/>
              </w:rPr>
              <w:t>、</w:t>
            </w:r>
            <w:r>
              <w:rPr>
                <w:spacing w:val="2"/>
                <w:sz w:val="24"/>
                <w:szCs w:val="24"/>
              </w:rPr>
              <w:t>负责本项目环保设施的日常运行管理工作，制定事故防范措施，一旦发</w:t>
            </w:r>
            <w:r>
              <w:rPr>
                <w:spacing w:val="-1"/>
                <w:sz w:val="24"/>
                <w:szCs w:val="24"/>
              </w:rPr>
              <w:t>生事故，组织污染源调查及控制工作，并及时总结经验教训。</w:t>
            </w:r>
          </w:p>
          <w:p>
            <w:pPr>
              <w:pStyle w:val="7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pPr>
            <w:r>
              <w:rPr>
                <w:rFonts w:ascii="Times New Roman" w:hAnsi="Times New Roman" w:eastAsia="Times New Roman" w:cs="Times New Roman"/>
                <w:i/>
                <w:iCs/>
                <w:spacing w:val="3"/>
                <w:sz w:val="24"/>
                <w:szCs w:val="24"/>
              </w:rPr>
              <w:t>F</w:t>
            </w:r>
            <w:r>
              <w:rPr>
                <w:rFonts w:hint="eastAsia" w:ascii="Times New Roman" w:hAnsi="Times New Roman" w:eastAsia="宋体" w:cs="Times New Roman"/>
                <w:i/>
                <w:iCs/>
                <w:spacing w:val="3"/>
                <w:sz w:val="24"/>
                <w:szCs w:val="24"/>
                <w:lang w:eastAsia="zh-CN"/>
              </w:rPr>
              <w:t>、</w:t>
            </w:r>
            <w:r>
              <w:rPr>
                <w:spacing w:val="3"/>
                <w:sz w:val="24"/>
                <w:szCs w:val="24"/>
              </w:rPr>
              <w:t>负责对本单位职工进行环境保护教育，不断增强职工的环境意</w:t>
            </w:r>
            <w:r>
              <w:rPr>
                <w:spacing w:val="2"/>
                <w:sz w:val="24"/>
                <w:szCs w:val="24"/>
              </w:rPr>
              <w:t>识和环保</w:t>
            </w:r>
            <w:r>
              <w:rPr>
                <w:spacing w:val="-2"/>
                <w:sz w:val="24"/>
                <w:szCs w:val="24"/>
              </w:rPr>
              <w:t>人员的业务素质。</w:t>
            </w:r>
          </w:p>
          <w:p>
            <w:pPr>
              <w:pStyle w:val="75"/>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FF"/>
                <w:spacing w:val="-4"/>
                <w:sz w:val="24"/>
                <w:szCs w:val="24"/>
              </w:rPr>
            </w:pPr>
            <w:r>
              <w:rPr>
                <w:b/>
                <w:bCs/>
                <w:color w:val="0000FF"/>
                <w:spacing w:val="-4"/>
                <w:sz w:val="24"/>
                <w:szCs w:val="24"/>
              </w:rPr>
              <w:t>二、环境监测</w:t>
            </w:r>
          </w:p>
          <w:p>
            <w:pPr>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ascii="宋体" w:hAnsi="宋体" w:eastAsia="宋体" w:cs="宋体"/>
                <w:color w:val="0000FF"/>
                <w:sz w:val="24"/>
                <w:szCs w:val="24"/>
              </w:rPr>
            </w:pPr>
            <w:r>
              <w:rPr>
                <w:rFonts w:hint="eastAsia" w:ascii="宋体" w:hAnsi="宋体" w:eastAsia="宋体" w:cs="宋体"/>
                <w:b/>
                <w:bCs/>
                <w:color w:val="0000FF"/>
                <w:spacing w:val="-6"/>
                <w:kern w:val="2"/>
                <w:sz w:val="24"/>
                <w:szCs w:val="24"/>
                <w:lang w:val="en-US" w:eastAsia="zh-CN" w:bidi="ar-SA"/>
              </w:rPr>
              <w:t>1、施工期地表水监测计划</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z w:val="24"/>
                <w:szCs w:val="24"/>
              </w:rPr>
            </w:pPr>
            <w:r>
              <w:rPr>
                <w:rFonts w:ascii="宋体" w:hAnsi="宋体" w:eastAsia="宋体" w:cs="宋体"/>
                <w:spacing w:val="0"/>
                <w:sz w:val="24"/>
                <w:szCs w:val="24"/>
              </w:rPr>
              <w:t>施工期生产废水经隔油沉淀处理后回用生产，不外排；生活污水经</w:t>
            </w:r>
            <w:r>
              <w:rPr>
                <w:rFonts w:hint="eastAsia" w:ascii="宋体" w:hAnsi="宋体" w:eastAsia="宋体" w:cs="宋体"/>
                <w:spacing w:val="0"/>
                <w:sz w:val="24"/>
                <w:szCs w:val="24"/>
                <w:lang w:val="en-US" w:eastAsia="zh-CN"/>
              </w:rPr>
              <w:t>旱厕</w:t>
            </w:r>
            <w:r>
              <w:rPr>
                <w:rFonts w:ascii="宋体" w:hAnsi="宋体" w:eastAsia="宋体" w:cs="宋体"/>
                <w:spacing w:val="0"/>
                <w:sz w:val="24"/>
                <w:szCs w:val="24"/>
              </w:rPr>
              <w:t>后用于周边施肥，不外排。</w:t>
            </w:r>
            <w:r>
              <w:rPr>
                <w:spacing w:val="0"/>
              </w:rPr>
              <w:fldChar w:fldCharType="begin"/>
            </w:r>
            <w:r>
              <w:rPr>
                <w:spacing w:val="0"/>
              </w:rPr>
              <w:instrText xml:space="preserve"> HYPERLINK \l "bookmark232" </w:instrText>
            </w:r>
            <w:r>
              <w:rPr>
                <w:spacing w:val="0"/>
              </w:rPr>
              <w:fldChar w:fldCharType="separate"/>
            </w:r>
            <w:r>
              <w:rPr>
                <w:rFonts w:ascii="宋体" w:hAnsi="宋体" w:eastAsia="宋体" w:cs="宋体"/>
                <w:spacing w:val="0"/>
                <w:sz w:val="24"/>
                <w:szCs w:val="24"/>
              </w:rPr>
              <w:t>施工期地表水监测要求见表</w:t>
            </w:r>
            <w:r>
              <w:rPr>
                <w:rFonts w:hint="eastAsia" w:ascii="宋体" w:hAnsi="宋体" w:eastAsia="宋体" w:cs="宋体"/>
                <w:spacing w:val="0"/>
                <w:sz w:val="24"/>
                <w:szCs w:val="24"/>
                <w:lang w:val="en-US" w:eastAsia="zh-CN"/>
              </w:rPr>
              <w:t>5</w:t>
            </w:r>
            <w:r>
              <w:rPr>
                <w:rFonts w:ascii="Times New Roman" w:hAnsi="Times New Roman" w:eastAsia="Times New Roman" w:cs="Times New Roman"/>
                <w:spacing w:val="0"/>
                <w:sz w:val="24"/>
                <w:szCs w:val="24"/>
              </w:rPr>
              <w:t>-1</w:t>
            </w:r>
            <w:r>
              <w:rPr>
                <w:rFonts w:ascii="宋体" w:hAnsi="宋体" w:eastAsia="宋体" w:cs="宋体"/>
                <w:spacing w:val="0"/>
                <w:sz w:val="24"/>
                <w:szCs w:val="24"/>
              </w:rPr>
              <w:t>。</w:t>
            </w:r>
            <w:r>
              <w:rPr>
                <w:rFonts w:ascii="宋体" w:hAnsi="宋体" w:eastAsia="宋体" w:cs="宋体"/>
                <w:spacing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eastAsia="宋体" w:cs="宋体"/>
                <w:sz w:val="21"/>
                <w:szCs w:val="21"/>
              </w:rPr>
            </w:pPr>
            <w:bookmarkStart w:id="40" w:name="bookmark232"/>
            <w:bookmarkEnd w:id="40"/>
            <w:r>
              <w:rPr>
                <w:rFonts w:ascii="宋体" w:hAnsi="宋体" w:eastAsia="宋体" w:cs="宋体"/>
                <w:b/>
                <w:bCs/>
                <w:spacing w:val="-3"/>
                <w:sz w:val="21"/>
                <w:szCs w:val="21"/>
              </w:rPr>
              <w:t>表</w:t>
            </w:r>
            <w:r>
              <w:rPr>
                <w:rFonts w:hint="eastAsia" w:ascii="宋体" w:hAnsi="宋体" w:eastAsia="宋体" w:cs="宋体"/>
                <w:spacing w:val="-3"/>
                <w:sz w:val="21"/>
                <w:szCs w:val="21"/>
                <w:lang w:val="en-US" w:eastAsia="zh-CN"/>
              </w:rPr>
              <w:t>5</w:t>
            </w:r>
            <w:r>
              <w:rPr>
                <w:rFonts w:ascii="宋体" w:hAnsi="宋体" w:eastAsia="宋体" w:cs="宋体"/>
                <w:b/>
                <w:bCs/>
                <w:spacing w:val="-3"/>
                <w:sz w:val="21"/>
                <w:szCs w:val="21"/>
              </w:rPr>
              <w:t>-1</w:t>
            </w:r>
            <w:r>
              <w:rPr>
                <w:rFonts w:hint="eastAsia" w:ascii="宋体" w:hAnsi="宋体" w:eastAsia="宋体" w:cs="宋体"/>
                <w:b/>
                <w:bCs/>
                <w:spacing w:val="-3"/>
                <w:sz w:val="21"/>
                <w:szCs w:val="21"/>
                <w:lang w:val="en-US" w:eastAsia="zh-CN"/>
              </w:rPr>
              <w:t xml:space="preserve">  </w:t>
            </w:r>
            <w:r>
              <w:rPr>
                <w:rFonts w:ascii="宋体" w:hAnsi="宋体" w:eastAsia="宋体" w:cs="宋体"/>
                <w:spacing w:val="-31"/>
                <w:sz w:val="21"/>
                <w:szCs w:val="21"/>
              </w:rPr>
              <w:t xml:space="preserve"> </w:t>
            </w:r>
            <w:r>
              <w:rPr>
                <w:rFonts w:ascii="宋体" w:hAnsi="宋体" w:eastAsia="宋体" w:cs="宋体"/>
                <w:b/>
                <w:bCs/>
                <w:spacing w:val="-3"/>
                <w:sz w:val="21"/>
                <w:szCs w:val="21"/>
              </w:rPr>
              <w:t>施工期地表水监测技术要求</w:t>
            </w:r>
          </w:p>
          <w:tbl>
            <w:tblPr>
              <w:tblStyle w:val="76"/>
              <w:tblW w:w="84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3"/>
              <w:gridCol w:w="2538"/>
              <w:gridCol w:w="2664"/>
              <w:gridCol w:w="21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113" w:type="dxa"/>
                  <w:vAlign w:val="center"/>
                </w:tcPr>
                <w:p>
                  <w:pPr>
                    <w:pStyle w:val="75"/>
                    <w:spacing w:before="35" w:line="207" w:lineRule="auto"/>
                    <w:ind w:left="341"/>
                    <w:rPr>
                      <w:b/>
                      <w:bCs/>
                    </w:rPr>
                  </w:pPr>
                  <w:r>
                    <w:rPr>
                      <w:b/>
                      <w:bCs/>
                      <w:spacing w:val="-3"/>
                    </w:rPr>
                    <w:t>要素</w:t>
                  </w:r>
                </w:p>
              </w:tc>
              <w:tc>
                <w:tcPr>
                  <w:tcW w:w="2538" w:type="dxa"/>
                  <w:vAlign w:val="center"/>
                </w:tcPr>
                <w:p>
                  <w:pPr>
                    <w:pStyle w:val="75"/>
                    <w:spacing w:before="35" w:line="207" w:lineRule="auto"/>
                    <w:ind w:left="1057"/>
                    <w:rPr>
                      <w:b/>
                      <w:bCs/>
                    </w:rPr>
                  </w:pPr>
                  <w:r>
                    <w:rPr>
                      <w:b/>
                      <w:bCs/>
                      <w:spacing w:val="-3"/>
                    </w:rPr>
                    <w:t>监测断面</w:t>
                  </w:r>
                </w:p>
              </w:tc>
              <w:tc>
                <w:tcPr>
                  <w:tcW w:w="2664" w:type="dxa"/>
                  <w:vAlign w:val="center"/>
                </w:tcPr>
                <w:p>
                  <w:pPr>
                    <w:pStyle w:val="75"/>
                    <w:spacing w:before="35" w:line="207" w:lineRule="auto"/>
                    <w:ind w:left="918"/>
                    <w:rPr>
                      <w:b/>
                      <w:bCs/>
                    </w:rPr>
                  </w:pPr>
                  <w:r>
                    <w:rPr>
                      <w:b/>
                      <w:bCs/>
                      <w:spacing w:val="-2"/>
                    </w:rPr>
                    <w:t>监测项目</w:t>
                  </w:r>
                </w:p>
              </w:tc>
              <w:tc>
                <w:tcPr>
                  <w:tcW w:w="2141" w:type="dxa"/>
                  <w:vAlign w:val="center"/>
                </w:tcPr>
                <w:p>
                  <w:pPr>
                    <w:pStyle w:val="75"/>
                    <w:spacing w:before="35" w:line="207" w:lineRule="auto"/>
                    <w:ind w:left="656"/>
                    <w:rPr>
                      <w:b/>
                      <w:bCs/>
                    </w:rPr>
                  </w:pPr>
                  <w:r>
                    <w:rPr>
                      <w:b/>
                      <w:bCs/>
                      <w:spacing w:val="-2"/>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 w:hRule="atLeast"/>
                <w:jc w:val="center"/>
              </w:trPr>
              <w:tc>
                <w:tcPr>
                  <w:tcW w:w="111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r>
                    <w:rPr>
                      <w:spacing w:val="-3"/>
                    </w:rPr>
                    <w:t>水环境</w:t>
                  </w:r>
                </w:p>
              </w:tc>
              <w:tc>
                <w:tcPr>
                  <w:tcW w:w="2538"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pPr>
                  <w:r>
                    <w:t>坝址上辜家河</w:t>
                  </w:r>
                  <w:r>
                    <w:rPr>
                      <w:rFonts w:ascii="Times New Roman" w:hAnsi="Times New Roman" w:eastAsia="Times New Roman" w:cs="Times New Roman"/>
                    </w:rPr>
                    <w:t>1000m</w:t>
                  </w:r>
                  <w:r>
                    <w:t>处、</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Times New Roman" w:cs="Times New Roman"/>
                    </w:rPr>
                  </w:pPr>
                  <w:r>
                    <w:t>坝</w:t>
                  </w:r>
                  <w:r>
                    <w:rPr>
                      <w:spacing w:val="-4"/>
                    </w:rPr>
                    <w:t>址下游</w:t>
                  </w:r>
                  <w:r>
                    <w:rPr>
                      <w:rFonts w:ascii="Times New Roman" w:hAnsi="Times New Roman" w:eastAsia="Times New Roman" w:cs="Times New Roman"/>
                      <w:spacing w:val="-4"/>
                    </w:rPr>
                    <w:t>1000m</w:t>
                  </w:r>
                </w:p>
              </w:tc>
              <w:tc>
                <w:tcPr>
                  <w:tcW w:w="2664" w:type="dxa"/>
                  <w:vAlign w:val="center"/>
                </w:tcPr>
                <w:p>
                  <w:pPr>
                    <w:pStyle w:val="75"/>
                    <w:spacing w:before="32" w:line="233" w:lineRule="auto"/>
                    <w:ind w:left="109" w:right="105" w:firstLine="7"/>
                  </w:pPr>
                  <w:r>
                    <w:rPr>
                      <w:spacing w:val="0"/>
                      <w:position w:val="0"/>
                    </w:rPr>
                    <w:t>水温、</w:t>
                  </w:r>
                  <w:r>
                    <w:rPr>
                      <w:rFonts w:ascii="Times New Roman" w:hAnsi="Times New Roman" w:eastAsia="Times New Roman" w:cs="Times New Roman"/>
                      <w:spacing w:val="0"/>
                      <w:position w:val="0"/>
                    </w:rPr>
                    <w:t xml:space="preserve">SS </w:t>
                  </w:r>
                  <w:r>
                    <w:rPr>
                      <w:spacing w:val="0"/>
                      <w:position w:val="0"/>
                    </w:rPr>
                    <w:t>、</w:t>
                  </w:r>
                  <w:r>
                    <w:rPr>
                      <w:rFonts w:ascii="Times New Roman" w:hAnsi="Times New Roman" w:eastAsia="Times New Roman" w:cs="Times New Roman"/>
                      <w:spacing w:val="0"/>
                      <w:position w:val="0"/>
                    </w:rPr>
                    <w:t>pH</w:t>
                  </w:r>
                  <w:r>
                    <w:rPr>
                      <w:spacing w:val="0"/>
                      <w:position w:val="0"/>
                    </w:rPr>
                    <w:t>、</w:t>
                  </w:r>
                  <w:r>
                    <w:rPr>
                      <w:rFonts w:ascii="Times New Roman" w:hAnsi="Times New Roman" w:eastAsia="Times New Roman" w:cs="Times New Roman"/>
                      <w:spacing w:val="0"/>
                      <w:position w:val="0"/>
                    </w:rPr>
                    <w:t>DO</w:t>
                  </w:r>
                  <w:r>
                    <w:rPr>
                      <w:spacing w:val="0"/>
                      <w:position w:val="0"/>
                    </w:rPr>
                    <w:t>、</w:t>
                  </w:r>
                  <w:r>
                    <w:rPr>
                      <w:rFonts w:ascii="Times New Roman" w:hAnsi="Times New Roman" w:eastAsia="Times New Roman" w:cs="Times New Roman"/>
                      <w:spacing w:val="0"/>
                      <w:position w:val="0"/>
                    </w:rPr>
                    <w:t>BOD</w:t>
                  </w:r>
                  <w:r>
                    <w:rPr>
                      <w:rFonts w:ascii="Times New Roman" w:hAnsi="Times New Roman" w:eastAsia="Times New Roman" w:cs="Times New Roman"/>
                      <w:spacing w:val="0"/>
                      <w:position w:val="0"/>
                      <w:sz w:val="14"/>
                      <w:szCs w:val="14"/>
                    </w:rPr>
                    <w:t xml:space="preserve">5 </w:t>
                  </w:r>
                  <w:r>
                    <w:rPr>
                      <w:spacing w:val="0"/>
                      <w:position w:val="0"/>
                    </w:rPr>
                    <w:t>、</w:t>
                  </w:r>
                  <w:r>
                    <w:rPr>
                      <w:rFonts w:ascii="Times New Roman" w:hAnsi="Times New Roman" w:eastAsia="Times New Roman" w:cs="Times New Roman"/>
                      <w:spacing w:val="0"/>
                      <w:position w:val="0"/>
                    </w:rPr>
                    <w:t>COD</w:t>
                  </w:r>
                  <w:r>
                    <w:rPr>
                      <w:spacing w:val="0"/>
                      <w:position w:val="0"/>
                    </w:rPr>
                    <w:t>、高锰酸盐指数、氨氮、</w:t>
                  </w:r>
                  <w:r>
                    <w:rPr>
                      <w:rFonts w:ascii="Times New Roman" w:hAnsi="Times New Roman" w:eastAsia="Times New Roman" w:cs="Times New Roman"/>
                      <w:spacing w:val="0"/>
                      <w:position w:val="0"/>
                    </w:rPr>
                    <w:t>TN</w:t>
                  </w:r>
                  <w:r>
                    <w:rPr>
                      <w:spacing w:val="0"/>
                      <w:position w:val="0"/>
                    </w:rPr>
                    <w:t>、</w:t>
                  </w:r>
                  <w:r>
                    <w:rPr>
                      <w:rFonts w:ascii="Times New Roman" w:hAnsi="Times New Roman" w:eastAsia="Times New Roman" w:cs="Times New Roman"/>
                      <w:spacing w:val="0"/>
                      <w:position w:val="0"/>
                    </w:rPr>
                    <w:t>TP</w:t>
                  </w:r>
                  <w:r>
                    <w:rPr>
                      <w:spacing w:val="0"/>
                      <w:position w:val="0"/>
                    </w:rPr>
                    <w:t>、石油类、粪大肠菌群、阴离子表面活性剂</w:t>
                  </w:r>
                </w:p>
              </w:tc>
              <w:tc>
                <w:tcPr>
                  <w:tcW w:w="2141"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textAlignment w:val="auto"/>
                  </w:pPr>
                  <w:r>
                    <w:rPr>
                      <w:spacing w:val="0"/>
                      <w:sz w:val="21"/>
                    </w:rPr>
                    <w:t>施工期间每年丰、平、枯期各监测</w:t>
                  </w:r>
                  <w:r>
                    <w:rPr>
                      <w:rFonts w:ascii="Times New Roman" w:hAnsi="Times New Roman" w:eastAsia="Times New Roman" w:cs="Times New Roman"/>
                      <w:spacing w:val="0"/>
                      <w:sz w:val="21"/>
                    </w:rPr>
                    <w:t>1</w:t>
                  </w:r>
                  <w:r>
                    <w:rPr>
                      <w:spacing w:val="0"/>
                      <w:sz w:val="21"/>
                    </w:rPr>
                    <w:t>次，每次监测</w:t>
                  </w:r>
                  <w:r>
                    <w:rPr>
                      <w:rFonts w:ascii="Times New Roman" w:hAnsi="Times New Roman" w:eastAsia="Times New Roman" w:cs="Times New Roman"/>
                      <w:spacing w:val="0"/>
                      <w:sz w:val="21"/>
                    </w:rPr>
                    <w:t>3</w:t>
                  </w:r>
                  <w:r>
                    <w:rPr>
                      <w:spacing w:val="0"/>
                      <w:sz w:val="21"/>
                    </w:rPr>
                    <w:t>天</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监测方法：水样采集及样品分析方法均按照《地表水环境质量监测技术规范》 （HJ 91.2-2022）的有关规定执行。</w:t>
            </w:r>
          </w:p>
          <w:p>
            <w:pPr>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hint="eastAsia" w:ascii="宋体" w:hAnsi="宋体" w:eastAsia="宋体" w:cs="宋体"/>
                <w:b/>
                <w:bCs/>
                <w:spacing w:val="-6"/>
                <w:kern w:val="2"/>
                <w:sz w:val="24"/>
                <w:szCs w:val="24"/>
                <w:lang w:val="en-US" w:eastAsia="zh-CN" w:bidi="ar-SA"/>
              </w:rPr>
            </w:pPr>
            <w:bookmarkStart w:id="41" w:name="bookmark148"/>
            <w:bookmarkEnd w:id="41"/>
            <w:r>
              <w:rPr>
                <w:rFonts w:hint="eastAsia" w:ascii="宋体" w:hAnsi="宋体" w:cs="宋体"/>
                <w:b/>
                <w:bCs/>
                <w:spacing w:val="-6"/>
                <w:kern w:val="2"/>
                <w:sz w:val="24"/>
                <w:szCs w:val="24"/>
                <w:lang w:val="en-US" w:eastAsia="zh-CN" w:bidi="ar-SA"/>
              </w:rPr>
              <w:t>2、</w:t>
            </w:r>
            <w:r>
              <w:rPr>
                <w:rFonts w:hint="eastAsia" w:ascii="宋体" w:hAnsi="宋体" w:eastAsia="宋体" w:cs="宋体"/>
                <w:b/>
                <w:bCs/>
                <w:spacing w:val="-6"/>
                <w:kern w:val="2"/>
                <w:sz w:val="24"/>
                <w:szCs w:val="24"/>
                <w:lang w:val="en-US" w:eastAsia="zh-CN" w:bidi="ar-SA"/>
              </w:rPr>
              <w:t>运行期地表水监测计划</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fldChar w:fldCharType="begin"/>
            </w:r>
            <w:r>
              <w:rPr>
                <w:rFonts w:ascii="宋体" w:hAnsi="宋体" w:eastAsia="宋体" w:cs="宋体"/>
                <w:spacing w:val="0"/>
                <w:sz w:val="24"/>
                <w:szCs w:val="24"/>
              </w:rPr>
              <w:instrText xml:space="preserve"> HYPERLINK \l "bookmark148" </w:instrText>
            </w:r>
            <w:r>
              <w:rPr>
                <w:rFonts w:ascii="宋体" w:hAnsi="宋体" w:eastAsia="宋体" w:cs="宋体"/>
                <w:spacing w:val="0"/>
                <w:sz w:val="24"/>
                <w:szCs w:val="24"/>
              </w:rPr>
              <w:fldChar w:fldCharType="separate"/>
            </w:r>
            <w:r>
              <w:rPr>
                <w:rFonts w:ascii="宋体" w:hAnsi="宋体" w:eastAsia="宋体" w:cs="宋体"/>
                <w:spacing w:val="0"/>
                <w:sz w:val="24"/>
                <w:szCs w:val="24"/>
              </w:rPr>
              <w:t>运行期地表水水质监测要求见表</w:t>
            </w:r>
            <w:r>
              <w:rPr>
                <w:rFonts w:hint="eastAsia" w:ascii="宋体" w:hAnsi="宋体" w:cs="宋体"/>
                <w:spacing w:val="0"/>
                <w:sz w:val="24"/>
                <w:szCs w:val="24"/>
                <w:lang w:val="en-US" w:eastAsia="zh-CN"/>
              </w:rPr>
              <w:t>5</w:t>
            </w:r>
            <w:r>
              <w:rPr>
                <w:rFonts w:ascii="宋体" w:hAnsi="宋体" w:eastAsia="宋体" w:cs="宋体"/>
                <w:spacing w:val="0"/>
                <w:sz w:val="24"/>
                <w:szCs w:val="24"/>
              </w:rPr>
              <w:t>-2。</w:t>
            </w:r>
            <w:r>
              <w:rPr>
                <w:rFonts w:ascii="宋体" w:hAnsi="宋体" w:eastAsia="宋体" w:cs="宋体"/>
                <w:spacing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eastAsia="宋体" w:cs="宋体"/>
                <w:b/>
                <w:bCs/>
                <w:spacing w:val="-3"/>
                <w:sz w:val="21"/>
                <w:szCs w:val="21"/>
              </w:rPr>
            </w:pPr>
            <w:r>
              <w:rPr>
                <w:rFonts w:ascii="宋体" w:hAnsi="宋体" w:eastAsia="宋体" w:cs="宋体"/>
                <w:b/>
                <w:bCs/>
                <w:spacing w:val="-3"/>
                <w:sz w:val="21"/>
                <w:szCs w:val="21"/>
              </w:rPr>
              <w:t>表</w:t>
            </w:r>
            <w:r>
              <w:rPr>
                <w:rFonts w:hint="eastAsia" w:ascii="宋体" w:hAnsi="宋体" w:cs="宋体"/>
                <w:b/>
                <w:bCs/>
                <w:spacing w:val="-3"/>
                <w:sz w:val="21"/>
                <w:szCs w:val="21"/>
                <w:lang w:val="en-US" w:eastAsia="zh-CN"/>
              </w:rPr>
              <w:t>5</w:t>
            </w:r>
            <w:r>
              <w:rPr>
                <w:rFonts w:ascii="宋体" w:hAnsi="宋体" w:eastAsia="宋体" w:cs="宋体"/>
                <w:b/>
                <w:bCs/>
                <w:spacing w:val="-3"/>
                <w:sz w:val="21"/>
                <w:szCs w:val="21"/>
              </w:rPr>
              <w:t>-2</w:t>
            </w:r>
            <w:r>
              <w:rPr>
                <w:rFonts w:hint="eastAsia" w:ascii="宋体" w:hAnsi="宋体" w:cs="宋体"/>
                <w:b/>
                <w:bCs/>
                <w:spacing w:val="-3"/>
                <w:sz w:val="21"/>
                <w:szCs w:val="21"/>
                <w:lang w:val="en-US" w:eastAsia="zh-CN"/>
              </w:rPr>
              <w:t xml:space="preserve">  </w:t>
            </w:r>
            <w:r>
              <w:rPr>
                <w:rFonts w:ascii="宋体" w:hAnsi="宋体" w:eastAsia="宋体" w:cs="宋体"/>
                <w:b/>
                <w:bCs/>
                <w:spacing w:val="-3"/>
                <w:sz w:val="21"/>
                <w:szCs w:val="21"/>
              </w:rPr>
              <w:t>运行期地表水监测技术要求</w:t>
            </w:r>
          </w:p>
          <w:tbl>
            <w:tblPr>
              <w:tblStyle w:val="76"/>
              <w:tblW w:w="88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83"/>
              <w:gridCol w:w="2107"/>
              <w:gridCol w:w="3040"/>
              <w:gridCol w:w="26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08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3"/>
                    </w:rPr>
                    <w:t>要素</w:t>
                  </w: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3"/>
                    </w:rPr>
                    <w:t>监测断面</w:t>
                  </w:r>
                </w:p>
              </w:tc>
              <w:tc>
                <w:tcPr>
                  <w:tcW w:w="304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2"/>
                    </w:rPr>
                    <w:t>监测项目</w:t>
                  </w:r>
                </w:p>
              </w:tc>
              <w:tc>
                <w:tcPr>
                  <w:tcW w:w="2605"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bCs/>
                    </w:rPr>
                  </w:pPr>
                  <w:r>
                    <w:rPr>
                      <w:b/>
                      <w:bCs/>
                      <w:spacing w:val="-2"/>
                    </w:rPr>
                    <w:t>监测频率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1083" w:type="dxa"/>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水环境</w:t>
                  </w: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库区（库尾、库中、</w:t>
                  </w:r>
                </w:p>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坝前</w:t>
                  </w:r>
                  <w:r>
                    <w:rPr>
                      <w:rFonts w:hint="eastAsia"/>
                      <w:spacing w:val="0"/>
                      <w:w w:val="100"/>
                      <w:sz w:val="21"/>
                      <w:lang w:val="en-US" w:eastAsia="zh-CN"/>
                    </w:rPr>
                    <w:t>1</w:t>
                  </w:r>
                  <w:r>
                    <w:rPr>
                      <w:rFonts w:ascii="Times New Roman" w:hAnsi="Times New Roman" w:eastAsia="Times New Roman" w:cs="Times New Roman"/>
                      <w:spacing w:val="0"/>
                      <w:w w:val="100"/>
                      <w:sz w:val="21"/>
                    </w:rPr>
                    <w:t>00m</w:t>
                  </w:r>
                  <w:r>
                    <w:rPr>
                      <w:spacing w:val="0"/>
                      <w:w w:val="100"/>
                      <w:sz w:val="21"/>
                    </w:rPr>
                    <w:t>）</w:t>
                  </w:r>
                </w:p>
              </w:tc>
              <w:tc>
                <w:tcPr>
                  <w:tcW w:w="3040" w:type="dxa"/>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水温、</w:t>
                  </w:r>
                  <w:r>
                    <w:rPr>
                      <w:rFonts w:ascii="Times New Roman" w:hAnsi="Times New Roman" w:eastAsia="Times New Roman" w:cs="Times New Roman"/>
                      <w:spacing w:val="0"/>
                      <w:w w:val="100"/>
                      <w:sz w:val="21"/>
                    </w:rPr>
                    <w:t>pH</w:t>
                  </w:r>
                  <w:r>
                    <w:rPr>
                      <w:spacing w:val="0"/>
                      <w:w w:val="100"/>
                      <w:sz w:val="21"/>
                    </w:rPr>
                    <w:t>、悬浮物、溶解氧、五日生化需氧量、高锰酸钾指数、氨氮、硝酸盐、亚硝酸盐、总氮、总磷、石油类、粪大肠菌群、阴离子表面活性剂、氟化物、氰化物、挥发酚、砷、汞、六价铬、叶绿素</w:t>
                  </w:r>
                  <w:r>
                    <w:rPr>
                      <w:rFonts w:ascii="Times New Roman" w:hAnsi="Times New Roman" w:eastAsia="Times New Roman" w:cs="Times New Roman"/>
                      <w:spacing w:val="0"/>
                      <w:w w:val="100"/>
                      <w:sz w:val="21"/>
                    </w:rPr>
                    <w:t>a</w:t>
                  </w:r>
                  <w:r>
                    <w:rPr>
                      <w:spacing w:val="0"/>
                      <w:w w:val="100"/>
                      <w:sz w:val="21"/>
                    </w:rPr>
                    <w:t>、透明度</w:t>
                  </w:r>
                </w:p>
              </w:tc>
              <w:tc>
                <w:tcPr>
                  <w:tcW w:w="2605"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spacing w:val="0"/>
                      <w:w w:val="100"/>
                      <w:sz w:val="21"/>
                    </w:rPr>
                  </w:pPr>
                  <w:r>
                    <w:rPr>
                      <w:spacing w:val="0"/>
                      <w:w w:val="100"/>
                      <w:sz w:val="21"/>
                    </w:rPr>
                    <w:t>运行期第二年</w:t>
                  </w:r>
                  <w:r>
                    <w:rPr>
                      <w:rFonts w:ascii="Times New Roman" w:hAnsi="Times New Roman" w:eastAsia="Times New Roman" w:cs="Times New Roman"/>
                      <w:spacing w:val="0"/>
                      <w:w w:val="100"/>
                      <w:sz w:val="21"/>
                    </w:rPr>
                    <w:t>1</w:t>
                  </w:r>
                  <w:r>
                    <w:rPr>
                      <w:spacing w:val="0"/>
                      <w:w w:val="100"/>
                      <w:sz w:val="21"/>
                    </w:rPr>
                    <w:t>、</w:t>
                  </w:r>
                  <w:r>
                    <w:rPr>
                      <w:rFonts w:ascii="Times New Roman" w:hAnsi="Times New Roman" w:eastAsia="Times New Roman" w:cs="Times New Roman"/>
                      <w:spacing w:val="0"/>
                      <w:w w:val="100"/>
                      <w:sz w:val="21"/>
                    </w:rPr>
                    <w:t>7</w:t>
                  </w:r>
                  <w:r>
                    <w:rPr>
                      <w:spacing w:val="0"/>
                      <w:w w:val="100"/>
                      <w:sz w:val="21"/>
                    </w:rPr>
                    <w:t>月各监 测一次，连续</w:t>
                  </w:r>
                  <w:r>
                    <w:rPr>
                      <w:rFonts w:ascii="Times New Roman" w:hAnsi="Times New Roman" w:eastAsia="Times New Roman" w:cs="Times New Roman"/>
                      <w:spacing w:val="0"/>
                      <w:w w:val="100"/>
                      <w:sz w:val="21"/>
                    </w:rPr>
                    <w:t>3</w:t>
                  </w:r>
                  <w:r>
                    <w:rPr>
                      <w:spacing w:val="0"/>
                      <w:w w:val="100"/>
                      <w:sz w:val="21"/>
                    </w:rPr>
                    <w:t>天，采样</w:t>
                  </w:r>
                  <w:r>
                    <w:rPr>
                      <w:rFonts w:ascii="Times New Roman" w:hAnsi="Times New Roman" w:eastAsia="Times New Roman" w:cs="Times New Roman"/>
                      <w:spacing w:val="0"/>
                      <w:w w:val="100"/>
                      <w:sz w:val="21"/>
                    </w:rPr>
                    <w:t>2</w:t>
                  </w:r>
                  <w:r>
                    <w:rPr>
                      <w:spacing w:val="0"/>
                      <w:w w:val="100"/>
                      <w:sz w:val="21"/>
                    </w:rPr>
                    <w:t>次，取混合样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jc w:val="center"/>
              </w:trPr>
              <w:tc>
                <w:tcPr>
                  <w:tcW w:w="108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spacing w:val="0"/>
                      <w:w w:val="100"/>
                      <w:sz w:val="21"/>
                    </w:rPr>
                  </w:pP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干渠末端河段</w:t>
                  </w:r>
                </w:p>
              </w:tc>
              <w:tc>
                <w:tcPr>
                  <w:tcW w:w="304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pacing w:val="0"/>
                      <w:w w:val="100"/>
                      <w:sz w:val="21"/>
                    </w:rPr>
                  </w:pPr>
                </w:p>
              </w:tc>
              <w:tc>
                <w:tcPr>
                  <w:tcW w:w="2605"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spacing w:val="0"/>
                      <w:w w:val="100"/>
                      <w:sz w:val="21"/>
                    </w:rPr>
                  </w:pPr>
                  <w:r>
                    <w:rPr>
                      <w:spacing w:val="0"/>
                      <w:w w:val="100"/>
                      <w:sz w:val="21"/>
                    </w:rPr>
                    <w:t>工程运行初期监测</w:t>
                  </w:r>
                  <w:r>
                    <w:rPr>
                      <w:rFonts w:ascii="Times New Roman" w:hAnsi="Times New Roman" w:eastAsia="Times New Roman" w:cs="Times New Roman"/>
                      <w:spacing w:val="0"/>
                      <w:w w:val="100"/>
                      <w:sz w:val="21"/>
                    </w:rPr>
                    <w:t>3</w:t>
                  </w:r>
                  <w:r>
                    <w:rPr>
                      <w:spacing w:val="0"/>
                      <w:w w:val="100"/>
                      <w:sz w:val="21"/>
                    </w:rPr>
                    <w:t>年，每年丰、平、枯水期各监测</w:t>
                  </w:r>
                  <w:r>
                    <w:rPr>
                      <w:rFonts w:ascii="Times New Roman" w:hAnsi="Times New Roman" w:eastAsia="Times New Roman" w:cs="Times New Roman"/>
                      <w:spacing w:val="0"/>
                      <w:w w:val="100"/>
                      <w:sz w:val="21"/>
                    </w:rPr>
                    <w:t xml:space="preserve">1 </w:t>
                  </w:r>
                  <w:r>
                    <w:rPr>
                      <w:spacing w:val="0"/>
                      <w:w w:val="100"/>
                      <w:sz w:val="21"/>
                    </w:rPr>
                    <w:t>次，每次监测</w:t>
                  </w:r>
                  <w:r>
                    <w:rPr>
                      <w:rFonts w:ascii="Times New Roman" w:hAnsi="Times New Roman" w:eastAsia="Times New Roman" w:cs="Times New Roman"/>
                      <w:spacing w:val="0"/>
                      <w:w w:val="100"/>
                      <w:sz w:val="21"/>
                    </w:rPr>
                    <w:t>3d</w:t>
                  </w:r>
                  <w:r>
                    <w:rPr>
                      <w:spacing w:val="0"/>
                      <w:w w:val="100"/>
                      <w:sz w:val="21"/>
                    </w:rPr>
                    <w:t>。工程运行后第</w:t>
                  </w:r>
                  <w:r>
                    <w:rPr>
                      <w:rFonts w:ascii="Times New Roman" w:hAnsi="Times New Roman" w:eastAsia="Times New Roman" w:cs="Times New Roman"/>
                      <w:spacing w:val="0"/>
                      <w:w w:val="100"/>
                      <w:sz w:val="21"/>
                    </w:rPr>
                    <w:t>4</w:t>
                  </w:r>
                  <w:r>
                    <w:rPr>
                      <w:spacing w:val="0"/>
                      <w:w w:val="100"/>
                      <w:sz w:val="21"/>
                    </w:rPr>
                    <w:t>年起，纳入地方常规水质监测统一进行。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108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在线水质 监测</w:t>
                  </w: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饮用水取水口</w:t>
                  </w:r>
                </w:p>
              </w:tc>
              <w:tc>
                <w:tcPr>
                  <w:tcW w:w="304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水温、</w:t>
                  </w:r>
                  <w:r>
                    <w:rPr>
                      <w:rFonts w:ascii="Times New Roman" w:hAnsi="Times New Roman" w:eastAsia="Times New Roman" w:cs="Times New Roman"/>
                      <w:spacing w:val="0"/>
                      <w:w w:val="100"/>
                      <w:sz w:val="21"/>
                    </w:rPr>
                    <w:t>pH</w:t>
                  </w:r>
                  <w:r>
                    <w:rPr>
                      <w:spacing w:val="0"/>
                      <w:w w:val="100"/>
                      <w:sz w:val="21"/>
                    </w:rPr>
                    <w:t>、电导率、溶解氧、浊度、氨氮</w:t>
                  </w:r>
                </w:p>
              </w:tc>
              <w:tc>
                <w:tcPr>
                  <w:tcW w:w="2605"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实时监测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jc w:val="center"/>
              </w:trPr>
              <w:tc>
                <w:tcPr>
                  <w:tcW w:w="108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坝前</w:t>
                  </w: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库区内坝前</w:t>
                  </w:r>
                </w:p>
              </w:tc>
              <w:tc>
                <w:tcPr>
                  <w:tcW w:w="304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水温</w:t>
                  </w:r>
                </w:p>
              </w:tc>
              <w:tc>
                <w:tcPr>
                  <w:tcW w:w="2605" w:type="dxa"/>
                  <w:vMerge w:val="restart"/>
                  <w:tcBorders>
                    <w:bottom w:val="nil"/>
                  </w:tcBorders>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spacing w:val="0"/>
                      <w:w w:val="100"/>
                      <w:sz w:val="21"/>
                    </w:rPr>
                  </w:pPr>
                  <w:r>
                    <w:rPr>
                      <w:spacing w:val="0"/>
                      <w:w w:val="100"/>
                      <w:sz w:val="21"/>
                    </w:rPr>
                    <w:t>初期蓄水期间及运行后的 前</w:t>
                  </w:r>
                  <w:r>
                    <w:rPr>
                      <w:rFonts w:ascii="Times New Roman" w:hAnsi="Times New Roman" w:eastAsia="Times New Roman" w:cs="Times New Roman"/>
                      <w:spacing w:val="0"/>
                      <w:w w:val="100"/>
                      <w:sz w:val="21"/>
                    </w:rPr>
                    <w:t>3</w:t>
                  </w:r>
                  <w:r>
                    <w:rPr>
                      <w:spacing w:val="0"/>
                      <w:w w:val="100"/>
                      <w:sz w:val="21"/>
                    </w:rPr>
                    <w:t>年，库区水位变化较大时应加强观测。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083"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spacing w:val="-2"/>
                    </w:rPr>
                    <w:t>减水河段</w:t>
                  </w:r>
                </w:p>
              </w:tc>
              <w:tc>
                <w:tcPr>
                  <w:tcW w:w="2107"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rPr>
                  </w:pPr>
                  <w:r>
                    <w:rPr>
                      <w:spacing w:val="-2"/>
                    </w:rPr>
                    <w:t>坝址下游</w:t>
                  </w:r>
                  <w:r>
                    <w:rPr>
                      <w:spacing w:val="-43"/>
                    </w:rPr>
                    <w:t xml:space="preserve"> </w:t>
                  </w:r>
                  <w:r>
                    <w:rPr>
                      <w:rFonts w:ascii="Times New Roman" w:hAnsi="Times New Roman" w:eastAsia="Times New Roman" w:cs="Times New Roman"/>
                      <w:spacing w:val="-2"/>
                    </w:rPr>
                    <w:t>5.4km</w:t>
                  </w:r>
                </w:p>
              </w:tc>
              <w:tc>
                <w:tcPr>
                  <w:tcW w:w="3040" w:type="dxa"/>
                  <w:vAlign w:val="center"/>
                </w:tcPr>
                <w:p>
                  <w:pPr>
                    <w:pStyle w:val="7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r>
                    <w:rPr>
                      <w:spacing w:val="-3"/>
                    </w:rPr>
                    <w:t>水温</w:t>
                  </w:r>
                </w:p>
              </w:tc>
              <w:tc>
                <w:tcPr>
                  <w:tcW w:w="260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sz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监测方法：按照《地表水环境质量监测技术规范》（HJ 91.2-2022）等相关规范 的相关规定执行。</w:t>
            </w:r>
          </w:p>
          <w:p>
            <w:pPr>
              <w:spacing w:line="360" w:lineRule="auto"/>
              <w:rPr>
                <w:rFonts w:ascii="宋体" w:hAnsi="宋体"/>
                <w:b/>
                <w:sz w:val="24"/>
              </w:rPr>
            </w:pPr>
            <w:r>
              <w:rPr>
                <w:rFonts w:hint="eastAsia" w:ascii="宋体" w:hAnsi="宋体"/>
                <w:b/>
                <w:sz w:val="24"/>
                <w:lang w:val="en-US" w:eastAsia="zh-CN"/>
              </w:rPr>
              <w:t>三</w:t>
            </w:r>
            <w:r>
              <w:rPr>
                <w:rFonts w:hint="eastAsia" w:ascii="宋体" w:hAnsi="宋体"/>
                <w:b/>
                <w:sz w:val="24"/>
              </w:rPr>
              <w:t>、</w:t>
            </w:r>
            <w:r>
              <w:rPr>
                <w:rFonts w:ascii="宋体" w:hAnsi="宋体"/>
                <w:b/>
                <w:sz w:val="24"/>
              </w:rPr>
              <w:t>土地复垦措施</w:t>
            </w:r>
          </w:p>
          <w:p>
            <w:pPr>
              <w:spacing w:line="360" w:lineRule="auto"/>
              <w:ind w:firstLine="482" w:firstLineChars="200"/>
              <w:rPr>
                <w:b/>
                <w:sz w:val="24"/>
              </w:rPr>
            </w:pPr>
            <w:r>
              <w:rPr>
                <w:rFonts w:hint="eastAsia"/>
                <w:b/>
                <w:sz w:val="24"/>
              </w:rPr>
              <w:t>1、</w:t>
            </w:r>
            <w:r>
              <w:rPr>
                <w:b/>
                <w:sz w:val="24"/>
              </w:rPr>
              <w:t>总体措施</w:t>
            </w:r>
          </w:p>
          <w:p>
            <w:pPr>
              <w:spacing w:line="360" w:lineRule="auto"/>
              <w:ind w:firstLine="480" w:firstLineChars="200"/>
              <w:rPr>
                <w:rFonts w:hAnsi="宋体"/>
                <w:sz w:val="24"/>
                <w:lang w:val="zh-CN"/>
              </w:rPr>
            </w:pPr>
            <w:r>
              <w:rPr>
                <w:rFonts w:hint="eastAsia" w:hAnsi="宋体"/>
                <w:sz w:val="24"/>
                <w:lang w:val="en-US" w:eastAsia="zh-CN"/>
              </w:rPr>
              <w:t>项目施工期临时用地</w:t>
            </w:r>
            <w:r>
              <w:rPr>
                <w:rFonts w:hAnsi="宋体"/>
                <w:sz w:val="24"/>
                <w:lang w:val="zh-CN"/>
              </w:rPr>
              <w:t>地复垦应纳入</w:t>
            </w:r>
            <w:r>
              <w:rPr>
                <w:rFonts w:hint="eastAsia" w:hAnsi="宋体"/>
                <w:sz w:val="24"/>
                <w:lang w:val="en-US" w:eastAsia="zh-CN"/>
              </w:rPr>
              <w:t>项目</w:t>
            </w:r>
            <w:r>
              <w:rPr>
                <w:rFonts w:hAnsi="宋体"/>
                <w:sz w:val="24"/>
                <w:lang w:val="zh-CN"/>
              </w:rPr>
              <w:t>日常生产与管理，待</w:t>
            </w:r>
            <w:r>
              <w:rPr>
                <w:rFonts w:hint="eastAsia" w:hAnsi="宋体"/>
                <w:sz w:val="24"/>
                <w:lang w:val="en-US" w:eastAsia="zh-CN"/>
              </w:rPr>
              <w:t>施工期结束</w:t>
            </w:r>
            <w:r>
              <w:rPr>
                <w:rFonts w:hAnsi="宋体"/>
                <w:sz w:val="24"/>
                <w:lang w:val="zh-CN"/>
              </w:rPr>
              <w:t>后，应及时</w:t>
            </w:r>
            <w:r>
              <w:rPr>
                <w:rFonts w:hint="eastAsia" w:hAnsi="宋体"/>
                <w:sz w:val="24"/>
                <w:lang w:val="en-US" w:eastAsia="zh-CN"/>
              </w:rPr>
              <w:t>进行</w:t>
            </w:r>
            <w:r>
              <w:rPr>
                <w:rFonts w:hAnsi="宋体"/>
                <w:sz w:val="24"/>
                <w:lang w:val="zh-CN"/>
              </w:rPr>
              <w:t>复垦，防止水土流失及风蚀扬尘等。针对</w:t>
            </w:r>
            <w:r>
              <w:rPr>
                <w:rFonts w:hint="eastAsia" w:hAnsi="宋体"/>
                <w:sz w:val="24"/>
                <w:lang w:val="en-US" w:eastAsia="zh-CN"/>
              </w:rPr>
              <w:t>项目</w:t>
            </w:r>
            <w:r>
              <w:rPr>
                <w:rFonts w:hAnsi="宋体"/>
                <w:sz w:val="24"/>
                <w:lang w:val="zh-CN"/>
              </w:rPr>
              <w:t>的特点，矿区生态重建措施包括土地复垦和植被重建。</w:t>
            </w:r>
          </w:p>
          <w:p>
            <w:pPr>
              <w:spacing w:line="360" w:lineRule="auto"/>
              <w:ind w:firstLine="480" w:firstLineChars="200"/>
              <w:rPr>
                <w:rFonts w:hAnsi="宋体"/>
                <w:sz w:val="24"/>
                <w:lang w:val="zh-CN"/>
              </w:rPr>
            </w:pPr>
            <w:r>
              <w:rPr>
                <w:rFonts w:hAnsi="宋体"/>
                <w:sz w:val="24"/>
                <w:lang w:val="zh-CN"/>
              </w:rPr>
              <w:t>根据《土地复垦条例实施办法》，对被损毁的林地、灌木地，应当进行表土剥离，分层存放，分层回填，优先用于复垦土地的土壤改良。表土剥离厚度依据《分区表土剥离厚度参考值》，确定为20-30cm，表土剥离在生产工艺和施工建设前进行或者同步进行。</w:t>
            </w:r>
          </w:p>
          <w:p>
            <w:pPr>
              <w:spacing w:line="360" w:lineRule="auto"/>
              <w:ind w:firstLine="480" w:firstLineChars="200"/>
              <w:rPr>
                <w:rFonts w:hAnsi="宋体"/>
                <w:sz w:val="24"/>
                <w:lang w:val="zh-CN"/>
              </w:rPr>
            </w:pPr>
            <w:r>
              <w:rPr>
                <w:rFonts w:hAnsi="宋体"/>
                <w:sz w:val="24"/>
                <w:lang w:val="zh-CN"/>
              </w:rPr>
              <w:t>根据《土地复垦条例实施办法》，对易造成地面塌陷或者地面沉降等特殊地段应当采取充填、设置保护支柱等工程技术方法。</w:t>
            </w:r>
          </w:p>
          <w:p>
            <w:pPr>
              <w:spacing w:line="360" w:lineRule="auto"/>
              <w:ind w:firstLine="482" w:firstLineChars="200"/>
              <w:rPr>
                <w:b/>
                <w:sz w:val="24"/>
              </w:rPr>
            </w:pPr>
            <w:r>
              <w:rPr>
                <w:rFonts w:hint="eastAsia"/>
                <w:b/>
                <w:sz w:val="24"/>
              </w:rPr>
              <w:t>2、</w:t>
            </w:r>
            <w:r>
              <w:rPr>
                <w:b/>
                <w:sz w:val="24"/>
              </w:rPr>
              <w:t>制定生态恢复方案和植物物种选择标准</w:t>
            </w:r>
          </w:p>
          <w:p>
            <w:pPr>
              <w:spacing w:line="360" w:lineRule="auto"/>
              <w:ind w:firstLine="480" w:firstLineChars="200"/>
              <w:rPr>
                <w:rFonts w:hAnsi="宋体"/>
                <w:sz w:val="24"/>
                <w:lang w:val="zh-CN"/>
              </w:rPr>
            </w:pPr>
            <w:r>
              <w:rPr>
                <w:rFonts w:hAnsi="宋体"/>
                <w:sz w:val="24"/>
                <w:lang w:val="zh-CN"/>
              </w:rPr>
              <w:t>复垦须按照复垦恢复方案中的要求，根据具体植物生长及区域植物类型制定生态恢复及物种选择标准。制定要围绕促进植被快速恢复、有利于生态系统顺行演替的思路进行设计，同时充分考虑，乔木、灌木及草本植物的合理搭配及空间资源合理利用，采用短带状、团块状、复式镶嵌等方式合理进行群落结构搭配。合理搭配植物物种，优化物种选择，物种选择的自由度较大，可以充分利用与周围环境相适应的当地常见、适生的乡土物种，选择合理的栽培时间及栽培技术，按照生态位理论遵循不同物种混合种植、密度适宜、杜绝单一物种的原则。使得生境条件、物种丰富度和群落结构与生态系统功能等能够达稳定状态。另外根据工程用地期限和时间选择植物种植时间和时段，对于大面积的植被恢复期，应尽量选择在春秋季节，对于短期占地的区域也可以考虑在初夏开展植被恢复，并注意及时浇水和适度施肥等人工措施。重视植被栽植后的后期管护，及时进行补植，以确保植被恢复达到预期效果。</w:t>
            </w:r>
          </w:p>
          <w:p>
            <w:pPr>
              <w:spacing w:line="360" w:lineRule="auto"/>
              <w:ind w:firstLine="482" w:firstLineChars="200"/>
              <w:rPr>
                <w:rFonts w:hAnsi="宋体"/>
                <w:b/>
                <w:sz w:val="24"/>
                <w:lang w:val="zh-CN"/>
              </w:rPr>
            </w:pPr>
            <w:r>
              <w:rPr>
                <w:rFonts w:hint="eastAsia" w:hAnsi="宋体"/>
                <w:b/>
                <w:sz w:val="24"/>
                <w:lang w:val="en-US" w:eastAsia="zh-CN"/>
              </w:rPr>
              <w:t>⑴</w:t>
            </w:r>
            <w:r>
              <w:rPr>
                <w:rFonts w:hint="eastAsia" w:hAnsi="宋体"/>
                <w:b/>
                <w:sz w:val="24"/>
                <w:lang w:val="zh-CN"/>
              </w:rPr>
              <w:t xml:space="preserve"> 表土剥离要求</w:t>
            </w:r>
          </w:p>
          <w:p>
            <w:pPr>
              <w:spacing w:line="360" w:lineRule="auto"/>
              <w:ind w:firstLine="480" w:firstLineChars="200"/>
              <w:rPr>
                <w:rFonts w:hAnsi="宋体"/>
                <w:sz w:val="24"/>
                <w:lang w:val="zh-CN"/>
              </w:rPr>
            </w:pPr>
            <w:r>
              <w:rPr>
                <w:rFonts w:hAnsi="宋体"/>
                <w:sz w:val="24"/>
                <w:lang w:val="zh-CN"/>
              </w:rPr>
              <w:t>针对表土剥离，特提出以下措施：</w:t>
            </w:r>
          </w:p>
          <w:p>
            <w:pPr>
              <w:spacing w:line="360" w:lineRule="auto"/>
              <w:ind w:firstLine="482" w:firstLineChars="200"/>
              <w:rPr>
                <w:rFonts w:hAnsi="宋体"/>
                <w:b/>
                <w:sz w:val="24"/>
                <w:lang w:val="zh-CN"/>
              </w:rPr>
            </w:pPr>
            <w:r>
              <w:rPr>
                <w:rFonts w:hint="eastAsia" w:hAnsi="宋体"/>
                <w:b/>
                <w:sz w:val="24"/>
                <w:lang w:val="zh-CN"/>
              </w:rPr>
              <w:t xml:space="preserve">① </w:t>
            </w:r>
            <w:r>
              <w:rPr>
                <w:rFonts w:hAnsi="宋体"/>
                <w:b/>
                <w:sz w:val="24"/>
                <w:lang w:val="zh-CN"/>
              </w:rPr>
              <w:t>表土剥离工艺</w:t>
            </w:r>
          </w:p>
          <w:p>
            <w:pPr>
              <w:spacing w:line="360" w:lineRule="auto"/>
              <w:ind w:firstLine="482" w:firstLineChars="200"/>
              <w:rPr>
                <w:rFonts w:hAnsi="宋体"/>
                <w:b/>
                <w:bCs/>
                <w:sz w:val="24"/>
                <w:lang w:val="zh-CN"/>
              </w:rPr>
            </w:pPr>
            <w:r>
              <w:rPr>
                <w:rFonts w:hint="eastAsia" w:hAnsi="宋体"/>
                <w:b/>
                <w:bCs/>
                <w:sz w:val="24"/>
                <w:lang w:val="zh-CN"/>
              </w:rPr>
              <w:t>a、</w:t>
            </w:r>
            <w:r>
              <w:rPr>
                <w:rFonts w:hAnsi="宋体"/>
                <w:b/>
                <w:bCs/>
                <w:sz w:val="24"/>
                <w:lang w:val="zh-CN"/>
              </w:rPr>
              <w:t>剥离施工机械</w:t>
            </w:r>
          </w:p>
          <w:p>
            <w:pPr>
              <w:spacing w:line="360" w:lineRule="auto"/>
              <w:ind w:firstLine="480" w:firstLineChars="200"/>
              <w:rPr>
                <w:rFonts w:hAnsi="宋体"/>
                <w:sz w:val="24"/>
                <w:lang w:val="zh-CN"/>
              </w:rPr>
            </w:pPr>
            <w:r>
              <w:rPr>
                <w:rFonts w:hAnsi="宋体"/>
                <w:sz w:val="24"/>
                <w:lang w:val="zh-CN"/>
              </w:rPr>
              <w:t>表层土壤剥离一般使用机械施工，</w:t>
            </w:r>
            <w:r>
              <w:rPr>
                <w:rFonts w:hint="eastAsia" w:hAnsi="宋体"/>
                <w:sz w:val="24"/>
                <w:lang w:val="en-US" w:eastAsia="zh-CN"/>
              </w:rPr>
              <w:t>项目</w:t>
            </w:r>
            <w:r>
              <w:rPr>
                <w:rFonts w:hAnsi="宋体"/>
                <w:sz w:val="24"/>
                <w:lang w:val="zh-CN"/>
              </w:rPr>
              <w:t>地表有0.5m左右表土覆盖层，设计采用CE220-6液压挖掘机，斗容1.0m</w:t>
            </w:r>
            <w:r>
              <w:rPr>
                <w:rFonts w:hAnsi="宋体"/>
                <w:sz w:val="24"/>
                <w:vertAlign w:val="superscript"/>
                <w:lang w:val="zh-CN"/>
              </w:rPr>
              <w:t>3</w:t>
            </w:r>
            <w:r>
              <w:rPr>
                <w:rFonts w:hAnsi="宋体"/>
                <w:sz w:val="24"/>
                <w:lang w:val="zh-CN"/>
              </w:rPr>
              <w:t>直接进行挖掘剥离，并铲装10t自卸汽车内，运输至内</w:t>
            </w:r>
            <w:r>
              <w:rPr>
                <w:rFonts w:hint="eastAsia" w:hAnsi="宋体"/>
                <w:sz w:val="24"/>
                <w:lang w:val="en-US" w:eastAsia="zh-CN"/>
              </w:rPr>
              <w:t>设置的弃渣场内设置的表土堆放区域</w:t>
            </w:r>
            <w:r>
              <w:rPr>
                <w:rFonts w:hAnsi="宋体"/>
                <w:sz w:val="24"/>
                <w:lang w:val="zh-CN"/>
              </w:rPr>
              <w:t>进行堆存。</w:t>
            </w:r>
          </w:p>
          <w:p>
            <w:pPr>
              <w:spacing w:line="360" w:lineRule="auto"/>
              <w:ind w:firstLine="482" w:firstLineChars="200"/>
              <w:rPr>
                <w:rFonts w:hAnsi="宋体"/>
                <w:b/>
                <w:bCs/>
                <w:sz w:val="24"/>
                <w:lang w:val="zh-CN"/>
              </w:rPr>
            </w:pPr>
            <w:r>
              <w:rPr>
                <w:rFonts w:hint="eastAsia" w:hAnsi="宋体"/>
                <w:b/>
                <w:bCs/>
                <w:sz w:val="24"/>
                <w:lang w:val="zh-CN"/>
              </w:rPr>
              <w:t>b、</w:t>
            </w:r>
            <w:r>
              <w:rPr>
                <w:rFonts w:hAnsi="宋体"/>
                <w:b/>
                <w:bCs/>
                <w:sz w:val="24"/>
                <w:lang w:val="zh-CN"/>
              </w:rPr>
              <w:t>剥离施工方法</w:t>
            </w:r>
          </w:p>
          <w:p>
            <w:pPr>
              <w:spacing w:line="360" w:lineRule="auto"/>
              <w:ind w:firstLine="480" w:firstLineChars="200"/>
              <w:rPr>
                <w:rFonts w:hAnsi="宋体"/>
                <w:sz w:val="24"/>
                <w:lang w:val="zh-CN"/>
              </w:rPr>
            </w:pPr>
            <w:r>
              <w:rPr>
                <w:rFonts w:hAnsi="宋体"/>
                <w:sz w:val="24"/>
                <w:lang w:val="zh-CN"/>
              </w:rPr>
              <w:t>实施剥离前，应清除土层中较大的树根、石块、垃圾等异物，并运输到剥离单元区外堆存。施工时，可采取推土机直接推土至临时堆放点，部分边角位置采用挖掘机配合进行开挖的方式或采取挖掘机全面剥离方式，剥离完成后用挖掘机配合自卸汽车将耕作层土壤运至内排土场堆放。</w:t>
            </w:r>
          </w:p>
          <w:p>
            <w:pPr>
              <w:spacing w:line="360" w:lineRule="auto"/>
              <w:ind w:firstLine="482" w:firstLineChars="200"/>
              <w:rPr>
                <w:rFonts w:hAnsi="宋体"/>
                <w:b/>
                <w:sz w:val="24"/>
                <w:lang w:val="zh-CN"/>
              </w:rPr>
            </w:pPr>
            <w:r>
              <w:rPr>
                <w:rFonts w:hint="eastAsia" w:hAnsi="宋体"/>
                <w:b/>
                <w:sz w:val="24"/>
                <w:lang w:val="zh-CN"/>
              </w:rPr>
              <w:t xml:space="preserve">② </w:t>
            </w:r>
            <w:r>
              <w:rPr>
                <w:rFonts w:hAnsi="宋体"/>
                <w:b/>
                <w:sz w:val="24"/>
                <w:lang w:val="zh-CN"/>
              </w:rPr>
              <w:t>表土运输工艺</w:t>
            </w:r>
          </w:p>
          <w:p>
            <w:pPr>
              <w:spacing w:line="360" w:lineRule="auto"/>
              <w:ind w:firstLine="480" w:firstLineChars="200"/>
              <w:rPr>
                <w:rFonts w:hAnsi="宋体"/>
                <w:sz w:val="24"/>
                <w:lang w:val="zh-CN"/>
              </w:rPr>
            </w:pPr>
            <w:r>
              <w:rPr>
                <w:rFonts w:hAnsi="宋体"/>
                <w:sz w:val="24"/>
                <w:lang w:val="zh-CN"/>
              </w:rPr>
              <w:t>剥离收集的表层土壤不会立刻使用，应使用汽车运输到内排土场，待使用时再从内排土场运输到指定区域覆土利用。具体实施过程中，应注意以下几点：</w:t>
            </w:r>
          </w:p>
          <w:p>
            <w:pPr>
              <w:spacing w:line="360" w:lineRule="auto"/>
              <w:ind w:firstLine="480" w:firstLineChars="200"/>
              <w:rPr>
                <w:rFonts w:hAnsi="宋体"/>
                <w:sz w:val="24"/>
                <w:lang w:val="zh-CN"/>
              </w:rPr>
            </w:pPr>
            <w:r>
              <w:rPr>
                <w:rFonts w:hint="eastAsia" w:hAnsi="宋体"/>
                <w:sz w:val="24"/>
                <w:lang w:val="zh-CN"/>
              </w:rPr>
              <w:t>a、</w:t>
            </w:r>
            <w:r>
              <w:rPr>
                <w:rFonts w:hAnsi="宋体"/>
                <w:sz w:val="24"/>
                <w:lang w:val="zh-CN"/>
              </w:rPr>
              <w:t>表层土壤剥离后采用自卸汽车运输，同时做好遮盖防止扬尘；</w:t>
            </w:r>
          </w:p>
          <w:p>
            <w:pPr>
              <w:spacing w:line="360" w:lineRule="auto"/>
              <w:ind w:firstLine="480" w:firstLineChars="200"/>
              <w:rPr>
                <w:rFonts w:hAnsi="宋体"/>
                <w:sz w:val="24"/>
                <w:lang w:val="zh-CN"/>
              </w:rPr>
            </w:pPr>
            <w:r>
              <w:rPr>
                <w:rFonts w:hint="eastAsia" w:hAnsi="宋体"/>
                <w:sz w:val="24"/>
                <w:lang w:val="zh-CN"/>
              </w:rPr>
              <w:t>b、</w:t>
            </w:r>
            <w:r>
              <w:rPr>
                <w:rFonts w:hAnsi="宋体"/>
                <w:sz w:val="24"/>
                <w:lang w:val="zh-CN"/>
              </w:rPr>
              <w:t>土壤运输过程中应避免对剥离区土壤的压实；</w:t>
            </w:r>
          </w:p>
          <w:p>
            <w:pPr>
              <w:spacing w:line="360" w:lineRule="auto"/>
              <w:ind w:firstLine="480" w:firstLineChars="200"/>
              <w:rPr>
                <w:rFonts w:hAnsi="宋体"/>
                <w:sz w:val="24"/>
                <w:lang w:val="zh-CN"/>
              </w:rPr>
            </w:pPr>
            <w:r>
              <w:rPr>
                <w:rFonts w:hint="eastAsia" w:hAnsi="宋体"/>
                <w:sz w:val="24"/>
                <w:lang w:val="zh-CN"/>
              </w:rPr>
              <w:t>c、</w:t>
            </w:r>
            <w:r>
              <w:rPr>
                <w:rFonts w:hAnsi="宋体"/>
                <w:sz w:val="24"/>
                <w:lang w:val="zh-CN"/>
              </w:rPr>
              <w:t>禁止在雨天运输土方。</w:t>
            </w:r>
          </w:p>
          <w:p>
            <w:pPr>
              <w:spacing w:line="360" w:lineRule="auto"/>
              <w:ind w:firstLine="482" w:firstLineChars="200"/>
              <w:rPr>
                <w:rFonts w:hAnsi="宋体"/>
                <w:b/>
                <w:sz w:val="24"/>
                <w:lang w:val="zh-CN"/>
              </w:rPr>
            </w:pPr>
            <w:r>
              <w:rPr>
                <w:rFonts w:hint="eastAsia" w:hAnsi="宋体"/>
                <w:b/>
                <w:sz w:val="24"/>
                <w:lang w:val="zh-CN"/>
              </w:rPr>
              <w:t xml:space="preserve">③ </w:t>
            </w:r>
            <w:r>
              <w:rPr>
                <w:rFonts w:hAnsi="宋体"/>
                <w:b/>
                <w:sz w:val="24"/>
                <w:lang w:val="zh-CN"/>
              </w:rPr>
              <w:t>表土储存工艺</w:t>
            </w:r>
          </w:p>
          <w:p>
            <w:pPr>
              <w:spacing w:line="360" w:lineRule="auto"/>
              <w:ind w:firstLine="480" w:firstLineChars="200"/>
              <w:rPr>
                <w:rFonts w:hAnsi="宋体"/>
                <w:sz w:val="24"/>
                <w:lang w:val="zh-CN"/>
              </w:rPr>
            </w:pPr>
            <w:r>
              <w:rPr>
                <w:rFonts w:hAnsi="宋体"/>
                <w:sz w:val="24"/>
                <w:lang w:val="zh-CN"/>
              </w:rPr>
              <w:t>在表土剥离的过程中应该根据表土剥离整体工程的施工进度，有计划、有安排地进行表土剥离。项目表土堆场设置于内排土场，不新增占地。同时考虑了土壤的利用分配方向，都在建设项目附近的区域，与覆土区接近便于取送。</w:t>
            </w:r>
          </w:p>
          <w:p>
            <w:pPr>
              <w:spacing w:line="360" w:lineRule="auto"/>
              <w:ind w:firstLine="482" w:firstLineChars="200"/>
              <w:rPr>
                <w:rFonts w:hAnsi="宋体"/>
                <w:b/>
                <w:sz w:val="24"/>
                <w:lang w:val="zh-CN"/>
              </w:rPr>
            </w:pPr>
            <w:r>
              <w:rPr>
                <w:rFonts w:hint="eastAsia" w:hAnsi="宋体"/>
                <w:b/>
                <w:sz w:val="24"/>
                <w:lang w:val="zh-CN"/>
              </w:rPr>
              <w:t xml:space="preserve">④ </w:t>
            </w:r>
            <w:r>
              <w:rPr>
                <w:rFonts w:hAnsi="宋体"/>
                <w:b/>
                <w:sz w:val="24"/>
                <w:lang w:val="zh-CN"/>
              </w:rPr>
              <w:t>表土堆放的技术要求与防护措施</w:t>
            </w:r>
          </w:p>
          <w:p>
            <w:pPr>
              <w:spacing w:line="360" w:lineRule="auto"/>
              <w:ind w:firstLine="480" w:firstLineChars="200"/>
              <w:rPr>
                <w:rFonts w:hAnsi="宋体"/>
                <w:sz w:val="24"/>
                <w:lang w:val="zh-CN"/>
              </w:rPr>
            </w:pPr>
            <w:r>
              <w:rPr>
                <w:rFonts w:hint="eastAsia" w:hAnsi="宋体"/>
                <w:sz w:val="24"/>
                <w:lang w:val="zh-CN"/>
              </w:rPr>
              <w:t>a、</w:t>
            </w:r>
            <w:r>
              <w:rPr>
                <w:rFonts w:hAnsi="宋体"/>
                <w:sz w:val="24"/>
                <w:lang w:val="zh-CN"/>
              </w:rPr>
              <w:t>在表土堆场，首先利用人工或机械清除储存区范围内的树根、石块、建筑垃圾等异物，并对堆土区域进行压实修整，做到地面平整。</w:t>
            </w:r>
          </w:p>
          <w:p>
            <w:pPr>
              <w:spacing w:line="360" w:lineRule="auto"/>
              <w:ind w:firstLine="480" w:firstLineChars="200"/>
              <w:rPr>
                <w:rFonts w:hAnsi="宋体"/>
                <w:sz w:val="24"/>
                <w:lang w:val="zh-CN"/>
              </w:rPr>
            </w:pPr>
            <w:r>
              <w:rPr>
                <w:rFonts w:hint="eastAsia" w:hAnsi="宋体"/>
                <w:sz w:val="24"/>
                <w:lang w:val="zh-CN"/>
              </w:rPr>
              <w:t>b、</w:t>
            </w:r>
            <w:r>
              <w:rPr>
                <w:rFonts w:hAnsi="宋体"/>
                <w:sz w:val="24"/>
                <w:lang w:val="zh-CN"/>
              </w:rPr>
              <w:t>土方堆放应由里向外进行，自卸汽车后退行驶并将土壤倾倒于距入口最远的地方，依次向入口推进。禁止运输机械对已堆放土壤的碾压，以免破坏剥离表土的土壤特性。</w:t>
            </w:r>
          </w:p>
          <w:p>
            <w:pPr>
              <w:spacing w:line="360" w:lineRule="auto"/>
              <w:ind w:firstLine="480" w:firstLineChars="200"/>
              <w:rPr>
                <w:rFonts w:hAnsi="宋体"/>
                <w:sz w:val="24"/>
                <w:lang w:val="zh-CN"/>
              </w:rPr>
            </w:pPr>
            <w:r>
              <w:rPr>
                <w:rFonts w:hint="eastAsia" w:hAnsi="宋体"/>
                <w:sz w:val="24"/>
                <w:lang w:val="zh-CN"/>
              </w:rPr>
              <w:t>c、</w:t>
            </w:r>
            <w:r>
              <w:rPr>
                <w:rFonts w:hAnsi="宋体"/>
                <w:sz w:val="24"/>
                <w:lang w:val="zh-CN"/>
              </w:rPr>
              <w:t>四周设置临时排水沟和临时沉砂</w:t>
            </w:r>
            <w:r>
              <w:rPr>
                <w:rFonts w:hint="eastAsia" w:hAnsi="宋体"/>
                <w:sz w:val="24"/>
                <w:lang w:val="zh-CN"/>
              </w:rPr>
              <w:t>凼</w:t>
            </w:r>
            <w:r>
              <w:rPr>
                <w:rFonts w:hAnsi="宋体"/>
                <w:sz w:val="24"/>
                <w:lang w:val="zh-CN"/>
              </w:rPr>
              <w:t>，排水沟和沉砂池采用人工拍实。</w:t>
            </w:r>
          </w:p>
          <w:p>
            <w:pPr>
              <w:spacing w:line="360" w:lineRule="auto"/>
              <w:ind w:firstLine="480" w:firstLineChars="200"/>
              <w:rPr>
                <w:rFonts w:hAnsi="宋体"/>
                <w:sz w:val="24"/>
                <w:lang w:val="zh-CN"/>
              </w:rPr>
            </w:pPr>
            <w:r>
              <w:rPr>
                <w:rFonts w:hint="eastAsia" w:hAnsi="宋体"/>
                <w:sz w:val="24"/>
                <w:lang w:val="zh-CN"/>
              </w:rPr>
              <w:t>d、</w:t>
            </w:r>
            <w:r>
              <w:rPr>
                <w:rFonts w:hAnsi="宋体"/>
                <w:sz w:val="24"/>
                <w:lang w:val="zh-CN"/>
              </w:rPr>
              <w:t>为防止土表土堆放过程中对周边造成影响，堆放过程中产生水土流失，本方案考虑在排土场周围设置临时拦挡，采用高×宽=1.0m×1.2m土袋拦挡。</w:t>
            </w:r>
          </w:p>
          <w:p>
            <w:pPr>
              <w:spacing w:line="360" w:lineRule="auto"/>
              <w:ind w:firstLine="480" w:firstLineChars="200"/>
              <w:rPr>
                <w:rFonts w:hAnsi="宋体"/>
                <w:sz w:val="24"/>
                <w:lang w:val="zh-CN"/>
              </w:rPr>
            </w:pPr>
            <w:r>
              <w:rPr>
                <w:rFonts w:hint="eastAsia" w:hAnsi="宋体"/>
                <w:sz w:val="24"/>
                <w:lang w:val="zh-CN"/>
              </w:rPr>
              <w:t>e、</w:t>
            </w:r>
            <w:r>
              <w:rPr>
                <w:rFonts w:hint="eastAsia" w:hAnsi="宋体"/>
                <w:sz w:val="24"/>
                <w:lang w:val="en-US" w:eastAsia="zh-CN"/>
              </w:rPr>
              <w:t>为避免</w:t>
            </w:r>
            <w:r>
              <w:rPr>
                <w:rFonts w:hAnsi="宋体"/>
                <w:sz w:val="24"/>
                <w:lang w:val="zh-CN"/>
              </w:rPr>
              <w:t>下雨造成径流冲刷，产生较大的水土流失，因此要求在下雨前对其采取临时覆盖措施，</w:t>
            </w:r>
            <w:r>
              <w:rPr>
                <w:rFonts w:hint="eastAsia" w:hAnsi="宋体"/>
                <w:sz w:val="24"/>
                <w:lang w:val="en-US" w:eastAsia="zh-CN"/>
              </w:rPr>
              <w:t>建议采取</w:t>
            </w:r>
            <w:r>
              <w:rPr>
                <w:rFonts w:hAnsi="宋体"/>
                <w:sz w:val="24"/>
                <w:lang w:val="zh-CN"/>
              </w:rPr>
              <w:t>塑料防雨布</w:t>
            </w:r>
            <w:r>
              <w:rPr>
                <w:rFonts w:hint="eastAsia" w:hAnsi="宋体"/>
                <w:sz w:val="24"/>
                <w:lang w:val="en-US" w:eastAsia="zh-CN"/>
              </w:rPr>
              <w:t>进行临时覆盖</w:t>
            </w:r>
            <w:r>
              <w:rPr>
                <w:rFonts w:hAnsi="宋体"/>
                <w:sz w:val="24"/>
                <w:lang w:val="zh-CN"/>
              </w:rPr>
              <w:t>。</w:t>
            </w:r>
          </w:p>
          <w:p>
            <w:pPr>
              <w:spacing w:line="360" w:lineRule="auto"/>
              <w:ind w:firstLine="482" w:firstLineChars="200"/>
              <w:rPr>
                <w:rFonts w:hAnsi="宋体"/>
                <w:b/>
                <w:sz w:val="24"/>
                <w:lang w:val="zh-CN"/>
              </w:rPr>
            </w:pPr>
            <w:r>
              <w:rPr>
                <w:rFonts w:hint="eastAsia" w:hAnsi="宋体"/>
                <w:b/>
                <w:sz w:val="24"/>
                <w:lang w:val="zh-CN"/>
              </w:rPr>
              <w:t xml:space="preserve">⑤ </w:t>
            </w:r>
            <w:r>
              <w:rPr>
                <w:rFonts w:hAnsi="宋体"/>
                <w:b/>
                <w:sz w:val="24"/>
                <w:lang w:val="zh-CN"/>
              </w:rPr>
              <w:t>耕作层土壤回覆利用工艺</w:t>
            </w:r>
          </w:p>
          <w:p>
            <w:pPr>
              <w:spacing w:line="360" w:lineRule="auto"/>
              <w:ind w:firstLine="480" w:firstLineChars="200"/>
              <w:rPr>
                <w:rFonts w:hAnsi="宋体"/>
                <w:sz w:val="24"/>
                <w:lang w:val="zh-CN"/>
              </w:rPr>
            </w:pPr>
            <w:r>
              <w:rPr>
                <w:rFonts w:hAnsi="宋体"/>
                <w:sz w:val="24"/>
                <w:lang w:val="zh-CN"/>
              </w:rPr>
              <w:t>表土回覆利用要点如下：</w:t>
            </w:r>
          </w:p>
          <w:p>
            <w:pPr>
              <w:spacing w:line="360" w:lineRule="auto"/>
              <w:ind w:firstLine="480" w:firstLineChars="200"/>
              <w:rPr>
                <w:rFonts w:hAnsi="宋体"/>
                <w:sz w:val="24"/>
                <w:lang w:val="zh-CN"/>
              </w:rPr>
            </w:pPr>
            <w:r>
              <w:rPr>
                <w:rFonts w:hint="eastAsia" w:hAnsi="宋体"/>
                <w:sz w:val="24"/>
                <w:lang w:val="zh-CN"/>
              </w:rPr>
              <w:t>a、</w:t>
            </w:r>
            <w:r>
              <w:rPr>
                <w:rFonts w:hAnsi="宋体"/>
                <w:sz w:val="24"/>
                <w:lang w:val="zh-CN"/>
              </w:rPr>
              <w:t>根据回覆区块设计要求，确定每个回覆单元的覆土范围和厚度。</w:t>
            </w:r>
          </w:p>
          <w:p>
            <w:pPr>
              <w:spacing w:line="360" w:lineRule="auto"/>
              <w:ind w:firstLine="480" w:firstLineChars="200"/>
              <w:rPr>
                <w:rFonts w:hAnsi="宋体"/>
                <w:sz w:val="24"/>
                <w:lang w:val="zh-CN"/>
              </w:rPr>
            </w:pPr>
            <w:r>
              <w:rPr>
                <w:rFonts w:hint="eastAsia" w:hAnsi="宋体"/>
                <w:sz w:val="24"/>
                <w:lang w:val="zh-CN"/>
              </w:rPr>
              <w:t>b、</w:t>
            </w:r>
            <w:r>
              <w:rPr>
                <w:rFonts w:hAnsi="宋体"/>
                <w:sz w:val="24"/>
                <w:lang w:val="zh-CN"/>
              </w:rPr>
              <w:t>清除回覆区域内土壤中的树根、大石块、建筑物垃圾等杂物，保证回覆区的清洁。</w:t>
            </w:r>
          </w:p>
          <w:p>
            <w:pPr>
              <w:spacing w:line="360" w:lineRule="auto"/>
              <w:ind w:firstLine="480" w:firstLineChars="200"/>
              <w:rPr>
                <w:rFonts w:hAnsi="宋体"/>
                <w:sz w:val="24"/>
                <w:lang w:val="zh-CN"/>
              </w:rPr>
            </w:pPr>
            <w:r>
              <w:rPr>
                <w:rFonts w:hint="eastAsia" w:hAnsi="宋体"/>
                <w:sz w:val="24"/>
                <w:lang w:val="zh-CN"/>
              </w:rPr>
              <w:t>c、</w:t>
            </w:r>
            <w:r>
              <w:rPr>
                <w:rFonts w:hAnsi="宋体"/>
                <w:sz w:val="24"/>
                <w:lang w:val="zh-CN"/>
              </w:rPr>
              <w:t>由于土壤回覆区是林地，应确保肥力高于接纳区域的土壤肥力，需先将原地面整平，直接把表层土壤平铺在接纳区域的耕作层之上。</w:t>
            </w:r>
          </w:p>
          <w:p>
            <w:pPr>
              <w:spacing w:line="360" w:lineRule="auto"/>
              <w:ind w:firstLine="480" w:firstLineChars="200"/>
              <w:rPr>
                <w:rFonts w:hAnsi="宋体"/>
                <w:sz w:val="24"/>
                <w:lang w:val="zh-CN"/>
              </w:rPr>
            </w:pPr>
            <w:r>
              <w:rPr>
                <w:rFonts w:hint="eastAsia" w:hAnsi="宋体"/>
                <w:sz w:val="24"/>
                <w:lang w:val="zh-CN"/>
              </w:rPr>
              <w:t>d、</w:t>
            </w:r>
            <w:r>
              <w:rPr>
                <w:rFonts w:hAnsi="宋体"/>
                <w:sz w:val="24"/>
                <w:lang w:val="zh-CN"/>
              </w:rPr>
              <w:t>临时用地利用完毕后应先铲除地表泥结石层，然后回填表土进行全面整地，全面整地后地面高度应与周边相一致，以利于复耕。</w:t>
            </w:r>
          </w:p>
          <w:p>
            <w:pPr>
              <w:spacing w:line="360" w:lineRule="auto"/>
              <w:ind w:firstLine="480" w:firstLineChars="200"/>
              <w:rPr>
                <w:rFonts w:hAnsi="宋体"/>
                <w:sz w:val="24"/>
                <w:lang w:val="zh-CN"/>
              </w:rPr>
            </w:pPr>
            <w:r>
              <w:rPr>
                <w:rFonts w:hint="eastAsia" w:hAnsi="宋体"/>
                <w:sz w:val="24"/>
                <w:lang w:val="zh-CN"/>
              </w:rPr>
              <w:t>e、</w:t>
            </w:r>
            <w:r>
              <w:rPr>
                <w:rFonts w:hAnsi="宋体"/>
                <w:sz w:val="24"/>
                <w:lang w:val="zh-CN"/>
              </w:rPr>
              <w:t>表土回覆应在土壤干湿条件适宜的情况下进行，摊铺厚度以满足设计覆土厚度为准。边卸土边摊铺，在摊铺完成后，采用荷重较低的大型机械或耙犁进行平整。当覆土厚度不满足耕作层厚度时，应用人工进行局部修复。</w:t>
            </w:r>
          </w:p>
          <w:p>
            <w:pPr>
              <w:spacing w:line="360" w:lineRule="auto"/>
              <w:ind w:firstLine="482" w:firstLineChars="200"/>
              <w:rPr>
                <w:rFonts w:hint="eastAsia" w:hAnsi="宋体"/>
                <w:b/>
                <w:sz w:val="24"/>
                <w:lang w:val="en-US" w:eastAsia="zh-CN"/>
              </w:rPr>
            </w:pPr>
            <w:r>
              <w:rPr>
                <w:rFonts w:hint="eastAsia" w:hAnsi="宋体"/>
                <w:b/>
                <w:sz w:val="24"/>
                <w:lang w:val="en-US" w:eastAsia="zh-CN"/>
              </w:rPr>
              <w:t>3、临时占用基本农田的迹地恢复措施</w:t>
            </w:r>
          </w:p>
          <w:p>
            <w:pPr>
              <w:pStyle w:val="61"/>
              <w:ind w:firstLine="482" w:firstLineChars="200"/>
              <w:rPr>
                <w:rFonts w:hint="default" w:hAnsi="宋体"/>
                <w:b/>
                <w:bCs/>
                <w:color w:val="0000FF"/>
                <w:lang w:val="en-US" w:eastAsia="zh-CN"/>
              </w:rPr>
            </w:pPr>
            <w:r>
              <w:rPr>
                <w:rFonts w:hint="eastAsia" w:hAnsi="宋体"/>
                <w:b/>
                <w:bCs/>
                <w:color w:val="0000FF"/>
                <w:lang w:val="en-US" w:eastAsia="zh-CN"/>
              </w:rPr>
              <w:t>⑴ 相关要求</w:t>
            </w:r>
          </w:p>
          <w:p>
            <w:pPr>
              <w:pStyle w:val="61"/>
              <w:ind w:firstLine="480" w:firstLineChars="200"/>
              <w:rPr>
                <w:rFonts w:hint="eastAsia" w:hAnsi="宋体"/>
                <w:color w:val="0000FF"/>
                <w:lang w:val="en-US" w:eastAsia="zh-CN"/>
              </w:rPr>
            </w:pPr>
            <w:r>
              <w:rPr>
                <w:rFonts w:hint="eastAsia" w:hAnsi="宋体"/>
                <w:color w:val="0000FF"/>
                <w:lang w:val="en-US" w:eastAsia="zh-CN"/>
              </w:rPr>
              <w:t>根据《基本农田保护条例》中有关要求：</w:t>
            </w:r>
          </w:p>
          <w:p>
            <w:pPr>
              <w:pStyle w:val="61"/>
              <w:ind w:firstLine="480" w:firstLineChars="200"/>
              <w:rPr>
                <w:rFonts w:hint="eastAsia" w:hAnsi="宋体"/>
                <w:i/>
                <w:color w:val="0000FF"/>
                <w:lang w:val="en-US" w:eastAsia="zh-CN"/>
              </w:rPr>
            </w:pPr>
            <w:r>
              <w:rPr>
                <w:rFonts w:hint="eastAsia" w:hAnsi="宋体"/>
                <w:i/>
                <w:color w:val="0000FF"/>
                <w:lang w:val="en-US" w:eastAsia="zh-CN"/>
              </w:rPr>
              <w:t>第十五条 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pPr>
              <w:pStyle w:val="61"/>
              <w:ind w:firstLine="480" w:firstLineChars="200"/>
              <w:rPr>
                <w:rFonts w:hint="eastAsia" w:hAnsi="宋体"/>
                <w:i/>
                <w:color w:val="0000FF"/>
                <w:lang w:val="en-US" w:eastAsia="zh-CN"/>
              </w:rPr>
            </w:pPr>
            <w:r>
              <w:rPr>
                <w:rFonts w:hint="eastAsia" w:hAnsi="宋体"/>
                <w:i/>
                <w:color w:val="0000FF"/>
                <w:lang w:val="en-US" w:eastAsia="zh-CN"/>
              </w:rPr>
              <w:t>第十六条 经国务院批准占用基本农田的，当地人民政府应当按照国务院的批准文件修改土地利用总体规划，并补充划入数量和质量相当的基本农田。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pPr>
              <w:pStyle w:val="61"/>
              <w:adjustRightInd/>
              <w:ind w:firstLine="480" w:firstLineChars="200"/>
              <w:jc w:val="both"/>
              <w:rPr>
                <w:rFonts w:hint="eastAsia" w:hAnsi="宋体"/>
                <w:i/>
                <w:color w:val="0000FF"/>
                <w:lang w:eastAsia="zh-CN"/>
              </w:rPr>
            </w:pPr>
            <w:r>
              <w:rPr>
                <w:rFonts w:hint="eastAsia" w:hAnsi="宋体"/>
                <w:i/>
                <w:color w:val="0000FF"/>
                <w:lang w:val="en-US" w:eastAsia="zh-CN"/>
              </w:rPr>
              <w:t>占用基本农田的单位应当按照县级以上地方人民政府的要求，将所占用基本农田耕作层的土壤用于新开垦耕地、劣质地或者其他耕地的土壤改良。</w:t>
            </w:r>
          </w:p>
          <w:p>
            <w:pPr>
              <w:pStyle w:val="61"/>
              <w:ind w:firstLine="480" w:firstLineChars="200"/>
              <w:rPr>
                <w:bCs/>
                <w:color w:val="0000FF"/>
                <w:szCs w:val="24"/>
                <w:lang w:val="en-US" w:eastAsia="zh-CN"/>
              </w:rPr>
            </w:pPr>
            <w:r>
              <w:rPr>
                <w:rFonts w:hint="eastAsia" w:hAnsi="宋体"/>
                <w:color w:val="0000FF"/>
                <w:lang w:eastAsia="zh-CN"/>
              </w:rPr>
              <w:t>因此，</w:t>
            </w:r>
            <w:r>
              <w:rPr>
                <w:rFonts w:hAnsi="宋体"/>
                <w:color w:val="0000FF"/>
                <w:lang w:val="en-US" w:eastAsia="zh-CN"/>
              </w:rPr>
              <w:t>对于项目</w:t>
            </w:r>
            <w:r>
              <w:rPr>
                <w:rFonts w:hint="eastAsia" w:hAnsi="宋体"/>
                <w:color w:val="0000FF"/>
                <w:lang w:val="en-US" w:eastAsia="zh-CN"/>
              </w:rPr>
              <w:t>临时需要</w:t>
            </w:r>
            <w:r>
              <w:rPr>
                <w:rFonts w:hAnsi="宋体"/>
                <w:color w:val="0000FF"/>
                <w:lang w:val="en-US" w:eastAsia="zh-CN"/>
              </w:rPr>
              <w:t>占用的基本农田</w:t>
            </w:r>
            <w:r>
              <w:rPr>
                <w:rFonts w:hint="eastAsia" w:hAnsi="宋体"/>
                <w:color w:val="0000FF"/>
                <w:lang w:val="en-US" w:eastAsia="zh-CN"/>
              </w:rPr>
              <w:t>，</w:t>
            </w:r>
            <w:r>
              <w:rPr>
                <w:rFonts w:hAnsi="宋体"/>
                <w:color w:val="0000FF"/>
                <w:lang w:val="en-US" w:eastAsia="zh-CN"/>
              </w:rPr>
              <w:t>应按照</w:t>
            </w:r>
            <w:r>
              <w:rPr>
                <w:rFonts w:hint="eastAsia" w:hAnsi="宋体"/>
                <w:color w:val="0000FF"/>
                <w:lang w:val="en-US" w:eastAsia="zh-CN"/>
              </w:rPr>
              <w:t>相关要求办理征用手续，并编制占补平衡方案。对此，评价要求项目在占用签需取得合法的用地手续。</w:t>
            </w:r>
          </w:p>
          <w:p>
            <w:pPr>
              <w:spacing w:line="360" w:lineRule="auto"/>
              <w:ind w:firstLine="482" w:firstLineChars="200"/>
              <w:rPr>
                <w:rFonts w:hint="eastAsia" w:ascii="宋体" w:hAnsi="宋体"/>
                <w:b/>
                <w:bCs/>
                <w:sz w:val="24"/>
              </w:rPr>
            </w:pPr>
            <w:r>
              <w:rPr>
                <w:rFonts w:hint="eastAsia" w:ascii="宋体" w:hAnsi="宋体"/>
                <w:b/>
                <w:bCs/>
                <w:sz w:val="24"/>
                <w:lang w:val="en-US" w:eastAsia="zh-CN"/>
              </w:rPr>
              <w:t>⑵</w:t>
            </w:r>
            <w:r>
              <w:rPr>
                <w:rFonts w:hint="eastAsia" w:ascii="宋体" w:hAnsi="宋体"/>
                <w:b/>
                <w:bCs/>
                <w:sz w:val="24"/>
              </w:rPr>
              <w:t xml:space="preserve"> </w:t>
            </w:r>
            <w:r>
              <w:rPr>
                <w:rFonts w:ascii="宋体" w:hAnsi="宋体"/>
                <w:b/>
                <w:bCs/>
                <w:sz w:val="24"/>
              </w:rPr>
              <w:t>临时占用农田复垦方案</w:t>
            </w:r>
          </w:p>
          <w:p>
            <w:pPr>
              <w:spacing w:line="360" w:lineRule="auto"/>
              <w:ind w:firstLine="482" w:firstLineChars="200"/>
              <w:rPr>
                <w:rFonts w:ascii="宋体" w:hAnsi="宋体" w:cs="宋体"/>
                <w:sz w:val="24"/>
              </w:rPr>
            </w:pPr>
            <w:r>
              <w:rPr>
                <w:rFonts w:ascii="宋体" w:hAnsi="宋体"/>
                <w:b/>
                <w:bCs/>
                <w:sz w:val="24"/>
              </w:rPr>
              <w:t>① 项目复垦主要内容</w:t>
            </w:r>
          </w:p>
          <w:p>
            <w:pPr>
              <w:spacing w:line="360" w:lineRule="auto"/>
              <w:ind w:firstLine="480" w:firstLineChars="200"/>
              <w:rPr>
                <w:color w:val="0000FF"/>
                <w:sz w:val="24"/>
              </w:rPr>
            </w:pPr>
            <w:r>
              <w:rPr>
                <w:color w:val="0000FF"/>
                <w:sz w:val="24"/>
              </w:rPr>
              <w:t>临时用地复垦应事先与当地有关部分联系，确定其今后的用途。如留有他用，应给予留下；如需恢复原状复垦方案进行复垦。本项目复垦主要工作内容包括施工便道</w:t>
            </w:r>
            <w:r>
              <w:rPr>
                <w:rFonts w:hint="eastAsia"/>
                <w:color w:val="0000FF"/>
                <w:sz w:val="24"/>
              </w:rPr>
              <w:t>、</w:t>
            </w:r>
            <w:r>
              <w:rPr>
                <w:color w:val="0000FF"/>
                <w:sz w:val="24"/>
              </w:rPr>
              <w:t>施工场地等临时用地范围内的临建设施，清除表层石渣等杂物，回填种植土、场地平整，恢复原有生产等。</w:t>
            </w:r>
          </w:p>
          <w:p>
            <w:pPr>
              <w:spacing w:line="360" w:lineRule="auto"/>
              <w:ind w:firstLine="480" w:firstLineChars="200"/>
              <w:rPr>
                <w:rFonts w:hint="eastAsia"/>
                <w:color w:val="0000FF"/>
                <w:sz w:val="24"/>
              </w:rPr>
            </w:pPr>
            <w:r>
              <w:rPr>
                <w:rFonts w:hint="eastAsia"/>
                <w:color w:val="0000FF"/>
                <w:sz w:val="24"/>
              </w:rPr>
              <w:t>② 施工方案</w:t>
            </w:r>
          </w:p>
          <w:p>
            <w:pPr>
              <w:spacing w:line="360" w:lineRule="auto"/>
              <w:ind w:firstLine="480" w:firstLineChars="200"/>
              <w:rPr>
                <w:rFonts w:hint="eastAsia" w:ascii="宋体" w:hAnsi="宋体"/>
                <w:color w:val="0000FF"/>
                <w:sz w:val="24"/>
              </w:rPr>
            </w:pPr>
            <w:r>
              <w:rPr>
                <w:rFonts w:ascii="宋体" w:hAnsi="宋体"/>
                <w:color w:val="0000FF"/>
                <w:sz w:val="24"/>
              </w:rPr>
              <w:t>在复垦前先做好复垦准备，复垦时先清除场地上的所有</w:t>
            </w:r>
            <w:r>
              <w:rPr>
                <w:rFonts w:hint="eastAsia" w:ascii="宋体" w:hAnsi="宋体"/>
                <w:color w:val="0000FF"/>
                <w:sz w:val="24"/>
              </w:rPr>
              <w:t>临时</w:t>
            </w:r>
            <w:r>
              <w:rPr>
                <w:rFonts w:ascii="宋体" w:hAnsi="宋体"/>
                <w:color w:val="0000FF"/>
                <w:sz w:val="24"/>
              </w:rPr>
              <w:t>设施，将施工前准备好的种植土均匀地铺设在场地内。施工方案简述如下：</w:t>
            </w:r>
          </w:p>
          <w:p>
            <w:pPr>
              <w:spacing w:line="360" w:lineRule="auto"/>
              <w:ind w:firstLine="480" w:firstLineChars="200"/>
              <w:rPr>
                <w:rFonts w:hint="eastAsia" w:ascii="宋体" w:hAnsi="宋体"/>
                <w:color w:val="0000FF"/>
                <w:sz w:val="24"/>
              </w:rPr>
            </w:pPr>
            <w:r>
              <w:rPr>
                <w:rFonts w:ascii="宋体" w:hAnsi="宋体"/>
                <w:color w:val="0000FF"/>
                <w:sz w:val="24"/>
              </w:rPr>
              <w:t>A</w:t>
            </w:r>
            <w:r>
              <w:rPr>
                <w:rFonts w:hint="eastAsia" w:ascii="宋体" w:hAnsi="宋体"/>
                <w:color w:val="0000FF"/>
                <w:sz w:val="24"/>
              </w:rPr>
              <w:t>、</w:t>
            </w:r>
            <w:r>
              <w:rPr>
                <w:rFonts w:ascii="宋体" w:hAnsi="宋体"/>
                <w:color w:val="0000FF"/>
                <w:sz w:val="24"/>
              </w:rPr>
              <w:t>施工准备</w:t>
            </w:r>
            <w:r>
              <w:rPr>
                <w:rFonts w:hint="eastAsia" w:ascii="宋体" w:hAnsi="宋体"/>
                <w:color w:val="0000FF"/>
                <w:sz w:val="24"/>
              </w:rPr>
              <w:t>：</w:t>
            </w:r>
            <w:r>
              <w:rPr>
                <w:rFonts w:ascii="宋体" w:hAnsi="宋体"/>
                <w:color w:val="0000FF"/>
                <w:sz w:val="24"/>
              </w:rPr>
              <w:t>施工前按方案组织人员到场</w:t>
            </w:r>
            <w:r>
              <w:rPr>
                <w:rFonts w:hint="eastAsia" w:ascii="宋体" w:hAnsi="宋体"/>
                <w:color w:val="0000FF"/>
                <w:sz w:val="24"/>
              </w:rPr>
              <w:t>，</w:t>
            </w:r>
            <w:r>
              <w:rPr>
                <w:rFonts w:ascii="宋体" w:hAnsi="宋体"/>
                <w:color w:val="0000FF"/>
                <w:sz w:val="24"/>
              </w:rPr>
              <w:t>施工中使用的机械设备到场并运转正常，确定合理的拆除方案</w:t>
            </w:r>
            <w:r>
              <w:rPr>
                <w:rFonts w:hint="eastAsia" w:ascii="宋体" w:hAnsi="宋体"/>
                <w:color w:val="0000FF"/>
                <w:sz w:val="24"/>
              </w:rPr>
              <w:t>，</w:t>
            </w:r>
            <w:r>
              <w:rPr>
                <w:rFonts w:ascii="宋体" w:hAnsi="宋体"/>
                <w:color w:val="0000FF"/>
                <w:sz w:val="24"/>
              </w:rPr>
              <w:t>确保施工顺利进行。</w:t>
            </w:r>
          </w:p>
          <w:p>
            <w:pPr>
              <w:spacing w:line="360" w:lineRule="auto"/>
              <w:ind w:firstLine="480" w:firstLineChars="200"/>
              <w:rPr>
                <w:rFonts w:hint="eastAsia" w:ascii="宋体" w:hAnsi="宋体"/>
                <w:color w:val="0000FF"/>
                <w:sz w:val="24"/>
              </w:rPr>
            </w:pPr>
            <w:r>
              <w:rPr>
                <w:rFonts w:ascii="宋体" w:hAnsi="宋体"/>
                <w:color w:val="0000FF"/>
                <w:sz w:val="24"/>
              </w:rPr>
              <w:t>B</w:t>
            </w:r>
            <w:r>
              <w:rPr>
                <w:rFonts w:hint="eastAsia" w:ascii="宋体" w:hAnsi="宋体"/>
                <w:color w:val="0000FF"/>
                <w:sz w:val="24"/>
              </w:rPr>
              <w:t>、</w:t>
            </w:r>
            <w:r>
              <w:rPr>
                <w:rFonts w:ascii="宋体" w:hAnsi="宋体"/>
                <w:color w:val="0000FF"/>
                <w:sz w:val="24"/>
              </w:rPr>
              <w:t>场区内设施拆除</w:t>
            </w:r>
            <w:r>
              <w:rPr>
                <w:rFonts w:hint="eastAsia" w:ascii="宋体" w:hAnsi="宋体"/>
                <w:color w:val="0000FF"/>
                <w:sz w:val="24"/>
              </w:rPr>
              <w:t>：</w:t>
            </w:r>
            <w:r>
              <w:rPr>
                <w:rFonts w:ascii="宋体" w:hAnsi="宋体"/>
                <w:color w:val="0000FF"/>
                <w:sz w:val="24"/>
              </w:rPr>
              <w:t>在拆除施工时，在场区道路与既有道路连接处竖立明显的标志和施工告示牌，禁止非施工用的任何车辆进入，防治发生安全事故。占地上的所有设施、设备等全部拆除，将垃圾清除干净，运输到</w:t>
            </w:r>
            <w:r>
              <w:rPr>
                <w:rFonts w:hint="eastAsia" w:ascii="宋体" w:hAnsi="宋体"/>
                <w:color w:val="0000FF"/>
                <w:sz w:val="24"/>
              </w:rPr>
              <w:t>政府</w:t>
            </w:r>
            <w:r>
              <w:rPr>
                <w:rFonts w:ascii="宋体" w:hAnsi="宋体"/>
                <w:color w:val="0000FF"/>
                <w:sz w:val="24"/>
              </w:rPr>
              <w:t>部门指定地点。</w:t>
            </w:r>
          </w:p>
          <w:p>
            <w:pPr>
              <w:spacing w:line="360" w:lineRule="auto"/>
              <w:ind w:firstLine="480" w:firstLineChars="200"/>
              <w:rPr>
                <w:rFonts w:ascii="宋体" w:hAnsi="宋体"/>
                <w:color w:val="0000FF"/>
                <w:sz w:val="24"/>
              </w:rPr>
            </w:pPr>
            <w:r>
              <w:rPr>
                <w:rFonts w:ascii="宋体" w:hAnsi="宋体"/>
                <w:color w:val="0000FF"/>
                <w:sz w:val="24"/>
              </w:rPr>
              <w:t>C</w:t>
            </w:r>
            <w:r>
              <w:rPr>
                <w:rFonts w:hint="eastAsia" w:ascii="宋体" w:hAnsi="宋体"/>
                <w:color w:val="0000FF"/>
                <w:sz w:val="24"/>
              </w:rPr>
              <w:t>、</w:t>
            </w:r>
            <w:r>
              <w:rPr>
                <w:rFonts w:ascii="宋体" w:hAnsi="宋体"/>
                <w:color w:val="0000FF"/>
                <w:sz w:val="24"/>
              </w:rPr>
              <w:t>翻松原状土</w:t>
            </w:r>
            <w:r>
              <w:rPr>
                <w:rFonts w:hint="eastAsia" w:ascii="宋体" w:hAnsi="宋体"/>
                <w:color w:val="0000FF"/>
                <w:sz w:val="24"/>
              </w:rPr>
              <w:t>：</w:t>
            </w:r>
            <w:r>
              <w:rPr>
                <w:rFonts w:ascii="宋体" w:hAnsi="宋体"/>
                <w:color w:val="0000FF"/>
                <w:sz w:val="24"/>
              </w:rPr>
              <w:t>挖掘机将路面上的杂物清除干净，用旋耕机将施工作业带中压实的原状土翻松。来回翻松不少于两次，深度不小于 50cm</w:t>
            </w:r>
            <w:r>
              <w:rPr>
                <w:rFonts w:hint="eastAsia" w:ascii="宋体" w:hAnsi="宋体"/>
                <w:color w:val="0000FF"/>
                <w:sz w:val="24"/>
              </w:rPr>
              <w:t>。</w:t>
            </w:r>
          </w:p>
          <w:p>
            <w:pPr>
              <w:spacing w:line="360" w:lineRule="auto"/>
              <w:ind w:firstLine="480" w:firstLineChars="200"/>
              <w:rPr>
                <w:rFonts w:hint="eastAsia"/>
                <w:color w:val="0000FF"/>
              </w:rPr>
            </w:pPr>
            <w:r>
              <w:rPr>
                <w:rStyle w:val="54"/>
                <w:rFonts w:hint="default"/>
                <w:color w:val="0000FF"/>
              </w:rPr>
              <w:t>D、平整场地</w:t>
            </w:r>
            <w:r>
              <w:rPr>
                <w:rFonts w:hint="eastAsia"/>
                <w:color w:val="0000FF"/>
              </w:rPr>
              <w:t>：</w:t>
            </w:r>
            <w:r>
              <w:rPr>
                <w:rStyle w:val="54"/>
                <w:rFonts w:hint="default"/>
                <w:color w:val="0000FF"/>
              </w:rPr>
              <w:t>土地平整过程是复垦工作的主要工作内容之一，本复垦规划采取的平整工程包括覆土回填、平整。</w:t>
            </w:r>
          </w:p>
          <w:p>
            <w:pPr>
              <w:spacing w:line="360" w:lineRule="auto"/>
              <w:ind w:firstLine="480" w:firstLineChars="200"/>
              <w:rPr>
                <w:rStyle w:val="54"/>
                <w:rFonts w:hint="default"/>
              </w:rPr>
            </w:pPr>
            <w:r>
              <w:rPr>
                <w:rStyle w:val="54"/>
                <w:rFonts w:hint="default"/>
              </w:rPr>
              <w:t>E、覆土回填：利用原剥离表土回填，回填厚度0.6m，以满足耕作耕种需求。</w:t>
            </w:r>
            <w:r>
              <w:rPr>
                <w:rStyle w:val="54"/>
                <w:rFonts w:hint="default"/>
              </w:rPr>
              <w:br w:type="textWrapping"/>
            </w:r>
            <w:r>
              <w:rPr>
                <w:rStyle w:val="54"/>
                <w:rFonts w:hint="default"/>
              </w:rPr>
              <w:t>刚复垦后的土地由于肥力、土壤构成等原因，所形成的生态植被系统还比较脆弱，不利于植物生长，影响复垦效果。结合当地农村养殖普遍，有充足的有机肥源的特点，可施用有机肥、厩肥和配施一定量的化肥来提高地力，确保快速实现复耕。通过施用有机肥和化肥，改善土壤结构，增加有机质含量，提高植物养分利用率。同时在施用有机肥的同时，添加微生物腐熟菌剂，加速有机质分解，加快有机质熟化，快速培肥土壤，土壤培肥期限耕地为三年。年施用量为商品有机肥 3000kg/公顷，无机肥 3300kg/公顷。</w:t>
            </w:r>
          </w:p>
          <w:p>
            <w:pPr>
              <w:spacing w:line="360" w:lineRule="auto"/>
              <w:ind w:firstLine="480" w:firstLineChars="200"/>
              <w:rPr>
                <w:rStyle w:val="54"/>
                <w:rFonts w:hint="default" w:ascii="Times New Roman" w:hAnsi="Times New Roman"/>
                <w:sz w:val="21"/>
              </w:rPr>
            </w:pPr>
            <w:r>
              <w:rPr>
                <w:rStyle w:val="54"/>
                <w:rFonts w:hint="default"/>
              </w:rPr>
              <w:t>F、摊铺种植土：在原状土摊铺整平并检查合格后开始摊铺种植土，摊铺厚度不小于 50cm，分为两次摊铺。第一层摊铺厚度为 30cm，第二层摊铺厚度为 20cm。每层填筑前根据填土厚度和运输车辆装载数量用石灰画方格，每格卸一车，用推土机将种植土推平，在推平的过程中，人工再推平区域巡回检查，来回旋耕不少于 3 次，但必须将翻松的原状土和种植土搅拌均匀，搅拌后的用平地机整平。</w:t>
            </w:r>
          </w:p>
          <w:p>
            <w:pPr>
              <w:spacing w:line="360" w:lineRule="auto"/>
              <w:ind w:firstLine="480" w:firstLineChars="200"/>
              <w:rPr>
                <w:rStyle w:val="54"/>
                <w:rFonts w:hint="default"/>
              </w:rPr>
            </w:pPr>
            <w:r>
              <w:rPr>
                <w:rStyle w:val="54"/>
                <w:rFonts w:hint="default"/>
              </w:rPr>
              <w:t>g、恢复灌溉及生产道路沟渠、道路等所有占地均按照原有规划进行恢复，人工修筑农田灌溉渠，确保农田灌溉顺畅。</w:t>
            </w:r>
          </w:p>
          <w:p>
            <w:pPr>
              <w:spacing w:line="360" w:lineRule="auto"/>
              <w:ind w:firstLine="480" w:firstLineChars="200"/>
              <w:rPr>
                <w:rFonts w:hint="eastAsia"/>
              </w:rPr>
            </w:pPr>
            <w:r>
              <w:rPr>
                <w:rStyle w:val="54"/>
                <w:rFonts w:hint="default"/>
              </w:rPr>
              <w:t>H、复垦土地的验收</w:t>
            </w:r>
            <w:r>
              <w:rPr>
                <w:rFonts w:hint="eastAsia"/>
              </w:rPr>
              <w:t>：</w:t>
            </w:r>
            <w:r>
              <w:rPr>
                <w:rStyle w:val="54"/>
                <w:rFonts w:hint="default"/>
              </w:rPr>
              <w:t>土地复垦完成后，各项工序均完成，由当地相关部门施工单位参加验收，验收通过后交予当地使用。</w:t>
            </w:r>
          </w:p>
          <w:p>
            <w:pPr>
              <w:spacing w:line="360" w:lineRule="auto"/>
              <w:ind w:firstLine="482" w:firstLineChars="200"/>
              <w:rPr>
                <w:rFonts w:hint="eastAsia"/>
                <w:color w:val="0000FF"/>
              </w:rPr>
            </w:pPr>
            <w:r>
              <w:rPr>
                <w:rFonts w:hint="eastAsia" w:ascii="宋体" w:hAnsi="宋体"/>
                <w:b/>
                <w:bCs/>
                <w:color w:val="0000FF"/>
                <w:sz w:val="24"/>
              </w:rPr>
              <w:t xml:space="preserve">⑶ </w:t>
            </w:r>
            <w:r>
              <w:rPr>
                <w:rFonts w:ascii="宋体" w:hAnsi="宋体"/>
                <w:b/>
                <w:bCs/>
                <w:color w:val="0000FF"/>
                <w:sz w:val="24"/>
              </w:rPr>
              <w:t>耕地复垦质量要求</w:t>
            </w:r>
          </w:p>
          <w:p>
            <w:pPr>
              <w:spacing w:line="360" w:lineRule="auto"/>
              <w:ind w:firstLine="480" w:firstLineChars="200"/>
              <w:rPr>
                <w:rStyle w:val="54"/>
                <w:rFonts w:hint="default"/>
                <w:color w:val="0000FF"/>
              </w:rPr>
            </w:pPr>
            <w:r>
              <w:rPr>
                <w:rStyle w:val="54"/>
                <w:rFonts w:hint="default"/>
                <w:color w:val="0000FF"/>
              </w:rPr>
              <w:t>工程应按照土地复垦方案的相关要求进行复垦，复垦时可混合基肥或土壤改良剂以利于植草。耕植土应均匀回填并夯压整平，回填整平之后尽快植草以防耕植土流失。复垦后应达到《土地复垦质量控制标准》（TD/T1036-2013）中规定的要求。即：</w:t>
            </w:r>
          </w:p>
          <w:p>
            <w:pPr>
              <w:spacing w:line="360" w:lineRule="auto"/>
              <w:ind w:firstLine="480" w:firstLineChars="200"/>
              <w:rPr>
                <w:rStyle w:val="54"/>
                <w:rFonts w:hint="default"/>
                <w:color w:val="0000FF"/>
              </w:rPr>
            </w:pPr>
            <w:r>
              <w:rPr>
                <w:rStyle w:val="54"/>
                <w:rFonts w:hint="default"/>
                <w:color w:val="0000FF"/>
              </w:rPr>
              <w:t>a、旱地田面坡度不得超过25°，复垦地为水浇地、水田时，地面坡度不宜超15°。</w:t>
            </w:r>
          </w:p>
          <w:p>
            <w:pPr>
              <w:spacing w:line="360" w:lineRule="auto"/>
              <w:ind w:firstLine="480" w:firstLineChars="200"/>
              <w:rPr>
                <w:rFonts w:hint="default" w:hAnsi="宋体"/>
                <w:sz w:val="24"/>
                <w:lang w:val="en-US" w:eastAsia="zh-CN"/>
              </w:rPr>
            </w:pPr>
            <w:r>
              <w:rPr>
                <w:rStyle w:val="54"/>
                <w:rFonts w:hint="default"/>
                <w:color w:val="0000FF"/>
              </w:rPr>
              <w:t>b、有效土层厚度大于40cm，土壤具有较好的肥力，土壤环境质量符合《土壤环境质量 农用地土壤污染风险管控标准（试行）》（GB-15618-2018）农用地土壤污染风险筛选限值。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3" w:type="dxa"/>
            <w:vAlign w:val="center"/>
          </w:tcPr>
          <w:p>
            <w:pPr>
              <w:adjustRightInd w:val="0"/>
              <w:snapToGrid w:val="0"/>
              <w:jc w:val="center"/>
              <w:rPr>
                <w:rFonts w:ascii="宋体" w:hAnsi="宋体" w:cs="宋体"/>
                <w:bCs/>
                <w:spacing w:val="10"/>
                <w:szCs w:val="21"/>
              </w:rPr>
            </w:pPr>
            <w:r>
              <w:rPr>
                <w:rFonts w:hint="eastAsia" w:ascii="宋体" w:hAnsi="宋体"/>
                <w:bCs/>
                <w:szCs w:val="21"/>
              </w:rPr>
              <w:t>环保投资</w:t>
            </w:r>
          </w:p>
        </w:tc>
        <w:tc>
          <w:tcPr>
            <w:tcW w:w="8457" w:type="dxa"/>
            <w:vAlign w:val="top"/>
          </w:tcPr>
          <w:p>
            <w:pPr>
              <w:spacing w:line="360" w:lineRule="auto"/>
              <w:rPr>
                <w:rFonts w:hAnsi="宋体"/>
                <w:b/>
                <w:sz w:val="24"/>
                <w:lang w:val="zh-CN"/>
              </w:rPr>
            </w:pPr>
            <w:r>
              <w:rPr>
                <w:rFonts w:hint="eastAsia" w:hAnsi="宋体"/>
                <w:b/>
                <w:sz w:val="24"/>
                <w:lang w:val="zh-CN"/>
              </w:rPr>
              <w:t>一、</w:t>
            </w:r>
            <w:r>
              <w:rPr>
                <w:rFonts w:hAnsi="宋体"/>
                <w:b/>
                <w:sz w:val="24"/>
                <w:lang w:val="zh-CN"/>
              </w:rPr>
              <w:t>环保投资估算</w:t>
            </w:r>
          </w:p>
          <w:p>
            <w:pPr>
              <w:spacing w:line="360" w:lineRule="auto"/>
              <w:ind w:firstLine="470" w:firstLineChars="196"/>
              <w:rPr>
                <w:rFonts w:hAnsi="宋体"/>
                <w:sz w:val="24"/>
              </w:rPr>
            </w:pPr>
            <w:r>
              <w:rPr>
                <w:rFonts w:hAnsi="宋体"/>
                <w:sz w:val="24"/>
              </w:rPr>
              <w:t>拟建工程环保投资为</w:t>
            </w:r>
            <w:r>
              <w:rPr>
                <w:rFonts w:hint="eastAsia"/>
                <w:sz w:val="24"/>
              </w:rPr>
              <w:t>1</w:t>
            </w:r>
            <w:r>
              <w:rPr>
                <w:rFonts w:hint="eastAsia"/>
                <w:sz w:val="24"/>
                <w:lang w:val="en-US" w:eastAsia="zh-CN"/>
              </w:rPr>
              <w:t>28.35</w:t>
            </w:r>
            <w:r>
              <w:rPr>
                <w:rFonts w:hAnsi="宋体"/>
                <w:sz w:val="24"/>
              </w:rPr>
              <w:t>万元，占工程总投资</w:t>
            </w:r>
            <w:r>
              <w:rPr>
                <w:rFonts w:hint="eastAsia"/>
                <w:sz w:val="24"/>
                <w:lang w:val="en-US" w:eastAsia="zh-CN"/>
              </w:rPr>
              <w:t>17200</w:t>
            </w:r>
            <w:r>
              <w:rPr>
                <w:rFonts w:hAnsi="宋体"/>
                <w:sz w:val="24"/>
              </w:rPr>
              <w:t>万元的</w:t>
            </w:r>
            <w:r>
              <w:rPr>
                <w:rFonts w:hint="eastAsia" w:hAnsi="宋体"/>
                <w:sz w:val="24"/>
                <w:lang w:val="en-US" w:eastAsia="zh-CN"/>
              </w:rPr>
              <w:t>0.75</w:t>
            </w:r>
            <w:r>
              <w:rPr>
                <w:sz w:val="24"/>
              </w:rPr>
              <w:t>%</w:t>
            </w:r>
            <w:r>
              <w:rPr>
                <w:rFonts w:hAnsi="宋体"/>
                <w:sz w:val="24"/>
              </w:rPr>
              <w:t>。本项目环保措施及投资估算见表</w:t>
            </w:r>
            <w:r>
              <w:rPr>
                <w:rFonts w:hint="eastAsia"/>
                <w:sz w:val="24"/>
              </w:rPr>
              <w:t>5</w:t>
            </w:r>
            <w:r>
              <w:rPr>
                <w:sz w:val="24"/>
              </w:rPr>
              <w:t>-</w:t>
            </w:r>
            <w:r>
              <w:rPr>
                <w:rFonts w:hint="eastAsia"/>
                <w:sz w:val="24"/>
                <w:lang w:val="en-US" w:eastAsia="zh-CN"/>
              </w:rPr>
              <w:t>3</w:t>
            </w:r>
            <w:r>
              <w:rPr>
                <w:rFonts w:hAnsi="宋体"/>
                <w:sz w:val="24"/>
              </w:rPr>
              <w:t>。</w:t>
            </w:r>
          </w:p>
          <w:p>
            <w:pPr>
              <w:adjustRightInd w:val="0"/>
              <w:spacing w:line="360" w:lineRule="auto"/>
              <w:jc w:val="center"/>
              <w:textAlignment w:val="baseline"/>
              <w:rPr>
                <w:rFonts w:hAnsi="宋体"/>
                <w:b/>
                <w:szCs w:val="21"/>
              </w:rPr>
            </w:pPr>
            <w:r>
              <w:rPr>
                <w:rFonts w:hAnsi="宋体"/>
                <w:b/>
                <w:szCs w:val="21"/>
              </w:rPr>
              <w:t>表</w:t>
            </w:r>
            <w:r>
              <w:rPr>
                <w:rFonts w:hint="eastAsia"/>
                <w:b/>
                <w:szCs w:val="21"/>
              </w:rPr>
              <w:t>5</w:t>
            </w:r>
            <w:r>
              <w:rPr>
                <w:b/>
                <w:szCs w:val="21"/>
              </w:rPr>
              <w:t>-</w:t>
            </w:r>
            <w:r>
              <w:rPr>
                <w:rFonts w:hint="eastAsia"/>
                <w:b/>
                <w:szCs w:val="21"/>
                <w:lang w:val="en-US" w:eastAsia="zh-CN"/>
              </w:rPr>
              <w:t>3</w:t>
            </w:r>
            <w:r>
              <w:rPr>
                <w:rFonts w:hint="eastAsia"/>
                <w:b/>
                <w:szCs w:val="21"/>
              </w:rPr>
              <w:t xml:space="preserve">   </w:t>
            </w:r>
            <w:r>
              <w:rPr>
                <w:rFonts w:hAnsi="宋体"/>
                <w:b/>
                <w:szCs w:val="21"/>
              </w:rPr>
              <w:t>本工程环保总投资估算表</w:t>
            </w:r>
            <w:r>
              <w:rPr>
                <w:rFonts w:hint="eastAsia" w:hAnsi="宋体"/>
                <w:b/>
                <w:szCs w:val="21"/>
                <w:lang w:val="en-US" w:eastAsia="zh-CN"/>
              </w:rPr>
              <w:t xml:space="preserve">    </w:t>
            </w:r>
            <w:r>
              <w:rPr>
                <w:rFonts w:hAnsi="宋体"/>
                <w:b/>
                <w:szCs w:val="21"/>
              </w:rPr>
              <w:t>单位：万元</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135"/>
              <w:gridCol w:w="5"/>
              <w:gridCol w:w="426"/>
              <w:gridCol w:w="493"/>
              <w:gridCol w:w="1749"/>
              <w:gridCol w:w="446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289" w:type="dxa"/>
                  <w:gridSpan w:val="6"/>
                  <w:noWrap w:val="0"/>
                  <w:vAlign w:val="center"/>
                </w:tcPr>
                <w:p>
                  <w:pPr>
                    <w:spacing w:line="240" w:lineRule="auto"/>
                    <w:ind w:right="-20"/>
                    <w:jc w:val="center"/>
                    <w:rPr>
                      <w:rFonts w:hint="default" w:ascii="Arial" w:hAnsi="Arial" w:eastAsia="宋体" w:cs="Arial"/>
                      <w:b/>
                      <w:color w:val="auto"/>
                      <w:sz w:val="21"/>
                      <w:szCs w:val="21"/>
                    </w:rPr>
                  </w:pPr>
                  <w:r>
                    <w:rPr>
                      <w:rFonts w:hint="default" w:ascii="Arial" w:hAnsi="Arial" w:eastAsia="宋体" w:cs="Arial"/>
                      <w:b/>
                      <w:color w:val="auto"/>
                      <w:sz w:val="21"/>
                      <w:szCs w:val="21"/>
                    </w:rPr>
                    <w:t>项目</w:t>
                  </w:r>
                </w:p>
              </w:tc>
              <w:tc>
                <w:tcPr>
                  <w:tcW w:w="4465" w:type="dxa"/>
                  <w:noWrap w:val="0"/>
                  <w:vAlign w:val="center"/>
                </w:tcPr>
                <w:p>
                  <w:pPr>
                    <w:spacing w:line="240" w:lineRule="auto"/>
                    <w:ind w:right="-20"/>
                    <w:jc w:val="center"/>
                    <w:rPr>
                      <w:rFonts w:hint="default" w:ascii="Arial" w:hAnsi="Arial" w:eastAsia="宋体" w:cs="Arial"/>
                      <w:b/>
                      <w:color w:val="auto"/>
                      <w:sz w:val="21"/>
                      <w:szCs w:val="21"/>
                    </w:rPr>
                  </w:pPr>
                  <w:r>
                    <w:rPr>
                      <w:rFonts w:hint="default" w:ascii="Arial" w:hAnsi="Arial" w:eastAsia="宋体" w:cs="Arial"/>
                      <w:b/>
                      <w:color w:val="auto"/>
                      <w:sz w:val="21"/>
                      <w:szCs w:val="21"/>
                    </w:rPr>
                    <w:t>内容</w:t>
                  </w:r>
                </w:p>
              </w:tc>
              <w:tc>
                <w:tcPr>
                  <w:tcW w:w="1076" w:type="dxa"/>
                  <w:noWrap w:val="0"/>
                  <w:vAlign w:val="center"/>
                </w:tcPr>
                <w:p>
                  <w:pPr>
                    <w:spacing w:line="240" w:lineRule="auto"/>
                    <w:ind w:left="0" w:leftChars="0" w:right="-20" w:firstLine="0" w:firstLineChars="0"/>
                    <w:jc w:val="center"/>
                    <w:rPr>
                      <w:rFonts w:hint="default" w:ascii="Arial" w:hAnsi="Arial" w:eastAsia="宋体" w:cs="Arial"/>
                      <w:b/>
                      <w:color w:val="auto"/>
                      <w:sz w:val="21"/>
                      <w:szCs w:val="21"/>
                    </w:rPr>
                  </w:pPr>
                  <w:r>
                    <w:rPr>
                      <w:rFonts w:hint="default" w:ascii="Arial" w:hAnsi="Arial" w:eastAsia="宋体" w:cs="Arial"/>
                      <w:b/>
                      <w:color w:val="auto"/>
                      <w:sz w:val="21"/>
                      <w:szCs w:val="21"/>
                    </w:rPr>
                    <w:t>投资</w:t>
                  </w:r>
                </w:p>
                <w:p>
                  <w:pPr>
                    <w:spacing w:line="240" w:lineRule="auto"/>
                    <w:ind w:left="0" w:leftChars="0" w:right="-20" w:firstLine="0" w:firstLineChars="0"/>
                    <w:jc w:val="center"/>
                    <w:rPr>
                      <w:rFonts w:hint="default" w:ascii="Arial" w:hAnsi="Arial" w:eastAsia="宋体" w:cs="Arial"/>
                      <w:b/>
                      <w:color w:val="auto"/>
                      <w:sz w:val="21"/>
                      <w:szCs w:val="21"/>
                      <w:lang w:eastAsia="zh-CN"/>
                    </w:rPr>
                  </w:pPr>
                  <w:r>
                    <w:rPr>
                      <w:rFonts w:hint="default" w:ascii="Arial" w:hAnsi="Arial" w:eastAsia="宋体" w:cs="Arial"/>
                      <w:b/>
                      <w:color w:val="auto"/>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81" w:type="dxa"/>
                  <w:vMerge w:val="restart"/>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废</w:t>
                  </w:r>
                </w:p>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水</w:t>
                  </w:r>
                </w:p>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处</w:t>
                  </w:r>
                </w:p>
                <w:p>
                  <w:pPr>
                    <w:spacing w:line="240" w:lineRule="auto"/>
                    <w:ind w:left="0" w:leftChars="0" w:right="-20" w:firstLine="0" w:firstLineChars="0"/>
                    <w:jc w:val="center"/>
                    <w:rPr>
                      <w:rFonts w:hint="default" w:ascii="Arial" w:hAnsi="Arial" w:eastAsia="宋体" w:cs="Arial"/>
                      <w:b/>
                      <w:bCs/>
                      <w:color w:val="auto"/>
                      <w:sz w:val="21"/>
                      <w:szCs w:val="21"/>
                      <w:highlight w:val="yellow"/>
                    </w:rPr>
                  </w:pPr>
                  <w:r>
                    <w:rPr>
                      <w:rFonts w:hint="default" w:ascii="Arial" w:hAnsi="Arial" w:eastAsia="宋体" w:cs="Arial"/>
                      <w:b/>
                      <w:bCs/>
                      <w:color w:val="auto"/>
                      <w:sz w:val="21"/>
                      <w:szCs w:val="21"/>
                    </w:rPr>
                    <w:t>理</w:t>
                  </w:r>
                </w:p>
              </w:tc>
              <w:tc>
                <w:tcPr>
                  <w:tcW w:w="566" w:type="dxa"/>
                  <w:gridSpan w:val="3"/>
                  <w:vMerge w:val="restart"/>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枢纽工程</w:t>
                  </w:r>
                </w:p>
              </w:tc>
              <w:tc>
                <w:tcPr>
                  <w:tcW w:w="493" w:type="dxa"/>
                  <w:vMerge w:val="restart"/>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施</w:t>
                  </w:r>
                </w:p>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工</w:t>
                  </w:r>
                </w:p>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期</w:t>
                  </w: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混凝土拌</w:t>
                  </w:r>
                </w:p>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和废水</w:t>
                  </w:r>
                </w:p>
              </w:tc>
              <w:tc>
                <w:tcPr>
                  <w:tcW w:w="44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设置1座沉淀池，采用矩形设计，设计尺寸(长×宽×高)2.0m×1.0m×1.3m，静置沉淀时间达6h以上沉淀清液用于混凝土拌和，沉淀运至渣场</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493"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设备冲洗废水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spacing w:val="0"/>
                      <w:position w:val="0"/>
                      <w:sz w:val="21"/>
                      <w:szCs w:val="21"/>
                    </w:rPr>
                    <w:t>施工场地设置简易</w:t>
                  </w:r>
                  <w:r>
                    <w:rPr>
                      <w:rFonts w:hint="default" w:ascii="Arial" w:hAnsi="Arial" w:eastAsia="宋体" w:cs="Arial"/>
                      <w:spacing w:val="0"/>
                      <w:position w:val="0"/>
                      <w:sz w:val="21"/>
                      <w:szCs w:val="21"/>
                      <w:lang w:val="en-US" w:eastAsia="zh-CN"/>
                    </w:rPr>
                    <w:t>隔油</w:t>
                  </w:r>
                  <w:r>
                    <w:rPr>
                      <w:rFonts w:hint="default" w:ascii="Arial" w:hAnsi="Arial" w:eastAsia="宋体" w:cs="Arial"/>
                      <w:spacing w:val="0"/>
                      <w:position w:val="0"/>
                      <w:sz w:val="21"/>
                      <w:szCs w:val="21"/>
                    </w:rPr>
                    <w:t>沉淀池（50m</w:t>
                  </w:r>
                  <w:r>
                    <w:rPr>
                      <w:rFonts w:hint="default" w:ascii="Arial" w:hAnsi="Arial" w:eastAsia="宋体" w:cs="Arial"/>
                      <w:spacing w:val="0"/>
                      <w:position w:val="0"/>
                      <w:sz w:val="21"/>
                      <w:szCs w:val="21"/>
                      <w:vertAlign w:val="superscript"/>
                    </w:rPr>
                    <w:t>3</w:t>
                  </w:r>
                  <w:r>
                    <w:rPr>
                      <w:rFonts w:hint="default" w:ascii="Arial" w:hAnsi="Arial" w:eastAsia="宋体" w:cs="Arial"/>
                      <w:spacing w:val="0"/>
                      <w:position w:val="0"/>
                      <w:sz w:val="21"/>
                      <w:szCs w:val="21"/>
                    </w:rPr>
                    <w:t>）对施工过程中产生的设备冲洗废水进行沉淀处理，处理后的设备冲洗废水应回用于施工洒水降尘、周边区域绿化等过程，不得外排</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493"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大坝基座灌浆冲洗钻孔废水及混凝土养护废水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spacing w:val="0"/>
                      <w:position w:val="0"/>
                      <w:sz w:val="21"/>
                      <w:szCs w:val="21"/>
                    </w:rPr>
                  </w:pPr>
                  <w:r>
                    <w:rPr>
                      <w:rFonts w:hint="default" w:ascii="Arial" w:hAnsi="Arial" w:eastAsia="宋体" w:cs="Arial"/>
                      <w:spacing w:val="0"/>
                      <w:position w:val="0"/>
                      <w:sz w:val="21"/>
                      <w:szCs w:val="21"/>
                    </w:rPr>
                    <w:t>大坝基座下游设置1座10m</w:t>
                  </w:r>
                  <w:r>
                    <w:rPr>
                      <w:rFonts w:hint="default" w:ascii="Arial" w:hAnsi="Arial" w:eastAsia="宋体" w:cs="Arial"/>
                      <w:spacing w:val="0"/>
                      <w:position w:val="0"/>
                      <w:sz w:val="21"/>
                      <w:szCs w:val="21"/>
                      <w:vertAlign w:val="superscript"/>
                    </w:rPr>
                    <w:t>3</w:t>
                  </w:r>
                  <w:r>
                    <w:rPr>
                      <w:rFonts w:hint="default" w:ascii="Arial" w:hAnsi="Arial" w:eastAsia="宋体" w:cs="Arial"/>
                      <w:spacing w:val="0"/>
                      <w:position w:val="0"/>
                      <w:sz w:val="21"/>
                      <w:szCs w:val="21"/>
                    </w:rPr>
                    <w:t>的沉淀池，池体内壁采用防渗水泥，对灌浆冲洗钻孔废水及混凝土养护废水进行收集处理，沉淀之后的上清液用于洒水降尘使用，施工完毕后拆除</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6"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493"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基坑排水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spacing w:val="0"/>
                      <w:position w:val="0"/>
                      <w:sz w:val="21"/>
                      <w:szCs w:val="21"/>
                    </w:rPr>
                  </w:pPr>
                  <w:r>
                    <w:rPr>
                      <w:rFonts w:hint="default" w:ascii="Arial" w:hAnsi="Arial" w:eastAsia="宋体" w:cs="Arial"/>
                      <w:spacing w:val="0"/>
                      <w:position w:val="0"/>
                      <w:sz w:val="21"/>
                      <w:szCs w:val="21"/>
                    </w:rPr>
                    <w:t>在基坑地势低洼处开挖沉淀池（5m</w:t>
                  </w:r>
                  <w:r>
                    <w:rPr>
                      <w:rFonts w:hint="default" w:ascii="Arial" w:hAnsi="Arial" w:eastAsia="宋体" w:cs="Arial"/>
                      <w:spacing w:val="0"/>
                      <w:position w:val="0"/>
                      <w:sz w:val="21"/>
                      <w:szCs w:val="21"/>
                      <w:vertAlign w:val="superscript"/>
                    </w:rPr>
                    <w:t>3</w:t>
                  </w:r>
                  <w:r>
                    <w:rPr>
                      <w:rFonts w:hint="default" w:ascii="Arial" w:hAnsi="Arial" w:eastAsia="宋体" w:cs="Arial"/>
                      <w:spacing w:val="0"/>
                      <w:position w:val="0"/>
                      <w:sz w:val="21"/>
                      <w:szCs w:val="21"/>
                    </w:rPr>
                    <w:t>），沉淀后上清液用于施工洒水、道路降尘等过程中，不外排</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493"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生活污水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配备三个简易旱厕收集后定期清理用作农肥</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p>
              </w:tc>
              <w:tc>
                <w:tcPr>
                  <w:tcW w:w="493"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运</w:t>
                  </w:r>
                </w:p>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行期</w:t>
                  </w: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1"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restart"/>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灌区工程</w:t>
                  </w:r>
                </w:p>
              </w:tc>
              <w:tc>
                <w:tcPr>
                  <w:tcW w:w="493" w:type="dxa"/>
                  <w:vMerge w:val="restart"/>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施</w:t>
                  </w:r>
                </w:p>
                <w:p>
                  <w:pPr>
                    <w:widowControl/>
                    <w:spacing w:line="240" w:lineRule="auto"/>
                    <w:ind w:left="0" w:leftChars="0" w:firstLine="0" w:firstLineChars="0"/>
                    <w:jc w:val="both"/>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工</w:t>
                  </w:r>
                </w:p>
                <w:p>
                  <w:pPr>
                    <w:widowControl/>
                    <w:spacing w:line="240" w:lineRule="auto"/>
                    <w:ind w:left="0" w:leftChars="0" w:firstLine="0" w:firstLineChars="0"/>
                    <w:jc w:val="both"/>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期</w:t>
                  </w: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混凝土拌和废水</w:t>
                  </w:r>
                </w:p>
              </w:tc>
              <w:tc>
                <w:tcPr>
                  <w:tcW w:w="44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设置1座沉淀池，采用矩形设计，设计尺寸(长×宽×高)2.0m×1.0m×1.3m，静置沉淀时间达6h以上沉淀清液用于混凝土拌和，沉淀运至渣场</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spacing w:line="240" w:lineRule="auto"/>
                    <w:ind w:left="0" w:leftChars="0" w:right="-20" w:firstLine="0" w:firstLineChars="0"/>
                    <w:jc w:val="both"/>
                    <w:rPr>
                      <w:rFonts w:hint="default" w:ascii="Arial" w:hAnsi="Arial" w:eastAsia="宋体" w:cs="Arial"/>
                      <w:color w:val="auto"/>
                      <w:sz w:val="21"/>
                      <w:szCs w:val="21"/>
                      <w:highlight w:val="none"/>
                      <w:shd w:val="clear"/>
                      <w:lang w:eastAsia="zh-CN"/>
                    </w:rPr>
                  </w:pPr>
                </w:p>
              </w:tc>
              <w:tc>
                <w:tcPr>
                  <w:tcW w:w="493" w:type="dxa"/>
                  <w:vMerge w:val="continue"/>
                  <w:noWrap w:val="0"/>
                  <w:vAlign w:val="center"/>
                </w:tcPr>
                <w:p>
                  <w:pPr>
                    <w:spacing w:line="240" w:lineRule="auto"/>
                    <w:ind w:left="0" w:leftChars="0" w:right="-20" w:rightChars="0" w:firstLine="0" w:firstLineChars="0"/>
                    <w:jc w:val="center"/>
                    <w:rPr>
                      <w:rFonts w:hint="default" w:ascii="Arial" w:hAnsi="Arial" w:eastAsia="宋体" w:cs="Arial"/>
                      <w:color w:val="auto"/>
                      <w:sz w:val="21"/>
                      <w:szCs w:val="21"/>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spacing w:val="2"/>
                      <w:position w:val="-1"/>
                      <w:sz w:val="21"/>
                      <w:szCs w:val="21"/>
                      <w:lang w:eastAsia="zh-CN"/>
                    </w:rPr>
                  </w:pPr>
                  <w:r>
                    <w:rPr>
                      <w:rFonts w:hint="default" w:ascii="Arial" w:hAnsi="Arial" w:eastAsia="宋体" w:cs="Arial"/>
                      <w:color w:val="auto"/>
                      <w:kern w:val="0"/>
                      <w:sz w:val="21"/>
                      <w:szCs w:val="21"/>
                      <w:lang w:val="en-US" w:eastAsia="zh-CN"/>
                    </w:rPr>
                    <w:t>管道试压废水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spacing w:val="2"/>
                      <w:position w:val="-1"/>
                      <w:sz w:val="21"/>
                      <w:szCs w:val="21"/>
                      <w:lang w:val="en-US" w:eastAsia="zh-CN"/>
                    </w:rPr>
                  </w:pPr>
                  <w:r>
                    <w:rPr>
                      <w:rFonts w:hint="default" w:ascii="Arial" w:hAnsi="Arial" w:eastAsia="宋体" w:cs="Arial"/>
                      <w:spacing w:val="0"/>
                      <w:position w:val="0"/>
                      <w:sz w:val="21"/>
                      <w:szCs w:val="21"/>
                    </w:rPr>
                    <w:t>在管道末端设置简易沉淀池（5m</w:t>
                  </w:r>
                  <w:r>
                    <w:rPr>
                      <w:rFonts w:hint="default" w:ascii="Arial" w:hAnsi="Arial" w:eastAsia="宋体" w:cs="Arial"/>
                      <w:spacing w:val="0"/>
                      <w:position w:val="0"/>
                      <w:sz w:val="21"/>
                      <w:szCs w:val="21"/>
                      <w:vertAlign w:val="superscript"/>
                    </w:rPr>
                    <w:t>3</w:t>
                  </w:r>
                  <w:r>
                    <w:rPr>
                      <w:rFonts w:hint="default" w:ascii="Arial" w:hAnsi="Arial" w:eastAsia="宋体" w:cs="Arial"/>
                      <w:spacing w:val="0"/>
                      <w:position w:val="0"/>
                      <w:sz w:val="21"/>
                      <w:szCs w:val="21"/>
                    </w:rPr>
                    <w:t>）沉淀后</w:t>
                  </w:r>
                  <w:r>
                    <w:rPr>
                      <w:rFonts w:hint="default" w:ascii="Arial" w:hAnsi="Arial" w:eastAsia="宋体" w:cs="Arial"/>
                      <w:spacing w:val="0"/>
                      <w:position w:val="0"/>
                      <w:sz w:val="21"/>
                      <w:szCs w:val="21"/>
                      <w:lang w:val="en-US" w:eastAsia="zh-CN"/>
                    </w:rPr>
                    <w:t>用于项目附近洒水降尘的使用</w:t>
                  </w:r>
                  <w:r>
                    <w:rPr>
                      <w:rFonts w:hint="default" w:ascii="Arial" w:hAnsi="Arial" w:eastAsia="宋体" w:cs="Arial"/>
                      <w:spacing w:val="0"/>
                      <w:position w:val="0"/>
                      <w:sz w:val="21"/>
                      <w:szCs w:val="21"/>
                    </w:rPr>
                    <w:t>，不外排</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481" w:type="dxa"/>
                  <w:vMerge w:val="continue"/>
                  <w:noWrap w:val="0"/>
                  <w:vAlign w:val="center"/>
                </w:tcPr>
                <w:p>
                  <w:pPr>
                    <w:spacing w:line="240" w:lineRule="auto"/>
                    <w:ind w:right="-20"/>
                    <w:jc w:val="center"/>
                    <w:rPr>
                      <w:rFonts w:hint="default" w:ascii="Arial" w:hAnsi="Arial" w:eastAsia="宋体" w:cs="Arial"/>
                      <w:color w:val="auto"/>
                      <w:sz w:val="21"/>
                      <w:szCs w:val="21"/>
                      <w:highlight w:val="yellow"/>
                    </w:rPr>
                  </w:pPr>
                </w:p>
              </w:tc>
              <w:tc>
                <w:tcPr>
                  <w:tcW w:w="566" w:type="dxa"/>
                  <w:gridSpan w:val="3"/>
                  <w:vMerge w:val="continue"/>
                  <w:noWrap w:val="0"/>
                  <w:vAlign w:val="center"/>
                </w:tcPr>
                <w:p>
                  <w:pPr>
                    <w:spacing w:line="240" w:lineRule="auto"/>
                    <w:ind w:left="0" w:leftChars="0" w:right="-20" w:firstLine="0" w:firstLineChars="0"/>
                    <w:jc w:val="both"/>
                    <w:rPr>
                      <w:rFonts w:hint="default" w:ascii="Arial" w:hAnsi="Arial" w:eastAsia="宋体" w:cs="Arial"/>
                      <w:color w:val="auto"/>
                      <w:sz w:val="21"/>
                      <w:szCs w:val="21"/>
                      <w:highlight w:val="none"/>
                      <w:shd w:val="clear"/>
                      <w:lang w:eastAsia="zh-CN"/>
                    </w:rPr>
                  </w:pPr>
                </w:p>
              </w:tc>
              <w:tc>
                <w:tcPr>
                  <w:tcW w:w="493" w:type="dxa"/>
                  <w:vMerge w:val="continue"/>
                  <w:noWrap w:val="0"/>
                  <w:vAlign w:val="center"/>
                </w:tcPr>
                <w:p>
                  <w:pPr>
                    <w:spacing w:line="240" w:lineRule="auto"/>
                    <w:ind w:left="0" w:leftChars="0" w:right="-20" w:rightChars="0" w:firstLine="0" w:firstLineChars="0"/>
                    <w:jc w:val="center"/>
                    <w:rPr>
                      <w:rFonts w:hint="default" w:ascii="Arial" w:hAnsi="Arial" w:eastAsia="宋体" w:cs="Arial"/>
                      <w:color w:val="auto"/>
                      <w:sz w:val="21"/>
                      <w:szCs w:val="21"/>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生活污水</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灌区工程在工区附近配备2个简易旱厕</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481" w:type="dxa"/>
                  <w:vMerge w:val="restart"/>
                  <w:noWrap w:val="0"/>
                  <w:vAlign w:val="center"/>
                </w:tcPr>
                <w:p>
                  <w:pPr>
                    <w:spacing w:line="240" w:lineRule="auto"/>
                    <w:ind w:left="0" w:leftChars="0" w:right="-20" w:firstLine="0" w:firstLineChars="0"/>
                    <w:jc w:val="both"/>
                    <w:rPr>
                      <w:rFonts w:hint="default" w:ascii="Arial" w:hAnsi="Arial" w:eastAsia="宋体" w:cs="Arial"/>
                      <w:b/>
                      <w:bCs/>
                      <w:color w:val="auto"/>
                      <w:sz w:val="21"/>
                      <w:szCs w:val="21"/>
                    </w:rPr>
                  </w:pPr>
                  <w:r>
                    <w:rPr>
                      <w:rFonts w:hint="default" w:ascii="Arial" w:hAnsi="Arial" w:eastAsia="宋体" w:cs="Arial"/>
                      <w:b/>
                      <w:bCs/>
                      <w:color w:val="auto"/>
                      <w:sz w:val="21"/>
                      <w:szCs w:val="21"/>
                    </w:rPr>
                    <w:t>废</w:t>
                  </w:r>
                  <w:r>
                    <w:rPr>
                      <w:rFonts w:hint="default" w:ascii="Arial" w:hAnsi="Arial" w:eastAsia="宋体" w:cs="Arial"/>
                      <w:b/>
                      <w:bCs/>
                      <w:color w:val="auto"/>
                      <w:sz w:val="21"/>
                      <w:szCs w:val="21"/>
                      <w:lang w:eastAsia="zh-CN"/>
                    </w:rPr>
                    <w:t>废</w:t>
                  </w:r>
                  <w:r>
                    <w:rPr>
                      <w:rFonts w:hint="default" w:ascii="Arial" w:hAnsi="Arial" w:eastAsia="宋体" w:cs="Arial"/>
                      <w:b/>
                      <w:bCs/>
                      <w:color w:val="auto"/>
                      <w:sz w:val="21"/>
                      <w:szCs w:val="21"/>
                    </w:rPr>
                    <w:t>气治理</w:t>
                  </w:r>
                </w:p>
              </w:tc>
              <w:tc>
                <w:tcPr>
                  <w:tcW w:w="566" w:type="dxa"/>
                  <w:gridSpan w:val="3"/>
                  <w:vMerge w:val="restart"/>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highlight w:val="none"/>
                      <w:shd w:val="clear"/>
                      <w:lang w:eastAsia="zh-CN"/>
                    </w:rPr>
                    <w:t>枢纽工程</w:t>
                  </w:r>
                </w:p>
              </w:tc>
              <w:tc>
                <w:tcPr>
                  <w:tcW w:w="493" w:type="dxa"/>
                  <w:vMerge w:val="restart"/>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施</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工</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期</w:t>
                  </w: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取料场及弃渣场扬尘</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spacing w:val="0"/>
                      <w:position w:val="0"/>
                      <w:sz w:val="21"/>
                      <w:szCs w:val="21"/>
                      <w:lang w:val="en-US" w:eastAsia="zh-CN"/>
                    </w:rPr>
                    <w:t>石渣</w:t>
                  </w:r>
                  <w:r>
                    <w:rPr>
                      <w:rFonts w:hint="default" w:ascii="Arial" w:hAnsi="Arial" w:eastAsia="宋体" w:cs="Arial"/>
                      <w:spacing w:val="0"/>
                      <w:position w:val="0"/>
                      <w:sz w:val="21"/>
                      <w:szCs w:val="21"/>
                    </w:rPr>
                    <w:t>料场开采期间喷雾洒水降尘</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jc w:val="center"/>
              </w:trPr>
              <w:tc>
                <w:tcPr>
                  <w:tcW w:w="481" w:type="dxa"/>
                  <w:vMerge w:val="continue"/>
                  <w:noWrap w:val="0"/>
                  <w:vAlign w:val="center"/>
                </w:tcPr>
                <w:p>
                  <w:pPr>
                    <w:spacing w:line="240" w:lineRule="auto"/>
                    <w:ind w:left="0" w:leftChars="0" w:right="-20" w:firstLine="0" w:firstLineChars="0"/>
                    <w:jc w:val="both"/>
                    <w:rPr>
                      <w:rFonts w:hint="default" w:ascii="Arial" w:hAnsi="Arial" w:eastAsia="宋体" w:cs="Arial"/>
                      <w:b/>
                      <w:bCs/>
                      <w:color w:val="auto"/>
                      <w:sz w:val="21"/>
                      <w:szCs w:val="21"/>
                    </w:rPr>
                  </w:pPr>
                </w:p>
              </w:tc>
              <w:tc>
                <w:tcPr>
                  <w:tcW w:w="566" w:type="dxa"/>
                  <w:gridSpan w:val="3"/>
                  <w:vMerge w:val="continue"/>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1749"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车辆运输扬尘</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spacing w:val="0"/>
                      <w:position w:val="0"/>
                      <w:sz w:val="21"/>
                      <w:szCs w:val="21"/>
                      <w:lang w:val="en-US" w:eastAsia="zh-CN"/>
                    </w:rPr>
                  </w:pPr>
                  <w:r>
                    <w:rPr>
                      <w:rFonts w:hint="default" w:ascii="Arial" w:hAnsi="Arial" w:eastAsia="宋体" w:cs="Arial"/>
                      <w:spacing w:val="0"/>
                      <w:position w:val="0"/>
                      <w:sz w:val="21"/>
                      <w:szCs w:val="21"/>
                      <w:lang w:val="en-US" w:eastAsia="zh-CN"/>
                    </w:rPr>
                    <w:t>及时清理路面，并定期洒水降尘</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jc w:val="center"/>
              </w:trPr>
              <w:tc>
                <w:tcPr>
                  <w:tcW w:w="481" w:type="dxa"/>
                  <w:vMerge w:val="continue"/>
                  <w:noWrap w:val="0"/>
                  <w:vAlign w:val="center"/>
                </w:tcPr>
                <w:p>
                  <w:pPr>
                    <w:spacing w:line="240" w:lineRule="auto"/>
                    <w:ind w:left="0" w:leftChars="0" w:right="-20" w:firstLine="0" w:firstLineChars="0"/>
                    <w:jc w:val="both"/>
                    <w:rPr>
                      <w:rFonts w:hint="default" w:ascii="Arial" w:hAnsi="Arial" w:eastAsia="宋体" w:cs="Arial"/>
                      <w:b/>
                      <w:bCs/>
                      <w:color w:val="auto"/>
                      <w:sz w:val="21"/>
                      <w:szCs w:val="21"/>
                    </w:rPr>
                  </w:pPr>
                </w:p>
              </w:tc>
              <w:tc>
                <w:tcPr>
                  <w:tcW w:w="566" w:type="dxa"/>
                  <w:gridSpan w:val="3"/>
                  <w:vMerge w:val="continue"/>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混凝土拌和系统粉尘（</w:t>
                  </w:r>
                  <w:r>
                    <w:rPr>
                      <w:rFonts w:hint="default" w:ascii="Arial" w:hAnsi="Arial" w:eastAsia="宋体" w:cs="Arial"/>
                      <w:color w:val="auto"/>
                      <w:kern w:val="0"/>
                      <w:sz w:val="21"/>
                      <w:szCs w:val="21"/>
                      <w:lang w:val="en-US" w:eastAsia="zh-CN"/>
                    </w:rPr>
                    <w:t>投料、搅拌</w:t>
                  </w:r>
                  <w:r>
                    <w:rPr>
                      <w:rFonts w:hint="eastAsia" w:ascii="Arial" w:hAnsi="Arial" w:eastAsia="宋体" w:cs="Arial"/>
                      <w:color w:val="auto"/>
                      <w:kern w:val="0"/>
                      <w:sz w:val="21"/>
                      <w:szCs w:val="21"/>
                      <w:lang w:val="en-US" w:eastAsia="zh-CN"/>
                    </w:rPr>
                    <w:t>等工序</w:t>
                  </w:r>
                  <w:r>
                    <w:rPr>
                      <w:rFonts w:hint="default" w:ascii="Arial" w:hAnsi="Arial" w:eastAsia="宋体" w:cs="Arial"/>
                      <w:color w:val="auto"/>
                      <w:kern w:val="0"/>
                      <w:sz w:val="21"/>
                      <w:szCs w:val="21"/>
                      <w:lang w:eastAsia="zh-CN"/>
                    </w:rPr>
                    <w:t>）</w:t>
                  </w:r>
                </w:p>
              </w:tc>
              <w:tc>
                <w:tcPr>
                  <w:tcW w:w="4465" w:type="dxa"/>
                  <w:shd w:val="clear" w:color="auto" w:fill="auto"/>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1、物料输送通过密闭皮带进行输送</w:t>
                  </w:r>
                </w:p>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2、每个水泥筒仓仓顶均设置1台仓顶布袋除尘器，呼吸粉尘处理后通过除尘器上排口无组织排放</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481" w:type="dxa"/>
                  <w:vMerge w:val="continue"/>
                  <w:shd w:val="clear" w:color="auto" w:fill="auto"/>
                  <w:noWrap w:val="0"/>
                  <w:vAlign w:val="center"/>
                </w:tcPr>
                <w:p>
                  <w:pPr>
                    <w:spacing w:line="240" w:lineRule="auto"/>
                    <w:ind w:left="0" w:leftChars="0" w:right="-20" w:firstLine="0" w:firstLineChars="0"/>
                    <w:jc w:val="both"/>
                    <w:rPr>
                      <w:rFonts w:hint="default" w:ascii="Arial" w:hAnsi="Arial" w:eastAsia="宋体" w:cs="Arial"/>
                      <w:b/>
                      <w:bCs/>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493" w:type="dxa"/>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工程爆破</w:t>
                  </w:r>
                  <w:r>
                    <w:rPr>
                      <w:rFonts w:hint="default" w:ascii="Arial" w:hAnsi="Arial" w:eastAsia="宋体" w:cs="Arial"/>
                      <w:color w:val="auto"/>
                      <w:kern w:val="0"/>
                      <w:sz w:val="21"/>
                      <w:szCs w:val="21"/>
                      <w:lang w:eastAsia="zh-CN"/>
                    </w:rPr>
                    <w:t>粉尘</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雾炮机人工除尘及洒水作业</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沥青拌合站废气</w:t>
                  </w:r>
                </w:p>
              </w:tc>
              <w:tc>
                <w:tcPr>
                  <w:tcW w:w="4465" w:type="dxa"/>
                  <w:shd w:val="clear" w:color="auto" w:fill="auto"/>
                  <w:noWrap w:val="0"/>
                  <w:vAlign w:val="center"/>
                </w:tcPr>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下料输送粉尘：密闭皮带输送，并针对下料输送粉尘通过设置</w:t>
                  </w:r>
                  <w:r>
                    <w:rPr>
                      <w:rFonts w:hint="default" w:ascii="Arial" w:hAnsi="Arial" w:eastAsia="宋体" w:cs="Arial"/>
                      <w:sz w:val="21"/>
                      <w:szCs w:val="21"/>
                    </w:rPr>
                    <w:t>设置“整体密闭+负压收集”，进行收集布袋除尘处理后经15m 高排气筒排放</w:t>
                  </w:r>
                  <w:r>
                    <w:rPr>
                      <w:rFonts w:hint="default" w:ascii="Arial" w:hAnsi="Arial" w:eastAsia="宋体" w:cs="Arial"/>
                      <w:sz w:val="21"/>
                      <w:szCs w:val="21"/>
                      <w:lang w:eastAsia="zh-CN"/>
                    </w:rPr>
                    <w:t>（</w:t>
                  </w:r>
                  <w:r>
                    <w:rPr>
                      <w:rFonts w:hint="default" w:ascii="Arial" w:hAnsi="Arial" w:eastAsia="宋体" w:cs="Arial"/>
                      <w:sz w:val="21"/>
                      <w:szCs w:val="21"/>
                      <w:lang w:val="en-US" w:eastAsia="zh-CN"/>
                    </w:rPr>
                    <w:t>于烘干筛分粉尘共用1套处理设施</w:t>
                  </w:r>
                  <w:r>
                    <w:rPr>
                      <w:rFonts w:hint="default" w:ascii="Arial" w:hAnsi="Arial" w:eastAsia="宋体" w:cs="Arial"/>
                      <w:sz w:val="21"/>
                      <w:szCs w:val="21"/>
                      <w:lang w:eastAsia="zh-CN"/>
                    </w:rPr>
                    <w:t>）</w:t>
                  </w:r>
                  <w:r>
                    <w:rPr>
                      <w:rFonts w:hint="default" w:ascii="Arial" w:hAnsi="Arial" w:eastAsia="宋体" w:cs="Arial"/>
                      <w:color w:val="auto"/>
                      <w:kern w:val="0"/>
                      <w:sz w:val="21"/>
                      <w:szCs w:val="21"/>
                      <w:lang w:val="en-US" w:eastAsia="zh-CN"/>
                    </w:rPr>
                    <w:t>；</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烘干粉尘：</w:t>
                  </w:r>
                  <w:r>
                    <w:rPr>
                      <w:rFonts w:hint="default" w:ascii="Arial" w:hAnsi="Arial" w:eastAsia="宋体" w:cs="Arial"/>
                      <w:sz w:val="21"/>
                      <w:szCs w:val="21"/>
                      <w:lang w:val="en-US" w:eastAsia="zh-CN"/>
                    </w:rPr>
                    <w:t>通过设置密闭的烘干和筛分设备，其在烘干和筛分过程中产生的粉尘经密闭收集至下料和输送过程中配套的布袋除尘器处理后排放；</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沥青烟气：密闭+二级活性炭吸附+15m排气筒；</w:t>
                  </w:r>
                </w:p>
                <w:p>
                  <w:pPr>
                    <w:keepNext w:val="0"/>
                    <w:keepLines w:val="0"/>
                    <w:pageBreakBefore w:val="0"/>
                    <w:widowControl/>
                    <w:numPr>
                      <w:ilvl w:val="0"/>
                      <w:numId w:val="13"/>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骨料堆棚产生的粉尘：</w:t>
                  </w:r>
                  <w:r>
                    <w:rPr>
                      <w:rFonts w:hint="default" w:ascii="Arial" w:hAnsi="Arial" w:eastAsia="宋体" w:cs="Arial"/>
                      <w:sz w:val="21"/>
                      <w:szCs w:val="21"/>
                    </w:rPr>
                    <w:t>项目骨料堆场设棚，三面围挡及喷雾降尘装置，不定期喷雾降尘</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7"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施工机械设备及运输车辆燃油废气</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选用专业作业车辆，选优质设备和燃油，加强设备和运输车辆的检查和维护</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运行期</w:t>
                  </w: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restart"/>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highlight w:val="none"/>
                      <w:shd w:val="clear"/>
                      <w:lang w:eastAsia="zh-CN"/>
                    </w:rPr>
                    <w:t>灌区工程</w:t>
                  </w:r>
                </w:p>
              </w:tc>
              <w:tc>
                <w:tcPr>
                  <w:tcW w:w="493" w:type="dxa"/>
                  <w:vMerge w:val="restart"/>
                  <w:shd w:val="clear" w:color="auto" w:fill="auto"/>
                  <w:noWrap w:val="0"/>
                  <w:vAlign w:val="center"/>
                </w:tcPr>
                <w:p>
                  <w:pPr>
                    <w:spacing w:line="240" w:lineRule="auto"/>
                    <w:ind w:left="0" w:leftChars="0" w:right="-20" w:firstLine="0" w:firstLineChars="0"/>
                    <w:jc w:val="both"/>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施工期</w:t>
                  </w: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弃渣场粉尘</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val="en-US" w:eastAsia="zh-CN"/>
                    </w:rPr>
                    <w:t>弃渣场在定期洒水降尘并及时使用帆布或草垫等覆盖</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shd w:val="clear" w:color="auto" w:fill="auto"/>
                  <w:noWrap w:val="0"/>
                  <w:vAlign w:val="center"/>
                </w:tcPr>
                <w:p>
                  <w:pPr>
                    <w:spacing w:line="240" w:lineRule="auto"/>
                    <w:ind w:left="0" w:leftChars="0" w:right="-20" w:firstLine="0" w:firstLineChars="0"/>
                    <w:jc w:val="both"/>
                    <w:rPr>
                      <w:rFonts w:hint="default" w:ascii="Arial" w:hAnsi="Arial" w:eastAsia="宋体" w:cs="Arial"/>
                      <w:color w:val="auto"/>
                      <w:sz w:val="21"/>
                      <w:szCs w:val="21"/>
                      <w:lang w:eastAsia="zh-CN"/>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eastAsia="zh-CN"/>
                    </w:rPr>
                    <w:t>混凝土拌和系统粉尘</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每个水泥筒仓仓顶均设置1台仓顶布袋除尘器，呼吸粉尘处理后通过除尘器上排口无组织排放</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481" w:type="dxa"/>
                  <w:vMerge w:val="continue"/>
                  <w:shd w:val="clear" w:color="auto" w:fill="auto"/>
                  <w:noWrap w:val="0"/>
                  <w:vAlign w:val="center"/>
                </w:tcPr>
                <w:p>
                  <w:pPr>
                    <w:spacing w:line="240" w:lineRule="auto"/>
                    <w:ind w:right="-20"/>
                    <w:jc w:val="center"/>
                    <w:rPr>
                      <w:rFonts w:hint="default" w:ascii="Arial" w:hAnsi="Arial" w:eastAsia="宋体" w:cs="Arial"/>
                      <w:color w:val="auto"/>
                      <w:sz w:val="21"/>
                      <w:szCs w:val="21"/>
                    </w:rPr>
                  </w:pPr>
                </w:p>
              </w:tc>
              <w:tc>
                <w:tcPr>
                  <w:tcW w:w="566" w:type="dxa"/>
                  <w:gridSpan w:val="3"/>
                  <w:vMerge w:val="continue"/>
                  <w:shd w:val="clear" w:color="auto" w:fill="auto"/>
                  <w:noWrap w:val="0"/>
                  <w:vAlign w:val="center"/>
                </w:tcPr>
                <w:p>
                  <w:pPr>
                    <w:spacing w:line="240" w:lineRule="auto"/>
                    <w:ind w:left="0" w:leftChars="0" w:right="-20" w:firstLine="0" w:firstLineChars="0"/>
                    <w:jc w:val="center"/>
                    <w:rPr>
                      <w:rFonts w:hint="default" w:ascii="Arial" w:hAnsi="Arial" w:eastAsia="宋体" w:cs="Arial"/>
                      <w:color w:val="auto"/>
                      <w:sz w:val="21"/>
                      <w:szCs w:val="21"/>
                      <w:highlight w:val="none"/>
                      <w:shd w:val="clear"/>
                      <w:lang w:eastAsia="zh-CN"/>
                    </w:rPr>
                  </w:pPr>
                </w:p>
              </w:tc>
              <w:tc>
                <w:tcPr>
                  <w:tcW w:w="493" w:type="dxa"/>
                  <w:vMerge w:val="continue"/>
                  <w:shd w:val="clear" w:color="auto" w:fill="auto"/>
                  <w:noWrap w:val="0"/>
                  <w:vAlign w:val="center"/>
                </w:tcPr>
                <w:p>
                  <w:pPr>
                    <w:spacing w:line="240" w:lineRule="auto"/>
                    <w:ind w:left="0" w:leftChars="0" w:right="-20" w:firstLine="0" w:firstLineChars="0"/>
                    <w:jc w:val="both"/>
                    <w:rPr>
                      <w:rFonts w:hint="default" w:ascii="Arial" w:hAnsi="Arial" w:eastAsia="宋体" w:cs="Arial"/>
                      <w:color w:val="auto"/>
                      <w:sz w:val="21"/>
                      <w:szCs w:val="21"/>
                      <w:lang w:eastAsia="zh-CN"/>
                    </w:rPr>
                  </w:pPr>
                </w:p>
              </w:tc>
              <w:tc>
                <w:tcPr>
                  <w:tcW w:w="1749"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车辆运输扬尘</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spacing w:val="0"/>
                      <w:position w:val="0"/>
                      <w:sz w:val="21"/>
                      <w:szCs w:val="21"/>
                      <w:lang w:val="en-US" w:eastAsia="zh-CN"/>
                    </w:rPr>
                    <w:t>及时清理路面，并定期洒水降尘</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jc w:val="center"/>
              </w:trPr>
              <w:tc>
                <w:tcPr>
                  <w:tcW w:w="1047" w:type="dxa"/>
                  <w:gridSpan w:val="4"/>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lang w:eastAsia="zh-CN"/>
                    </w:rPr>
                    <w:t>噪</w:t>
                  </w:r>
                  <w:r>
                    <w:rPr>
                      <w:rFonts w:hint="default" w:ascii="Arial" w:hAnsi="Arial" w:eastAsia="宋体" w:cs="Arial"/>
                      <w:b/>
                      <w:bCs/>
                      <w:color w:val="auto"/>
                      <w:sz w:val="21"/>
                      <w:szCs w:val="21"/>
                    </w:rPr>
                    <w:t>声</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b/>
                      <w:bCs/>
                      <w:color w:val="auto"/>
                      <w:sz w:val="21"/>
                      <w:szCs w:val="21"/>
                    </w:rPr>
                    <w:t>治理</w:t>
                  </w:r>
                </w:p>
              </w:tc>
              <w:tc>
                <w:tcPr>
                  <w:tcW w:w="493" w:type="dxa"/>
                  <w:noWrap w:val="0"/>
                  <w:vAlign w:val="center"/>
                </w:tcPr>
                <w:p>
                  <w:pPr>
                    <w:spacing w:line="240" w:lineRule="auto"/>
                    <w:ind w:left="0" w:leftChars="0" w:right="-56"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施</w:t>
                  </w:r>
                </w:p>
                <w:p>
                  <w:pPr>
                    <w:spacing w:line="240" w:lineRule="auto"/>
                    <w:ind w:left="0" w:leftChars="0" w:right="-56"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工</w:t>
                  </w:r>
                </w:p>
                <w:p>
                  <w:pPr>
                    <w:spacing w:line="240" w:lineRule="auto"/>
                    <w:ind w:left="0" w:leftChars="0" w:right="-56"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期</w:t>
                  </w:r>
                </w:p>
              </w:tc>
              <w:tc>
                <w:tcPr>
                  <w:tcW w:w="1749" w:type="dxa"/>
                  <w:noWrap w:val="0"/>
                  <w:vAlign w:val="center"/>
                </w:tcPr>
                <w:p>
                  <w:pPr>
                    <w:spacing w:line="240" w:lineRule="auto"/>
                    <w:ind w:left="0" w:leftChars="0" w:right="-20" w:firstLine="0" w:firstLineChars="0"/>
                    <w:jc w:val="center"/>
                    <w:rPr>
                      <w:rFonts w:hint="default" w:ascii="Arial" w:hAnsi="Arial" w:eastAsia="宋体" w:cs="Arial"/>
                      <w:b w:val="0"/>
                      <w:bCs/>
                      <w:color w:val="auto"/>
                      <w:sz w:val="21"/>
                      <w:szCs w:val="21"/>
                      <w:lang w:eastAsia="zh-CN"/>
                    </w:rPr>
                  </w:pPr>
                  <w:r>
                    <w:rPr>
                      <w:rFonts w:hint="default" w:ascii="Arial" w:hAnsi="Arial" w:eastAsia="宋体" w:cs="Arial"/>
                      <w:b w:val="0"/>
                      <w:bCs/>
                      <w:color w:val="auto"/>
                      <w:sz w:val="21"/>
                      <w:szCs w:val="21"/>
                      <w:lang w:eastAsia="zh-CN"/>
                    </w:rPr>
                    <w:t>施工机械噪声、</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b w:val="0"/>
                      <w:bCs/>
                      <w:color w:val="auto"/>
                      <w:sz w:val="21"/>
                      <w:szCs w:val="21"/>
                      <w:lang w:eastAsia="zh-CN"/>
                    </w:rPr>
                    <w:t>爆破噪声</w:t>
                  </w: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b w:val="0"/>
                      <w:bCs/>
                      <w:color w:val="auto"/>
                      <w:sz w:val="21"/>
                      <w:szCs w:val="21"/>
                      <w:lang w:eastAsia="zh-CN"/>
                    </w:rPr>
                    <w:t>采用低噪声设备，合理安排施工工序和施工时间，加强现场管理，进行文明施工</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616" w:type="dxa"/>
                  <w:gridSpan w:val="2"/>
                  <w:vMerge w:val="restart"/>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固</w:t>
                  </w:r>
                </w:p>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废</w:t>
                  </w:r>
                </w:p>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处</w:t>
                  </w:r>
                </w:p>
                <w:p>
                  <w:pPr>
                    <w:spacing w:line="240" w:lineRule="auto"/>
                    <w:ind w:left="0" w:leftChars="0" w:right="-20" w:firstLine="0" w:firstLineChars="0"/>
                    <w:jc w:val="center"/>
                    <w:rPr>
                      <w:rFonts w:hint="default" w:ascii="Arial" w:hAnsi="Arial" w:eastAsia="宋体" w:cs="Arial"/>
                      <w:b/>
                      <w:bCs/>
                      <w:color w:val="auto"/>
                      <w:sz w:val="21"/>
                      <w:szCs w:val="21"/>
                    </w:rPr>
                  </w:pPr>
                  <w:r>
                    <w:rPr>
                      <w:rFonts w:hint="default" w:ascii="Arial" w:hAnsi="Arial" w:eastAsia="宋体" w:cs="Arial"/>
                      <w:b/>
                      <w:bCs/>
                      <w:color w:val="auto"/>
                      <w:sz w:val="21"/>
                      <w:szCs w:val="21"/>
                    </w:rPr>
                    <w:t>置</w:t>
                  </w:r>
                </w:p>
                <w:p>
                  <w:pPr>
                    <w:spacing w:line="240" w:lineRule="auto"/>
                    <w:ind w:left="0" w:leftChars="0" w:right="-20" w:firstLine="0" w:firstLineChars="0"/>
                    <w:jc w:val="center"/>
                    <w:rPr>
                      <w:rFonts w:hint="default" w:ascii="Arial" w:hAnsi="Arial" w:eastAsia="宋体" w:cs="Arial"/>
                      <w:color w:val="auto"/>
                      <w:sz w:val="21"/>
                      <w:szCs w:val="21"/>
                    </w:rPr>
                  </w:pPr>
                </w:p>
              </w:tc>
              <w:tc>
                <w:tcPr>
                  <w:tcW w:w="431" w:type="dxa"/>
                  <w:gridSpan w:val="2"/>
                  <w:vMerge w:val="restart"/>
                  <w:noWrap w:val="0"/>
                  <w:vAlign w:val="center"/>
                </w:tcPr>
                <w:p>
                  <w:pPr>
                    <w:spacing w:line="240" w:lineRule="auto"/>
                    <w:ind w:left="0" w:leftChars="0" w:right="-20" w:firstLine="0"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枢纽</w:t>
                  </w:r>
                  <w:r>
                    <w:rPr>
                      <w:rFonts w:hint="default" w:ascii="Arial" w:hAnsi="Arial" w:eastAsia="宋体" w:cs="Arial"/>
                      <w:color w:val="auto"/>
                      <w:sz w:val="21"/>
                      <w:szCs w:val="21"/>
                      <w:lang w:val="en-US" w:eastAsia="zh-CN"/>
                    </w:rPr>
                    <w:t>及灌区</w:t>
                  </w:r>
                  <w:r>
                    <w:rPr>
                      <w:rFonts w:hint="default" w:ascii="Arial" w:hAnsi="Arial" w:eastAsia="宋体" w:cs="Arial"/>
                      <w:color w:val="auto"/>
                      <w:sz w:val="21"/>
                      <w:szCs w:val="21"/>
                      <w:lang w:eastAsia="zh-CN"/>
                    </w:rPr>
                    <w:t>工程</w:t>
                  </w:r>
                </w:p>
              </w:tc>
              <w:tc>
                <w:tcPr>
                  <w:tcW w:w="493" w:type="dxa"/>
                  <w:vMerge w:val="restart"/>
                  <w:noWrap w:val="0"/>
                  <w:vAlign w:val="center"/>
                </w:tcPr>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施</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工</w:t>
                  </w:r>
                </w:p>
                <w:p>
                  <w:pPr>
                    <w:spacing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sz w:val="21"/>
                      <w:szCs w:val="21"/>
                    </w:rPr>
                    <w:t>期</w:t>
                  </w:r>
                </w:p>
              </w:tc>
              <w:tc>
                <w:tcPr>
                  <w:tcW w:w="1749" w:type="dxa"/>
                  <w:noWrap w:val="0"/>
                  <w:vAlign w:val="center"/>
                </w:tcPr>
                <w:p>
                  <w:pPr>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b w:val="0"/>
                      <w:bCs w:val="0"/>
                      <w:sz w:val="21"/>
                      <w:szCs w:val="21"/>
                    </w:rPr>
                    <w:t>建筑垃圾</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sz w:val="21"/>
                      <w:szCs w:val="21"/>
                    </w:rPr>
                    <w:t>可回收利用的钢材、木材等进行回收利用，不能利用的应集中堆放，定期清运至政府规划的渣场进行堆放</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color w:val="auto"/>
                      <w:sz w:val="21"/>
                      <w:szCs w:val="21"/>
                    </w:rPr>
                  </w:pPr>
                  <w:r>
                    <w:rPr>
                      <w:rFonts w:hint="default" w:ascii="Arial" w:hAnsi="Arial" w:eastAsia="宋体" w:cs="Arial"/>
                      <w:b w:val="0"/>
                      <w:bCs w:val="0"/>
                      <w:sz w:val="21"/>
                      <w:szCs w:val="21"/>
                    </w:rPr>
                    <w:t>废弃土石方</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sz w:val="21"/>
                      <w:szCs w:val="21"/>
                    </w:rPr>
                    <w:t>弃渣堆放至规划的渣场，堆渣完毕后应进行迹地恢复，种植当地植被</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color w:val="auto"/>
                      <w:sz w:val="21"/>
                      <w:szCs w:val="21"/>
                      <w:lang w:eastAsia="zh-CN"/>
                    </w:rPr>
                  </w:pPr>
                  <w:r>
                    <w:rPr>
                      <w:rFonts w:hint="default" w:ascii="Arial" w:hAnsi="Arial" w:eastAsia="宋体" w:cs="Arial"/>
                      <w:b w:val="0"/>
                      <w:bCs w:val="0"/>
                      <w:sz w:val="21"/>
                      <w:szCs w:val="21"/>
                    </w:rPr>
                    <w:t>库底垃圾</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sz w:val="21"/>
                      <w:szCs w:val="21"/>
                    </w:rPr>
                    <w:t>运至指定的建筑垃圾堆放场处置</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color w:val="auto"/>
                      <w:sz w:val="21"/>
                      <w:szCs w:val="21"/>
                    </w:rPr>
                  </w:pPr>
                  <w:r>
                    <w:rPr>
                      <w:rFonts w:hint="default" w:ascii="Arial" w:hAnsi="Arial" w:eastAsia="宋体" w:cs="Arial"/>
                      <w:b w:val="0"/>
                      <w:bCs w:val="0"/>
                      <w:sz w:val="21"/>
                      <w:szCs w:val="21"/>
                    </w:rPr>
                    <w:t>施工人员</w:t>
                  </w:r>
                  <w:r>
                    <w:rPr>
                      <w:rFonts w:hint="default" w:ascii="Arial" w:hAnsi="Arial" w:eastAsia="宋体" w:cs="Arial"/>
                      <w:b w:val="0"/>
                      <w:bCs w:val="0"/>
                      <w:sz w:val="21"/>
                      <w:szCs w:val="21"/>
                      <w:lang w:val="en-US" w:eastAsia="zh-CN"/>
                    </w:rPr>
                    <w:t>生活</w:t>
                  </w:r>
                  <w:r>
                    <w:rPr>
                      <w:rFonts w:hint="default" w:ascii="Arial" w:hAnsi="Arial" w:eastAsia="宋体" w:cs="Arial"/>
                      <w:b w:val="0"/>
                      <w:bCs w:val="0"/>
                      <w:sz w:val="21"/>
                      <w:szCs w:val="21"/>
                    </w:rPr>
                    <w:t>垃圾</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sz w:val="21"/>
                      <w:szCs w:val="21"/>
                      <w:lang w:val="en-US" w:eastAsia="zh-CN"/>
                    </w:rPr>
                    <w:t>设置垃圾收集站和收集桶收集后，定期有市政环卫部门</w:t>
                  </w:r>
                  <w:r>
                    <w:rPr>
                      <w:rFonts w:hint="default" w:ascii="Arial" w:hAnsi="Arial" w:eastAsia="宋体" w:cs="Arial"/>
                      <w:sz w:val="21"/>
                      <w:szCs w:val="21"/>
                    </w:rPr>
                    <w:t>运至生活垃圾集中填埋场</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color w:val="auto"/>
                      <w:sz w:val="21"/>
                      <w:szCs w:val="21"/>
                    </w:rPr>
                  </w:pPr>
                  <w:r>
                    <w:rPr>
                      <w:rFonts w:hint="default" w:ascii="Arial" w:hAnsi="Arial" w:eastAsia="宋体" w:cs="Arial"/>
                      <w:b w:val="0"/>
                      <w:bCs w:val="0"/>
                      <w:sz w:val="21"/>
                      <w:szCs w:val="21"/>
                    </w:rPr>
                    <w:t>除尘器收集的除尘灰</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lang w:val="en-US" w:eastAsia="zh-CN"/>
                    </w:rPr>
                    <w:t>回用于生产过程</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color w:val="auto"/>
                      <w:sz w:val="21"/>
                      <w:szCs w:val="21"/>
                    </w:rPr>
                  </w:pPr>
                  <w:r>
                    <w:rPr>
                      <w:rFonts w:hint="default" w:ascii="Arial" w:hAnsi="Arial" w:eastAsia="宋体" w:cs="Arial"/>
                      <w:b w:val="0"/>
                      <w:bCs w:val="0"/>
                      <w:sz w:val="21"/>
                      <w:szCs w:val="21"/>
                      <w:lang w:val="en-US" w:eastAsia="zh-CN"/>
                    </w:rPr>
                    <w:t>沥青拌合站滴漏沥青及拌合残渣</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回用于生产过程</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沉淀池污泥</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b w:val="0"/>
                      <w:bCs w:val="0"/>
                      <w:spacing w:val="-6"/>
                      <w:sz w:val="21"/>
                      <w:szCs w:val="21"/>
                      <w:lang w:val="en-US" w:eastAsia="zh-CN"/>
                    </w:rPr>
                    <w:t>定期清理至项目配套的弃渣场进行合理堆放</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val="0"/>
                      <w:bCs w:val="0"/>
                      <w:sz w:val="21"/>
                      <w:szCs w:val="21"/>
                      <w:lang w:val="en-US" w:eastAsia="zh-CN"/>
                    </w:rPr>
                  </w:pPr>
                  <w:r>
                    <w:rPr>
                      <w:rFonts w:hint="default" w:ascii="Arial" w:hAnsi="Arial" w:eastAsia="宋体" w:cs="Arial"/>
                      <w:b w:val="0"/>
                      <w:bCs w:val="0"/>
                      <w:spacing w:val="-6"/>
                      <w:sz w:val="21"/>
                      <w:szCs w:val="21"/>
                      <w:lang w:val="en-US" w:eastAsia="zh-CN"/>
                    </w:rPr>
                    <w:t>各类机械设备维修保养过程中产生的废润滑油、含油废棉纱</w:t>
                  </w:r>
                </w:p>
              </w:tc>
              <w:tc>
                <w:tcPr>
                  <w:tcW w:w="4465" w:type="dxa"/>
                  <w:vMerge w:val="restart"/>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sz w:val="21"/>
                      <w:szCs w:val="21"/>
                    </w:rPr>
                    <w:t>在</w:t>
                  </w:r>
                  <w:r>
                    <w:rPr>
                      <w:rFonts w:hint="default" w:ascii="Arial" w:hAnsi="Arial" w:eastAsia="宋体" w:cs="Arial"/>
                      <w:sz w:val="21"/>
                      <w:szCs w:val="21"/>
                      <w:lang w:val="en-US" w:eastAsia="zh-CN"/>
                    </w:rPr>
                    <w:t>沥青拌合站内</w:t>
                  </w:r>
                  <w:r>
                    <w:rPr>
                      <w:rFonts w:hint="default" w:ascii="Arial" w:hAnsi="Arial" w:eastAsia="宋体" w:cs="Arial"/>
                      <w:sz w:val="21"/>
                      <w:szCs w:val="21"/>
                    </w:rPr>
                    <w:t>设置危险废物贮存</w:t>
                  </w:r>
                  <w:r>
                    <w:rPr>
                      <w:rFonts w:hint="default" w:ascii="Arial" w:hAnsi="Arial" w:eastAsia="宋体" w:cs="Arial"/>
                      <w:sz w:val="21"/>
                      <w:szCs w:val="21"/>
                      <w:lang w:val="en-US" w:eastAsia="zh-CN"/>
                    </w:rPr>
                    <w:t>间</w:t>
                  </w:r>
                  <w:r>
                    <w:rPr>
                      <w:rFonts w:hint="default" w:ascii="Arial" w:hAnsi="Arial" w:eastAsia="宋体" w:cs="Arial"/>
                      <w:sz w:val="21"/>
                      <w:szCs w:val="21"/>
                    </w:rPr>
                    <w:t>，</w:t>
                  </w:r>
                  <w:r>
                    <w:rPr>
                      <w:rFonts w:hint="default" w:ascii="Arial" w:hAnsi="Arial" w:eastAsia="宋体" w:cs="Arial"/>
                      <w:sz w:val="21"/>
                      <w:szCs w:val="21"/>
                      <w:lang w:val="en-US" w:eastAsia="zh-CN"/>
                    </w:rPr>
                    <w:t>建筑面不小于10m</w:t>
                  </w:r>
                  <w:r>
                    <w:rPr>
                      <w:rFonts w:hint="default" w:ascii="Arial" w:hAnsi="Arial" w:eastAsia="宋体" w:cs="Arial"/>
                      <w:sz w:val="21"/>
                      <w:szCs w:val="21"/>
                      <w:vertAlign w:val="superscript"/>
                      <w:lang w:val="en-US" w:eastAsia="zh-CN"/>
                    </w:rPr>
                    <w:t>2</w:t>
                  </w:r>
                  <w:r>
                    <w:rPr>
                      <w:rFonts w:hint="default" w:ascii="Arial" w:hAnsi="Arial" w:eastAsia="宋体" w:cs="Arial"/>
                      <w:sz w:val="21"/>
                      <w:szCs w:val="21"/>
                      <w:lang w:val="en-US" w:eastAsia="zh-CN"/>
                    </w:rPr>
                    <w:t>，定期将其交友资质单位处置</w:t>
                  </w:r>
                </w:p>
              </w:tc>
              <w:tc>
                <w:tcPr>
                  <w:tcW w:w="1076" w:type="dxa"/>
                  <w:vMerge w:val="restart"/>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vMerge w:val="continue"/>
                  <w:noWrap w:val="0"/>
                  <w:vAlign w:val="center"/>
                </w:tcPr>
                <w:p>
                  <w:pPr>
                    <w:spacing w:line="240" w:lineRule="auto"/>
                    <w:ind w:right="-20"/>
                    <w:jc w:val="center"/>
                    <w:rPr>
                      <w:rFonts w:hint="default" w:ascii="Arial" w:hAnsi="Arial" w:eastAsia="宋体" w:cs="Arial"/>
                      <w:color w:val="auto"/>
                      <w:sz w:val="21"/>
                      <w:szCs w:val="21"/>
                    </w:rPr>
                  </w:pPr>
                </w:p>
              </w:tc>
              <w:tc>
                <w:tcPr>
                  <w:tcW w:w="1749" w:type="dxa"/>
                  <w:noWrap w:val="0"/>
                  <w:vAlign w:val="center"/>
                </w:tcPr>
                <w:p>
                  <w:pPr>
                    <w:spacing w:line="240" w:lineRule="auto"/>
                    <w:ind w:left="0" w:leftChars="0" w:firstLine="0" w:firstLineChars="0"/>
                    <w:jc w:val="center"/>
                    <w:rPr>
                      <w:rFonts w:hint="default" w:ascii="Arial" w:hAnsi="Arial" w:eastAsia="宋体" w:cs="Arial"/>
                      <w:b/>
                      <w:bCs/>
                      <w:sz w:val="21"/>
                      <w:szCs w:val="21"/>
                      <w:lang w:val="en-US" w:eastAsia="zh-CN"/>
                    </w:rPr>
                  </w:pPr>
                  <w:r>
                    <w:rPr>
                      <w:rFonts w:hint="default" w:ascii="Arial" w:hAnsi="Arial" w:eastAsia="宋体" w:cs="Arial"/>
                      <w:b w:val="0"/>
                      <w:bCs w:val="0"/>
                      <w:sz w:val="21"/>
                      <w:szCs w:val="21"/>
                      <w:lang w:val="en-US" w:eastAsia="zh-CN"/>
                    </w:rPr>
                    <w:t>废活性炭</w:t>
                  </w:r>
                </w:p>
              </w:tc>
              <w:tc>
                <w:tcPr>
                  <w:tcW w:w="4465"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p>
              </w:tc>
              <w:tc>
                <w:tcPr>
                  <w:tcW w:w="1076"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616"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31" w:type="dxa"/>
                  <w:gridSpan w:val="2"/>
                  <w:vMerge w:val="continue"/>
                  <w:noWrap w:val="0"/>
                  <w:vAlign w:val="center"/>
                </w:tcPr>
                <w:p>
                  <w:pPr>
                    <w:spacing w:line="240" w:lineRule="auto"/>
                    <w:ind w:right="-20"/>
                    <w:jc w:val="center"/>
                    <w:rPr>
                      <w:rFonts w:hint="default" w:ascii="Arial" w:hAnsi="Arial" w:eastAsia="宋体" w:cs="Arial"/>
                      <w:color w:val="auto"/>
                      <w:sz w:val="21"/>
                      <w:szCs w:val="21"/>
                    </w:rPr>
                  </w:pPr>
                </w:p>
              </w:tc>
              <w:tc>
                <w:tcPr>
                  <w:tcW w:w="493" w:type="dxa"/>
                  <w:noWrap w:val="0"/>
                  <w:vAlign w:val="center"/>
                </w:tcPr>
                <w:p>
                  <w:pPr>
                    <w:spacing w:line="240" w:lineRule="auto"/>
                    <w:ind w:left="0" w:leftChars="0" w:right="-20" w:firstLine="0" w:firstLineChars="0"/>
                    <w:jc w:val="both"/>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运行期</w:t>
                  </w:r>
                </w:p>
              </w:tc>
              <w:tc>
                <w:tcPr>
                  <w:tcW w:w="1749" w:type="dxa"/>
                  <w:noWrap w:val="0"/>
                  <w:vAlign w:val="center"/>
                </w:tcPr>
                <w:p>
                  <w:pPr>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水库管理站生活垃圾处理</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rPr>
                  </w:pPr>
                  <w:r>
                    <w:rPr>
                      <w:rFonts w:hint="default" w:ascii="Arial" w:hAnsi="Arial" w:eastAsia="宋体" w:cs="Arial"/>
                      <w:color w:val="auto"/>
                      <w:kern w:val="0"/>
                      <w:sz w:val="21"/>
                      <w:szCs w:val="21"/>
                      <w:lang w:val="en-US" w:eastAsia="zh-CN"/>
                    </w:rPr>
                    <w:t>设置一定数量的</w:t>
                  </w:r>
                  <w:r>
                    <w:rPr>
                      <w:rFonts w:hint="default" w:ascii="Arial" w:hAnsi="Arial" w:eastAsia="宋体" w:cs="Arial"/>
                      <w:color w:val="auto"/>
                      <w:kern w:val="0"/>
                      <w:sz w:val="21"/>
                      <w:szCs w:val="21"/>
                    </w:rPr>
                    <w:t>垃圾桶</w:t>
                  </w:r>
                </w:p>
                <w:p>
                  <w:pPr>
                    <w:widowControl/>
                    <w:spacing w:line="240" w:lineRule="auto"/>
                    <w:ind w:left="0" w:leftChars="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lang w:val="en-US" w:eastAsia="zh-CN"/>
                    </w:rPr>
                    <w:t>收集后定期清运支付金的垃圾收集点，然后又当地环卫部门运至附近的垃圾场进行最终处置</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621" w:type="dxa"/>
                  <w:gridSpan w:val="3"/>
                  <w:vMerge w:val="restart"/>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生</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态</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保</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护</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措</w:t>
                  </w:r>
                </w:p>
                <w:p>
                  <w:pPr>
                    <w:spacing w:line="240" w:lineRule="auto"/>
                    <w:ind w:left="0" w:leftChars="0" w:right="-20" w:firstLine="0" w:firstLineChars="0"/>
                    <w:jc w:val="center"/>
                    <w:rPr>
                      <w:rFonts w:hint="default" w:ascii="Arial" w:hAnsi="Arial" w:eastAsia="宋体" w:cs="Arial"/>
                      <w:color w:val="auto"/>
                      <w:sz w:val="21"/>
                      <w:szCs w:val="21"/>
                      <w:lang w:eastAsia="zh-CN"/>
                    </w:rPr>
                  </w:pPr>
                  <w:r>
                    <w:rPr>
                      <w:rFonts w:hint="default" w:ascii="Arial" w:hAnsi="Arial" w:eastAsia="宋体" w:cs="Arial"/>
                      <w:b/>
                      <w:bCs/>
                      <w:color w:val="auto"/>
                      <w:sz w:val="21"/>
                      <w:szCs w:val="21"/>
                      <w:lang w:eastAsia="zh-CN"/>
                    </w:rPr>
                    <w:t>施</w:t>
                  </w:r>
                </w:p>
              </w:tc>
              <w:tc>
                <w:tcPr>
                  <w:tcW w:w="2668" w:type="dxa"/>
                  <w:gridSpan w:val="3"/>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水土保持措施</w:t>
                  </w: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rPr>
                  </w:pPr>
                  <w:r>
                    <w:rPr>
                      <w:rFonts w:hint="default" w:ascii="Arial" w:hAnsi="Arial" w:eastAsia="宋体" w:cs="Arial"/>
                      <w:color w:val="auto"/>
                      <w:kern w:val="0"/>
                      <w:sz w:val="21"/>
                      <w:szCs w:val="21"/>
                    </w:rPr>
                    <w:t>已计入水保投资</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restart"/>
                  <w:noWrap w:val="0"/>
                  <w:vAlign w:val="center"/>
                </w:tcPr>
                <w:p>
                  <w:pPr>
                    <w:widowControl/>
                    <w:spacing w:line="240" w:lineRule="auto"/>
                    <w:ind w:left="0" w:leftChars="0" w:firstLine="0" w:firstLineChars="0"/>
                    <w:jc w:val="both"/>
                    <w:rPr>
                      <w:rFonts w:hint="default" w:ascii="Arial" w:hAnsi="Arial" w:eastAsia="宋体" w:cs="Arial"/>
                      <w:color w:val="auto"/>
                      <w:sz w:val="21"/>
                      <w:szCs w:val="21"/>
                    </w:rPr>
                  </w:pPr>
                  <w:r>
                    <w:rPr>
                      <w:rFonts w:hint="default" w:ascii="Arial" w:hAnsi="Arial" w:eastAsia="宋体" w:cs="Arial"/>
                      <w:color w:val="auto"/>
                      <w:kern w:val="0"/>
                      <w:sz w:val="21"/>
                      <w:szCs w:val="21"/>
                      <w:lang w:val="en-US" w:eastAsia="zh-CN"/>
                    </w:rPr>
                    <w:t>枢纽工程</w:t>
                  </w:r>
                </w:p>
              </w:tc>
              <w:tc>
                <w:tcPr>
                  <w:tcW w:w="2242" w:type="dxa"/>
                  <w:gridSpan w:val="2"/>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优化施工工艺</w:t>
                  </w: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kern w:val="0"/>
                      <w:sz w:val="21"/>
                      <w:szCs w:val="21"/>
                    </w:rPr>
                    <w:t>陆生动、植物保护警示牌</w:t>
                  </w:r>
                  <w:r>
                    <w:rPr>
                      <w:rFonts w:hint="default" w:ascii="Arial" w:hAnsi="Arial" w:eastAsia="宋体" w:cs="Arial"/>
                      <w:color w:val="auto"/>
                      <w:sz w:val="21"/>
                      <w:szCs w:val="21"/>
                      <w:lang w:val="en-US" w:eastAsia="zh-CN"/>
                    </w:rPr>
                    <w:t>4个</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continue"/>
                  <w:noWrap w:val="0"/>
                  <w:vAlign w:val="center"/>
                </w:tcPr>
                <w:p>
                  <w:pPr>
                    <w:widowControl/>
                    <w:spacing w:line="240" w:lineRule="auto"/>
                    <w:ind w:left="0" w:leftChars="0" w:firstLine="0" w:firstLineChars="0"/>
                    <w:jc w:val="center"/>
                    <w:rPr>
                      <w:rFonts w:hint="default" w:ascii="Arial" w:hAnsi="Arial" w:eastAsia="宋体" w:cs="Arial"/>
                      <w:color w:val="auto"/>
                      <w:sz w:val="21"/>
                      <w:szCs w:val="21"/>
                    </w:rPr>
                  </w:pPr>
                </w:p>
              </w:tc>
              <w:tc>
                <w:tcPr>
                  <w:tcW w:w="2242" w:type="dxa"/>
                  <w:gridSpan w:val="2"/>
                  <w:vMerge w:val="restart"/>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加强鱼类资源保护</w:t>
                  </w: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合理调整施工进度和施工期，</w:t>
                  </w:r>
                  <w:r>
                    <w:rPr>
                      <w:rFonts w:hint="eastAsia" w:ascii="Arial" w:hAnsi="Arial" w:eastAsia="宋体" w:cs="Arial"/>
                      <w:color w:val="auto"/>
                      <w:sz w:val="21"/>
                      <w:szCs w:val="21"/>
                      <w:lang w:val="en-US" w:eastAsia="zh-CN"/>
                    </w:rPr>
                    <w:t>将高噪声工序尽量避开</w:t>
                  </w:r>
                  <w:r>
                    <w:rPr>
                      <w:rFonts w:hint="default" w:ascii="Arial" w:hAnsi="Arial" w:eastAsia="宋体" w:cs="Arial"/>
                      <w:color w:val="auto"/>
                      <w:sz w:val="21"/>
                      <w:szCs w:val="21"/>
                      <w:lang w:val="en-US" w:eastAsia="zh-CN"/>
                    </w:rPr>
                    <w:t>3~9月广元禁渔期时段</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continue"/>
                  <w:noWrap w:val="0"/>
                  <w:vAlign w:val="center"/>
                </w:tcPr>
                <w:p>
                  <w:pPr>
                    <w:widowControl/>
                    <w:spacing w:line="240" w:lineRule="auto"/>
                    <w:ind w:left="0" w:leftChars="0" w:firstLine="0" w:firstLineChars="0"/>
                    <w:jc w:val="both"/>
                    <w:rPr>
                      <w:rFonts w:hint="default" w:ascii="Arial" w:hAnsi="Arial" w:eastAsia="宋体" w:cs="Arial"/>
                      <w:color w:val="auto"/>
                      <w:sz w:val="21"/>
                      <w:szCs w:val="21"/>
                      <w:lang w:eastAsia="zh-CN"/>
                    </w:rPr>
                  </w:pPr>
                </w:p>
              </w:tc>
              <w:tc>
                <w:tcPr>
                  <w:tcW w:w="2242" w:type="dxa"/>
                  <w:gridSpan w:val="2"/>
                  <w:vMerge w:val="continue"/>
                  <w:noWrap w:val="0"/>
                  <w:vAlign w:val="center"/>
                </w:tcPr>
                <w:p>
                  <w:pPr>
                    <w:pStyle w:val="88"/>
                    <w:spacing w:before="60" w:after="60" w:line="240" w:lineRule="auto"/>
                    <w:ind w:left="0" w:leftChars="0" w:firstLine="0" w:firstLineChars="0"/>
                    <w:jc w:val="both"/>
                    <w:rPr>
                      <w:rFonts w:hint="default" w:ascii="Arial" w:hAnsi="Arial" w:eastAsia="宋体" w:cs="Arial"/>
                      <w:color w:val="auto"/>
                      <w:sz w:val="21"/>
                      <w:szCs w:val="21"/>
                      <w:lang w:eastAsia="zh-CN"/>
                    </w:rPr>
                  </w:pP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lang w:val="en-US" w:eastAsia="zh-CN"/>
                    </w:rPr>
                  </w:pPr>
                  <w:r>
                    <w:rPr>
                      <w:rFonts w:hint="default" w:ascii="Arial" w:hAnsi="Arial" w:eastAsia="宋体" w:cs="Arial"/>
                      <w:color w:val="auto"/>
                      <w:sz w:val="21"/>
                      <w:szCs w:val="21"/>
                      <w:lang w:val="en-US" w:eastAsia="zh-CN"/>
                    </w:rPr>
                    <w:t>繁殖季节禁止采卵捞苗，确保常规品种鲤、鲫及其他鱼类的自然繁殖。</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2668" w:type="dxa"/>
                  <w:gridSpan w:val="3"/>
                  <w:vMerge w:val="restart"/>
                  <w:noWrap w:val="0"/>
                  <w:vAlign w:val="center"/>
                </w:tcPr>
                <w:p>
                  <w:pPr>
                    <w:pStyle w:val="88"/>
                    <w:spacing w:before="60" w:after="60" w:line="240" w:lineRule="auto"/>
                    <w:ind w:left="0" w:leftChars="0" w:firstLine="0" w:firstLineChars="0"/>
                    <w:jc w:val="both"/>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土地复垦</w:t>
                  </w: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表土剥离，并在弃渣场附近设置一处表土堆放场</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2668" w:type="dxa"/>
                  <w:gridSpan w:val="3"/>
                  <w:vMerge w:val="continue"/>
                  <w:noWrap w:val="0"/>
                  <w:vAlign w:val="center"/>
                </w:tcPr>
                <w:p>
                  <w:pPr>
                    <w:pStyle w:val="88"/>
                    <w:spacing w:before="60" w:after="60" w:line="240" w:lineRule="auto"/>
                    <w:ind w:left="0" w:leftChars="0" w:firstLine="0" w:firstLineChars="0"/>
                    <w:jc w:val="both"/>
                    <w:rPr>
                      <w:rFonts w:hint="eastAsia" w:ascii="Arial" w:hAnsi="Arial" w:eastAsia="宋体" w:cs="Arial"/>
                      <w:color w:val="auto"/>
                      <w:sz w:val="21"/>
                      <w:szCs w:val="21"/>
                      <w:lang w:val="en-US" w:eastAsia="zh-CN"/>
                    </w:rPr>
                  </w:pPr>
                </w:p>
              </w:tc>
              <w:tc>
                <w:tcPr>
                  <w:tcW w:w="4465" w:type="dxa"/>
                  <w:noWrap w:val="0"/>
                  <w:vAlign w:val="center"/>
                </w:tcPr>
                <w:p>
                  <w:pPr>
                    <w:spacing w:before="88" w:line="240" w:lineRule="auto"/>
                    <w:ind w:left="0" w:leftChars="0" w:right="-2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临时工程在施工结束后及时进行土地复垦或基地恢复</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621" w:type="dxa"/>
                  <w:gridSpan w:val="3"/>
                  <w:vMerge w:val="restart"/>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水</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质</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保</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护</w:t>
                  </w:r>
                </w:p>
                <w:p>
                  <w:pPr>
                    <w:spacing w:line="240" w:lineRule="auto"/>
                    <w:ind w:left="0" w:leftChars="0" w:right="-20" w:firstLine="0" w:firstLineChars="0"/>
                    <w:jc w:val="center"/>
                    <w:rPr>
                      <w:rFonts w:hint="default" w:ascii="Arial" w:hAnsi="Arial" w:eastAsia="宋体" w:cs="Arial"/>
                      <w:b/>
                      <w:bCs/>
                      <w:color w:val="auto"/>
                      <w:sz w:val="21"/>
                      <w:szCs w:val="21"/>
                      <w:lang w:eastAsia="zh-CN"/>
                    </w:rPr>
                  </w:pPr>
                  <w:r>
                    <w:rPr>
                      <w:rFonts w:hint="default" w:ascii="Arial" w:hAnsi="Arial" w:eastAsia="宋体" w:cs="Arial"/>
                      <w:b/>
                      <w:bCs/>
                      <w:color w:val="auto"/>
                      <w:sz w:val="21"/>
                      <w:szCs w:val="21"/>
                      <w:lang w:eastAsia="zh-CN"/>
                    </w:rPr>
                    <w:t>措</w:t>
                  </w:r>
                </w:p>
                <w:p>
                  <w:pPr>
                    <w:spacing w:line="240" w:lineRule="auto"/>
                    <w:ind w:left="0" w:leftChars="0" w:right="-20" w:firstLine="0" w:firstLineChars="0"/>
                    <w:jc w:val="center"/>
                    <w:rPr>
                      <w:rFonts w:hint="default" w:ascii="Arial" w:hAnsi="Arial" w:eastAsia="宋体" w:cs="Arial"/>
                      <w:color w:val="auto"/>
                      <w:sz w:val="21"/>
                      <w:szCs w:val="21"/>
                      <w:lang w:eastAsia="zh-CN"/>
                    </w:rPr>
                  </w:pPr>
                  <w:r>
                    <w:rPr>
                      <w:rFonts w:hint="default" w:ascii="Arial" w:hAnsi="Arial" w:eastAsia="宋体" w:cs="Arial"/>
                      <w:b/>
                      <w:bCs/>
                      <w:color w:val="auto"/>
                      <w:sz w:val="21"/>
                      <w:szCs w:val="21"/>
                      <w:lang w:eastAsia="zh-CN"/>
                    </w:rPr>
                    <w:t>施</w:t>
                  </w:r>
                </w:p>
              </w:tc>
              <w:tc>
                <w:tcPr>
                  <w:tcW w:w="426" w:type="dxa"/>
                  <w:vMerge w:val="restart"/>
                  <w:noWrap w:val="0"/>
                  <w:vAlign w:val="center"/>
                </w:tcPr>
                <w:p>
                  <w:pPr>
                    <w:widowControl/>
                    <w:spacing w:line="240" w:lineRule="auto"/>
                    <w:ind w:left="0" w:leftChars="0" w:firstLine="0" w:firstLineChars="0"/>
                    <w:jc w:val="both"/>
                    <w:rPr>
                      <w:rFonts w:hint="default" w:ascii="Arial" w:hAnsi="Arial" w:eastAsia="宋体" w:cs="Arial"/>
                      <w:color w:val="auto"/>
                      <w:sz w:val="21"/>
                      <w:szCs w:val="21"/>
                    </w:rPr>
                  </w:pPr>
                  <w:r>
                    <w:rPr>
                      <w:rFonts w:hint="default" w:ascii="Arial" w:hAnsi="Arial" w:eastAsia="宋体" w:cs="Arial"/>
                      <w:color w:val="auto"/>
                      <w:kern w:val="0"/>
                      <w:sz w:val="21"/>
                      <w:szCs w:val="21"/>
                      <w:lang w:val="en-US" w:eastAsia="zh-CN"/>
                    </w:rPr>
                    <w:t>枢纽工程</w:t>
                  </w:r>
                </w:p>
              </w:tc>
              <w:tc>
                <w:tcPr>
                  <w:tcW w:w="2242" w:type="dxa"/>
                  <w:gridSpan w:val="2"/>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过鱼设施</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采取人工网捕措施从坝址下游捕获鱼类放流至库区及上游</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continue"/>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p>
              </w:tc>
              <w:tc>
                <w:tcPr>
                  <w:tcW w:w="2242" w:type="dxa"/>
                  <w:gridSpan w:val="2"/>
                  <w:shd w:val="clear" w:color="auto" w:fill="auto"/>
                  <w:noWrap w:val="0"/>
                  <w:vAlign w:val="center"/>
                </w:tcPr>
                <w:p>
                  <w:pPr>
                    <w:widowControl/>
                    <w:spacing w:line="240" w:lineRule="auto"/>
                    <w:ind w:left="0" w:leftChars="0" w:firstLine="0" w:firstLineChars="0"/>
                    <w:jc w:val="center"/>
                    <w:rPr>
                      <w:rFonts w:hint="eastAsia"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减水河段标识牌</w:t>
                  </w:r>
                </w:p>
              </w:tc>
              <w:tc>
                <w:tcPr>
                  <w:tcW w:w="4465" w:type="dxa"/>
                  <w:shd w:val="clear" w:color="auto" w:fill="auto"/>
                  <w:noWrap w:val="0"/>
                  <w:vAlign w:val="center"/>
                </w:tcPr>
                <w:p>
                  <w:pPr>
                    <w:widowControl/>
                    <w:spacing w:line="240" w:lineRule="auto"/>
                    <w:ind w:left="0" w:leftChars="0" w:firstLine="0" w:firstLineChars="0"/>
                    <w:jc w:val="center"/>
                    <w:rPr>
                      <w:rFonts w:hint="eastAsia"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2块</w:t>
                  </w:r>
                </w:p>
              </w:tc>
              <w:tc>
                <w:tcPr>
                  <w:tcW w:w="1076" w:type="dxa"/>
                  <w:shd w:val="clear" w:color="auto" w:fill="auto"/>
                  <w:noWrap w:val="0"/>
                  <w:vAlign w:val="center"/>
                </w:tcPr>
                <w:p>
                  <w:pPr>
                    <w:widowControl/>
                    <w:spacing w:line="240" w:lineRule="auto"/>
                    <w:ind w:left="0" w:leftChars="0" w:firstLine="0" w:firstLineChars="0"/>
                    <w:jc w:val="center"/>
                    <w:rPr>
                      <w:rFonts w:hint="eastAsia"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continue"/>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p>
              </w:tc>
              <w:tc>
                <w:tcPr>
                  <w:tcW w:w="2242" w:type="dxa"/>
                  <w:gridSpan w:val="2"/>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cs="Arial"/>
                      <w:color w:val="auto"/>
                      <w:kern w:val="0"/>
                      <w:sz w:val="21"/>
                      <w:szCs w:val="21"/>
                      <w:lang w:val="en-US" w:eastAsia="zh-CN"/>
                    </w:rPr>
                    <w:t>低温水保护措施</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取水隧洞末端设置消力池长47m，深3m，宽6m，消力池底板顶高程531.50m</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cs="Arial"/>
                      <w:color w:val="auto"/>
                      <w:kern w:val="0"/>
                      <w:sz w:val="21"/>
                      <w:szCs w:val="21"/>
                      <w:lang w:val="en-US" w:eastAsia="zh-CN"/>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621" w:type="dxa"/>
                  <w:gridSpan w:val="3"/>
                  <w:vMerge w:val="continue"/>
                  <w:noWrap w:val="0"/>
                  <w:vAlign w:val="center"/>
                </w:tcPr>
                <w:p>
                  <w:pPr>
                    <w:spacing w:line="240" w:lineRule="auto"/>
                    <w:ind w:left="0" w:leftChars="0" w:right="-20" w:firstLine="0" w:firstLineChars="0"/>
                    <w:jc w:val="center"/>
                    <w:rPr>
                      <w:rFonts w:hint="default" w:ascii="Arial" w:hAnsi="Arial" w:eastAsia="宋体" w:cs="Arial"/>
                      <w:b/>
                      <w:bCs/>
                      <w:color w:val="auto"/>
                      <w:sz w:val="21"/>
                      <w:szCs w:val="21"/>
                      <w:lang w:eastAsia="zh-CN"/>
                    </w:rPr>
                  </w:pPr>
                </w:p>
              </w:tc>
              <w:tc>
                <w:tcPr>
                  <w:tcW w:w="426" w:type="dxa"/>
                  <w:vMerge w:val="continue"/>
                  <w:noWrap w:val="0"/>
                  <w:vAlign w:val="center"/>
                </w:tcPr>
                <w:p>
                  <w:pPr>
                    <w:widowControl/>
                    <w:spacing w:line="240" w:lineRule="auto"/>
                    <w:ind w:left="0" w:leftChars="0" w:firstLine="0" w:firstLineChars="0"/>
                    <w:jc w:val="both"/>
                    <w:rPr>
                      <w:rFonts w:hint="default" w:ascii="Arial" w:hAnsi="Arial" w:eastAsia="宋体" w:cs="Arial"/>
                      <w:color w:val="auto"/>
                      <w:kern w:val="0"/>
                      <w:sz w:val="21"/>
                      <w:szCs w:val="21"/>
                      <w:lang w:val="en-US" w:eastAsia="zh-CN"/>
                    </w:rPr>
                  </w:pPr>
                </w:p>
              </w:tc>
              <w:tc>
                <w:tcPr>
                  <w:tcW w:w="2242" w:type="dxa"/>
                  <w:gridSpan w:val="2"/>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eastAsia="zh-CN"/>
                    </w:rPr>
                    <w:t>水源保护标识牌</w:t>
                  </w:r>
                </w:p>
              </w:tc>
              <w:tc>
                <w:tcPr>
                  <w:tcW w:w="4465"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9块</w:t>
                  </w:r>
                </w:p>
              </w:tc>
              <w:tc>
                <w:tcPr>
                  <w:tcW w:w="1076" w:type="dxa"/>
                  <w:shd w:val="clear" w:color="auto" w:fill="auto"/>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 w:val="21"/>
                      <w:szCs w:val="21"/>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3289" w:type="dxa"/>
                  <w:gridSpan w:val="6"/>
                  <w:vMerge w:val="restart"/>
                  <w:noWrap w:val="0"/>
                  <w:vAlign w:val="center"/>
                </w:tcPr>
                <w:p>
                  <w:pPr>
                    <w:pStyle w:val="88"/>
                    <w:spacing w:before="60" w:after="60" w:line="240" w:lineRule="auto"/>
                    <w:jc w:val="center"/>
                    <w:rPr>
                      <w:rFonts w:hint="default" w:ascii="Arial" w:hAnsi="Arial" w:eastAsia="宋体" w:cs="Arial"/>
                      <w:color w:val="auto"/>
                      <w:sz w:val="21"/>
                      <w:szCs w:val="21"/>
                    </w:rPr>
                  </w:pPr>
                  <w:r>
                    <w:rPr>
                      <w:rFonts w:hint="default" w:ascii="Arial" w:hAnsi="Arial" w:eastAsia="宋体" w:cs="Arial"/>
                      <w:b/>
                      <w:bCs/>
                      <w:color w:val="auto"/>
                      <w:sz w:val="21"/>
                      <w:szCs w:val="21"/>
                    </w:rPr>
                    <w:t>环境监测</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rPr>
                  </w:pPr>
                  <w:r>
                    <w:rPr>
                      <w:rFonts w:hint="default" w:ascii="Arial" w:hAnsi="Arial" w:eastAsia="宋体" w:cs="Arial"/>
                      <w:color w:val="auto"/>
                      <w:kern w:val="0"/>
                      <w:sz w:val="21"/>
                      <w:szCs w:val="21"/>
                    </w:rPr>
                    <w:t>施工期环境监测</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3289" w:type="dxa"/>
                  <w:gridSpan w:val="6"/>
                  <w:vMerge w:val="continue"/>
                  <w:noWrap w:val="0"/>
                  <w:vAlign w:val="center"/>
                </w:tcPr>
                <w:p>
                  <w:pPr>
                    <w:pStyle w:val="88"/>
                    <w:spacing w:before="60" w:after="60" w:line="240" w:lineRule="auto"/>
                    <w:jc w:val="center"/>
                    <w:rPr>
                      <w:rFonts w:hint="default" w:ascii="Arial" w:hAnsi="Arial" w:eastAsia="宋体" w:cs="Arial"/>
                      <w:b/>
                      <w:bCs/>
                      <w:color w:val="auto"/>
                      <w:sz w:val="21"/>
                      <w:szCs w:val="21"/>
                    </w:rPr>
                  </w:pP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运行期环境监测</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3289" w:type="dxa"/>
                  <w:gridSpan w:val="6"/>
                  <w:vMerge w:val="continue"/>
                  <w:noWrap w:val="0"/>
                  <w:vAlign w:val="center"/>
                </w:tcPr>
                <w:p>
                  <w:pPr>
                    <w:pStyle w:val="88"/>
                    <w:spacing w:before="60" w:after="60" w:line="240" w:lineRule="auto"/>
                    <w:jc w:val="center"/>
                    <w:rPr>
                      <w:rFonts w:hint="default" w:ascii="Arial" w:hAnsi="Arial" w:eastAsia="宋体" w:cs="Arial"/>
                      <w:b/>
                      <w:bCs/>
                      <w:color w:val="auto"/>
                      <w:sz w:val="21"/>
                      <w:szCs w:val="21"/>
                    </w:rPr>
                  </w:pP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水温观测</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3289" w:type="dxa"/>
                  <w:gridSpan w:val="6"/>
                  <w:vMerge w:val="continue"/>
                  <w:noWrap w:val="0"/>
                  <w:vAlign w:val="center"/>
                </w:tcPr>
                <w:p>
                  <w:pPr>
                    <w:pStyle w:val="88"/>
                    <w:spacing w:before="60" w:after="60" w:line="240" w:lineRule="auto"/>
                    <w:jc w:val="center"/>
                    <w:rPr>
                      <w:rFonts w:hint="default" w:ascii="Arial" w:hAnsi="Arial" w:eastAsia="宋体" w:cs="Arial"/>
                      <w:b/>
                      <w:bCs/>
                      <w:color w:val="auto"/>
                      <w:sz w:val="21"/>
                      <w:szCs w:val="21"/>
                    </w:rPr>
                  </w:pPr>
                </w:p>
              </w:tc>
              <w:tc>
                <w:tcPr>
                  <w:tcW w:w="4465" w:type="dxa"/>
                  <w:noWrap w:val="0"/>
                  <w:vAlign w:val="center"/>
                </w:tcPr>
                <w:p>
                  <w:pPr>
                    <w:spacing w:before="88" w:line="240" w:lineRule="auto"/>
                    <w:ind w:right="-2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水土流失监测</w:t>
                  </w:r>
                </w:p>
              </w:tc>
              <w:tc>
                <w:tcPr>
                  <w:tcW w:w="1076" w:type="dxa"/>
                  <w:noWrap w:val="0"/>
                  <w:vAlign w:val="center"/>
                </w:tcPr>
                <w:p>
                  <w:pPr>
                    <w:pStyle w:val="88"/>
                    <w:spacing w:before="60" w:after="60" w:line="240" w:lineRule="auto"/>
                    <w:ind w:left="0" w:leftChars="0" w:firstLine="0"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已计入</w:t>
                  </w:r>
                </w:p>
                <w:p>
                  <w:pPr>
                    <w:pStyle w:val="88"/>
                    <w:spacing w:before="60" w:after="60" w:line="240" w:lineRule="auto"/>
                    <w:ind w:left="0" w:leftChars="0" w:firstLine="0" w:firstLineChars="0"/>
                    <w:jc w:val="center"/>
                    <w:rPr>
                      <w:rFonts w:hint="default" w:ascii="Arial" w:hAnsi="Arial" w:eastAsia="宋体" w:cs="Arial"/>
                      <w:color w:val="auto"/>
                      <w:sz w:val="21"/>
                      <w:szCs w:val="21"/>
                      <w:lang w:eastAsia="zh-CN"/>
                    </w:rPr>
                  </w:pPr>
                  <w:r>
                    <w:rPr>
                      <w:rFonts w:hint="default" w:ascii="Arial" w:hAnsi="Arial" w:eastAsia="宋体" w:cs="Arial"/>
                      <w:color w:val="auto"/>
                      <w:sz w:val="21"/>
                      <w:szCs w:val="21"/>
                      <w:lang w:eastAsia="zh-CN"/>
                    </w:rPr>
                    <w:t>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3289" w:type="dxa"/>
                  <w:gridSpan w:val="6"/>
                  <w:noWrap w:val="0"/>
                  <w:vAlign w:val="center"/>
                </w:tcPr>
                <w:p>
                  <w:pPr>
                    <w:pStyle w:val="88"/>
                    <w:spacing w:before="60" w:after="60" w:line="240" w:lineRule="auto"/>
                    <w:jc w:val="center"/>
                    <w:rPr>
                      <w:rFonts w:hint="default" w:ascii="Arial" w:hAnsi="Arial" w:eastAsia="宋体" w:cs="Arial"/>
                      <w:color w:val="auto"/>
                      <w:sz w:val="21"/>
                      <w:szCs w:val="21"/>
                    </w:rPr>
                  </w:pPr>
                  <w:r>
                    <w:rPr>
                      <w:rFonts w:hint="default" w:ascii="Arial" w:hAnsi="Arial" w:eastAsia="宋体" w:cs="Arial"/>
                      <w:b/>
                      <w:bCs/>
                      <w:color w:val="auto"/>
                      <w:kern w:val="0"/>
                      <w:sz w:val="21"/>
                      <w:szCs w:val="21"/>
                    </w:rPr>
                    <w:t>人群健康保护</w:t>
                  </w:r>
                </w:p>
              </w:tc>
              <w:tc>
                <w:tcPr>
                  <w:tcW w:w="4465"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eastAsia="zh-CN"/>
                    </w:rPr>
                  </w:pPr>
                  <w:r>
                    <w:rPr>
                      <w:rFonts w:hint="default" w:ascii="Arial" w:hAnsi="Arial" w:eastAsia="宋体" w:cs="Arial"/>
                      <w:color w:val="auto"/>
                      <w:kern w:val="0"/>
                      <w:sz w:val="21"/>
                      <w:szCs w:val="21"/>
                      <w:lang w:eastAsia="zh-CN"/>
                    </w:rPr>
                    <w:t>施工区的清理与消毒</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eastAsia" w:ascii="Arial" w:hAnsi="Arial" w:eastAsia="宋体" w:cs="Arial"/>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jc w:val="center"/>
              </w:trPr>
              <w:tc>
                <w:tcPr>
                  <w:tcW w:w="7754" w:type="dxa"/>
                  <w:gridSpan w:val="7"/>
                  <w:noWrap w:val="0"/>
                  <w:vAlign w:val="center"/>
                </w:tcPr>
                <w:p>
                  <w:pPr>
                    <w:widowControl/>
                    <w:spacing w:line="240" w:lineRule="auto"/>
                    <w:ind w:left="0" w:leftChars="0" w:firstLine="0" w:firstLineChars="0"/>
                    <w:jc w:val="center"/>
                    <w:rPr>
                      <w:rFonts w:hint="default" w:ascii="Arial" w:hAnsi="Arial" w:eastAsia="宋体" w:cs="Arial"/>
                      <w:b/>
                      <w:bCs/>
                      <w:color w:val="auto"/>
                      <w:kern w:val="0"/>
                      <w:sz w:val="21"/>
                      <w:szCs w:val="21"/>
                      <w:lang w:val="en-US" w:eastAsia="zh-CN"/>
                    </w:rPr>
                  </w:pPr>
                  <w:r>
                    <w:rPr>
                      <w:rFonts w:hint="default" w:ascii="Arial" w:hAnsi="Arial" w:eastAsia="宋体" w:cs="Arial"/>
                      <w:b/>
                      <w:bCs/>
                      <w:color w:val="auto"/>
                      <w:kern w:val="0"/>
                      <w:sz w:val="21"/>
                      <w:szCs w:val="21"/>
                      <w:lang w:val="en-US" w:eastAsia="zh-CN"/>
                    </w:rPr>
                    <w:t>合计</w:t>
                  </w:r>
                </w:p>
              </w:tc>
              <w:tc>
                <w:tcPr>
                  <w:tcW w:w="1076" w:type="dxa"/>
                  <w:noWrap w:val="0"/>
                  <w:vAlign w:val="center"/>
                </w:tcPr>
                <w:p>
                  <w:pPr>
                    <w:widowControl/>
                    <w:spacing w:line="240" w:lineRule="auto"/>
                    <w:ind w:left="0" w:leftChars="0" w:firstLine="0" w:firstLineChars="0"/>
                    <w:jc w:val="center"/>
                    <w:rPr>
                      <w:rFonts w:hint="default" w:ascii="Arial" w:hAnsi="Arial" w:eastAsia="宋体" w:cs="Arial"/>
                      <w:color w:val="auto"/>
                      <w:kern w:val="0"/>
                      <w:sz w:val="21"/>
                      <w:szCs w:val="21"/>
                      <w:lang w:val="en-US" w:eastAsia="zh-CN"/>
                    </w:rPr>
                  </w:pPr>
                  <w:r>
                    <w:rPr>
                      <w:rFonts w:hint="default" w:ascii="Arial" w:hAnsi="Arial" w:eastAsia="宋体" w:cs="Arial"/>
                      <w:color w:val="auto"/>
                      <w:kern w:val="0"/>
                      <w:sz w:val="21"/>
                      <w:szCs w:val="21"/>
                    </w:rPr>
                    <w:t>1</w:t>
                  </w:r>
                  <w:r>
                    <w:rPr>
                      <w:rFonts w:hint="eastAsia" w:ascii="Arial" w:hAnsi="Arial" w:eastAsia="宋体" w:cs="Arial"/>
                      <w:color w:val="auto"/>
                      <w:kern w:val="0"/>
                      <w:sz w:val="21"/>
                      <w:szCs w:val="21"/>
                      <w:lang w:val="en-US" w:eastAsia="zh-CN"/>
                    </w:rPr>
                    <w:t>28.35</w:t>
                  </w:r>
                </w:p>
              </w:tc>
            </w:tr>
          </w:tbl>
          <w:p>
            <w:pPr>
              <w:adjustRightInd w:val="0"/>
              <w:spacing w:line="360" w:lineRule="auto"/>
              <w:jc w:val="center"/>
              <w:textAlignment w:val="baseline"/>
              <w:rPr>
                <w:rFonts w:hAnsi="宋体"/>
                <w:b/>
                <w:szCs w:val="21"/>
              </w:rPr>
            </w:pPr>
          </w:p>
          <w:p>
            <w:pPr>
              <w:adjustRightInd w:val="0"/>
              <w:spacing w:line="360" w:lineRule="auto"/>
              <w:jc w:val="center"/>
              <w:textAlignment w:val="baseline"/>
              <w:rPr>
                <w:rFonts w:hAnsi="宋体"/>
                <w:b/>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p>
            <w:pPr>
              <w:adjustRightInd w:val="0"/>
              <w:snapToGrid w:val="0"/>
              <w:rPr>
                <w:rFonts w:ascii="宋体" w:hAnsi="宋体" w:cs="宋体"/>
                <w:bCs/>
                <w:spacing w:val="10"/>
                <w:szCs w:val="21"/>
              </w:rPr>
            </w:pPr>
          </w:p>
        </w:tc>
      </w:tr>
    </w:tbl>
    <w:p>
      <w:pPr>
        <w:sectPr>
          <w:pgSz w:w="11905" w:h="16838"/>
          <w:pgMar w:top="1701" w:right="1531" w:bottom="1701" w:left="1531" w:header="851" w:footer="1077" w:gutter="0"/>
          <w:pgBorders>
            <w:top w:val="none" w:sz="0" w:space="0"/>
            <w:left w:val="none" w:sz="0" w:space="0"/>
            <w:bottom w:val="none" w:sz="0" w:space="0"/>
            <w:right w:val="none" w:sz="0" w:space="0"/>
          </w:pgBorders>
          <w:cols w:space="0" w:num="1"/>
          <w:rtlGutter w:val="0"/>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23"/>
        <w:tblW w:w="52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036"/>
        <w:gridCol w:w="1441"/>
        <w:gridCol w:w="2913"/>
        <w:gridCol w:w="1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14" w:type="pct"/>
            <w:vMerge w:val="restart"/>
            <w:tcBorders>
              <w:tl2br w:val="single" w:color="auto" w:sz="4" w:space="0"/>
            </w:tcBorders>
          </w:tcPr>
          <w:p>
            <w:pPr>
              <w:pStyle w:val="19"/>
              <w:adjustRightInd w:val="0"/>
              <w:snapToGrid w:val="0"/>
              <w:spacing w:before="72" w:beforeLines="30" w:beforeAutospacing="0" w:after="0" w:afterAutospacing="0"/>
              <w:ind w:firstLine="211" w:firstLineChars="100"/>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内容</w:t>
            </w:r>
          </w:p>
          <w:p>
            <w:pPr>
              <w:pStyle w:val="19"/>
              <w:adjustRightInd w:val="0"/>
              <w:snapToGrid w:val="0"/>
              <w:spacing w:before="0" w:beforeAutospacing="0" w:after="0" w:afterAutospacing="0" w:line="14" w:lineRule="auto"/>
              <w:outlineLvl w:val="0"/>
              <w:rPr>
                <w:rFonts w:hint="eastAsia" w:ascii="宋体" w:hAnsi="宋体" w:eastAsia="宋体" w:cs="宋体"/>
                <w:b/>
                <w:bCs/>
                <w:kern w:val="2"/>
                <w:sz w:val="21"/>
                <w:szCs w:val="21"/>
              </w:rPr>
            </w:pPr>
          </w:p>
          <w:p>
            <w:pPr>
              <w:pStyle w:val="19"/>
              <w:adjustRightInd w:val="0"/>
              <w:snapToGrid w:val="0"/>
              <w:spacing w:before="0" w:beforeAutospacing="0" w:after="0" w:afterAutospacing="0" w:line="14" w:lineRule="auto"/>
              <w:outlineLvl w:val="0"/>
              <w:rPr>
                <w:rFonts w:hint="eastAsia" w:ascii="宋体" w:hAnsi="宋体" w:eastAsia="宋体" w:cs="宋体"/>
                <w:b/>
                <w:bCs/>
                <w:kern w:val="2"/>
                <w:sz w:val="21"/>
                <w:szCs w:val="21"/>
              </w:rPr>
            </w:pPr>
          </w:p>
          <w:p>
            <w:pPr>
              <w:pStyle w:val="19"/>
              <w:adjustRightInd w:val="0"/>
              <w:snapToGrid w:val="0"/>
              <w:spacing w:before="0" w:beforeAutospacing="0" w:after="0" w:afterAutospacing="0" w:line="14" w:lineRule="auto"/>
              <w:outlineLvl w:val="0"/>
              <w:rPr>
                <w:rFonts w:hint="eastAsia" w:ascii="宋体" w:hAnsi="宋体" w:eastAsia="宋体" w:cs="宋体"/>
                <w:b/>
                <w:bCs/>
                <w:kern w:val="2"/>
                <w:sz w:val="21"/>
                <w:szCs w:val="21"/>
              </w:rPr>
            </w:pPr>
          </w:p>
          <w:p>
            <w:pPr>
              <w:pStyle w:val="19"/>
              <w:adjustRightInd w:val="0"/>
              <w:snapToGrid w:val="0"/>
              <w:spacing w:before="0" w:beforeAutospacing="0" w:after="0" w:afterAutospacing="0" w:line="14" w:lineRule="auto"/>
              <w:outlineLvl w:val="0"/>
              <w:rPr>
                <w:rFonts w:hint="eastAsia" w:ascii="宋体" w:hAnsi="宋体" w:eastAsia="宋体" w:cs="宋体"/>
                <w:b/>
                <w:bCs/>
                <w:kern w:val="2"/>
                <w:sz w:val="21"/>
                <w:szCs w:val="21"/>
              </w:rPr>
            </w:pPr>
          </w:p>
          <w:p>
            <w:pPr>
              <w:pStyle w:val="19"/>
              <w:adjustRightInd w:val="0"/>
              <w:snapToGrid w:val="0"/>
              <w:spacing w:before="0" w:beforeAutospacing="0" w:after="0" w:afterAutospacing="0"/>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要素</w:t>
            </w:r>
          </w:p>
        </w:tc>
        <w:tc>
          <w:tcPr>
            <w:tcW w:w="2361" w:type="pct"/>
            <w:gridSpan w:val="2"/>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施工期</w:t>
            </w:r>
          </w:p>
        </w:tc>
        <w:tc>
          <w:tcPr>
            <w:tcW w:w="2123" w:type="pct"/>
            <w:gridSpan w:val="2"/>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14" w:type="pct"/>
            <w:vMerge w:val="continue"/>
          </w:tcPr>
          <w:p>
            <w:pPr>
              <w:pStyle w:val="19"/>
              <w:adjustRightInd w:val="0"/>
              <w:snapToGrid w:val="0"/>
              <w:spacing w:before="0" w:beforeAutospacing="0" w:after="0" w:afterAutospacing="0"/>
              <w:ind w:firstLine="840"/>
              <w:jc w:val="center"/>
              <w:outlineLvl w:val="0"/>
              <w:rPr>
                <w:rFonts w:hint="eastAsia" w:ascii="宋体" w:hAnsi="宋体" w:eastAsia="宋体" w:cs="宋体"/>
                <w:b/>
                <w:bCs/>
                <w:kern w:val="2"/>
                <w:sz w:val="21"/>
                <w:szCs w:val="21"/>
              </w:rPr>
            </w:pPr>
          </w:p>
        </w:tc>
        <w:tc>
          <w:tcPr>
            <w:tcW w:w="1601" w:type="pct"/>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环境保护措施</w:t>
            </w:r>
          </w:p>
        </w:tc>
        <w:tc>
          <w:tcPr>
            <w:tcW w:w="760" w:type="pct"/>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验收要求</w:t>
            </w:r>
          </w:p>
        </w:tc>
        <w:tc>
          <w:tcPr>
            <w:tcW w:w="1536" w:type="pct"/>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环境保护措施</w:t>
            </w:r>
          </w:p>
        </w:tc>
        <w:tc>
          <w:tcPr>
            <w:tcW w:w="587" w:type="pct"/>
            <w:vAlign w:val="center"/>
          </w:tcPr>
          <w:p>
            <w:pPr>
              <w:pStyle w:val="19"/>
              <w:adjustRightInd w:val="0"/>
              <w:snapToGrid w:val="0"/>
              <w:spacing w:before="0" w:beforeAutospacing="0" w:after="0" w:afterAutospacing="0"/>
              <w:jc w:val="center"/>
              <w:outlineLvl w:val="0"/>
              <w:rPr>
                <w:rFonts w:hint="eastAsia" w:ascii="宋体" w:hAnsi="宋体" w:eastAsia="宋体" w:cs="宋体"/>
                <w:b/>
                <w:bCs/>
                <w:kern w:val="2"/>
                <w:sz w:val="21"/>
                <w:szCs w:val="21"/>
              </w:rPr>
            </w:pPr>
            <w:r>
              <w:rPr>
                <w:rFonts w:hint="eastAsia" w:ascii="宋体" w:hAnsi="宋体" w:eastAsia="宋体" w:cs="宋体"/>
                <w:b/>
                <w:bCs/>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default" w:ascii="Arial" w:hAnsi="Arial" w:eastAsia="宋体" w:cs="Arial"/>
                <w:sz w:val="21"/>
                <w:szCs w:val="21"/>
              </w:rPr>
            </w:pPr>
            <w:r>
              <w:rPr>
                <w:rFonts w:hint="default" w:ascii="Arial" w:hAnsi="Arial" w:eastAsia="宋体" w:cs="Arial"/>
                <w:sz w:val="21"/>
                <w:szCs w:val="21"/>
              </w:rPr>
              <w:t>陆生</w:t>
            </w:r>
          </w:p>
          <w:p>
            <w:pPr>
              <w:adjustRightInd w:val="0"/>
              <w:snapToGrid w:val="0"/>
              <w:jc w:val="center"/>
              <w:rPr>
                <w:rFonts w:hint="default" w:ascii="Arial" w:hAnsi="Arial" w:eastAsia="宋体" w:cs="Arial"/>
                <w:sz w:val="21"/>
                <w:szCs w:val="21"/>
              </w:rPr>
            </w:pPr>
            <w:r>
              <w:rPr>
                <w:rFonts w:hint="default" w:ascii="Arial" w:hAnsi="Arial" w:eastAsia="宋体" w:cs="Arial"/>
                <w:sz w:val="21"/>
                <w:szCs w:val="21"/>
              </w:rPr>
              <w:t>生态</w:t>
            </w:r>
          </w:p>
        </w:tc>
        <w:tc>
          <w:tcPr>
            <w:tcW w:w="1601" w:type="pct"/>
            <w:vAlign w:val="center"/>
          </w:tcPr>
          <w:p>
            <w:pPr>
              <w:pStyle w:val="75"/>
              <w:keepNext w:val="0"/>
              <w:keepLines w:val="0"/>
              <w:pageBreakBefore w:val="0"/>
              <w:widowControl w:val="0"/>
              <w:kinsoku/>
              <w:wordWrap/>
              <w:overflowPunct/>
              <w:topLinePunct w:val="0"/>
              <w:autoSpaceDE/>
              <w:autoSpaceDN/>
              <w:bidi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1、加强环境保护宣传教</w:t>
            </w:r>
          </w:p>
          <w:p>
            <w:pPr>
              <w:pStyle w:val="75"/>
              <w:keepNext w:val="0"/>
              <w:keepLines w:val="0"/>
              <w:pageBreakBefore w:val="0"/>
              <w:widowControl w:val="0"/>
              <w:kinsoku/>
              <w:wordWrap/>
              <w:overflowPunct/>
              <w:topLinePunct w:val="0"/>
              <w:autoSpaceDE/>
              <w:autoSpaceDN/>
              <w:bidi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育，在施工区内设置宣传牌和标语；</w:t>
            </w:r>
          </w:p>
          <w:p>
            <w:pPr>
              <w:pStyle w:val="75"/>
              <w:keepNext w:val="0"/>
              <w:keepLines w:val="0"/>
              <w:pageBreakBefore w:val="0"/>
              <w:widowControl w:val="0"/>
              <w:kinsoku/>
              <w:wordWrap/>
              <w:overflowPunct/>
              <w:topLinePunct w:val="0"/>
              <w:autoSpaceDE/>
              <w:autoSpaceDN/>
              <w:bidi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2、加强施工期巡护工作；</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3、严控施工占地范围，减少对植被的影响破坏。</w:t>
            </w:r>
          </w:p>
        </w:tc>
        <w:tc>
          <w:tcPr>
            <w:tcW w:w="76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及时恢复施工区绿化和植被</w:t>
            </w:r>
          </w:p>
        </w:tc>
        <w:tc>
          <w:tcPr>
            <w:tcW w:w="1536" w:type="pct"/>
            <w:vAlign w:val="center"/>
          </w:tcPr>
          <w:p>
            <w:pPr>
              <w:pStyle w:val="75"/>
              <w:keepNext w:val="0"/>
              <w:keepLines w:val="0"/>
              <w:pageBreakBefore w:val="0"/>
              <w:widowControl w:val="0"/>
              <w:kinsoku/>
              <w:wordWrap/>
              <w:overflowPunct/>
              <w:topLinePunct w:val="0"/>
              <w:autoSpaceDE/>
              <w:autoSpaceDN/>
              <w:bidi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1、加强项目区内绿化建设；</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textAlignment w:val="auto"/>
              <w:rPr>
                <w:rFonts w:hint="default" w:ascii="Arial" w:hAnsi="Arial" w:eastAsia="宋体" w:cs="Arial"/>
                <w:spacing w:val="0"/>
                <w:sz w:val="21"/>
                <w:szCs w:val="21"/>
              </w:rPr>
            </w:pPr>
            <w:r>
              <w:rPr>
                <w:rFonts w:hint="default" w:ascii="Arial" w:hAnsi="Arial" w:eastAsia="宋体" w:cs="Arial"/>
                <w:spacing w:val="0"/>
                <w:sz w:val="21"/>
                <w:szCs w:val="21"/>
              </w:rPr>
              <w:t>2、严禁施工人员进入林地对林地造成危害。</w:t>
            </w:r>
          </w:p>
        </w:tc>
        <w:tc>
          <w:tcPr>
            <w:tcW w:w="587" w:type="pct"/>
            <w:vMerge w:val="restart"/>
            <w:vAlign w:val="center"/>
          </w:tcPr>
          <w:p>
            <w:pPr>
              <w:adjustRightInd w:val="0"/>
              <w:snapToGrid w:val="0"/>
              <w:jc w:val="center"/>
              <w:rPr>
                <w:rFonts w:ascii="宋体" w:hAnsi="宋体" w:cs="宋体"/>
                <w:szCs w:val="21"/>
              </w:rPr>
            </w:pPr>
            <w:r>
              <w:rPr>
                <w:rFonts w:hint="eastAsia" w:ascii="Arial" w:hAnsi="Arial" w:cs="Arial"/>
                <w:szCs w:val="21"/>
              </w:rPr>
              <w:t>不产生明显影响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eastAsia" w:ascii="Arial" w:hAnsi="Arial" w:eastAsia="宋体" w:cs="Arial"/>
                <w:sz w:val="21"/>
                <w:szCs w:val="21"/>
              </w:rPr>
            </w:pPr>
            <w:r>
              <w:rPr>
                <w:rFonts w:hint="eastAsia" w:ascii="Arial" w:hAnsi="Arial" w:eastAsia="宋体" w:cs="Arial"/>
                <w:sz w:val="21"/>
                <w:szCs w:val="21"/>
              </w:rPr>
              <w:t>水生</w:t>
            </w:r>
          </w:p>
          <w:p>
            <w:pPr>
              <w:adjustRightInd w:val="0"/>
              <w:snapToGrid w:val="0"/>
              <w:jc w:val="center"/>
              <w:rPr>
                <w:rFonts w:hint="default" w:ascii="Arial" w:hAnsi="Arial" w:eastAsia="宋体" w:cs="Arial"/>
                <w:sz w:val="21"/>
                <w:szCs w:val="21"/>
              </w:rPr>
            </w:pPr>
            <w:r>
              <w:rPr>
                <w:rFonts w:hint="eastAsia" w:ascii="Arial" w:hAnsi="Arial" w:eastAsia="宋体" w:cs="Arial"/>
                <w:sz w:val="21"/>
                <w:szCs w:val="21"/>
              </w:rPr>
              <w:t>生态</w:t>
            </w:r>
          </w:p>
        </w:tc>
        <w:tc>
          <w:tcPr>
            <w:tcW w:w="1601" w:type="pct"/>
            <w:vAlign w:val="center"/>
          </w:tcPr>
          <w:p>
            <w:pPr>
              <w:adjustRightInd w:val="0"/>
              <w:snapToGrid w:val="0"/>
              <w:jc w:val="left"/>
              <w:rPr>
                <w:rFonts w:hint="default" w:ascii="Arial" w:hAnsi="Arial" w:eastAsia="宋体" w:cs="Arial"/>
                <w:spacing w:val="0"/>
                <w:sz w:val="21"/>
                <w:szCs w:val="21"/>
              </w:rPr>
            </w:pPr>
            <w:r>
              <w:rPr>
                <w:rFonts w:hint="default" w:ascii="Arial" w:hAnsi="Arial" w:eastAsia="宋体" w:cs="Arial"/>
                <w:spacing w:val="0"/>
                <w:sz w:val="21"/>
                <w:szCs w:val="21"/>
              </w:rPr>
              <w:t>1、合理调整施工进度和施工期，减小工程施工对鱼类繁殖活动的影响，并严格控制夜间施工时间；</w:t>
            </w:r>
          </w:p>
          <w:p>
            <w:pPr>
              <w:adjustRightInd w:val="0"/>
              <w:snapToGrid w:val="0"/>
              <w:jc w:val="left"/>
              <w:rPr>
                <w:rFonts w:hint="default" w:ascii="Arial" w:hAnsi="Arial" w:eastAsia="宋体" w:cs="Arial"/>
                <w:spacing w:val="0"/>
                <w:sz w:val="21"/>
                <w:szCs w:val="21"/>
              </w:rPr>
            </w:pPr>
            <w:r>
              <w:rPr>
                <w:rFonts w:hint="default" w:ascii="Arial" w:hAnsi="Arial" w:eastAsia="宋体" w:cs="Arial"/>
                <w:spacing w:val="0"/>
                <w:sz w:val="21"/>
                <w:szCs w:val="21"/>
              </w:rPr>
              <w:t>2、打击违法捕鱼，发动群众参与鱼类资源的保护</w:t>
            </w:r>
            <w:r>
              <w:rPr>
                <w:rFonts w:hint="eastAsia" w:ascii="Arial" w:hAnsi="Arial" w:eastAsia="宋体" w:cs="Arial"/>
                <w:spacing w:val="0"/>
                <w:sz w:val="21"/>
                <w:szCs w:val="21"/>
              </w:rPr>
              <w:t>；</w:t>
            </w:r>
          </w:p>
        </w:tc>
        <w:tc>
          <w:tcPr>
            <w:tcW w:w="760" w:type="pct"/>
            <w:vAlign w:val="center"/>
          </w:tcPr>
          <w:p>
            <w:pPr>
              <w:adjustRightInd w:val="0"/>
              <w:snapToGrid w:val="0"/>
              <w:jc w:val="center"/>
              <w:rPr>
                <w:rFonts w:hint="default" w:ascii="Arial" w:hAnsi="Arial" w:eastAsia="宋体" w:cs="Arial"/>
                <w:spacing w:val="0"/>
                <w:sz w:val="21"/>
                <w:szCs w:val="21"/>
              </w:rPr>
            </w:pPr>
            <w:r>
              <w:rPr>
                <w:rFonts w:hint="default" w:ascii="Arial" w:hAnsi="Arial" w:eastAsia="宋体" w:cs="Arial"/>
                <w:spacing w:val="0"/>
                <w:sz w:val="21"/>
                <w:szCs w:val="21"/>
              </w:rPr>
              <w:t>水生生态无明显影响</w:t>
            </w:r>
          </w:p>
        </w:tc>
        <w:tc>
          <w:tcPr>
            <w:tcW w:w="1536" w:type="pct"/>
            <w:vAlign w:val="center"/>
          </w:tcPr>
          <w:p>
            <w:pPr>
              <w:adjustRightInd w:val="0"/>
              <w:snapToGrid w:val="0"/>
              <w:jc w:val="left"/>
              <w:rPr>
                <w:rFonts w:hint="default" w:ascii="Arial" w:hAnsi="Arial" w:eastAsia="宋体" w:cs="Arial"/>
                <w:spacing w:val="0"/>
                <w:sz w:val="21"/>
                <w:szCs w:val="21"/>
              </w:rPr>
            </w:pPr>
            <w:r>
              <w:rPr>
                <w:rFonts w:hint="default" w:ascii="Arial" w:hAnsi="Arial" w:eastAsia="宋体" w:cs="Arial"/>
                <w:spacing w:val="0"/>
                <w:sz w:val="21"/>
                <w:szCs w:val="21"/>
              </w:rPr>
              <w:t>1、采取适当的鱼类增殖保护措施；</w:t>
            </w:r>
          </w:p>
          <w:p>
            <w:pPr>
              <w:adjustRightInd w:val="0"/>
              <w:snapToGrid w:val="0"/>
              <w:jc w:val="left"/>
              <w:rPr>
                <w:rFonts w:hint="default" w:ascii="Arial" w:hAnsi="Arial" w:eastAsia="宋体" w:cs="Arial"/>
                <w:spacing w:val="0"/>
                <w:sz w:val="21"/>
                <w:szCs w:val="21"/>
              </w:rPr>
            </w:pPr>
            <w:r>
              <w:rPr>
                <w:rFonts w:hint="default" w:ascii="Arial" w:hAnsi="Arial" w:eastAsia="宋体" w:cs="Arial"/>
                <w:spacing w:val="0"/>
                <w:sz w:val="21"/>
                <w:szCs w:val="21"/>
              </w:rPr>
              <w:t>2、加强水库工程建设和运行期的管理，设立宣传和警示牌，加强鱼类保护</w:t>
            </w:r>
            <w:r>
              <w:rPr>
                <w:rFonts w:hint="eastAsia" w:ascii="Arial" w:hAnsi="Arial" w:eastAsia="宋体" w:cs="Arial"/>
                <w:spacing w:val="0"/>
                <w:sz w:val="21"/>
                <w:szCs w:val="21"/>
              </w:rPr>
              <w:t>；</w:t>
            </w:r>
          </w:p>
        </w:tc>
        <w:tc>
          <w:tcPr>
            <w:tcW w:w="587" w:type="pct"/>
            <w:vMerge w:val="continue"/>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地表水环境</w:t>
            </w:r>
          </w:p>
        </w:tc>
        <w:tc>
          <w:tcPr>
            <w:tcW w:w="1601" w:type="pct"/>
            <w:vAlign w:val="center"/>
          </w:tcPr>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1、在施工场地建设沉淀池、隔油池处理施工废水；</w:t>
            </w:r>
          </w:p>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2、生活污水经收集并简单处理后用于施工现场及道路喷淋。</w:t>
            </w:r>
          </w:p>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3、施工材料集中堆放，并采取一定的防雨措施，避免有害物质随雨水冲刷污染附近水体。</w:t>
            </w:r>
          </w:p>
        </w:tc>
        <w:tc>
          <w:tcPr>
            <w:tcW w:w="760" w:type="pct"/>
            <w:vAlign w:val="center"/>
          </w:tcPr>
          <w:p>
            <w:pPr>
              <w:adjustRightInd w:val="0"/>
              <w:snapToGrid w:val="0"/>
              <w:jc w:val="center"/>
              <w:rPr>
                <w:rFonts w:hint="eastAsia" w:ascii="Arial" w:hAnsi="Arial" w:eastAsia="宋体" w:cs="Arial"/>
                <w:spacing w:val="0"/>
                <w:sz w:val="21"/>
                <w:szCs w:val="21"/>
              </w:rPr>
            </w:pPr>
            <w:r>
              <w:rPr>
                <w:rFonts w:hint="eastAsia" w:ascii="Arial" w:hAnsi="Arial" w:eastAsia="宋体" w:cs="Arial"/>
                <w:spacing w:val="0"/>
                <w:sz w:val="21"/>
                <w:szCs w:val="21"/>
              </w:rPr>
              <w:t>废水不外排，区域地表水水质无明显变化</w:t>
            </w:r>
          </w:p>
        </w:tc>
        <w:tc>
          <w:tcPr>
            <w:tcW w:w="1536" w:type="pct"/>
            <w:vAlign w:val="center"/>
          </w:tcPr>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①设置1根生态流量钢管及下泄流量在线监控设施确保下泄生态流量；</w:t>
            </w:r>
          </w:p>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②设专员负责控制流量下泄；</w:t>
            </w:r>
          </w:p>
          <w:p>
            <w:pPr>
              <w:adjustRightInd w:val="0"/>
              <w:snapToGrid w:val="0"/>
              <w:jc w:val="left"/>
              <w:rPr>
                <w:rFonts w:hint="eastAsia" w:ascii="Arial" w:hAnsi="Arial" w:eastAsia="宋体" w:cs="Arial"/>
                <w:spacing w:val="0"/>
                <w:sz w:val="21"/>
                <w:szCs w:val="21"/>
              </w:rPr>
            </w:pPr>
            <w:r>
              <w:rPr>
                <w:rFonts w:hint="eastAsia" w:ascii="Arial" w:hAnsi="Arial" w:eastAsia="宋体" w:cs="Arial"/>
                <w:spacing w:val="0"/>
                <w:sz w:val="21"/>
                <w:szCs w:val="21"/>
              </w:rPr>
              <w:t>③区域常见鱼种增殖放流。</w:t>
            </w:r>
          </w:p>
        </w:tc>
        <w:tc>
          <w:tcPr>
            <w:tcW w:w="587" w:type="pct"/>
            <w:vMerge w:val="continue"/>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ascii="宋体" w:hAnsi="宋体" w:cs="宋体"/>
                <w:szCs w:val="21"/>
              </w:rPr>
            </w:pPr>
            <w:r>
              <w:rPr>
                <w:rFonts w:hint="eastAsia" w:ascii="Arial" w:hAnsi="Arial" w:eastAsia="宋体" w:cs="Arial"/>
                <w:sz w:val="21"/>
                <w:szCs w:val="21"/>
                <w:lang w:val="en-US" w:eastAsia="zh-CN"/>
              </w:rPr>
              <w:t>地下水及土壤环境</w:t>
            </w:r>
          </w:p>
        </w:tc>
        <w:tc>
          <w:tcPr>
            <w:tcW w:w="1601"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c>
          <w:tcPr>
            <w:tcW w:w="760"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c>
          <w:tcPr>
            <w:tcW w:w="1536" w:type="pct"/>
            <w:vAlign w:val="center"/>
          </w:tcPr>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定期开展地下水水质监测。</w:t>
            </w:r>
          </w:p>
        </w:tc>
        <w:tc>
          <w:tcPr>
            <w:tcW w:w="587" w:type="pct"/>
            <w:vMerge w:val="continue"/>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声环境</w:t>
            </w:r>
          </w:p>
        </w:tc>
        <w:tc>
          <w:tcPr>
            <w:tcW w:w="1601" w:type="pct"/>
            <w:vAlign w:val="center"/>
          </w:tcPr>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1、合理布置施工场地、打围施工；</w:t>
            </w:r>
          </w:p>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2、尽量采用低噪声设备，高噪声源设置围护型构筑物；</w:t>
            </w:r>
          </w:p>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3、合理安排施工时间，禁止午间、夜间休息时间施工。</w:t>
            </w:r>
          </w:p>
        </w:tc>
        <w:tc>
          <w:tcPr>
            <w:tcW w:w="760" w:type="pct"/>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Arial" w:hAnsi="Arial" w:eastAsia="宋体" w:cs="Arial"/>
                <w:sz w:val="21"/>
                <w:szCs w:val="21"/>
              </w:rPr>
            </w:pPr>
            <w:r>
              <w:rPr>
                <w:rFonts w:hint="eastAsia" w:ascii="Arial" w:hAnsi="Arial" w:eastAsia="宋体" w:cs="Arial"/>
                <w:sz w:val="21"/>
                <w:szCs w:val="21"/>
              </w:rPr>
              <w:t>施工期场界噪声执行《建筑施工场界环境噪声排放标准》（GB1252</w:t>
            </w:r>
          </w:p>
        </w:tc>
        <w:tc>
          <w:tcPr>
            <w:tcW w:w="1536" w:type="pct"/>
            <w:vAlign w:val="center"/>
          </w:tcPr>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1、选用低噪声设备，基础减震，隔声；</w:t>
            </w:r>
          </w:p>
          <w:p>
            <w:pPr>
              <w:adjustRightInd w:val="0"/>
              <w:snapToGrid w:val="0"/>
              <w:jc w:val="left"/>
              <w:rPr>
                <w:rFonts w:hint="eastAsia" w:ascii="Arial" w:hAnsi="Arial" w:eastAsia="宋体" w:cs="Arial"/>
                <w:sz w:val="21"/>
                <w:szCs w:val="21"/>
              </w:rPr>
            </w:pPr>
            <w:r>
              <w:rPr>
                <w:rFonts w:hint="eastAsia" w:ascii="Arial" w:hAnsi="Arial" w:eastAsia="宋体" w:cs="Arial"/>
                <w:sz w:val="21"/>
                <w:szCs w:val="21"/>
              </w:rPr>
              <w:t>2、设置限速标识、禁止鸣笛标识牌</w:t>
            </w:r>
          </w:p>
        </w:tc>
        <w:tc>
          <w:tcPr>
            <w:tcW w:w="587" w:type="pct"/>
            <w:vMerge w:val="continue"/>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14" w:type="pct"/>
            <w:vAlign w:val="center"/>
          </w:tcPr>
          <w:p>
            <w:pPr>
              <w:adjustRightInd w:val="0"/>
              <w:snapToGrid w:val="0"/>
              <w:jc w:val="center"/>
              <w:rPr>
                <w:rFonts w:ascii="宋体" w:hAnsi="宋体" w:cs="宋体"/>
                <w:szCs w:val="21"/>
              </w:rPr>
            </w:pPr>
            <w:r>
              <w:rPr>
                <w:rFonts w:hint="eastAsia" w:ascii="宋体" w:hAnsi="宋体" w:cs="宋体"/>
                <w:szCs w:val="21"/>
              </w:rPr>
              <w:t>振动</w:t>
            </w:r>
          </w:p>
        </w:tc>
        <w:tc>
          <w:tcPr>
            <w:tcW w:w="1601"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c>
          <w:tcPr>
            <w:tcW w:w="760"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c>
          <w:tcPr>
            <w:tcW w:w="1536"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c>
          <w:tcPr>
            <w:tcW w:w="587" w:type="pct"/>
            <w:vAlign w:val="center"/>
          </w:tcPr>
          <w:p>
            <w:pPr>
              <w:adjustRightInd w:val="0"/>
              <w:snapToGrid w:val="0"/>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1601" w:type="pct"/>
            <w:vAlign w:val="center"/>
          </w:tcPr>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1、施工区注意洒水降尘，加盖防尘网；</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2、</w:t>
            </w:r>
            <w:r>
              <w:rPr>
                <w:rFonts w:hint="eastAsia" w:ascii="Arial" w:hAnsi="Arial" w:cs="Arial"/>
                <w:sz w:val="21"/>
                <w:szCs w:val="21"/>
                <w:lang w:val="en-US" w:eastAsia="zh-CN"/>
              </w:rPr>
              <w:t>施工</w:t>
            </w:r>
            <w:r>
              <w:rPr>
                <w:rFonts w:hint="eastAsia" w:ascii="Arial" w:hAnsi="Arial" w:eastAsia="宋体" w:cs="Arial"/>
                <w:sz w:val="21"/>
                <w:szCs w:val="21"/>
                <w:lang w:val="en-US" w:eastAsia="zh-CN"/>
              </w:rPr>
              <w:t>材料密封运输；</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3、车辆冲洗，敏感范围设置围挡。</w:t>
            </w:r>
          </w:p>
          <w:p>
            <w:pPr>
              <w:adjustRightInd w:val="0"/>
              <w:snapToGrid w:val="0"/>
              <w:jc w:val="left"/>
              <w:rPr>
                <w:szCs w:val="21"/>
              </w:rPr>
            </w:pPr>
            <w:r>
              <w:rPr>
                <w:rFonts w:hint="eastAsia" w:ascii="Arial" w:hAnsi="Arial" w:eastAsia="宋体" w:cs="Arial"/>
                <w:sz w:val="21"/>
                <w:szCs w:val="21"/>
                <w:lang w:val="en-US" w:eastAsia="zh-CN"/>
              </w:rPr>
              <w:t>4、选用环保装饰涂料，强化通风</w:t>
            </w:r>
          </w:p>
        </w:tc>
        <w:tc>
          <w:tcPr>
            <w:tcW w:w="760" w:type="pct"/>
            <w:vAlign w:val="center"/>
          </w:tcPr>
          <w:p>
            <w:pPr>
              <w:adjustRightInd w:val="0"/>
              <w:snapToGrid w:val="0"/>
              <w:jc w:val="center"/>
              <w:rPr>
                <w:rFonts w:ascii="宋体" w:hAnsi="宋体" w:cs="宋体"/>
                <w:szCs w:val="21"/>
              </w:rPr>
            </w:pPr>
            <w:r>
              <w:rPr>
                <w:rFonts w:hint="eastAsia" w:ascii="宋体" w:hAnsi="宋体" w:cs="宋体"/>
                <w:szCs w:val="21"/>
              </w:rPr>
              <w:t>不会对区域环境空气质量产生明显影响</w:t>
            </w:r>
          </w:p>
        </w:tc>
        <w:tc>
          <w:tcPr>
            <w:tcW w:w="1536" w:type="pct"/>
            <w:vAlign w:val="center"/>
          </w:tcPr>
          <w:p>
            <w:pPr>
              <w:adjustRightInd w:val="0"/>
              <w:snapToGrid w:val="0"/>
              <w:jc w:val="center"/>
              <w:rPr>
                <w:rFonts w:hint="eastAsia" w:eastAsia="宋体"/>
                <w:szCs w:val="21"/>
                <w:lang w:val="en-US" w:eastAsia="zh-CN"/>
              </w:rPr>
            </w:pPr>
            <w:r>
              <w:rPr>
                <w:rFonts w:hint="eastAsia"/>
                <w:szCs w:val="21"/>
                <w:lang w:val="en-US" w:eastAsia="zh-CN"/>
              </w:rPr>
              <w:t>/</w:t>
            </w:r>
          </w:p>
        </w:tc>
        <w:tc>
          <w:tcPr>
            <w:tcW w:w="587" w:type="pct"/>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eastAsia" w:ascii="宋体" w:hAnsi="宋体" w:cs="宋体"/>
                <w:szCs w:val="21"/>
              </w:rPr>
            </w:pPr>
            <w:r>
              <w:rPr>
                <w:rFonts w:hint="eastAsia" w:ascii="宋体" w:hAnsi="宋体" w:cs="宋体"/>
                <w:szCs w:val="21"/>
              </w:rPr>
              <w:t>固体</w:t>
            </w:r>
          </w:p>
          <w:p>
            <w:pPr>
              <w:adjustRightInd w:val="0"/>
              <w:snapToGrid w:val="0"/>
              <w:jc w:val="center"/>
              <w:rPr>
                <w:rFonts w:ascii="宋体" w:hAnsi="宋体" w:cs="宋体"/>
                <w:szCs w:val="21"/>
              </w:rPr>
            </w:pPr>
            <w:r>
              <w:rPr>
                <w:rFonts w:hint="eastAsia" w:ascii="宋体" w:hAnsi="宋体" w:cs="宋体"/>
                <w:szCs w:val="21"/>
              </w:rPr>
              <w:t>废物</w:t>
            </w:r>
          </w:p>
        </w:tc>
        <w:tc>
          <w:tcPr>
            <w:tcW w:w="1601" w:type="pct"/>
            <w:vAlign w:val="center"/>
          </w:tcPr>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1、建筑垃圾能利用的尽可能重新利用，不能利用的定期清运；</w:t>
            </w:r>
          </w:p>
          <w:p>
            <w:pPr>
              <w:adjustRightInd w:val="0"/>
              <w:snapToGrid w:val="0"/>
              <w:jc w:val="left"/>
              <w:rPr>
                <w:sz w:val="20"/>
                <w:szCs w:val="20"/>
              </w:rPr>
            </w:pPr>
            <w:r>
              <w:rPr>
                <w:rFonts w:hint="eastAsia" w:ascii="Arial" w:hAnsi="Arial" w:eastAsia="宋体" w:cs="Arial"/>
                <w:sz w:val="21"/>
                <w:szCs w:val="21"/>
                <w:lang w:val="en-US" w:eastAsia="zh-CN"/>
              </w:rPr>
              <w:t>2、沉淀池污泥不能利用的定期清运至指定堆放</w:t>
            </w:r>
            <w:r>
              <w:rPr>
                <w:sz w:val="20"/>
                <w:szCs w:val="20"/>
              </w:rPr>
              <w:t>场；</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3、施工人员生活垃圾统一进行收集后及时清运至附近垃圾中转站；</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4、弃渣清运至指定渣场</w:t>
            </w:r>
          </w:p>
          <w:p>
            <w:pPr>
              <w:adjustRightInd w:val="0"/>
              <w:snapToGrid w:val="0"/>
              <w:jc w:val="left"/>
              <w:rPr>
                <w:rFonts w:hint="default" w:eastAsia="宋体"/>
                <w:spacing w:val="6"/>
                <w:sz w:val="20"/>
                <w:szCs w:val="20"/>
                <w:lang w:val="en-US" w:eastAsia="zh-CN"/>
              </w:rPr>
            </w:pPr>
            <w:r>
              <w:rPr>
                <w:rFonts w:hint="eastAsia" w:ascii="Arial" w:hAnsi="Arial" w:eastAsia="宋体" w:cs="Arial"/>
                <w:sz w:val="21"/>
                <w:szCs w:val="21"/>
                <w:lang w:val="en-US" w:eastAsia="zh-CN"/>
              </w:rPr>
              <w:t>5、废活性炭等危险废物交友资质单位进行处置</w:t>
            </w:r>
          </w:p>
        </w:tc>
        <w:tc>
          <w:tcPr>
            <w:tcW w:w="760" w:type="pct"/>
            <w:vAlign w:val="center"/>
          </w:tcPr>
          <w:p>
            <w:pPr>
              <w:adjustRightInd w:val="0"/>
              <w:snapToGrid w:val="0"/>
              <w:jc w:val="center"/>
              <w:rPr>
                <w:rFonts w:ascii="宋体" w:hAnsi="宋体" w:cs="宋体"/>
                <w:szCs w:val="21"/>
              </w:rPr>
            </w:pPr>
            <w:r>
              <w:rPr>
                <w:rFonts w:ascii="宋体" w:hAnsi="宋体" w:cs="宋体"/>
                <w:szCs w:val="21"/>
              </w:rPr>
              <w:t>不会产生二次污染</w:t>
            </w:r>
          </w:p>
        </w:tc>
        <w:tc>
          <w:tcPr>
            <w:tcW w:w="1536" w:type="pct"/>
            <w:vAlign w:val="center"/>
          </w:tcPr>
          <w:p>
            <w:pPr>
              <w:adjustRightInd w:val="0"/>
              <w:snapToGrid w:val="0"/>
              <w:rPr>
                <w:rFonts w:ascii="宋体" w:hAnsi="宋体" w:cs="宋体"/>
                <w:szCs w:val="21"/>
              </w:rPr>
            </w:pPr>
            <w:r>
              <w:rPr>
                <w:rFonts w:hint="eastAsia" w:ascii="宋体" w:hAnsi="宋体" w:cs="宋体"/>
                <w:szCs w:val="21"/>
              </w:rPr>
              <w:t>生活垃圾委托环卫部门清运</w:t>
            </w:r>
          </w:p>
        </w:tc>
        <w:tc>
          <w:tcPr>
            <w:tcW w:w="587" w:type="pct"/>
            <w:vAlign w:val="center"/>
          </w:tcPr>
          <w:p>
            <w:pPr>
              <w:adjustRightInd w:val="0"/>
              <w:snapToGrid w:val="0"/>
              <w:jc w:val="center"/>
              <w:rPr>
                <w:rFonts w:ascii="宋体" w:hAnsi="宋体" w:cs="宋体"/>
                <w:szCs w:val="21"/>
              </w:rPr>
            </w:pPr>
            <w:r>
              <w:rPr>
                <w:rFonts w:hint="eastAsia" w:ascii="Arial" w:hAnsi="Arial" w:cs="Arial"/>
                <w:szCs w:val="21"/>
              </w:rPr>
              <w:t>不产生明显影响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14" w:type="pct"/>
            <w:vAlign w:val="center"/>
          </w:tcPr>
          <w:p>
            <w:pPr>
              <w:adjustRightInd w:val="0"/>
              <w:snapToGrid w:val="0"/>
              <w:jc w:val="center"/>
              <w:rPr>
                <w:rFonts w:hint="eastAsia" w:ascii="宋体" w:hAnsi="宋体" w:cs="宋体"/>
                <w:szCs w:val="21"/>
              </w:rPr>
            </w:pPr>
            <w:r>
              <w:rPr>
                <w:rFonts w:hint="eastAsia" w:ascii="宋体" w:hAnsi="宋体" w:cs="宋体"/>
                <w:szCs w:val="21"/>
              </w:rPr>
              <w:t>电磁</w:t>
            </w:r>
          </w:p>
          <w:p>
            <w:pPr>
              <w:adjustRightInd w:val="0"/>
              <w:snapToGrid w:val="0"/>
              <w:jc w:val="center"/>
              <w:rPr>
                <w:rFonts w:ascii="宋体" w:hAnsi="宋体" w:cs="宋体"/>
                <w:szCs w:val="21"/>
              </w:rPr>
            </w:pPr>
            <w:r>
              <w:rPr>
                <w:rFonts w:hint="eastAsia" w:ascii="宋体" w:hAnsi="宋体" w:cs="宋体"/>
                <w:szCs w:val="21"/>
              </w:rPr>
              <w:t>环境</w:t>
            </w:r>
          </w:p>
        </w:tc>
        <w:tc>
          <w:tcPr>
            <w:tcW w:w="1601"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760"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536" w:type="pct"/>
            <w:vAlign w:val="center"/>
          </w:tcPr>
          <w:p>
            <w:pPr>
              <w:adjustRightInd w:val="0"/>
              <w:snapToGrid w:val="0"/>
              <w:rPr>
                <w:rFonts w:ascii="宋体" w:hAnsi="宋体" w:cs="宋体"/>
                <w:szCs w:val="21"/>
              </w:rPr>
            </w:pPr>
          </w:p>
        </w:tc>
        <w:tc>
          <w:tcPr>
            <w:tcW w:w="587"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Align w:val="center"/>
          </w:tcPr>
          <w:p>
            <w:pPr>
              <w:adjustRightInd w:val="0"/>
              <w:snapToGrid w:val="0"/>
              <w:jc w:val="center"/>
              <w:rPr>
                <w:rFonts w:hint="eastAsia" w:ascii="宋体" w:hAnsi="宋体" w:cs="宋体"/>
                <w:szCs w:val="21"/>
              </w:rPr>
            </w:pPr>
            <w:r>
              <w:rPr>
                <w:rFonts w:hint="eastAsia" w:ascii="宋体" w:hAnsi="宋体" w:cs="宋体"/>
                <w:szCs w:val="21"/>
              </w:rPr>
              <w:t>环境</w:t>
            </w:r>
          </w:p>
          <w:p>
            <w:pPr>
              <w:adjustRightInd w:val="0"/>
              <w:snapToGrid w:val="0"/>
              <w:jc w:val="center"/>
              <w:rPr>
                <w:rFonts w:ascii="宋体" w:hAnsi="宋体" w:cs="宋体"/>
                <w:szCs w:val="21"/>
              </w:rPr>
            </w:pPr>
            <w:r>
              <w:rPr>
                <w:rFonts w:hint="eastAsia" w:ascii="宋体" w:hAnsi="宋体" w:cs="宋体"/>
                <w:szCs w:val="21"/>
              </w:rPr>
              <w:t>风险</w:t>
            </w:r>
          </w:p>
        </w:tc>
        <w:tc>
          <w:tcPr>
            <w:tcW w:w="1601" w:type="pct"/>
            <w:vAlign w:val="center"/>
          </w:tcPr>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1、安装火灾设备检测仪表、消防自控设施；</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2、制定出供正常、异常或紧急状态下的操作和维修计划，并对操作和维修人员进行岗前培训，避免因严重操作失误而造成人为事故；</w:t>
            </w:r>
          </w:p>
          <w:p>
            <w:pPr>
              <w:adjustRightInd w:val="0"/>
              <w:snapToGrid w:val="0"/>
              <w:jc w:val="left"/>
              <w:rPr>
                <w:rFonts w:hint="eastAsia" w:ascii="Arial" w:hAnsi="Arial" w:eastAsia="宋体" w:cs="Arial"/>
                <w:sz w:val="21"/>
                <w:szCs w:val="21"/>
                <w:lang w:val="en-US" w:eastAsia="zh-CN"/>
              </w:rPr>
            </w:pPr>
            <w:r>
              <w:rPr>
                <w:rFonts w:hint="eastAsia" w:ascii="Arial" w:hAnsi="Arial" w:eastAsia="宋体" w:cs="Arial"/>
                <w:sz w:val="21"/>
                <w:szCs w:val="21"/>
                <w:lang w:val="en-US" w:eastAsia="zh-CN"/>
              </w:rPr>
              <w:t>3、对操作人员定期进行防火安全教育或应急演习，增强职工的安全意识；</w:t>
            </w:r>
          </w:p>
          <w:p>
            <w:pPr>
              <w:adjustRightInd w:val="0"/>
              <w:snapToGrid w:val="0"/>
              <w:jc w:val="left"/>
              <w:rPr>
                <w:rFonts w:ascii="宋体" w:hAnsi="宋体" w:cs="宋体"/>
                <w:szCs w:val="21"/>
              </w:rPr>
            </w:pPr>
            <w:r>
              <w:rPr>
                <w:rFonts w:hint="eastAsia" w:ascii="Arial" w:hAnsi="Arial" w:eastAsia="宋体" w:cs="Arial"/>
                <w:sz w:val="21"/>
                <w:szCs w:val="21"/>
                <w:lang w:val="en-US" w:eastAsia="zh-CN"/>
              </w:rPr>
              <w:t>4、设备、管道均做好防烫绝热设计，有高温辐射而又不能绝热的设备增设护板、围栏、护网或喷水降温，并悬挂醒目的警示标牌。</w:t>
            </w:r>
          </w:p>
        </w:tc>
        <w:tc>
          <w:tcPr>
            <w:tcW w:w="760"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536" w:type="pct"/>
            <w:vAlign w:val="center"/>
          </w:tcPr>
          <w:p>
            <w:pPr>
              <w:adjustRightInd w:val="0"/>
              <w:snapToGrid w:val="0"/>
              <w:jc w:val="left"/>
              <w:rPr>
                <w:rFonts w:ascii="宋体" w:hAnsi="宋体" w:cs="宋体"/>
                <w:szCs w:val="21"/>
              </w:rPr>
            </w:pPr>
            <w:r>
              <w:rPr>
                <w:rFonts w:hint="eastAsia" w:ascii="Arial" w:hAnsi="Arial" w:eastAsia="宋体" w:cs="Arial"/>
                <w:sz w:val="21"/>
                <w:szCs w:val="21"/>
                <w:lang w:val="en-US" w:eastAsia="zh-CN"/>
              </w:rPr>
              <w:t>建立值班保卫制度，防止人为蓄意破坏；制定应急操作规程，详细说明发生事故时应采取的操作步骤，规定抢修进度，限制事故影响。对重要的仪器设备有完善的检查和维护记录；对操作人员定期进行防火安全教育或应急演习，增强职工的安全意识，提高识别异常状态的能力。</w:t>
            </w:r>
          </w:p>
        </w:tc>
        <w:tc>
          <w:tcPr>
            <w:tcW w:w="587"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514" w:type="pct"/>
            <w:vAlign w:val="center"/>
          </w:tcPr>
          <w:p>
            <w:pPr>
              <w:adjustRightInd w:val="0"/>
              <w:snapToGrid w:val="0"/>
              <w:jc w:val="center"/>
              <w:rPr>
                <w:rFonts w:hint="eastAsia" w:ascii="宋体" w:hAnsi="宋体" w:cs="宋体"/>
                <w:szCs w:val="21"/>
              </w:rPr>
            </w:pPr>
            <w:r>
              <w:rPr>
                <w:rFonts w:hint="eastAsia" w:ascii="宋体" w:hAnsi="宋体" w:cs="宋体"/>
                <w:szCs w:val="21"/>
              </w:rPr>
              <w:t>环境</w:t>
            </w:r>
          </w:p>
          <w:p>
            <w:pPr>
              <w:adjustRightInd w:val="0"/>
              <w:snapToGrid w:val="0"/>
              <w:jc w:val="center"/>
              <w:rPr>
                <w:rFonts w:ascii="宋体" w:hAnsi="宋体" w:cs="宋体"/>
                <w:szCs w:val="21"/>
              </w:rPr>
            </w:pPr>
            <w:r>
              <w:rPr>
                <w:rFonts w:hint="eastAsia" w:ascii="宋体" w:hAnsi="宋体" w:cs="宋体"/>
                <w:szCs w:val="21"/>
              </w:rPr>
              <w:t>监测</w:t>
            </w:r>
          </w:p>
        </w:tc>
        <w:tc>
          <w:tcPr>
            <w:tcW w:w="1601" w:type="pct"/>
            <w:vAlign w:val="center"/>
          </w:tcPr>
          <w:p>
            <w:pPr>
              <w:pStyle w:val="75"/>
              <w:keepNext w:val="0"/>
              <w:keepLines w:val="0"/>
              <w:pageBreakBefore w:val="0"/>
              <w:widowControl w:val="0"/>
              <w:kinsoku/>
              <w:wordWrap/>
              <w:overflowPunct/>
              <w:topLinePunct w:val="0"/>
              <w:autoSpaceDE/>
              <w:autoSpaceDN/>
              <w:bidi w:val="0"/>
              <w:spacing w:line="240" w:lineRule="auto"/>
              <w:ind w:left="0"/>
              <w:textAlignment w:val="auto"/>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定期对项目区周围的地表水、地下水、声、生态进行监测</w:t>
            </w:r>
          </w:p>
        </w:tc>
        <w:tc>
          <w:tcPr>
            <w:tcW w:w="760" w:type="pct"/>
            <w:vAlign w:val="center"/>
          </w:tcPr>
          <w:p>
            <w:pPr>
              <w:pStyle w:val="75"/>
              <w:keepNext w:val="0"/>
              <w:keepLines w:val="0"/>
              <w:pageBreakBefore w:val="0"/>
              <w:widowControl w:val="0"/>
              <w:kinsoku/>
              <w:wordWrap/>
              <w:overflowPunct/>
              <w:topLinePunct w:val="0"/>
              <w:autoSpaceDE/>
              <w:autoSpaceDN/>
              <w:bidi w:val="0"/>
              <w:spacing w:line="240" w:lineRule="auto"/>
              <w:ind w:left="0"/>
              <w:textAlignment w:val="auto"/>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由第三方资质监测机构开展监测；项目区环境质量无明显变化</w:t>
            </w:r>
          </w:p>
        </w:tc>
        <w:tc>
          <w:tcPr>
            <w:tcW w:w="1536" w:type="pct"/>
            <w:vAlign w:val="center"/>
          </w:tcPr>
          <w:p>
            <w:pPr>
              <w:pStyle w:val="75"/>
              <w:keepNext w:val="0"/>
              <w:keepLines w:val="0"/>
              <w:pageBreakBefore w:val="0"/>
              <w:widowControl w:val="0"/>
              <w:kinsoku/>
              <w:wordWrap/>
              <w:overflowPunct/>
              <w:topLinePunct w:val="0"/>
              <w:autoSpaceDE/>
              <w:autoSpaceDN/>
              <w:bidi w:val="0"/>
              <w:spacing w:line="240" w:lineRule="auto"/>
              <w:ind w:left="0"/>
              <w:textAlignment w:val="auto"/>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定期对项目区周围的地表水、地下水、生态进行监测</w:t>
            </w:r>
          </w:p>
        </w:tc>
        <w:tc>
          <w:tcPr>
            <w:tcW w:w="587" w:type="pct"/>
            <w:vAlign w:val="center"/>
          </w:tcPr>
          <w:p>
            <w:pPr>
              <w:pStyle w:val="75"/>
              <w:keepNext w:val="0"/>
              <w:keepLines w:val="0"/>
              <w:pageBreakBefore w:val="0"/>
              <w:widowControl w:val="0"/>
              <w:kinsoku/>
              <w:wordWrap/>
              <w:overflowPunct/>
              <w:topLinePunct w:val="0"/>
              <w:autoSpaceDE/>
              <w:autoSpaceDN/>
              <w:bidi w:val="0"/>
              <w:spacing w:line="240" w:lineRule="auto"/>
              <w:ind w:left="0"/>
              <w:textAlignment w:val="auto"/>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由第三方资质监测机构开展监测；项目区环境</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质量无明显变化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Merge w:val="restart"/>
            <w:vAlign w:val="center"/>
          </w:tcPr>
          <w:p>
            <w:pPr>
              <w:adjustRightInd w:val="0"/>
              <w:snapToGrid w:val="0"/>
              <w:jc w:val="center"/>
              <w:rPr>
                <w:rFonts w:ascii="宋体" w:hAnsi="宋体" w:cs="宋体"/>
                <w:szCs w:val="21"/>
              </w:rPr>
            </w:pPr>
            <w:r>
              <w:rPr>
                <w:rFonts w:hint="eastAsia" w:ascii="宋体" w:hAnsi="宋体" w:cs="宋体"/>
                <w:szCs w:val="21"/>
              </w:rPr>
              <w:t>其他</w:t>
            </w:r>
          </w:p>
        </w:tc>
        <w:tc>
          <w:tcPr>
            <w:tcW w:w="1601" w:type="pct"/>
            <w:vAlign w:val="center"/>
          </w:tcPr>
          <w:p>
            <w:pPr>
              <w:adjustRightInd w:val="0"/>
              <w:snapToGrid w:val="0"/>
              <w:jc w:val="center"/>
              <w:rPr>
                <w:rFonts w:ascii="宋体" w:hAnsi="宋体" w:cs="宋体"/>
                <w:color w:val="0000FF"/>
                <w:szCs w:val="21"/>
              </w:rPr>
            </w:pPr>
            <w:r>
              <w:rPr>
                <w:rFonts w:hint="eastAsia" w:ascii="Arial" w:hAnsi="Arial" w:eastAsia="宋体" w:cs="Arial"/>
                <w:color w:val="0000FF"/>
                <w:kern w:val="2"/>
                <w:sz w:val="21"/>
                <w:szCs w:val="21"/>
                <w:lang w:val="en-US" w:eastAsia="zh-CN" w:bidi="ar-SA"/>
              </w:rPr>
              <w:t>组建环境保护小组，督促落实各项环境保护措施</w:t>
            </w:r>
          </w:p>
        </w:tc>
        <w:tc>
          <w:tcPr>
            <w:tcW w:w="760" w:type="pct"/>
            <w:vAlign w:val="center"/>
          </w:tcPr>
          <w:p>
            <w:pPr>
              <w:adjustRightInd w:val="0"/>
              <w:snapToGrid w:val="0"/>
              <w:jc w:val="center"/>
              <w:rPr>
                <w:rFonts w:ascii="宋体" w:hAnsi="宋体" w:cs="宋体"/>
                <w:color w:val="0000FF"/>
                <w:szCs w:val="21"/>
              </w:rPr>
            </w:pPr>
            <w:r>
              <w:rPr>
                <w:rFonts w:hint="eastAsia" w:ascii="宋体" w:hAnsi="宋体" w:cs="宋体"/>
                <w:color w:val="0000FF"/>
                <w:szCs w:val="21"/>
              </w:rPr>
              <w:t>/</w:t>
            </w:r>
          </w:p>
        </w:tc>
        <w:tc>
          <w:tcPr>
            <w:tcW w:w="1536" w:type="pct"/>
            <w:vAlign w:val="center"/>
          </w:tcPr>
          <w:p>
            <w:pPr>
              <w:adjustRightInd w:val="0"/>
              <w:snapToGrid w:val="0"/>
              <w:rPr>
                <w:rFonts w:ascii="宋体" w:hAnsi="宋体" w:cs="宋体"/>
                <w:szCs w:val="21"/>
              </w:rPr>
            </w:pPr>
            <w:r>
              <w:rPr>
                <w:rFonts w:hint="eastAsia" w:ascii="Arial" w:hAnsi="Arial" w:cs="Arial"/>
                <w:color w:val="auto"/>
                <w:kern w:val="0"/>
                <w:sz w:val="21"/>
                <w:szCs w:val="21"/>
                <w:lang w:val="en-US" w:eastAsia="zh-CN"/>
              </w:rPr>
              <w:t>过鱼设施：</w:t>
            </w:r>
            <w:r>
              <w:rPr>
                <w:rFonts w:hint="eastAsia" w:ascii="Arial" w:hAnsi="Arial" w:eastAsia="宋体" w:cs="Arial"/>
                <w:color w:val="auto"/>
                <w:kern w:val="0"/>
                <w:sz w:val="21"/>
                <w:szCs w:val="21"/>
                <w:lang w:val="en-US" w:eastAsia="zh-CN"/>
              </w:rPr>
              <w:t>采取人工网捕措施从坝址下游捕获鱼类放流至库区及上游</w:t>
            </w:r>
          </w:p>
        </w:tc>
        <w:tc>
          <w:tcPr>
            <w:tcW w:w="587" w:type="pct"/>
            <w:vMerge w:val="restart"/>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项目建设的落实情况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Merge w:val="continue"/>
            <w:vAlign w:val="center"/>
          </w:tcPr>
          <w:p>
            <w:pPr>
              <w:adjustRightInd w:val="0"/>
              <w:snapToGrid w:val="0"/>
              <w:jc w:val="center"/>
              <w:rPr>
                <w:rFonts w:hint="eastAsia" w:ascii="宋体" w:hAnsi="宋体" w:cs="宋体"/>
                <w:szCs w:val="21"/>
              </w:rPr>
            </w:pPr>
          </w:p>
        </w:tc>
        <w:tc>
          <w:tcPr>
            <w:tcW w:w="1601" w:type="pct"/>
            <w:vAlign w:val="center"/>
          </w:tcPr>
          <w:p>
            <w:pPr>
              <w:adjustRightInd w:val="0"/>
              <w:snapToGrid w:val="0"/>
              <w:jc w:val="center"/>
              <w:rPr>
                <w:rFonts w:hint="eastAsia" w:ascii="Arial" w:hAnsi="Arial" w:eastAsia="宋体" w:cs="Arial"/>
                <w:color w:val="0000FF"/>
                <w:kern w:val="2"/>
                <w:sz w:val="21"/>
                <w:szCs w:val="21"/>
                <w:lang w:val="en-US" w:eastAsia="zh-CN" w:bidi="ar-SA"/>
              </w:rPr>
            </w:pPr>
            <w:r>
              <w:rPr>
                <w:rFonts w:hint="default" w:ascii="Arial" w:hAnsi="Arial" w:eastAsia="宋体" w:cs="Arial"/>
                <w:color w:val="0000FF"/>
                <w:kern w:val="0"/>
                <w:sz w:val="21"/>
                <w:szCs w:val="21"/>
              </w:rPr>
              <w:t>陆生动、植物保护警示牌</w:t>
            </w:r>
            <w:r>
              <w:rPr>
                <w:rFonts w:hint="default" w:ascii="Arial" w:hAnsi="Arial" w:eastAsia="宋体" w:cs="Arial"/>
                <w:color w:val="0000FF"/>
                <w:sz w:val="21"/>
                <w:szCs w:val="21"/>
                <w:lang w:val="en-US" w:eastAsia="zh-CN"/>
              </w:rPr>
              <w:t>4个</w:t>
            </w:r>
          </w:p>
        </w:tc>
        <w:tc>
          <w:tcPr>
            <w:tcW w:w="760" w:type="pct"/>
            <w:vAlign w:val="center"/>
          </w:tcPr>
          <w:p>
            <w:pPr>
              <w:adjustRightInd w:val="0"/>
              <w:snapToGrid w:val="0"/>
              <w:jc w:val="center"/>
              <w:rPr>
                <w:rFonts w:hint="eastAsia" w:ascii="宋体" w:hAnsi="宋体" w:eastAsia="宋体" w:cs="宋体"/>
                <w:color w:val="0000FF"/>
                <w:szCs w:val="21"/>
                <w:lang w:val="en-US" w:eastAsia="zh-CN"/>
              </w:rPr>
            </w:pPr>
            <w:r>
              <w:rPr>
                <w:rFonts w:hint="eastAsia" w:ascii="宋体" w:hAnsi="宋体" w:cs="宋体"/>
                <w:color w:val="0000FF"/>
                <w:szCs w:val="21"/>
                <w:lang w:val="en-US" w:eastAsia="zh-CN"/>
              </w:rPr>
              <w:t>/</w:t>
            </w:r>
          </w:p>
        </w:tc>
        <w:tc>
          <w:tcPr>
            <w:tcW w:w="1536" w:type="pct"/>
            <w:vAlign w:val="center"/>
          </w:tcPr>
          <w:p>
            <w:pPr>
              <w:adjustRightInd w:val="0"/>
              <w:snapToGrid w:val="0"/>
              <w:rPr>
                <w:rFonts w:hint="eastAsia" w:ascii="宋体" w:hAnsi="宋体" w:cs="宋体"/>
                <w:szCs w:val="21"/>
              </w:rPr>
            </w:pPr>
            <w:r>
              <w:rPr>
                <w:rFonts w:hint="eastAsia" w:ascii="Arial" w:hAnsi="Arial" w:cs="Arial"/>
                <w:color w:val="auto"/>
                <w:kern w:val="0"/>
                <w:sz w:val="21"/>
                <w:szCs w:val="21"/>
                <w:lang w:val="en-US" w:eastAsia="zh-CN"/>
              </w:rPr>
              <w:t>低温水保护措施：</w:t>
            </w:r>
            <w:r>
              <w:rPr>
                <w:rFonts w:hint="default" w:ascii="Arial" w:hAnsi="Arial" w:eastAsia="宋体" w:cs="Arial"/>
                <w:color w:val="auto"/>
                <w:kern w:val="0"/>
                <w:sz w:val="21"/>
                <w:szCs w:val="21"/>
                <w:lang w:val="en-US" w:eastAsia="zh-CN"/>
              </w:rPr>
              <w:t>取水隧洞末端设置消力池长47m，深3m，宽6m，消力池底板顶高程531.50m</w:t>
            </w:r>
          </w:p>
        </w:tc>
        <w:tc>
          <w:tcPr>
            <w:tcW w:w="587" w:type="pct"/>
            <w:vMerge w:val="continue"/>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Merge w:val="continue"/>
            <w:vAlign w:val="center"/>
          </w:tcPr>
          <w:p>
            <w:pPr>
              <w:adjustRightInd w:val="0"/>
              <w:snapToGrid w:val="0"/>
              <w:jc w:val="center"/>
              <w:rPr>
                <w:rFonts w:hint="eastAsia" w:ascii="宋体" w:hAnsi="宋体" w:cs="宋体"/>
                <w:szCs w:val="21"/>
              </w:rPr>
            </w:pPr>
          </w:p>
        </w:tc>
        <w:tc>
          <w:tcPr>
            <w:tcW w:w="1601" w:type="pct"/>
            <w:vAlign w:val="center"/>
          </w:tcPr>
          <w:p>
            <w:pPr>
              <w:adjustRightInd w:val="0"/>
              <w:snapToGrid w:val="0"/>
              <w:jc w:val="center"/>
              <w:rPr>
                <w:rFonts w:hint="eastAsia" w:ascii="Arial" w:hAnsi="Arial" w:cs="Arial"/>
                <w:color w:val="0000FF"/>
                <w:sz w:val="21"/>
                <w:szCs w:val="21"/>
                <w:lang w:val="en-US" w:eastAsia="zh-CN"/>
              </w:rPr>
            </w:pPr>
            <w:r>
              <w:rPr>
                <w:rFonts w:hint="eastAsia" w:ascii="Arial" w:hAnsi="Arial" w:cs="Arial"/>
                <w:color w:val="0000FF"/>
                <w:sz w:val="21"/>
                <w:szCs w:val="21"/>
                <w:lang w:val="en-US" w:eastAsia="zh-CN"/>
              </w:rPr>
              <w:t>A、</w:t>
            </w:r>
            <w:r>
              <w:rPr>
                <w:rFonts w:hint="default" w:ascii="Arial" w:hAnsi="Arial" w:eastAsia="宋体" w:cs="Arial"/>
                <w:color w:val="0000FF"/>
                <w:sz w:val="21"/>
                <w:szCs w:val="21"/>
                <w:lang w:val="en-US" w:eastAsia="zh-CN"/>
              </w:rPr>
              <w:t>合理调整施工进度和施工期，</w:t>
            </w:r>
            <w:r>
              <w:rPr>
                <w:rFonts w:hint="eastAsia" w:ascii="Arial" w:hAnsi="Arial" w:eastAsia="宋体" w:cs="Arial"/>
                <w:color w:val="0000FF"/>
                <w:sz w:val="21"/>
                <w:szCs w:val="21"/>
                <w:lang w:val="en-US" w:eastAsia="zh-CN"/>
              </w:rPr>
              <w:t>将高噪声工序尽量避开</w:t>
            </w:r>
            <w:r>
              <w:rPr>
                <w:rFonts w:hint="default" w:ascii="Arial" w:hAnsi="Arial" w:eastAsia="宋体" w:cs="Arial"/>
                <w:color w:val="0000FF"/>
                <w:sz w:val="21"/>
                <w:szCs w:val="21"/>
                <w:lang w:val="en-US" w:eastAsia="zh-CN"/>
              </w:rPr>
              <w:t>3~9月广元禁渔期时段</w:t>
            </w:r>
            <w:r>
              <w:rPr>
                <w:rFonts w:hint="eastAsia" w:ascii="Arial" w:hAnsi="Arial" w:cs="Arial"/>
                <w:color w:val="0000FF"/>
                <w:sz w:val="21"/>
                <w:szCs w:val="21"/>
                <w:lang w:val="en-US" w:eastAsia="zh-CN"/>
              </w:rPr>
              <w:t>;</w:t>
            </w:r>
          </w:p>
          <w:p>
            <w:pPr>
              <w:adjustRightInd w:val="0"/>
              <w:snapToGrid w:val="0"/>
              <w:jc w:val="center"/>
              <w:rPr>
                <w:rFonts w:hint="default" w:ascii="Arial" w:hAnsi="Arial" w:cs="Arial"/>
                <w:color w:val="0000FF"/>
                <w:sz w:val="21"/>
                <w:szCs w:val="21"/>
                <w:lang w:val="en-US" w:eastAsia="zh-CN"/>
              </w:rPr>
            </w:pPr>
            <w:r>
              <w:rPr>
                <w:rFonts w:hint="eastAsia" w:ascii="Arial" w:hAnsi="Arial" w:cs="Arial"/>
                <w:color w:val="0000FF"/>
                <w:sz w:val="21"/>
                <w:szCs w:val="21"/>
                <w:lang w:val="en-US" w:eastAsia="zh-CN"/>
              </w:rPr>
              <w:t>B、</w:t>
            </w:r>
            <w:r>
              <w:rPr>
                <w:rFonts w:hint="default" w:ascii="Arial" w:hAnsi="Arial" w:eastAsia="宋体" w:cs="Arial"/>
                <w:color w:val="0000FF"/>
                <w:sz w:val="21"/>
                <w:szCs w:val="21"/>
                <w:lang w:val="en-US" w:eastAsia="zh-CN"/>
              </w:rPr>
              <w:t>繁殖季节禁止采卵捞苗，确保常规品种鲤、鲫及其他鱼类的自然繁殖。</w:t>
            </w:r>
          </w:p>
        </w:tc>
        <w:tc>
          <w:tcPr>
            <w:tcW w:w="760" w:type="pct"/>
            <w:vAlign w:val="center"/>
          </w:tcPr>
          <w:p>
            <w:pPr>
              <w:adjustRightInd w:val="0"/>
              <w:snapToGrid w:val="0"/>
              <w:jc w:val="center"/>
              <w:rPr>
                <w:rFonts w:hint="default" w:ascii="宋体" w:hAnsi="宋体" w:cs="宋体"/>
                <w:color w:val="0000FF"/>
                <w:szCs w:val="21"/>
                <w:lang w:val="en-US" w:eastAsia="zh-CN"/>
              </w:rPr>
            </w:pPr>
            <w:r>
              <w:rPr>
                <w:rFonts w:hint="eastAsia" w:ascii="宋体" w:hAnsi="宋体" w:cs="宋体"/>
                <w:color w:val="0000FF"/>
                <w:szCs w:val="21"/>
                <w:lang w:val="en-US" w:eastAsia="zh-CN"/>
              </w:rPr>
              <w:t>调查施工期间落实情况</w:t>
            </w:r>
          </w:p>
        </w:tc>
        <w:tc>
          <w:tcPr>
            <w:tcW w:w="1536" w:type="pct"/>
            <w:vAlign w:val="center"/>
          </w:tcPr>
          <w:p>
            <w:pPr>
              <w:adjustRightInd w:val="0"/>
              <w:snapToGrid w:val="0"/>
              <w:rPr>
                <w:rFonts w:hint="eastAsia" w:ascii="Arial" w:hAnsi="Arial" w:cs="Arial"/>
                <w:color w:val="auto"/>
                <w:kern w:val="0"/>
                <w:sz w:val="21"/>
                <w:szCs w:val="21"/>
                <w:lang w:val="en-US" w:eastAsia="zh-CN"/>
              </w:rPr>
            </w:pPr>
            <w:r>
              <w:rPr>
                <w:rFonts w:hint="default" w:ascii="Arial" w:hAnsi="Arial" w:eastAsia="宋体" w:cs="Arial"/>
                <w:color w:val="auto"/>
                <w:kern w:val="0"/>
                <w:sz w:val="21"/>
                <w:szCs w:val="21"/>
                <w:lang w:eastAsia="zh-CN"/>
              </w:rPr>
              <w:t>水源保护标识牌</w:t>
            </w:r>
            <w:r>
              <w:rPr>
                <w:rFonts w:hint="eastAsia" w:ascii="Arial" w:hAnsi="Arial" w:cs="Arial"/>
                <w:color w:val="auto"/>
                <w:kern w:val="0"/>
                <w:sz w:val="21"/>
                <w:szCs w:val="21"/>
                <w:lang w:eastAsia="zh-CN"/>
              </w:rPr>
              <w:t>：</w:t>
            </w:r>
            <w:r>
              <w:rPr>
                <w:rFonts w:hint="eastAsia" w:ascii="Arial" w:hAnsi="Arial" w:cs="Arial"/>
                <w:color w:val="auto"/>
                <w:kern w:val="0"/>
                <w:sz w:val="21"/>
                <w:szCs w:val="21"/>
                <w:lang w:val="en-US" w:eastAsia="zh-CN"/>
              </w:rPr>
              <w:t>9块；</w:t>
            </w:r>
          </w:p>
          <w:p>
            <w:pPr>
              <w:adjustRightInd w:val="0"/>
              <w:snapToGrid w:val="0"/>
              <w:rPr>
                <w:rFonts w:hint="default" w:ascii="Arial" w:hAnsi="Arial" w:cs="Arial"/>
                <w:color w:val="auto"/>
                <w:kern w:val="0"/>
                <w:sz w:val="21"/>
                <w:szCs w:val="21"/>
                <w:lang w:val="en-US" w:eastAsia="zh-CN"/>
              </w:rPr>
            </w:pPr>
            <w:r>
              <w:rPr>
                <w:rFonts w:hint="default" w:ascii="Arial" w:hAnsi="Arial" w:eastAsia="宋体" w:cs="Arial"/>
                <w:color w:val="auto"/>
                <w:kern w:val="0"/>
                <w:sz w:val="21"/>
                <w:szCs w:val="21"/>
                <w:lang w:eastAsia="zh-CN"/>
              </w:rPr>
              <w:t>减水河段标识牌</w:t>
            </w:r>
            <w:r>
              <w:rPr>
                <w:rFonts w:hint="eastAsia" w:ascii="Arial" w:hAnsi="Arial" w:cs="Arial"/>
                <w:color w:val="auto"/>
                <w:kern w:val="0"/>
                <w:sz w:val="21"/>
                <w:szCs w:val="21"/>
                <w:lang w:eastAsia="zh-CN"/>
              </w:rPr>
              <w:t>：</w:t>
            </w:r>
            <w:r>
              <w:rPr>
                <w:rFonts w:hint="eastAsia" w:ascii="Arial" w:hAnsi="Arial" w:cs="Arial"/>
                <w:color w:val="auto"/>
                <w:kern w:val="0"/>
                <w:sz w:val="21"/>
                <w:szCs w:val="21"/>
                <w:lang w:val="en-US" w:eastAsia="zh-CN"/>
              </w:rPr>
              <w:t>2块</w:t>
            </w:r>
          </w:p>
        </w:tc>
        <w:tc>
          <w:tcPr>
            <w:tcW w:w="587" w:type="pct"/>
            <w:vMerge w:val="continue"/>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4" w:type="pct"/>
            <w:vMerge w:val="continue"/>
            <w:vAlign w:val="center"/>
          </w:tcPr>
          <w:p>
            <w:pPr>
              <w:adjustRightInd w:val="0"/>
              <w:snapToGrid w:val="0"/>
              <w:jc w:val="center"/>
              <w:rPr>
                <w:rFonts w:hint="eastAsia" w:ascii="宋体" w:hAnsi="宋体" w:cs="宋体"/>
                <w:szCs w:val="21"/>
              </w:rPr>
            </w:pPr>
          </w:p>
        </w:tc>
        <w:tc>
          <w:tcPr>
            <w:tcW w:w="1601" w:type="pct"/>
            <w:vAlign w:val="center"/>
          </w:tcPr>
          <w:p>
            <w:pPr>
              <w:adjustRightInd w:val="0"/>
              <w:snapToGrid w:val="0"/>
              <w:jc w:val="center"/>
              <w:rPr>
                <w:rFonts w:hint="eastAsia" w:ascii="Arial" w:hAnsi="Arial" w:cs="Arial"/>
                <w:color w:val="0000FF"/>
                <w:sz w:val="21"/>
                <w:szCs w:val="21"/>
                <w:lang w:val="en-US" w:eastAsia="zh-CN"/>
              </w:rPr>
            </w:pPr>
            <w:r>
              <w:rPr>
                <w:rFonts w:hint="eastAsia" w:ascii="Arial" w:hAnsi="Arial" w:cs="Arial"/>
                <w:color w:val="0000FF"/>
                <w:kern w:val="0"/>
                <w:sz w:val="21"/>
                <w:szCs w:val="21"/>
                <w:lang w:val="en-US" w:eastAsia="zh-CN"/>
              </w:rPr>
              <w:t>土地复垦：</w:t>
            </w:r>
            <w:r>
              <w:rPr>
                <w:rFonts w:hint="eastAsia" w:ascii="Arial" w:hAnsi="Arial" w:eastAsia="宋体" w:cs="Arial"/>
                <w:color w:val="0000FF"/>
                <w:sz w:val="21"/>
                <w:szCs w:val="21"/>
                <w:lang w:val="en-US" w:eastAsia="zh-CN"/>
              </w:rPr>
              <w:t>表土剥离，并在弃渣场附近设置一处表土堆放场</w:t>
            </w:r>
            <w:r>
              <w:rPr>
                <w:rFonts w:hint="eastAsia" w:ascii="Arial" w:hAnsi="Arial" w:cs="Arial"/>
                <w:color w:val="0000FF"/>
                <w:sz w:val="21"/>
                <w:szCs w:val="21"/>
                <w:lang w:val="en-US" w:eastAsia="zh-CN"/>
              </w:rPr>
              <w:t>；</w:t>
            </w:r>
          </w:p>
          <w:p>
            <w:pPr>
              <w:adjustRightInd w:val="0"/>
              <w:snapToGrid w:val="0"/>
              <w:jc w:val="center"/>
              <w:rPr>
                <w:rFonts w:hint="default" w:ascii="Arial" w:hAnsi="Arial" w:cs="Arial"/>
                <w:color w:val="0000FF"/>
                <w:sz w:val="21"/>
                <w:szCs w:val="21"/>
                <w:lang w:val="en-US" w:eastAsia="zh-CN"/>
              </w:rPr>
            </w:pPr>
            <w:r>
              <w:rPr>
                <w:rFonts w:hint="default" w:ascii="Arial" w:hAnsi="Arial" w:eastAsia="宋体" w:cs="Arial"/>
                <w:color w:val="0000FF"/>
                <w:sz w:val="21"/>
                <w:szCs w:val="21"/>
                <w:lang w:val="en-US" w:eastAsia="zh-CN"/>
              </w:rPr>
              <w:t>繁殖季节禁止采卵捞苗，确保常规品种鲤、鲫及其他鱼类的自然繁殖</w:t>
            </w:r>
          </w:p>
        </w:tc>
        <w:tc>
          <w:tcPr>
            <w:tcW w:w="760" w:type="pct"/>
            <w:vAlign w:val="center"/>
          </w:tcPr>
          <w:p>
            <w:pPr>
              <w:adjustRightInd w:val="0"/>
              <w:snapToGrid w:val="0"/>
              <w:jc w:val="center"/>
              <w:rPr>
                <w:rFonts w:hint="eastAsia" w:ascii="宋体" w:hAnsi="宋体" w:cs="宋体"/>
                <w:color w:val="0000FF"/>
                <w:szCs w:val="21"/>
                <w:lang w:val="en-US" w:eastAsia="zh-CN"/>
              </w:rPr>
            </w:pPr>
            <w:r>
              <w:rPr>
                <w:rFonts w:hint="eastAsia" w:ascii="宋体" w:hAnsi="宋体" w:cs="宋体"/>
                <w:color w:val="0000FF"/>
                <w:szCs w:val="21"/>
                <w:lang w:val="en-US" w:eastAsia="zh-CN"/>
              </w:rPr>
              <w:t>调查施工期间落实情况</w:t>
            </w:r>
          </w:p>
        </w:tc>
        <w:tc>
          <w:tcPr>
            <w:tcW w:w="1536" w:type="pct"/>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587" w:type="pct"/>
            <w:vMerge w:val="continue"/>
            <w:vAlign w:val="center"/>
          </w:tcPr>
          <w:p>
            <w:pPr>
              <w:adjustRightInd w:val="0"/>
              <w:snapToGrid w:val="0"/>
              <w:jc w:val="center"/>
              <w:rPr>
                <w:rFonts w:hint="eastAsia" w:ascii="宋体" w:hAnsi="宋体" w:cs="宋体"/>
                <w:szCs w:val="21"/>
              </w:rPr>
            </w:pPr>
          </w:p>
        </w:tc>
      </w:tr>
    </w:tbl>
    <w:p>
      <w:pPr>
        <w:pStyle w:val="19"/>
        <w:keepNext w:val="0"/>
        <w:keepLines w:val="0"/>
        <w:pageBreakBefore w:val="0"/>
        <w:widowControl/>
        <w:kinsoku/>
        <w:wordWrap/>
        <w:overflowPunct/>
        <w:topLinePunct w:val="0"/>
        <w:autoSpaceDE/>
        <w:autoSpaceDN/>
        <w:bidi w:val="0"/>
        <w:adjustRightInd/>
        <w:snapToGrid/>
        <w:spacing w:before="0" w:beforeAutospacing="0" w:line="14" w:lineRule="auto"/>
        <w:jc w:val="center"/>
        <w:textAlignment w:val="auto"/>
        <w:outlineLvl w:val="9"/>
        <w:rPr>
          <w:rFonts w:ascii="黑体" w:hAnsi="黑体" w:eastAsia="黑体"/>
          <w:snapToGrid w:val="0"/>
          <w:sz w:val="30"/>
          <w:szCs w:val="30"/>
        </w:rPr>
      </w:pPr>
      <w:r>
        <w:rPr>
          <w:rFonts w:ascii="黑体" w:hAnsi="黑体" w:eastAsia="黑体"/>
          <w:snapToGrid w:val="0"/>
          <w:sz w:val="30"/>
          <w:szCs w:val="30"/>
        </w:rPr>
        <w:br w:type="page"/>
      </w:r>
    </w:p>
    <w:p>
      <w:pPr>
        <w:pStyle w:val="19"/>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3"/>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pStyle w:val="75"/>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Arial" w:hAnsi="Arial" w:eastAsia="宋体" w:cs="Arial"/>
                <w:sz w:val="24"/>
                <w:szCs w:val="24"/>
              </w:rPr>
            </w:pPr>
            <w:r>
              <w:rPr>
                <w:rFonts w:hint="default" w:ascii="Arial" w:hAnsi="Arial" w:eastAsia="宋体" w:cs="Arial"/>
                <w:spacing w:val="-1"/>
                <w:sz w:val="24"/>
                <w:szCs w:val="24"/>
              </w:rPr>
              <w:t>本项目建设符合国家产业政策，并与全国及四川省</w:t>
            </w:r>
            <w:r>
              <w:rPr>
                <w:rFonts w:hint="default" w:ascii="Arial" w:hAnsi="Arial" w:eastAsia="宋体" w:cs="Arial"/>
                <w:spacing w:val="-2"/>
                <w:sz w:val="24"/>
                <w:szCs w:val="24"/>
              </w:rPr>
              <w:t>主体功能区规划、生态功能区</w:t>
            </w:r>
            <w:r>
              <w:rPr>
                <w:rFonts w:hint="default" w:ascii="Arial" w:hAnsi="Arial" w:eastAsia="宋体" w:cs="Arial"/>
                <w:spacing w:val="-1"/>
                <w:sz w:val="24"/>
                <w:szCs w:val="24"/>
              </w:rPr>
              <w:t>划，国家及地方规划、流域综合规划等相关规划协调一致。工程</w:t>
            </w:r>
            <w:r>
              <w:rPr>
                <w:rFonts w:hint="default" w:ascii="Arial" w:hAnsi="Arial" w:eastAsia="宋体" w:cs="Arial"/>
                <w:spacing w:val="-2"/>
                <w:sz w:val="24"/>
                <w:szCs w:val="24"/>
              </w:rPr>
              <w:t>不涉及自然保护区、</w:t>
            </w:r>
            <w:r>
              <w:rPr>
                <w:rFonts w:hint="default" w:ascii="Arial" w:hAnsi="Arial" w:eastAsia="宋体" w:cs="Arial"/>
                <w:spacing w:val="-1"/>
                <w:sz w:val="24"/>
                <w:szCs w:val="24"/>
              </w:rPr>
              <w:t>风景名胜区、饮用水水源保护区等环境敏感区，工程建成后，可</w:t>
            </w:r>
            <w:r>
              <w:rPr>
                <w:rFonts w:hint="default" w:ascii="Arial" w:hAnsi="Arial" w:eastAsia="宋体" w:cs="Arial"/>
                <w:spacing w:val="-2"/>
                <w:sz w:val="24"/>
                <w:szCs w:val="24"/>
              </w:rPr>
              <w:t>保障</w:t>
            </w:r>
            <w:r>
              <w:rPr>
                <w:rFonts w:hint="default" w:ascii="Arial" w:hAnsi="Arial" w:cs="Arial"/>
                <w:color w:val="000000"/>
                <w:sz w:val="24"/>
                <w:lang w:bidi="en-US"/>
              </w:rPr>
              <w:t>东河镇、嘉川镇2个镇13个村2.14万亩农田的灌溉用水</w:t>
            </w:r>
            <w:r>
              <w:rPr>
                <w:rFonts w:hint="default" w:ascii="Arial" w:hAnsi="Arial" w:eastAsia="宋体" w:cs="Arial"/>
                <w:spacing w:val="-1"/>
                <w:sz w:val="24"/>
                <w:szCs w:val="24"/>
              </w:rPr>
              <w:t>。但工程建设也带来了一些不利影响，其主要影响表现</w:t>
            </w:r>
            <w:r>
              <w:rPr>
                <w:rFonts w:hint="default" w:ascii="Arial" w:hAnsi="Arial" w:eastAsia="宋体" w:cs="Arial"/>
                <w:spacing w:val="-2"/>
                <w:sz w:val="24"/>
                <w:szCs w:val="24"/>
              </w:rPr>
              <w:t>在水库淹没及施工占</w:t>
            </w:r>
            <w:r>
              <w:rPr>
                <w:rFonts w:hint="default" w:ascii="Arial" w:hAnsi="Arial" w:eastAsia="宋体" w:cs="Arial"/>
                <w:sz w:val="24"/>
                <w:szCs w:val="24"/>
              </w:rPr>
              <w:t>地破坏植被及动植物资源、移民安置环境影</w:t>
            </w:r>
            <w:r>
              <w:rPr>
                <w:rFonts w:hint="default" w:ascii="Arial" w:hAnsi="Arial" w:eastAsia="宋体" w:cs="Arial"/>
                <w:spacing w:val="-1"/>
                <w:sz w:val="24"/>
                <w:szCs w:val="24"/>
              </w:rPr>
              <w:t>响、施工期“三废”及噪声污染、施工扰动地表产生的水土流失影响等方面。</w:t>
            </w:r>
          </w:p>
          <w:p>
            <w:pPr>
              <w:pStyle w:val="75"/>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Arial" w:hAnsi="Arial" w:eastAsia="宋体" w:cs="Arial"/>
                <w:sz w:val="24"/>
                <w:szCs w:val="24"/>
              </w:rPr>
            </w:pPr>
            <w:r>
              <w:rPr>
                <w:rFonts w:hint="default" w:ascii="Arial" w:hAnsi="Arial" w:eastAsia="宋体" w:cs="Arial"/>
                <w:spacing w:val="-1"/>
                <w:sz w:val="24"/>
                <w:szCs w:val="24"/>
              </w:rPr>
              <w:t>针对上述各方面的不利影响，环境保护设计规划了植</w:t>
            </w:r>
            <w:r>
              <w:rPr>
                <w:rFonts w:hint="default" w:ascii="Arial" w:hAnsi="Arial" w:eastAsia="宋体" w:cs="Arial"/>
                <w:spacing w:val="-2"/>
                <w:sz w:val="24"/>
                <w:szCs w:val="24"/>
              </w:rPr>
              <w:t>被补偿恢复措施、野生动植</w:t>
            </w:r>
            <w:r>
              <w:rPr>
                <w:rFonts w:hint="default" w:ascii="Arial" w:hAnsi="Arial" w:eastAsia="宋体" w:cs="Arial"/>
                <w:spacing w:val="-1"/>
                <w:sz w:val="24"/>
                <w:szCs w:val="24"/>
              </w:rPr>
              <w:t>物的保护管理措施，尽可能地减小工程对生态环境产生的各种不</w:t>
            </w:r>
            <w:r>
              <w:rPr>
                <w:rFonts w:hint="default" w:ascii="Arial" w:hAnsi="Arial" w:eastAsia="宋体" w:cs="Arial"/>
                <w:spacing w:val="-2"/>
                <w:sz w:val="24"/>
                <w:szCs w:val="24"/>
              </w:rPr>
              <w:t>利环境影响；设计了</w:t>
            </w:r>
            <w:r>
              <w:rPr>
                <w:rFonts w:hint="default" w:ascii="Arial" w:hAnsi="Arial" w:eastAsia="宋体" w:cs="Arial"/>
                <w:sz w:val="24"/>
                <w:szCs w:val="24"/>
              </w:rPr>
              <w:t>施工期“三废”及噪声污染防治措施，施工</w:t>
            </w:r>
            <w:r>
              <w:rPr>
                <w:rFonts w:hint="default" w:ascii="Arial" w:hAnsi="Arial" w:eastAsia="宋体" w:cs="Arial"/>
                <w:spacing w:val="-1"/>
                <w:sz w:val="24"/>
                <w:szCs w:val="24"/>
              </w:rPr>
              <w:t>期污染物能按排放标准达标排放，有效减免了对居民点和周边环境的影响。</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default" w:ascii="Arial" w:hAnsi="Arial" w:eastAsia="宋体" w:cs="Arial"/>
                <w:sz w:val="24"/>
                <w:szCs w:val="24"/>
              </w:rPr>
            </w:pPr>
            <w:r>
              <w:rPr>
                <w:rFonts w:hint="default" w:ascii="Arial" w:hAnsi="Arial" w:eastAsia="宋体" w:cs="Arial"/>
                <w:spacing w:val="-1"/>
                <w:sz w:val="24"/>
                <w:szCs w:val="24"/>
                <w:lang w:val="en-US" w:eastAsia="zh-CN"/>
              </w:rPr>
              <w:t>三合</w:t>
            </w:r>
            <w:r>
              <w:rPr>
                <w:rFonts w:hint="default" w:ascii="Arial" w:hAnsi="Arial" w:eastAsia="宋体" w:cs="Arial"/>
                <w:spacing w:val="-1"/>
                <w:sz w:val="24"/>
                <w:szCs w:val="24"/>
              </w:rPr>
              <w:t>水库建设选址和施工“三场”布置基本合理，工程建设产生的负面影响是可</w:t>
            </w:r>
            <w:r>
              <w:rPr>
                <w:rFonts w:hint="default" w:ascii="Arial" w:hAnsi="Arial" w:eastAsia="宋体" w:cs="Arial"/>
                <w:spacing w:val="10"/>
                <w:sz w:val="24"/>
                <w:szCs w:val="24"/>
              </w:rPr>
              <w:t xml:space="preserve"> </w:t>
            </w:r>
            <w:r>
              <w:rPr>
                <w:rFonts w:hint="default" w:ascii="Arial" w:hAnsi="Arial" w:eastAsia="宋体" w:cs="Arial"/>
                <w:spacing w:val="-1"/>
                <w:sz w:val="24"/>
                <w:szCs w:val="24"/>
              </w:rPr>
              <w:t>以控制的，只要切实落实好各项环境保护措施及建议，工程建设</w:t>
            </w:r>
            <w:r>
              <w:rPr>
                <w:rFonts w:hint="default" w:ascii="Arial" w:hAnsi="Arial" w:eastAsia="宋体" w:cs="Arial"/>
                <w:spacing w:val="-2"/>
                <w:sz w:val="24"/>
                <w:szCs w:val="24"/>
              </w:rPr>
              <w:t>对环境的不利影响能</w:t>
            </w:r>
            <w:r>
              <w:rPr>
                <w:rFonts w:hint="default" w:ascii="Arial" w:hAnsi="Arial" w:eastAsia="宋体" w:cs="Arial"/>
                <w:sz w:val="24"/>
                <w:szCs w:val="24"/>
              </w:rPr>
              <w:t xml:space="preserve"> 够减到最低程度。从环境影响的角度分析，</w:t>
            </w:r>
            <w:r>
              <w:rPr>
                <w:rFonts w:hint="eastAsia" w:ascii="Arial" w:hAnsi="Arial" w:cs="Arial"/>
                <w:sz w:val="24"/>
                <w:szCs w:val="24"/>
                <w:lang w:val="en-US" w:eastAsia="zh-CN"/>
              </w:rPr>
              <w:t>三合</w:t>
            </w:r>
            <w:r>
              <w:rPr>
                <w:rFonts w:hint="default" w:ascii="Arial" w:hAnsi="Arial" w:eastAsia="宋体" w:cs="Arial"/>
                <w:sz w:val="24"/>
                <w:szCs w:val="24"/>
              </w:rPr>
              <w:t>水库</w:t>
            </w:r>
            <w:r>
              <w:rPr>
                <w:rFonts w:hint="default" w:ascii="Arial" w:hAnsi="Arial" w:eastAsia="宋体" w:cs="Arial"/>
                <w:spacing w:val="-1"/>
                <w:sz w:val="24"/>
                <w:szCs w:val="24"/>
              </w:rPr>
              <w:t>工程的建设是可行的。</w:t>
            </w:r>
          </w:p>
          <w:p>
            <w:pPr>
              <w:adjustRightInd w:val="0"/>
              <w:snapToGrid w:val="0"/>
              <w:ind w:firstLine="315"/>
              <w:rPr>
                <w:rFonts w:hint="default" w:ascii="Arial" w:hAnsi="Arial" w:eastAsia="宋体" w:cs="Arial"/>
                <w:sz w:val="24"/>
                <w:szCs w:val="24"/>
              </w:rPr>
            </w:pPr>
          </w:p>
          <w:p>
            <w:pPr>
              <w:adjustRightInd w:val="0"/>
              <w:snapToGrid w:val="0"/>
              <w:ind w:firstLine="315"/>
              <w:rPr>
                <w:rFonts w:hint="default" w:ascii="Arial" w:hAnsi="Arial" w:eastAsia="宋体" w:cs="Arial"/>
                <w:sz w:val="24"/>
                <w:szCs w:val="24"/>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ind w:firstLine="315"/>
              <w:rPr>
                <w:rFonts w:ascii="宋体" w:hAnsi="宋体" w:cs="宋体"/>
                <w:szCs w:val="21"/>
              </w:rPr>
            </w:pPr>
          </w:p>
          <w:p>
            <w:pPr>
              <w:adjustRightInd w:val="0"/>
              <w:snapToGrid w:val="0"/>
              <w:rPr>
                <w:rFonts w:ascii="宋体" w:hAnsi="宋体" w:cs="宋体"/>
                <w:szCs w:val="21"/>
              </w:rPr>
            </w:pPr>
          </w:p>
        </w:tc>
      </w:tr>
      <w:bookmarkEnd w:id="1"/>
    </w:tbl>
    <w:p>
      <w:pPr>
        <w:rPr>
          <w:rFonts w:ascii="宋体"/>
        </w:rPr>
      </w:pPr>
    </w:p>
    <w:sectPr>
      <w:pgSz w:w="11905" w:h="16838"/>
      <w:pgMar w:top="1701" w:right="1531" w:bottom="1701" w:left="1531" w:header="851" w:footer="1077"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_GBK">
    <w:panose1 w:val="02000000000000000000"/>
    <w:charset w:val="86"/>
    <w:family w:val="script"/>
    <w:pitch w:val="default"/>
    <w:sig w:usb0="A00002BF" w:usb1="38CF7CFA" w:usb2="00082016" w:usb3="00000000" w:csb0="00040001" w:csb1="00000000"/>
  </w:font>
  <w:font w:name="楷体_GB2312">
    <w:altName w:val="楷体"/>
    <w:panose1 w:val="02010609030101010101"/>
    <w:charset w:val="86"/>
    <w:family w:val="roma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roman"/>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ascii="宋体" w:hAnsi="宋体"/>
        <w:sz w:val="26"/>
        <w:szCs w:val="26"/>
      </w:rPr>
      <w:fldChar w:fldCharType="begin"/>
    </w:r>
    <w:r>
      <w:rPr>
        <w:rStyle w:val="27"/>
        <w:rFonts w:ascii="宋体" w:hAnsi="宋体"/>
        <w:sz w:val="26"/>
        <w:szCs w:val="26"/>
      </w:rPr>
      <w:instrText xml:space="preserve">PAGE  </w:instrText>
    </w:r>
    <w:r>
      <w:rPr>
        <w:rStyle w:val="27"/>
        <w:rFonts w:ascii="宋体" w:hAnsi="宋体"/>
        <w:sz w:val="26"/>
        <w:szCs w:val="26"/>
      </w:rPr>
      <w:fldChar w:fldCharType="separate"/>
    </w:r>
    <w:r>
      <w:rPr>
        <w:rStyle w:val="27"/>
        <w:rFonts w:ascii="宋体" w:hAnsi="宋体"/>
        <w:sz w:val="26"/>
        <w:szCs w:val="26"/>
      </w:rPr>
      <w:t>113</w:t>
    </w:r>
    <w:r>
      <w:rPr>
        <w:rStyle w:val="27"/>
        <w:rFonts w:ascii="宋体" w:hAnsi="宋体"/>
        <w:sz w:val="26"/>
        <w:szCs w:val="26"/>
      </w:rPr>
      <w:fldChar w:fldCharType="end"/>
    </w:r>
    <w:r>
      <w:rPr>
        <w:rStyle w:val="27"/>
        <w:rFonts w:hint="eastAsia" w:ascii="宋体" w:hAnsi="宋体"/>
        <w:sz w:val="28"/>
        <w:szCs w:val="28"/>
      </w:rPr>
      <w:t>—</w:t>
    </w:r>
  </w:p>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7"/>
      </w:rPr>
    </w:pPr>
    <w:r>
      <w:rPr>
        <w:rStyle w:val="27"/>
      </w:rPr>
      <w:fldChar w:fldCharType="begin"/>
    </w:r>
    <w:r>
      <w:rPr>
        <w:rStyle w:val="27"/>
      </w:rPr>
      <w:instrText xml:space="preserve">PAGE  </w:instrText>
    </w:r>
    <w:r>
      <w:rPr>
        <w:rStyle w:val="27"/>
      </w:rPr>
      <w:fldChar w:fldCharType="end"/>
    </w:r>
  </w:p>
  <w:p>
    <w:pPr>
      <w:pStyle w:val="1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68CBF4"/>
    <w:multiLevelType w:val="singleLevel"/>
    <w:tmpl w:val="9368CBF4"/>
    <w:lvl w:ilvl="0" w:tentative="0">
      <w:start w:val="1"/>
      <w:numFmt w:val="chineseCounting"/>
      <w:suff w:val="nothing"/>
      <w:lvlText w:val="%1、"/>
      <w:lvlJc w:val="left"/>
      <w:rPr>
        <w:rFonts w:hint="eastAsia"/>
      </w:rPr>
    </w:lvl>
  </w:abstractNum>
  <w:abstractNum w:abstractNumId="1">
    <w:nsid w:val="BCA5AC31"/>
    <w:multiLevelType w:val="singleLevel"/>
    <w:tmpl w:val="BCA5AC31"/>
    <w:lvl w:ilvl="0" w:tentative="0">
      <w:start w:val="1"/>
      <w:numFmt w:val="decimal"/>
      <w:suff w:val="nothing"/>
      <w:lvlText w:val="%1、"/>
      <w:lvlJc w:val="left"/>
    </w:lvl>
  </w:abstractNum>
  <w:abstractNum w:abstractNumId="2">
    <w:nsid w:val="C7EFBD3D"/>
    <w:multiLevelType w:val="singleLevel"/>
    <w:tmpl w:val="C7EFBD3D"/>
    <w:lvl w:ilvl="0" w:tentative="0">
      <w:start w:val="1"/>
      <w:numFmt w:val="decimal"/>
      <w:suff w:val="nothing"/>
      <w:lvlText w:val="%1、"/>
      <w:lvlJc w:val="left"/>
    </w:lvl>
  </w:abstractNum>
  <w:abstractNum w:abstractNumId="3">
    <w:nsid w:val="D5EAE9CF"/>
    <w:multiLevelType w:val="singleLevel"/>
    <w:tmpl w:val="D5EAE9CF"/>
    <w:lvl w:ilvl="0" w:tentative="0">
      <w:start w:val="1"/>
      <w:numFmt w:val="decimal"/>
      <w:suff w:val="nothing"/>
      <w:lvlText w:val="%1、"/>
      <w:lvlJc w:val="left"/>
    </w:lvl>
  </w:abstractNum>
  <w:abstractNum w:abstractNumId="4">
    <w:nsid w:val="EC42544A"/>
    <w:multiLevelType w:val="singleLevel"/>
    <w:tmpl w:val="EC42544A"/>
    <w:lvl w:ilvl="0" w:tentative="0">
      <w:start w:val="1"/>
      <w:numFmt w:val="decimal"/>
      <w:suff w:val="nothing"/>
      <w:lvlText w:val="%1、"/>
      <w:lvlJc w:val="left"/>
    </w:lvl>
  </w:abstractNum>
  <w:abstractNum w:abstractNumId="5">
    <w:nsid w:val="FF34876D"/>
    <w:multiLevelType w:val="singleLevel"/>
    <w:tmpl w:val="FF34876D"/>
    <w:lvl w:ilvl="0" w:tentative="0">
      <w:start w:val="1"/>
      <w:numFmt w:val="decimal"/>
      <w:suff w:val="nothing"/>
      <w:lvlText w:val="%1、"/>
      <w:lvlJc w:val="left"/>
    </w:lvl>
  </w:abstractNum>
  <w:abstractNum w:abstractNumId="6">
    <w:nsid w:val="19B2E856"/>
    <w:multiLevelType w:val="singleLevel"/>
    <w:tmpl w:val="19B2E856"/>
    <w:lvl w:ilvl="0" w:tentative="0">
      <w:start w:val="1"/>
      <w:numFmt w:val="decimal"/>
      <w:suff w:val="space"/>
      <w:lvlText w:val="(%1)"/>
      <w:lvlJc w:val="left"/>
    </w:lvl>
  </w:abstractNum>
  <w:abstractNum w:abstractNumId="7">
    <w:nsid w:val="25D331A7"/>
    <w:multiLevelType w:val="singleLevel"/>
    <w:tmpl w:val="25D331A7"/>
    <w:lvl w:ilvl="0" w:tentative="0">
      <w:start w:val="1"/>
      <w:numFmt w:val="decimal"/>
      <w:suff w:val="nothing"/>
      <w:lvlText w:val="%1、"/>
      <w:lvlJc w:val="left"/>
    </w:lvl>
  </w:abstractNum>
  <w:abstractNum w:abstractNumId="8">
    <w:nsid w:val="2C8C2450"/>
    <w:multiLevelType w:val="multilevel"/>
    <w:tmpl w:val="2C8C2450"/>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9">
    <w:nsid w:val="40EB26C8"/>
    <w:multiLevelType w:val="singleLevel"/>
    <w:tmpl w:val="40EB26C8"/>
    <w:lvl w:ilvl="0" w:tentative="0">
      <w:start w:val="2"/>
      <w:numFmt w:val="upperLetter"/>
      <w:suff w:val="nothing"/>
      <w:lvlText w:val="%1、"/>
      <w:lvlJc w:val="left"/>
    </w:lvl>
  </w:abstractNum>
  <w:abstractNum w:abstractNumId="10">
    <w:nsid w:val="64CD722A"/>
    <w:multiLevelType w:val="singleLevel"/>
    <w:tmpl w:val="64CD722A"/>
    <w:lvl w:ilvl="0" w:tentative="0">
      <w:start w:val="1"/>
      <w:numFmt w:val="chineseCounting"/>
      <w:suff w:val="space"/>
      <w:lvlText w:val="第%1节"/>
      <w:lvlJc w:val="left"/>
      <w:rPr>
        <w:rFonts w:hint="eastAsia"/>
      </w:rPr>
    </w:lvl>
  </w:abstractNum>
  <w:abstractNum w:abstractNumId="11">
    <w:nsid w:val="6945EDE6"/>
    <w:multiLevelType w:val="singleLevel"/>
    <w:tmpl w:val="6945EDE6"/>
    <w:lvl w:ilvl="0" w:tentative="0">
      <w:start w:val="1"/>
      <w:numFmt w:val="decimal"/>
      <w:suff w:val="nothing"/>
      <w:lvlText w:val="%1、"/>
      <w:lvlJc w:val="left"/>
    </w:lvl>
  </w:abstractNum>
  <w:abstractNum w:abstractNumId="12">
    <w:nsid w:val="71CC6163"/>
    <w:multiLevelType w:val="multilevel"/>
    <w:tmpl w:val="71CC6163"/>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10"/>
  </w:num>
  <w:num w:numId="2">
    <w:abstractNumId w:val="4"/>
  </w:num>
  <w:num w:numId="3">
    <w:abstractNumId w:val="7"/>
  </w:num>
  <w:num w:numId="4">
    <w:abstractNumId w:val="3"/>
  </w:num>
  <w:num w:numId="5">
    <w:abstractNumId w:val="9"/>
  </w:num>
  <w:num w:numId="6">
    <w:abstractNumId w:val="0"/>
  </w:num>
  <w:num w:numId="7">
    <w:abstractNumId w:val="6"/>
  </w:num>
  <w:num w:numId="8">
    <w:abstractNumId w:val="5"/>
  </w:num>
  <w:num w:numId="9">
    <w:abstractNumId w:val="8"/>
  </w:num>
  <w:num w:numId="10">
    <w:abstractNumId w:val="12"/>
  </w:num>
  <w:num w:numId="11">
    <w:abstractNumId w:val="11"/>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hOTJkZTE2OWMwZjAwMzEzOWNkMDEzZjVhNjhmNzYifQ=="/>
  </w:docVars>
  <w:rsids>
    <w:rsidRoot w:val="00A14947"/>
    <w:rsid w:val="00001CED"/>
    <w:rsid w:val="00001E67"/>
    <w:rsid w:val="00003CD8"/>
    <w:rsid w:val="000043EE"/>
    <w:rsid w:val="00011995"/>
    <w:rsid w:val="00013FD1"/>
    <w:rsid w:val="00014965"/>
    <w:rsid w:val="0001523A"/>
    <w:rsid w:val="00016653"/>
    <w:rsid w:val="00016ECB"/>
    <w:rsid w:val="00021B1B"/>
    <w:rsid w:val="00022B73"/>
    <w:rsid w:val="000269F6"/>
    <w:rsid w:val="00031939"/>
    <w:rsid w:val="00032D25"/>
    <w:rsid w:val="000453E2"/>
    <w:rsid w:val="0005219D"/>
    <w:rsid w:val="00052427"/>
    <w:rsid w:val="00053A13"/>
    <w:rsid w:val="0005568F"/>
    <w:rsid w:val="0006153D"/>
    <w:rsid w:val="00061B1F"/>
    <w:rsid w:val="000633F3"/>
    <w:rsid w:val="000664DB"/>
    <w:rsid w:val="0007127D"/>
    <w:rsid w:val="00071AE5"/>
    <w:rsid w:val="000740F0"/>
    <w:rsid w:val="00074783"/>
    <w:rsid w:val="000801E0"/>
    <w:rsid w:val="00082A29"/>
    <w:rsid w:val="0008331D"/>
    <w:rsid w:val="00083C18"/>
    <w:rsid w:val="00092899"/>
    <w:rsid w:val="000946B0"/>
    <w:rsid w:val="000A178E"/>
    <w:rsid w:val="000A1A1F"/>
    <w:rsid w:val="000A557E"/>
    <w:rsid w:val="000B058F"/>
    <w:rsid w:val="000B693F"/>
    <w:rsid w:val="000C09AC"/>
    <w:rsid w:val="000C0A63"/>
    <w:rsid w:val="000C437E"/>
    <w:rsid w:val="000C7467"/>
    <w:rsid w:val="000D00E8"/>
    <w:rsid w:val="000D7BAE"/>
    <w:rsid w:val="000E1282"/>
    <w:rsid w:val="000E5F16"/>
    <w:rsid w:val="000F17E9"/>
    <w:rsid w:val="000F4452"/>
    <w:rsid w:val="000F6DA1"/>
    <w:rsid w:val="000F701B"/>
    <w:rsid w:val="001056A0"/>
    <w:rsid w:val="00115279"/>
    <w:rsid w:val="00117459"/>
    <w:rsid w:val="0011749A"/>
    <w:rsid w:val="00120BCA"/>
    <w:rsid w:val="00121827"/>
    <w:rsid w:val="00127A68"/>
    <w:rsid w:val="00140B13"/>
    <w:rsid w:val="00141B68"/>
    <w:rsid w:val="001466DA"/>
    <w:rsid w:val="00154DE1"/>
    <w:rsid w:val="00155B40"/>
    <w:rsid w:val="00157435"/>
    <w:rsid w:val="0016249E"/>
    <w:rsid w:val="00163EEA"/>
    <w:rsid w:val="00163F03"/>
    <w:rsid w:val="00167A07"/>
    <w:rsid w:val="0017046A"/>
    <w:rsid w:val="001704A3"/>
    <w:rsid w:val="00171742"/>
    <w:rsid w:val="0017504D"/>
    <w:rsid w:val="00175DFD"/>
    <w:rsid w:val="00177422"/>
    <w:rsid w:val="00180CCE"/>
    <w:rsid w:val="00181C91"/>
    <w:rsid w:val="00184F10"/>
    <w:rsid w:val="00185546"/>
    <w:rsid w:val="00186C77"/>
    <w:rsid w:val="0019146B"/>
    <w:rsid w:val="00194398"/>
    <w:rsid w:val="001A7D2A"/>
    <w:rsid w:val="001B33EB"/>
    <w:rsid w:val="001B574C"/>
    <w:rsid w:val="001C0AF9"/>
    <w:rsid w:val="001C155A"/>
    <w:rsid w:val="001C3DCA"/>
    <w:rsid w:val="001C48C0"/>
    <w:rsid w:val="001C6912"/>
    <w:rsid w:val="001D007B"/>
    <w:rsid w:val="001D6726"/>
    <w:rsid w:val="001E5DDA"/>
    <w:rsid w:val="001F3347"/>
    <w:rsid w:val="001F33EF"/>
    <w:rsid w:val="001F4440"/>
    <w:rsid w:val="001F5DB6"/>
    <w:rsid w:val="001F69E4"/>
    <w:rsid w:val="00206A65"/>
    <w:rsid w:val="00212D31"/>
    <w:rsid w:val="002130C7"/>
    <w:rsid w:val="002218A8"/>
    <w:rsid w:val="0022221A"/>
    <w:rsid w:val="0022306D"/>
    <w:rsid w:val="00226574"/>
    <w:rsid w:val="002278EC"/>
    <w:rsid w:val="002279DE"/>
    <w:rsid w:val="002357C7"/>
    <w:rsid w:val="002367C4"/>
    <w:rsid w:val="002437A0"/>
    <w:rsid w:val="0025679E"/>
    <w:rsid w:val="00260C68"/>
    <w:rsid w:val="002648B0"/>
    <w:rsid w:val="00275271"/>
    <w:rsid w:val="0027535E"/>
    <w:rsid w:val="00275AA6"/>
    <w:rsid w:val="002807D5"/>
    <w:rsid w:val="00282CCD"/>
    <w:rsid w:val="00292521"/>
    <w:rsid w:val="00292F97"/>
    <w:rsid w:val="002A168C"/>
    <w:rsid w:val="002A2C48"/>
    <w:rsid w:val="002A2C80"/>
    <w:rsid w:val="002A3EED"/>
    <w:rsid w:val="002A4A39"/>
    <w:rsid w:val="002A5A17"/>
    <w:rsid w:val="002A6425"/>
    <w:rsid w:val="002B19C8"/>
    <w:rsid w:val="002B49E2"/>
    <w:rsid w:val="002B7B00"/>
    <w:rsid w:val="002B7C44"/>
    <w:rsid w:val="002C1388"/>
    <w:rsid w:val="002C3C6A"/>
    <w:rsid w:val="002C4A53"/>
    <w:rsid w:val="002D0212"/>
    <w:rsid w:val="002D42DB"/>
    <w:rsid w:val="002E1F3A"/>
    <w:rsid w:val="002E298A"/>
    <w:rsid w:val="002F02A4"/>
    <w:rsid w:val="002F272B"/>
    <w:rsid w:val="002F50AC"/>
    <w:rsid w:val="002F7C6D"/>
    <w:rsid w:val="003027E4"/>
    <w:rsid w:val="00302A3C"/>
    <w:rsid w:val="0030332C"/>
    <w:rsid w:val="00312296"/>
    <w:rsid w:val="003128A0"/>
    <w:rsid w:val="0031340E"/>
    <w:rsid w:val="0031454A"/>
    <w:rsid w:val="00316464"/>
    <w:rsid w:val="0032073A"/>
    <w:rsid w:val="00321D8E"/>
    <w:rsid w:val="00326DF2"/>
    <w:rsid w:val="00327DAB"/>
    <w:rsid w:val="00334996"/>
    <w:rsid w:val="00336969"/>
    <w:rsid w:val="00336C52"/>
    <w:rsid w:val="0034091D"/>
    <w:rsid w:val="00341B3E"/>
    <w:rsid w:val="00341B42"/>
    <w:rsid w:val="00342C04"/>
    <w:rsid w:val="00345154"/>
    <w:rsid w:val="0034560E"/>
    <w:rsid w:val="00350523"/>
    <w:rsid w:val="00352975"/>
    <w:rsid w:val="003552EE"/>
    <w:rsid w:val="00355309"/>
    <w:rsid w:val="00356868"/>
    <w:rsid w:val="00357EC5"/>
    <w:rsid w:val="00360BC3"/>
    <w:rsid w:val="00363962"/>
    <w:rsid w:val="0036485B"/>
    <w:rsid w:val="00372B33"/>
    <w:rsid w:val="00373B0D"/>
    <w:rsid w:val="00376988"/>
    <w:rsid w:val="00381A72"/>
    <w:rsid w:val="0039062F"/>
    <w:rsid w:val="00391DB2"/>
    <w:rsid w:val="003925DB"/>
    <w:rsid w:val="00393A30"/>
    <w:rsid w:val="0039464D"/>
    <w:rsid w:val="003A1948"/>
    <w:rsid w:val="003A49F5"/>
    <w:rsid w:val="003B152A"/>
    <w:rsid w:val="003B545B"/>
    <w:rsid w:val="003B7807"/>
    <w:rsid w:val="003D3EE9"/>
    <w:rsid w:val="003E7681"/>
    <w:rsid w:val="003F0809"/>
    <w:rsid w:val="003F611C"/>
    <w:rsid w:val="003F755C"/>
    <w:rsid w:val="00406F01"/>
    <w:rsid w:val="0041089F"/>
    <w:rsid w:val="00411B36"/>
    <w:rsid w:val="004121D7"/>
    <w:rsid w:val="0041561A"/>
    <w:rsid w:val="00416D50"/>
    <w:rsid w:val="00417772"/>
    <w:rsid w:val="00420E6A"/>
    <w:rsid w:val="00430249"/>
    <w:rsid w:val="00433CA9"/>
    <w:rsid w:val="0043521D"/>
    <w:rsid w:val="00442024"/>
    <w:rsid w:val="0044254C"/>
    <w:rsid w:val="00443F6A"/>
    <w:rsid w:val="00450A17"/>
    <w:rsid w:val="00451BD4"/>
    <w:rsid w:val="00454A09"/>
    <w:rsid w:val="00466321"/>
    <w:rsid w:val="00466501"/>
    <w:rsid w:val="004672AF"/>
    <w:rsid w:val="0047042D"/>
    <w:rsid w:val="004727B0"/>
    <w:rsid w:val="00480247"/>
    <w:rsid w:val="0048081D"/>
    <w:rsid w:val="0048117E"/>
    <w:rsid w:val="00483359"/>
    <w:rsid w:val="004855F6"/>
    <w:rsid w:val="00486F0C"/>
    <w:rsid w:val="00494670"/>
    <w:rsid w:val="004A0EB4"/>
    <w:rsid w:val="004A3042"/>
    <w:rsid w:val="004A3823"/>
    <w:rsid w:val="004A59BB"/>
    <w:rsid w:val="004A5EEE"/>
    <w:rsid w:val="004B369F"/>
    <w:rsid w:val="004B43A3"/>
    <w:rsid w:val="004B4C49"/>
    <w:rsid w:val="004B58A5"/>
    <w:rsid w:val="004B63D9"/>
    <w:rsid w:val="004C0882"/>
    <w:rsid w:val="004C55BE"/>
    <w:rsid w:val="004D596B"/>
    <w:rsid w:val="004D6297"/>
    <w:rsid w:val="004D656B"/>
    <w:rsid w:val="004D7FFC"/>
    <w:rsid w:val="004E5B30"/>
    <w:rsid w:val="004F0779"/>
    <w:rsid w:val="004F0D31"/>
    <w:rsid w:val="004F1230"/>
    <w:rsid w:val="004F173F"/>
    <w:rsid w:val="004F177C"/>
    <w:rsid w:val="004F2DCE"/>
    <w:rsid w:val="004F4158"/>
    <w:rsid w:val="005007D5"/>
    <w:rsid w:val="005039CB"/>
    <w:rsid w:val="0050558F"/>
    <w:rsid w:val="005057E0"/>
    <w:rsid w:val="00506286"/>
    <w:rsid w:val="00510569"/>
    <w:rsid w:val="00510813"/>
    <w:rsid w:val="00511DE0"/>
    <w:rsid w:val="00512AB9"/>
    <w:rsid w:val="00517F02"/>
    <w:rsid w:val="005216CC"/>
    <w:rsid w:val="00522EC8"/>
    <w:rsid w:val="00524547"/>
    <w:rsid w:val="00525809"/>
    <w:rsid w:val="005258A2"/>
    <w:rsid w:val="00530F7C"/>
    <w:rsid w:val="00534567"/>
    <w:rsid w:val="00534F43"/>
    <w:rsid w:val="00535A84"/>
    <w:rsid w:val="00536739"/>
    <w:rsid w:val="00536889"/>
    <w:rsid w:val="00542E07"/>
    <w:rsid w:val="00547F48"/>
    <w:rsid w:val="00551E6A"/>
    <w:rsid w:val="0055447F"/>
    <w:rsid w:val="00554932"/>
    <w:rsid w:val="00554A7B"/>
    <w:rsid w:val="0055572C"/>
    <w:rsid w:val="00556711"/>
    <w:rsid w:val="0056064F"/>
    <w:rsid w:val="00561B84"/>
    <w:rsid w:val="00561D17"/>
    <w:rsid w:val="00571D98"/>
    <w:rsid w:val="005720AE"/>
    <w:rsid w:val="005778D7"/>
    <w:rsid w:val="0058030D"/>
    <w:rsid w:val="00582045"/>
    <w:rsid w:val="00585982"/>
    <w:rsid w:val="00590AE3"/>
    <w:rsid w:val="005918F1"/>
    <w:rsid w:val="005A06B7"/>
    <w:rsid w:val="005A1759"/>
    <w:rsid w:val="005C3504"/>
    <w:rsid w:val="005C6E74"/>
    <w:rsid w:val="005D0369"/>
    <w:rsid w:val="005D427B"/>
    <w:rsid w:val="005D53FE"/>
    <w:rsid w:val="005D6C9D"/>
    <w:rsid w:val="005D7A0F"/>
    <w:rsid w:val="005E0438"/>
    <w:rsid w:val="005E1080"/>
    <w:rsid w:val="005E1791"/>
    <w:rsid w:val="005E1FE3"/>
    <w:rsid w:val="005E2CE6"/>
    <w:rsid w:val="005E6324"/>
    <w:rsid w:val="005F1A2F"/>
    <w:rsid w:val="005F228B"/>
    <w:rsid w:val="005F29CD"/>
    <w:rsid w:val="005F4DFB"/>
    <w:rsid w:val="005F6CC0"/>
    <w:rsid w:val="00603E5B"/>
    <w:rsid w:val="00604BC8"/>
    <w:rsid w:val="00615B4C"/>
    <w:rsid w:val="00615B5D"/>
    <w:rsid w:val="00620693"/>
    <w:rsid w:val="00620870"/>
    <w:rsid w:val="0062146F"/>
    <w:rsid w:val="006319B0"/>
    <w:rsid w:val="006343AF"/>
    <w:rsid w:val="0063634A"/>
    <w:rsid w:val="0064250D"/>
    <w:rsid w:val="006535EB"/>
    <w:rsid w:val="00663016"/>
    <w:rsid w:val="006630B4"/>
    <w:rsid w:val="00674605"/>
    <w:rsid w:val="006748B8"/>
    <w:rsid w:val="006779E1"/>
    <w:rsid w:val="0068535B"/>
    <w:rsid w:val="0068736E"/>
    <w:rsid w:val="00690CD8"/>
    <w:rsid w:val="0069290A"/>
    <w:rsid w:val="006940A0"/>
    <w:rsid w:val="00697032"/>
    <w:rsid w:val="006975AC"/>
    <w:rsid w:val="006A15FB"/>
    <w:rsid w:val="006A66B3"/>
    <w:rsid w:val="006A72BF"/>
    <w:rsid w:val="006B2168"/>
    <w:rsid w:val="006B332A"/>
    <w:rsid w:val="006B33BD"/>
    <w:rsid w:val="006C3F75"/>
    <w:rsid w:val="006D170E"/>
    <w:rsid w:val="006E06AF"/>
    <w:rsid w:val="006F1789"/>
    <w:rsid w:val="00701B25"/>
    <w:rsid w:val="00706C5D"/>
    <w:rsid w:val="007118E6"/>
    <w:rsid w:val="00712D6B"/>
    <w:rsid w:val="007225C9"/>
    <w:rsid w:val="007301AC"/>
    <w:rsid w:val="00732406"/>
    <w:rsid w:val="00734DE2"/>
    <w:rsid w:val="00735CD7"/>
    <w:rsid w:val="007412C1"/>
    <w:rsid w:val="007418E1"/>
    <w:rsid w:val="007450BD"/>
    <w:rsid w:val="00750CE9"/>
    <w:rsid w:val="00754034"/>
    <w:rsid w:val="00754BF1"/>
    <w:rsid w:val="00755104"/>
    <w:rsid w:val="00755A30"/>
    <w:rsid w:val="00755E1C"/>
    <w:rsid w:val="00756556"/>
    <w:rsid w:val="0076132B"/>
    <w:rsid w:val="007623AE"/>
    <w:rsid w:val="00770B19"/>
    <w:rsid w:val="00774FA0"/>
    <w:rsid w:val="00776620"/>
    <w:rsid w:val="00777B6D"/>
    <w:rsid w:val="00781B92"/>
    <w:rsid w:val="00782A8F"/>
    <w:rsid w:val="00784855"/>
    <w:rsid w:val="00784F39"/>
    <w:rsid w:val="007851AA"/>
    <w:rsid w:val="0078545C"/>
    <w:rsid w:val="007906C4"/>
    <w:rsid w:val="007922C7"/>
    <w:rsid w:val="007940EA"/>
    <w:rsid w:val="007967E8"/>
    <w:rsid w:val="007A0BCD"/>
    <w:rsid w:val="007A1485"/>
    <w:rsid w:val="007A3AF9"/>
    <w:rsid w:val="007A63F2"/>
    <w:rsid w:val="007B68DE"/>
    <w:rsid w:val="007C1857"/>
    <w:rsid w:val="007C514F"/>
    <w:rsid w:val="007D0F95"/>
    <w:rsid w:val="007D61DF"/>
    <w:rsid w:val="007D7ECB"/>
    <w:rsid w:val="007E25A1"/>
    <w:rsid w:val="007E4BD2"/>
    <w:rsid w:val="007E565F"/>
    <w:rsid w:val="007E7145"/>
    <w:rsid w:val="007F3916"/>
    <w:rsid w:val="00801179"/>
    <w:rsid w:val="008020CA"/>
    <w:rsid w:val="00802479"/>
    <w:rsid w:val="00805372"/>
    <w:rsid w:val="00805B7B"/>
    <w:rsid w:val="0081293E"/>
    <w:rsid w:val="00814FFB"/>
    <w:rsid w:val="00820568"/>
    <w:rsid w:val="00831A80"/>
    <w:rsid w:val="008332C8"/>
    <w:rsid w:val="00833743"/>
    <w:rsid w:val="008340A4"/>
    <w:rsid w:val="00836799"/>
    <w:rsid w:val="00837028"/>
    <w:rsid w:val="00837131"/>
    <w:rsid w:val="008404F4"/>
    <w:rsid w:val="00843022"/>
    <w:rsid w:val="00845F57"/>
    <w:rsid w:val="00846605"/>
    <w:rsid w:val="008521E0"/>
    <w:rsid w:val="008525B0"/>
    <w:rsid w:val="00856E79"/>
    <w:rsid w:val="0086540B"/>
    <w:rsid w:val="00867CBC"/>
    <w:rsid w:val="00875657"/>
    <w:rsid w:val="00876C30"/>
    <w:rsid w:val="00877017"/>
    <w:rsid w:val="008773C0"/>
    <w:rsid w:val="00880364"/>
    <w:rsid w:val="00886C4C"/>
    <w:rsid w:val="0088711C"/>
    <w:rsid w:val="00892ECF"/>
    <w:rsid w:val="00892F06"/>
    <w:rsid w:val="00894285"/>
    <w:rsid w:val="008A29A2"/>
    <w:rsid w:val="008A35A6"/>
    <w:rsid w:val="008A40AE"/>
    <w:rsid w:val="008A4E19"/>
    <w:rsid w:val="008A67C5"/>
    <w:rsid w:val="008B0DEA"/>
    <w:rsid w:val="008B22E1"/>
    <w:rsid w:val="008B3C78"/>
    <w:rsid w:val="008B4AE9"/>
    <w:rsid w:val="008C30AD"/>
    <w:rsid w:val="008C39B2"/>
    <w:rsid w:val="008C43B5"/>
    <w:rsid w:val="008D068E"/>
    <w:rsid w:val="008D0F7A"/>
    <w:rsid w:val="008D1C62"/>
    <w:rsid w:val="008D63BE"/>
    <w:rsid w:val="008E0CFF"/>
    <w:rsid w:val="008E5D6B"/>
    <w:rsid w:val="008E689B"/>
    <w:rsid w:val="008E76F0"/>
    <w:rsid w:val="008F15FE"/>
    <w:rsid w:val="008F18F2"/>
    <w:rsid w:val="008F2A94"/>
    <w:rsid w:val="008F5187"/>
    <w:rsid w:val="008F709C"/>
    <w:rsid w:val="00902C75"/>
    <w:rsid w:val="0090312B"/>
    <w:rsid w:val="00904961"/>
    <w:rsid w:val="00910F77"/>
    <w:rsid w:val="0091736D"/>
    <w:rsid w:val="00931001"/>
    <w:rsid w:val="00931863"/>
    <w:rsid w:val="009321D8"/>
    <w:rsid w:val="00933524"/>
    <w:rsid w:val="0094278D"/>
    <w:rsid w:val="0095308A"/>
    <w:rsid w:val="009537B4"/>
    <w:rsid w:val="00955176"/>
    <w:rsid w:val="00955AEE"/>
    <w:rsid w:val="00955BCF"/>
    <w:rsid w:val="00955DE5"/>
    <w:rsid w:val="009569C8"/>
    <w:rsid w:val="00956F14"/>
    <w:rsid w:val="009571C4"/>
    <w:rsid w:val="009620FD"/>
    <w:rsid w:val="0096247A"/>
    <w:rsid w:val="009636AD"/>
    <w:rsid w:val="00965F4B"/>
    <w:rsid w:val="0096668A"/>
    <w:rsid w:val="009676A7"/>
    <w:rsid w:val="00970F8A"/>
    <w:rsid w:val="00971FB5"/>
    <w:rsid w:val="00972D2A"/>
    <w:rsid w:val="00975CC5"/>
    <w:rsid w:val="00976328"/>
    <w:rsid w:val="00976B4E"/>
    <w:rsid w:val="0097749E"/>
    <w:rsid w:val="00984458"/>
    <w:rsid w:val="009851C4"/>
    <w:rsid w:val="00985283"/>
    <w:rsid w:val="00985871"/>
    <w:rsid w:val="00987322"/>
    <w:rsid w:val="009A0F3B"/>
    <w:rsid w:val="009A72C7"/>
    <w:rsid w:val="009B0897"/>
    <w:rsid w:val="009B549C"/>
    <w:rsid w:val="009D0852"/>
    <w:rsid w:val="009D1FBF"/>
    <w:rsid w:val="009D28BC"/>
    <w:rsid w:val="009E399C"/>
    <w:rsid w:val="009E43C1"/>
    <w:rsid w:val="009E62B7"/>
    <w:rsid w:val="009E7E23"/>
    <w:rsid w:val="009E7E95"/>
    <w:rsid w:val="009F0762"/>
    <w:rsid w:val="009F0889"/>
    <w:rsid w:val="009F116F"/>
    <w:rsid w:val="009F1B13"/>
    <w:rsid w:val="009F329E"/>
    <w:rsid w:val="009F7ED3"/>
    <w:rsid w:val="00A01EF1"/>
    <w:rsid w:val="00A03607"/>
    <w:rsid w:val="00A047FF"/>
    <w:rsid w:val="00A04B5D"/>
    <w:rsid w:val="00A04FEF"/>
    <w:rsid w:val="00A122CD"/>
    <w:rsid w:val="00A1251A"/>
    <w:rsid w:val="00A12A32"/>
    <w:rsid w:val="00A14248"/>
    <w:rsid w:val="00A14947"/>
    <w:rsid w:val="00A23DC5"/>
    <w:rsid w:val="00A33001"/>
    <w:rsid w:val="00A34028"/>
    <w:rsid w:val="00A35568"/>
    <w:rsid w:val="00A36CEF"/>
    <w:rsid w:val="00A37056"/>
    <w:rsid w:val="00A4358F"/>
    <w:rsid w:val="00A46F67"/>
    <w:rsid w:val="00A54AA1"/>
    <w:rsid w:val="00A568FF"/>
    <w:rsid w:val="00A5789C"/>
    <w:rsid w:val="00A61496"/>
    <w:rsid w:val="00A61833"/>
    <w:rsid w:val="00A624C6"/>
    <w:rsid w:val="00A63CEC"/>
    <w:rsid w:val="00A7031E"/>
    <w:rsid w:val="00A728B1"/>
    <w:rsid w:val="00A72E2B"/>
    <w:rsid w:val="00A763DE"/>
    <w:rsid w:val="00A803D6"/>
    <w:rsid w:val="00A81282"/>
    <w:rsid w:val="00A815EA"/>
    <w:rsid w:val="00A84F3B"/>
    <w:rsid w:val="00A866AF"/>
    <w:rsid w:val="00A8713F"/>
    <w:rsid w:val="00A87A7D"/>
    <w:rsid w:val="00A91167"/>
    <w:rsid w:val="00A9171C"/>
    <w:rsid w:val="00A92FFD"/>
    <w:rsid w:val="00A95975"/>
    <w:rsid w:val="00A9708D"/>
    <w:rsid w:val="00AA0C92"/>
    <w:rsid w:val="00AA2C17"/>
    <w:rsid w:val="00AA38CB"/>
    <w:rsid w:val="00AA4172"/>
    <w:rsid w:val="00AB1914"/>
    <w:rsid w:val="00AB5330"/>
    <w:rsid w:val="00AB7747"/>
    <w:rsid w:val="00AC2532"/>
    <w:rsid w:val="00AD074D"/>
    <w:rsid w:val="00AD1507"/>
    <w:rsid w:val="00AD5A70"/>
    <w:rsid w:val="00AD738B"/>
    <w:rsid w:val="00AE0C61"/>
    <w:rsid w:val="00AE17E8"/>
    <w:rsid w:val="00AE1BF4"/>
    <w:rsid w:val="00AE5D97"/>
    <w:rsid w:val="00AE6794"/>
    <w:rsid w:val="00AF3926"/>
    <w:rsid w:val="00AF5980"/>
    <w:rsid w:val="00B01110"/>
    <w:rsid w:val="00B02262"/>
    <w:rsid w:val="00B03CEC"/>
    <w:rsid w:val="00B1209F"/>
    <w:rsid w:val="00B12AD0"/>
    <w:rsid w:val="00B24F30"/>
    <w:rsid w:val="00B31ABF"/>
    <w:rsid w:val="00B3275C"/>
    <w:rsid w:val="00B335AE"/>
    <w:rsid w:val="00B37CE1"/>
    <w:rsid w:val="00B40ACF"/>
    <w:rsid w:val="00B42D30"/>
    <w:rsid w:val="00B46BAA"/>
    <w:rsid w:val="00B50B5F"/>
    <w:rsid w:val="00B54128"/>
    <w:rsid w:val="00B5519E"/>
    <w:rsid w:val="00B55826"/>
    <w:rsid w:val="00B60426"/>
    <w:rsid w:val="00B622DD"/>
    <w:rsid w:val="00B63522"/>
    <w:rsid w:val="00B635A3"/>
    <w:rsid w:val="00B66AD0"/>
    <w:rsid w:val="00B76F1D"/>
    <w:rsid w:val="00B82C09"/>
    <w:rsid w:val="00B867EF"/>
    <w:rsid w:val="00B92A19"/>
    <w:rsid w:val="00B9544C"/>
    <w:rsid w:val="00BA29E9"/>
    <w:rsid w:val="00BB1FAD"/>
    <w:rsid w:val="00BB217C"/>
    <w:rsid w:val="00BB332A"/>
    <w:rsid w:val="00BB3618"/>
    <w:rsid w:val="00BB4EE2"/>
    <w:rsid w:val="00BC0C9E"/>
    <w:rsid w:val="00BC1AE7"/>
    <w:rsid w:val="00BC32DC"/>
    <w:rsid w:val="00BD1B51"/>
    <w:rsid w:val="00BD47F6"/>
    <w:rsid w:val="00BD5E20"/>
    <w:rsid w:val="00BE312D"/>
    <w:rsid w:val="00BE3FCA"/>
    <w:rsid w:val="00BE6BF2"/>
    <w:rsid w:val="00BF11A9"/>
    <w:rsid w:val="00C006DB"/>
    <w:rsid w:val="00C03B40"/>
    <w:rsid w:val="00C05719"/>
    <w:rsid w:val="00C07410"/>
    <w:rsid w:val="00C1000E"/>
    <w:rsid w:val="00C10578"/>
    <w:rsid w:val="00C14904"/>
    <w:rsid w:val="00C17D62"/>
    <w:rsid w:val="00C21FDC"/>
    <w:rsid w:val="00C24EE7"/>
    <w:rsid w:val="00C2596A"/>
    <w:rsid w:val="00C271BE"/>
    <w:rsid w:val="00C27425"/>
    <w:rsid w:val="00C314A2"/>
    <w:rsid w:val="00C316CC"/>
    <w:rsid w:val="00C32579"/>
    <w:rsid w:val="00C328FE"/>
    <w:rsid w:val="00C33431"/>
    <w:rsid w:val="00C33A05"/>
    <w:rsid w:val="00C42500"/>
    <w:rsid w:val="00C4409D"/>
    <w:rsid w:val="00C455BE"/>
    <w:rsid w:val="00C51E5F"/>
    <w:rsid w:val="00C60BEC"/>
    <w:rsid w:val="00C61E4B"/>
    <w:rsid w:val="00C62E3A"/>
    <w:rsid w:val="00C63777"/>
    <w:rsid w:val="00C64503"/>
    <w:rsid w:val="00C64A1F"/>
    <w:rsid w:val="00C64BFF"/>
    <w:rsid w:val="00C763C9"/>
    <w:rsid w:val="00C77CEF"/>
    <w:rsid w:val="00C80057"/>
    <w:rsid w:val="00C82C79"/>
    <w:rsid w:val="00C84753"/>
    <w:rsid w:val="00C84F6F"/>
    <w:rsid w:val="00C91611"/>
    <w:rsid w:val="00CA16D7"/>
    <w:rsid w:val="00CA3585"/>
    <w:rsid w:val="00CA3D5A"/>
    <w:rsid w:val="00CA4C7C"/>
    <w:rsid w:val="00CB0183"/>
    <w:rsid w:val="00CB1EA3"/>
    <w:rsid w:val="00CB552C"/>
    <w:rsid w:val="00CB6A9E"/>
    <w:rsid w:val="00CC2817"/>
    <w:rsid w:val="00CC6181"/>
    <w:rsid w:val="00CD2BCD"/>
    <w:rsid w:val="00CD36AA"/>
    <w:rsid w:val="00CD3791"/>
    <w:rsid w:val="00CD65B0"/>
    <w:rsid w:val="00CE02CD"/>
    <w:rsid w:val="00CE069A"/>
    <w:rsid w:val="00CE10E9"/>
    <w:rsid w:val="00CE356A"/>
    <w:rsid w:val="00CF1398"/>
    <w:rsid w:val="00CF4C32"/>
    <w:rsid w:val="00D0072E"/>
    <w:rsid w:val="00D05106"/>
    <w:rsid w:val="00D072D1"/>
    <w:rsid w:val="00D15727"/>
    <w:rsid w:val="00D16332"/>
    <w:rsid w:val="00D167BF"/>
    <w:rsid w:val="00D24972"/>
    <w:rsid w:val="00D2515E"/>
    <w:rsid w:val="00D308ED"/>
    <w:rsid w:val="00D42111"/>
    <w:rsid w:val="00D458D1"/>
    <w:rsid w:val="00D56178"/>
    <w:rsid w:val="00D56CF0"/>
    <w:rsid w:val="00D56F5C"/>
    <w:rsid w:val="00D601F3"/>
    <w:rsid w:val="00D704B1"/>
    <w:rsid w:val="00D70B63"/>
    <w:rsid w:val="00D72B92"/>
    <w:rsid w:val="00D72ED4"/>
    <w:rsid w:val="00D73F61"/>
    <w:rsid w:val="00D754C0"/>
    <w:rsid w:val="00D76351"/>
    <w:rsid w:val="00D776A2"/>
    <w:rsid w:val="00D801C4"/>
    <w:rsid w:val="00D90836"/>
    <w:rsid w:val="00D923EE"/>
    <w:rsid w:val="00D9436D"/>
    <w:rsid w:val="00D95896"/>
    <w:rsid w:val="00D95CC6"/>
    <w:rsid w:val="00DA2DA3"/>
    <w:rsid w:val="00DA6615"/>
    <w:rsid w:val="00DA76AE"/>
    <w:rsid w:val="00DB0C3E"/>
    <w:rsid w:val="00DB181E"/>
    <w:rsid w:val="00DB1833"/>
    <w:rsid w:val="00DB1C7A"/>
    <w:rsid w:val="00DB2520"/>
    <w:rsid w:val="00DB2983"/>
    <w:rsid w:val="00DB343D"/>
    <w:rsid w:val="00DB5579"/>
    <w:rsid w:val="00DB5CFE"/>
    <w:rsid w:val="00DC72A6"/>
    <w:rsid w:val="00DD2113"/>
    <w:rsid w:val="00DD265E"/>
    <w:rsid w:val="00DE4D44"/>
    <w:rsid w:val="00DF1930"/>
    <w:rsid w:val="00DF514A"/>
    <w:rsid w:val="00DF61C9"/>
    <w:rsid w:val="00DF62A5"/>
    <w:rsid w:val="00DF652C"/>
    <w:rsid w:val="00DF7B88"/>
    <w:rsid w:val="00E0358D"/>
    <w:rsid w:val="00E06327"/>
    <w:rsid w:val="00E164D4"/>
    <w:rsid w:val="00E17F1E"/>
    <w:rsid w:val="00E2064B"/>
    <w:rsid w:val="00E220DE"/>
    <w:rsid w:val="00E25239"/>
    <w:rsid w:val="00E265B1"/>
    <w:rsid w:val="00E275B0"/>
    <w:rsid w:val="00E32A3D"/>
    <w:rsid w:val="00E412D0"/>
    <w:rsid w:val="00E47CDB"/>
    <w:rsid w:val="00E564CD"/>
    <w:rsid w:val="00E566BC"/>
    <w:rsid w:val="00E60982"/>
    <w:rsid w:val="00E60C8D"/>
    <w:rsid w:val="00E6162F"/>
    <w:rsid w:val="00E6311B"/>
    <w:rsid w:val="00E63684"/>
    <w:rsid w:val="00E65D97"/>
    <w:rsid w:val="00E67EFD"/>
    <w:rsid w:val="00E702DC"/>
    <w:rsid w:val="00E71FFB"/>
    <w:rsid w:val="00E7326A"/>
    <w:rsid w:val="00E76D1D"/>
    <w:rsid w:val="00E806F8"/>
    <w:rsid w:val="00E87752"/>
    <w:rsid w:val="00E8793B"/>
    <w:rsid w:val="00E90F81"/>
    <w:rsid w:val="00E91A6D"/>
    <w:rsid w:val="00E9242D"/>
    <w:rsid w:val="00EA3FE5"/>
    <w:rsid w:val="00EB041C"/>
    <w:rsid w:val="00EB09F1"/>
    <w:rsid w:val="00EC5874"/>
    <w:rsid w:val="00ED192D"/>
    <w:rsid w:val="00ED30B4"/>
    <w:rsid w:val="00ED31F5"/>
    <w:rsid w:val="00EE6D95"/>
    <w:rsid w:val="00EF2759"/>
    <w:rsid w:val="00EF45EB"/>
    <w:rsid w:val="00EF5099"/>
    <w:rsid w:val="00EF5E33"/>
    <w:rsid w:val="00F00075"/>
    <w:rsid w:val="00F03055"/>
    <w:rsid w:val="00F07822"/>
    <w:rsid w:val="00F15C95"/>
    <w:rsid w:val="00F22985"/>
    <w:rsid w:val="00F241AB"/>
    <w:rsid w:val="00F31382"/>
    <w:rsid w:val="00F35005"/>
    <w:rsid w:val="00F35829"/>
    <w:rsid w:val="00F42868"/>
    <w:rsid w:val="00F465A7"/>
    <w:rsid w:val="00F50B7C"/>
    <w:rsid w:val="00F5202D"/>
    <w:rsid w:val="00F52CF6"/>
    <w:rsid w:val="00F54496"/>
    <w:rsid w:val="00F54FBE"/>
    <w:rsid w:val="00F61097"/>
    <w:rsid w:val="00F66F92"/>
    <w:rsid w:val="00F67E37"/>
    <w:rsid w:val="00F74345"/>
    <w:rsid w:val="00F74441"/>
    <w:rsid w:val="00F76C46"/>
    <w:rsid w:val="00F77F30"/>
    <w:rsid w:val="00F82589"/>
    <w:rsid w:val="00F82B19"/>
    <w:rsid w:val="00F85DC9"/>
    <w:rsid w:val="00F90AA7"/>
    <w:rsid w:val="00F9212D"/>
    <w:rsid w:val="00F9320E"/>
    <w:rsid w:val="00F932D6"/>
    <w:rsid w:val="00F973BC"/>
    <w:rsid w:val="00FA301A"/>
    <w:rsid w:val="00FA406A"/>
    <w:rsid w:val="00FA5CB6"/>
    <w:rsid w:val="00FA7FF2"/>
    <w:rsid w:val="00FB09D5"/>
    <w:rsid w:val="00FB4525"/>
    <w:rsid w:val="00FC66AC"/>
    <w:rsid w:val="00FD18F4"/>
    <w:rsid w:val="00FD31F9"/>
    <w:rsid w:val="00FD74B4"/>
    <w:rsid w:val="00FE31AA"/>
    <w:rsid w:val="00FE4098"/>
    <w:rsid w:val="00FE40AE"/>
    <w:rsid w:val="00FF6FCE"/>
    <w:rsid w:val="00FF7518"/>
    <w:rsid w:val="00FF7FD8"/>
    <w:rsid w:val="011078C7"/>
    <w:rsid w:val="01203FAE"/>
    <w:rsid w:val="015D0314"/>
    <w:rsid w:val="01B3097E"/>
    <w:rsid w:val="02773F39"/>
    <w:rsid w:val="02977C39"/>
    <w:rsid w:val="02BD31D4"/>
    <w:rsid w:val="034F2928"/>
    <w:rsid w:val="039424ED"/>
    <w:rsid w:val="04E078BF"/>
    <w:rsid w:val="04F05A45"/>
    <w:rsid w:val="05022AE9"/>
    <w:rsid w:val="05742AC8"/>
    <w:rsid w:val="06352F05"/>
    <w:rsid w:val="063E7D85"/>
    <w:rsid w:val="06BD229F"/>
    <w:rsid w:val="070875E0"/>
    <w:rsid w:val="07293586"/>
    <w:rsid w:val="07295285"/>
    <w:rsid w:val="073562D9"/>
    <w:rsid w:val="07571DAC"/>
    <w:rsid w:val="07735740"/>
    <w:rsid w:val="07770C56"/>
    <w:rsid w:val="08144141"/>
    <w:rsid w:val="083E4D1A"/>
    <w:rsid w:val="08F91376"/>
    <w:rsid w:val="092217DD"/>
    <w:rsid w:val="093A7294"/>
    <w:rsid w:val="09E0658E"/>
    <w:rsid w:val="0AC534D0"/>
    <w:rsid w:val="0AD81455"/>
    <w:rsid w:val="0ADB2CF4"/>
    <w:rsid w:val="0B161F7E"/>
    <w:rsid w:val="0B470D76"/>
    <w:rsid w:val="0BC26BF0"/>
    <w:rsid w:val="0BD27BF6"/>
    <w:rsid w:val="0C4F3999"/>
    <w:rsid w:val="0C880C59"/>
    <w:rsid w:val="0CA737D5"/>
    <w:rsid w:val="0D3A01A5"/>
    <w:rsid w:val="0DAD4E1B"/>
    <w:rsid w:val="0E110D06"/>
    <w:rsid w:val="0E8F1130"/>
    <w:rsid w:val="0EFD76DC"/>
    <w:rsid w:val="0F13775A"/>
    <w:rsid w:val="0F9A112B"/>
    <w:rsid w:val="0FC85F3C"/>
    <w:rsid w:val="103057BD"/>
    <w:rsid w:val="106D2F64"/>
    <w:rsid w:val="10817B9E"/>
    <w:rsid w:val="10817E99"/>
    <w:rsid w:val="10B63710"/>
    <w:rsid w:val="11020FDA"/>
    <w:rsid w:val="111C2F7A"/>
    <w:rsid w:val="111C63DF"/>
    <w:rsid w:val="113013DE"/>
    <w:rsid w:val="119C1E13"/>
    <w:rsid w:val="11B275DC"/>
    <w:rsid w:val="11CE150A"/>
    <w:rsid w:val="122B06C2"/>
    <w:rsid w:val="12905384"/>
    <w:rsid w:val="13951726"/>
    <w:rsid w:val="13FA41EA"/>
    <w:rsid w:val="14316168"/>
    <w:rsid w:val="14396509"/>
    <w:rsid w:val="1447165C"/>
    <w:rsid w:val="14E76E65"/>
    <w:rsid w:val="16776BEF"/>
    <w:rsid w:val="169A075C"/>
    <w:rsid w:val="16F92E7F"/>
    <w:rsid w:val="17147CB9"/>
    <w:rsid w:val="17735226"/>
    <w:rsid w:val="17A5139C"/>
    <w:rsid w:val="17F21A43"/>
    <w:rsid w:val="181C1F58"/>
    <w:rsid w:val="18A84B5D"/>
    <w:rsid w:val="1A057D8D"/>
    <w:rsid w:val="1A1C66C0"/>
    <w:rsid w:val="1A42393B"/>
    <w:rsid w:val="1A7B1DFD"/>
    <w:rsid w:val="1A7D0350"/>
    <w:rsid w:val="1B046F80"/>
    <w:rsid w:val="1B3267B5"/>
    <w:rsid w:val="1B697EA8"/>
    <w:rsid w:val="1B7F293C"/>
    <w:rsid w:val="1BA64C58"/>
    <w:rsid w:val="1BC25DC8"/>
    <w:rsid w:val="1C5E7925"/>
    <w:rsid w:val="1C6F61CD"/>
    <w:rsid w:val="1C887FC8"/>
    <w:rsid w:val="1CF42CF9"/>
    <w:rsid w:val="1D5F6196"/>
    <w:rsid w:val="1D6132A5"/>
    <w:rsid w:val="1D8E56D5"/>
    <w:rsid w:val="1E3173A3"/>
    <w:rsid w:val="1E7A43DA"/>
    <w:rsid w:val="1E91399D"/>
    <w:rsid w:val="1EB277FE"/>
    <w:rsid w:val="1EF36EF3"/>
    <w:rsid w:val="1F277706"/>
    <w:rsid w:val="1F525822"/>
    <w:rsid w:val="1F973235"/>
    <w:rsid w:val="1FCD4EA9"/>
    <w:rsid w:val="1FE7539E"/>
    <w:rsid w:val="20032679"/>
    <w:rsid w:val="207B6A3D"/>
    <w:rsid w:val="208A4B48"/>
    <w:rsid w:val="208E7A7B"/>
    <w:rsid w:val="20963CB8"/>
    <w:rsid w:val="20B07FB6"/>
    <w:rsid w:val="213B74B1"/>
    <w:rsid w:val="21591B10"/>
    <w:rsid w:val="215A09BE"/>
    <w:rsid w:val="215A2310"/>
    <w:rsid w:val="219537A4"/>
    <w:rsid w:val="21A31534"/>
    <w:rsid w:val="21DE318A"/>
    <w:rsid w:val="21EF5B80"/>
    <w:rsid w:val="22576990"/>
    <w:rsid w:val="229C4EAB"/>
    <w:rsid w:val="22B20386"/>
    <w:rsid w:val="22BD18A2"/>
    <w:rsid w:val="23D34A58"/>
    <w:rsid w:val="24596D0B"/>
    <w:rsid w:val="246E3BAA"/>
    <w:rsid w:val="251315B0"/>
    <w:rsid w:val="252D53FE"/>
    <w:rsid w:val="25626093"/>
    <w:rsid w:val="25EC2D81"/>
    <w:rsid w:val="25FC3DF2"/>
    <w:rsid w:val="263A2B6C"/>
    <w:rsid w:val="264528BD"/>
    <w:rsid w:val="26CE2843"/>
    <w:rsid w:val="273677D8"/>
    <w:rsid w:val="278247CB"/>
    <w:rsid w:val="27A75FE0"/>
    <w:rsid w:val="27D15DD1"/>
    <w:rsid w:val="28A76295"/>
    <w:rsid w:val="290D5E97"/>
    <w:rsid w:val="29206EB8"/>
    <w:rsid w:val="296C128F"/>
    <w:rsid w:val="29E325E0"/>
    <w:rsid w:val="2A452503"/>
    <w:rsid w:val="2AF4778E"/>
    <w:rsid w:val="2B125E66"/>
    <w:rsid w:val="2BA936A8"/>
    <w:rsid w:val="2C315A5A"/>
    <w:rsid w:val="2C3A3A4C"/>
    <w:rsid w:val="2C495C41"/>
    <w:rsid w:val="2C923702"/>
    <w:rsid w:val="2CC96FEA"/>
    <w:rsid w:val="2D9E56F5"/>
    <w:rsid w:val="2DF47AA5"/>
    <w:rsid w:val="2E261AD1"/>
    <w:rsid w:val="2E4F2EA7"/>
    <w:rsid w:val="2E667F96"/>
    <w:rsid w:val="2E6E5AA9"/>
    <w:rsid w:val="2E8226AB"/>
    <w:rsid w:val="2EA339A5"/>
    <w:rsid w:val="2EF30BB1"/>
    <w:rsid w:val="2F792725"/>
    <w:rsid w:val="2F832C79"/>
    <w:rsid w:val="2FEF2D58"/>
    <w:rsid w:val="305807BF"/>
    <w:rsid w:val="30580BC9"/>
    <w:rsid w:val="30694298"/>
    <w:rsid w:val="311E2ED7"/>
    <w:rsid w:val="315C449C"/>
    <w:rsid w:val="31B82709"/>
    <w:rsid w:val="31F634BF"/>
    <w:rsid w:val="31F938DC"/>
    <w:rsid w:val="32400B34"/>
    <w:rsid w:val="328B1E12"/>
    <w:rsid w:val="329E6876"/>
    <w:rsid w:val="32A970B0"/>
    <w:rsid w:val="331235B9"/>
    <w:rsid w:val="33226E62"/>
    <w:rsid w:val="33D934D4"/>
    <w:rsid w:val="33FE2F6A"/>
    <w:rsid w:val="3404351E"/>
    <w:rsid w:val="3405709B"/>
    <w:rsid w:val="3455442B"/>
    <w:rsid w:val="34F5631C"/>
    <w:rsid w:val="36074A7F"/>
    <w:rsid w:val="36923549"/>
    <w:rsid w:val="36B75FBF"/>
    <w:rsid w:val="36FB4891"/>
    <w:rsid w:val="374940E5"/>
    <w:rsid w:val="374B47BE"/>
    <w:rsid w:val="376D6646"/>
    <w:rsid w:val="377759CE"/>
    <w:rsid w:val="382B67B9"/>
    <w:rsid w:val="38F12CD3"/>
    <w:rsid w:val="38F94775"/>
    <w:rsid w:val="39230502"/>
    <w:rsid w:val="392971ED"/>
    <w:rsid w:val="39550641"/>
    <w:rsid w:val="3A091644"/>
    <w:rsid w:val="3A0D04D1"/>
    <w:rsid w:val="3B3763D1"/>
    <w:rsid w:val="3B451940"/>
    <w:rsid w:val="3CC254CC"/>
    <w:rsid w:val="3CDA245A"/>
    <w:rsid w:val="3CE31D71"/>
    <w:rsid w:val="3CEE0A37"/>
    <w:rsid w:val="3DE511B8"/>
    <w:rsid w:val="3E4942DB"/>
    <w:rsid w:val="3F416ED6"/>
    <w:rsid w:val="3F660E74"/>
    <w:rsid w:val="3F980A61"/>
    <w:rsid w:val="3FD80FD4"/>
    <w:rsid w:val="404E74E8"/>
    <w:rsid w:val="407A6407"/>
    <w:rsid w:val="40A527C1"/>
    <w:rsid w:val="40D23DD2"/>
    <w:rsid w:val="41425E71"/>
    <w:rsid w:val="42240501"/>
    <w:rsid w:val="423A3BCC"/>
    <w:rsid w:val="42982C9D"/>
    <w:rsid w:val="42D737C5"/>
    <w:rsid w:val="433A6FE6"/>
    <w:rsid w:val="43430E5B"/>
    <w:rsid w:val="4350713C"/>
    <w:rsid w:val="436653E0"/>
    <w:rsid w:val="440920A4"/>
    <w:rsid w:val="44CD14E0"/>
    <w:rsid w:val="458946E9"/>
    <w:rsid w:val="467D0B27"/>
    <w:rsid w:val="46BD2CD2"/>
    <w:rsid w:val="46D955A7"/>
    <w:rsid w:val="47133957"/>
    <w:rsid w:val="4734370C"/>
    <w:rsid w:val="47613FA5"/>
    <w:rsid w:val="47680E90"/>
    <w:rsid w:val="4779329E"/>
    <w:rsid w:val="47A07E0C"/>
    <w:rsid w:val="4870272E"/>
    <w:rsid w:val="48AE321A"/>
    <w:rsid w:val="49747FC0"/>
    <w:rsid w:val="49DC7715"/>
    <w:rsid w:val="4A023139"/>
    <w:rsid w:val="4A7B576F"/>
    <w:rsid w:val="4B136EB3"/>
    <w:rsid w:val="4B215F25"/>
    <w:rsid w:val="4C426E2F"/>
    <w:rsid w:val="4C4A0649"/>
    <w:rsid w:val="4CD975A0"/>
    <w:rsid w:val="4CE470D3"/>
    <w:rsid w:val="4D856E01"/>
    <w:rsid w:val="4DAB7D28"/>
    <w:rsid w:val="4DEC4FB0"/>
    <w:rsid w:val="4E075D8A"/>
    <w:rsid w:val="4E830C92"/>
    <w:rsid w:val="4EEA54FC"/>
    <w:rsid w:val="4F610FE6"/>
    <w:rsid w:val="4F7F67D6"/>
    <w:rsid w:val="4FC62A8C"/>
    <w:rsid w:val="4FDD4211"/>
    <w:rsid w:val="4FE20F0D"/>
    <w:rsid w:val="50504C4B"/>
    <w:rsid w:val="50951B1F"/>
    <w:rsid w:val="509C6E7C"/>
    <w:rsid w:val="50F51CE8"/>
    <w:rsid w:val="5162104E"/>
    <w:rsid w:val="516721B8"/>
    <w:rsid w:val="52157E66"/>
    <w:rsid w:val="522956BF"/>
    <w:rsid w:val="528B2778"/>
    <w:rsid w:val="52CD0741"/>
    <w:rsid w:val="53A039CC"/>
    <w:rsid w:val="53A1505A"/>
    <w:rsid w:val="54063E08"/>
    <w:rsid w:val="540E7263"/>
    <w:rsid w:val="543437E8"/>
    <w:rsid w:val="54E029AD"/>
    <w:rsid w:val="54E104D3"/>
    <w:rsid w:val="55067F3A"/>
    <w:rsid w:val="55617B45"/>
    <w:rsid w:val="559B174B"/>
    <w:rsid w:val="55CE0CF4"/>
    <w:rsid w:val="56B22A9C"/>
    <w:rsid w:val="575370AB"/>
    <w:rsid w:val="57A04B94"/>
    <w:rsid w:val="57B72A76"/>
    <w:rsid w:val="594C1850"/>
    <w:rsid w:val="59927636"/>
    <w:rsid w:val="5A3C747D"/>
    <w:rsid w:val="5AA55EF6"/>
    <w:rsid w:val="5ABE2233"/>
    <w:rsid w:val="5AEB20AC"/>
    <w:rsid w:val="5B276D18"/>
    <w:rsid w:val="5B825D3A"/>
    <w:rsid w:val="5BDF5D95"/>
    <w:rsid w:val="5BF16C10"/>
    <w:rsid w:val="5C08174C"/>
    <w:rsid w:val="5C537F09"/>
    <w:rsid w:val="5C902DEA"/>
    <w:rsid w:val="5CB32755"/>
    <w:rsid w:val="5D0359CC"/>
    <w:rsid w:val="5D0B2C0F"/>
    <w:rsid w:val="5D4201C1"/>
    <w:rsid w:val="5D7C67E5"/>
    <w:rsid w:val="5DDE3802"/>
    <w:rsid w:val="5DF64FF0"/>
    <w:rsid w:val="5DF87A0F"/>
    <w:rsid w:val="5EC7698C"/>
    <w:rsid w:val="5ED30E8D"/>
    <w:rsid w:val="5F1A2B43"/>
    <w:rsid w:val="5F2B133F"/>
    <w:rsid w:val="5FB837BB"/>
    <w:rsid w:val="6042276E"/>
    <w:rsid w:val="60591866"/>
    <w:rsid w:val="61131A15"/>
    <w:rsid w:val="61333E65"/>
    <w:rsid w:val="61A92379"/>
    <w:rsid w:val="61E909C7"/>
    <w:rsid w:val="62364782"/>
    <w:rsid w:val="62E0001C"/>
    <w:rsid w:val="630A3045"/>
    <w:rsid w:val="638210D3"/>
    <w:rsid w:val="63C67212"/>
    <w:rsid w:val="63CF06E6"/>
    <w:rsid w:val="63D40BE9"/>
    <w:rsid w:val="63E0211F"/>
    <w:rsid w:val="63F26259"/>
    <w:rsid w:val="64E536C8"/>
    <w:rsid w:val="64F34037"/>
    <w:rsid w:val="65165479"/>
    <w:rsid w:val="65373578"/>
    <w:rsid w:val="66550D8A"/>
    <w:rsid w:val="66705706"/>
    <w:rsid w:val="66FD6DB5"/>
    <w:rsid w:val="673F2C7A"/>
    <w:rsid w:val="6750562C"/>
    <w:rsid w:val="681F6961"/>
    <w:rsid w:val="68236D32"/>
    <w:rsid w:val="68572B2F"/>
    <w:rsid w:val="68610A2F"/>
    <w:rsid w:val="68805514"/>
    <w:rsid w:val="68826FBF"/>
    <w:rsid w:val="68C34103"/>
    <w:rsid w:val="694E2071"/>
    <w:rsid w:val="697A3B33"/>
    <w:rsid w:val="699E2456"/>
    <w:rsid w:val="69A34545"/>
    <w:rsid w:val="6A381B7F"/>
    <w:rsid w:val="6A696B49"/>
    <w:rsid w:val="6A791469"/>
    <w:rsid w:val="6A843983"/>
    <w:rsid w:val="6ADF6E0B"/>
    <w:rsid w:val="6B322639"/>
    <w:rsid w:val="6BEC358E"/>
    <w:rsid w:val="6C3F5DB4"/>
    <w:rsid w:val="6C636C38"/>
    <w:rsid w:val="6CBF6EF4"/>
    <w:rsid w:val="6CFC5A53"/>
    <w:rsid w:val="6D853C9A"/>
    <w:rsid w:val="6DB34098"/>
    <w:rsid w:val="6DB545B6"/>
    <w:rsid w:val="6E26547D"/>
    <w:rsid w:val="6E4375A0"/>
    <w:rsid w:val="6E514CED"/>
    <w:rsid w:val="6E79491A"/>
    <w:rsid w:val="6EB563D5"/>
    <w:rsid w:val="6F1B1DC6"/>
    <w:rsid w:val="6F225983"/>
    <w:rsid w:val="6F9148AD"/>
    <w:rsid w:val="6FFC5590"/>
    <w:rsid w:val="70110B86"/>
    <w:rsid w:val="70301DA3"/>
    <w:rsid w:val="706D1DD0"/>
    <w:rsid w:val="70856B87"/>
    <w:rsid w:val="70912956"/>
    <w:rsid w:val="70942A92"/>
    <w:rsid w:val="70D527EE"/>
    <w:rsid w:val="713E2ADE"/>
    <w:rsid w:val="715507FE"/>
    <w:rsid w:val="715B5300"/>
    <w:rsid w:val="715F4BD7"/>
    <w:rsid w:val="71D27F8A"/>
    <w:rsid w:val="71F744C6"/>
    <w:rsid w:val="71F960CF"/>
    <w:rsid w:val="727D13E4"/>
    <w:rsid w:val="731F5D5E"/>
    <w:rsid w:val="73D67598"/>
    <w:rsid w:val="741E793C"/>
    <w:rsid w:val="746A5998"/>
    <w:rsid w:val="74E90FB2"/>
    <w:rsid w:val="758D75E2"/>
    <w:rsid w:val="760D04BC"/>
    <w:rsid w:val="761D6E82"/>
    <w:rsid w:val="76B00957"/>
    <w:rsid w:val="77762421"/>
    <w:rsid w:val="77AE7BE8"/>
    <w:rsid w:val="77CE623E"/>
    <w:rsid w:val="780F09F4"/>
    <w:rsid w:val="786B55C3"/>
    <w:rsid w:val="789C4F47"/>
    <w:rsid w:val="789E3E62"/>
    <w:rsid w:val="78A90480"/>
    <w:rsid w:val="79694470"/>
    <w:rsid w:val="79811327"/>
    <w:rsid w:val="79F66A90"/>
    <w:rsid w:val="7A142CD9"/>
    <w:rsid w:val="7A17211E"/>
    <w:rsid w:val="7A364017"/>
    <w:rsid w:val="7A8265E1"/>
    <w:rsid w:val="7B686D42"/>
    <w:rsid w:val="7B841746"/>
    <w:rsid w:val="7CB87AAE"/>
    <w:rsid w:val="7D0239FF"/>
    <w:rsid w:val="7D23702C"/>
    <w:rsid w:val="7D3F20B7"/>
    <w:rsid w:val="7D5E40CD"/>
    <w:rsid w:val="7D693BED"/>
    <w:rsid w:val="7DC8138C"/>
    <w:rsid w:val="7FDF36DE"/>
    <w:rsid w:val="7FE47E50"/>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1"/>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2"/>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ind w:firstLine="0" w:firstLineChars="0"/>
      <w:outlineLvl w:val="3"/>
    </w:pPr>
    <w:rPr>
      <w:b/>
      <w:bCs/>
      <w:szCs w:val="30"/>
      <w:lang w:val="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8"/>
    <w:qFormat/>
    <w:uiPriority w:val="0"/>
    <w:pPr>
      <w:ind w:firstLine="420"/>
    </w:pPr>
    <w:rPr>
      <w:szCs w:val="20"/>
    </w:rPr>
  </w:style>
  <w:style w:type="paragraph" w:styleId="7">
    <w:name w:val="caption"/>
    <w:basedOn w:val="1"/>
    <w:next w:val="1"/>
    <w:unhideWhenUsed/>
    <w:qFormat/>
    <w:locked/>
    <w:uiPriority w:val="0"/>
    <w:pPr>
      <w:snapToGrid w:val="0"/>
      <w:spacing w:line="240" w:lineRule="auto"/>
      <w:ind w:firstLine="0" w:firstLineChars="0"/>
      <w:jc w:val="center"/>
    </w:pPr>
    <w:rPr>
      <w:rFonts w:ascii="宋体" w:hAnsi="宋体" w:cs="宋体"/>
      <w:b/>
      <w:color w:val="000000"/>
      <w:sz w:val="21"/>
      <w:szCs w:val="21"/>
    </w:rPr>
  </w:style>
  <w:style w:type="paragraph" w:styleId="8">
    <w:name w:val="index 5"/>
    <w:basedOn w:val="1"/>
    <w:next w:val="1"/>
    <w:qFormat/>
    <w:uiPriority w:val="0"/>
    <w:pPr>
      <w:ind w:left="1680"/>
    </w:pPr>
  </w:style>
  <w:style w:type="paragraph" w:styleId="9">
    <w:name w:val="Document Map"/>
    <w:basedOn w:val="1"/>
    <w:link w:val="47"/>
    <w:qFormat/>
    <w:uiPriority w:val="0"/>
    <w:rPr>
      <w:rFonts w:ascii="宋体"/>
      <w:sz w:val="18"/>
      <w:szCs w:val="18"/>
    </w:rPr>
  </w:style>
  <w:style w:type="paragraph" w:styleId="10">
    <w:name w:val="annotation text"/>
    <w:basedOn w:val="1"/>
    <w:link w:val="42"/>
    <w:qFormat/>
    <w:uiPriority w:val="0"/>
    <w:pPr>
      <w:jc w:val="left"/>
    </w:pPr>
    <w:rPr>
      <w:kern w:val="0"/>
      <w:sz w:val="20"/>
    </w:rPr>
  </w:style>
  <w:style w:type="paragraph" w:styleId="11">
    <w:name w:val="Body Text"/>
    <w:basedOn w:val="1"/>
    <w:link w:val="33"/>
    <w:qFormat/>
    <w:uiPriority w:val="0"/>
    <w:pPr>
      <w:widowControl/>
      <w:snapToGrid w:val="0"/>
      <w:spacing w:before="60" w:after="160" w:line="259" w:lineRule="auto"/>
      <w:ind w:right="113"/>
    </w:pPr>
    <w:rPr>
      <w:kern w:val="0"/>
      <w:sz w:val="18"/>
      <w:szCs w:val="18"/>
    </w:rPr>
  </w:style>
  <w:style w:type="paragraph" w:styleId="12">
    <w:name w:val="Body Text Indent"/>
    <w:basedOn w:val="1"/>
    <w:link w:val="44"/>
    <w:semiHidden/>
    <w:qFormat/>
    <w:uiPriority w:val="0"/>
    <w:pPr>
      <w:spacing w:after="120"/>
      <w:ind w:left="420" w:leftChars="200"/>
    </w:pPr>
  </w:style>
  <w:style w:type="paragraph" w:styleId="13">
    <w:name w:val="Plain Text"/>
    <w:basedOn w:val="1"/>
    <w:link w:val="50"/>
    <w:qFormat/>
    <w:uiPriority w:val="0"/>
    <w:rPr>
      <w:rFonts w:ascii="宋体" w:hAnsi="Courier New" w:cs="Courier New"/>
      <w:szCs w:val="21"/>
    </w:rPr>
  </w:style>
  <w:style w:type="paragraph" w:styleId="14">
    <w:name w:val="Date"/>
    <w:basedOn w:val="1"/>
    <w:next w:val="1"/>
    <w:link w:val="35"/>
    <w:qFormat/>
    <w:uiPriority w:val="0"/>
    <w:pPr>
      <w:ind w:left="100" w:leftChars="2500"/>
    </w:pPr>
    <w:rPr>
      <w:kern w:val="0"/>
      <w:sz w:val="20"/>
    </w:rPr>
  </w:style>
  <w:style w:type="paragraph" w:styleId="15">
    <w:name w:val="Body Text Indent 2"/>
    <w:basedOn w:val="1"/>
    <w:next w:val="1"/>
    <w:link w:val="69"/>
    <w:semiHidden/>
    <w:unhideWhenUsed/>
    <w:qFormat/>
    <w:uiPriority w:val="0"/>
    <w:pPr>
      <w:spacing w:after="120" w:line="480" w:lineRule="auto"/>
      <w:ind w:left="420" w:leftChars="200"/>
    </w:pPr>
  </w:style>
  <w:style w:type="paragraph" w:styleId="16">
    <w:name w:val="Balloon Text"/>
    <w:basedOn w:val="1"/>
    <w:link w:val="41"/>
    <w:semiHidden/>
    <w:qFormat/>
    <w:uiPriority w:val="0"/>
    <w:rPr>
      <w:sz w:val="18"/>
      <w:szCs w:val="18"/>
    </w:rPr>
  </w:style>
  <w:style w:type="paragraph" w:styleId="17">
    <w:name w:val="footer"/>
    <w:basedOn w:val="1"/>
    <w:link w:val="32"/>
    <w:qFormat/>
    <w:uiPriority w:val="0"/>
    <w:pPr>
      <w:tabs>
        <w:tab w:val="center" w:pos="4153"/>
        <w:tab w:val="right" w:pos="8306"/>
      </w:tabs>
      <w:snapToGrid w:val="0"/>
      <w:jc w:val="left"/>
    </w:pPr>
    <w:rPr>
      <w:sz w:val="18"/>
      <w:szCs w:val="18"/>
    </w:rPr>
  </w:style>
  <w:style w:type="paragraph" w:styleId="18">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9">
    <w:name w:val="Normal (Web)"/>
    <w:basedOn w:val="1"/>
    <w:next w:val="8"/>
    <w:link w:val="34"/>
    <w:qFormat/>
    <w:uiPriority w:val="0"/>
    <w:pPr>
      <w:widowControl/>
      <w:spacing w:before="100" w:beforeAutospacing="1" w:after="100" w:afterAutospacing="1"/>
      <w:jc w:val="left"/>
    </w:pPr>
    <w:rPr>
      <w:rFonts w:ascii="宋体" w:hAnsi="宋体"/>
      <w:kern w:val="0"/>
      <w:sz w:val="24"/>
    </w:rPr>
  </w:style>
  <w:style w:type="paragraph" w:styleId="20">
    <w:name w:val="annotation subject"/>
    <w:basedOn w:val="10"/>
    <w:next w:val="10"/>
    <w:link w:val="45"/>
    <w:semiHidden/>
    <w:qFormat/>
    <w:uiPriority w:val="0"/>
    <w:rPr>
      <w:b/>
      <w:bCs/>
    </w:rPr>
  </w:style>
  <w:style w:type="paragraph" w:styleId="21">
    <w:name w:val="Body Text First Indent"/>
    <w:basedOn w:val="1"/>
    <w:qFormat/>
    <w:uiPriority w:val="0"/>
    <w:pPr>
      <w:spacing w:after="120" w:line="240" w:lineRule="auto"/>
      <w:ind w:firstLine="420" w:firstLineChars="100"/>
    </w:pPr>
    <w:rPr>
      <w:rFonts w:eastAsia="宋体"/>
      <w:sz w:val="21"/>
      <w:szCs w:val="20"/>
    </w:rPr>
  </w:style>
  <w:style w:type="paragraph" w:styleId="22">
    <w:name w:val="Body Text First Indent 2"/>
    <w:basedOn w:val="12"/>
    <w:unhideWhenUsed/>
    <w:qFormat/>
    <w:uiPriority w:val="0"/>
    <w:pPr>
      <w:ind w:firstLine="420" w:firstLineChars="20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qFormat/>
    <w:uiPriority w:val="0"/>
  </w:style>
  <w:style w:type="character" w:styleId="28">
    <w:name w:val="annotation reference"/>
    <w:qFormat/>
    <w:uiPriority w:val="0"/>
    <w:rPr>
      <w:sz w:val="21"/>
    </w:rPr>
  </w:style>
  <w:style w:type="paragraph" w:customStyle="1" w:styleId="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样式 正文文本 + 首行缩进:  2 字符"/>
    <w:basedOn w:val="1"/>
    <w:qFormat/>
    <w:uiPriority w:val="0"/>
    <w:pPr>
      <w:widowControl/>
      <w:spacing w:before="100" w:beforeAutospacing="1" w:after="200" w:line="480" w:lineRule="exact"/>
      <w:ind w:firstLine="480"/>
    </w:pPr>
    <w:rPr>
      <w:rFonts w:eastAsia="微软雅黑"/>
      <w:kern w:val="0"/>
      <w:sz w:val="24"/>
    </w:rPr>
  </w:style>
  <w:style w:type="character" w:customStyle="1" w:styleId="31">
    <w:name w:val="页眉 字符"/>
    <w:link w:val="18"/>
    <w:qFormat/>
    <w:locked/>
    <w:uiPriority w:val="0"/>
    <w:rPr>
      <w:rFonts w:cs="Times New Roman"/>
      <w:sz w:val="18"/>
      <w:szCs w:val="18"/>
    </w:rPr>
  </w:style>
  <w:style w:type="character" w:customStyle="1" w:styleId="32">
    <w:name w:val="页脚 字符"/>
    <w:link w:val="17"/>
    <w:qFormat/>
    <w:locked/>
    <w:uiPriority w:val="0"/>
    <w:rPr>
      <w:rFonts w:cs="Times New Roman"/>
      <w:sz w:val="18"/>
      <w:szCs w:val="18"/>
    </w:rPr>
  </w:style>
  <w:style w:type="character" w:customStyle="1" w:styleId="33">
    <w:name w:val="正文文本 字符"/>
    <w:link w:val="11"/>
    <w:qFormat/>
    <w:locked/>
    <w:uiPriority w:val="0"/>
    <w:rPr>
      <w:sz w:val="18"/>
    </w:rPr>
  </w:style>
  <w:style w:type="character" w:customStyle="1" w:styleId="34">
    <w:name w:val="普通(网站) 字符"/>
    <w:link w:val="19"/>
    <w:qFormat/>
    <w:locked/>
    <w:uiPriority w:val="0"/>
    <w:rPr>
      <w:rFonts w:ascii="宋体" w:hAnsi="宋体" w:eastAsia="宋体"/>
      <w:sz w:val="24"/>
    </w:rPr>
  </w:style>
  <w:style w:type="character" w:customStyle="1" w:styleId="35">
    <w:name w:val="日期 字符1"/>
    <w:link w:val="14"/>
    <w:qFormat/>
    <w:locked/>
    <w:uiPriority w:val="0"/>
    <w:rPr>
      <w:rFonts w:ascii="Times New Roman" w:hAnsi="Times New Roman" w:eastAsia="宋体"/>
      <w:sz w:val="24"/>
    </w:rPr>
  </w:style>
  <w:style w:type="character" w:customStyle="1" w:styleId="36">
    <w:name w:val="日期 字符"/>
    <w:semiHidden/>
    <w:qFormat/>
    <w:uiPriority w:val="0"/>
    <w:rPr>
      <w:rFonts w:ascii="Times New Roman" w:hAnsi="Times New Roman" w:eastAsia="宋体" w:cs="Times New Roman"/>
      <w:sz w:val="24"/>
      <w:szCs w:val="24"/>
    </w:rPr>
  </w:style>
  <w:style w:type="character" w:customStyle="1" w:styleId="37">
    <w:name w:val="正文文本 字符1"/>
    <w:semiHidden/>
    <w:qFormat/>
    <w:uiPriority w:val="0"/>
    <w:rPr>
      <w:rFonts w:ascii="Times New Roman" w:hAnsi="Times New Roman" w:eastAsia="宋体" w:cs="Times New Roman"/>
      <w:sz w:val="24"/>
      <w:szCs w:val="24"/>
    </w:rPr>
  </w:style>
  <w:style w:type="paragraph" w:customStyle="1" w:styleId="3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9">
    <w:name w:val="表格 Char"/>
    <w:link w:val="40"/>
    <w:qFormat/>
    <w:locked/>
    <w:uiPriority w:val="0"/>
    <w:rPr>
      <w:rFonts w:ascii="宋体"/>
      <w:sz w:val="21"/>
    </w:rPr>
  </w:style>
  <w:style w:type="paragraph" w:customStyle="1" w:styleId="40">
    <w:name w:val="表格"/>
    <w:basedOn w:val="1"/>
    <w:link w:val="39"/>
    <w:qFormat/>
    <w:uiPriority w:val="0"/>
    <w:pPr>
      <w:adjustRightInd w:val="0"/>
      <w:snapToGrid w:val="0"/>
      <w:spacing w:beforeLines="10" w:afterLines="10" w:line="259" w:lineRule="auto"/>
      <w:jc w:val="center"/>
    </w:pPr>
    <w:rPr>
      <w:rFonts w:ascii="宋体"/>
      <w:kern w:val="0"/>
      <w:sz w:val="20"/>
      <w:szCs w:val="21"/>
    </w:rPr>
  </w:style>
  <w:style w:type="character" w:customStyle="1" w:styleId="41">
    <w:name w:val="批注框文本 字符"/>
    <w:link w:val="16"/>
    <w:semiHidden/>
    <w:qFormat/>
    <w:locked/>
    <w:uiPriority w:val="0"/>
    <w:rPr>
      <w:rFonts w:ascii="Times New Roman" w:hAnsi="Times New Roman" w:eastAsia="宋体" w:cs="Times New Roman"/>
      <w:sz w:val="18"/>
      <w:szCs w:val="18"/>
    </w:rPr>
  </w:style>
  <w:style w:type="character" w:customStyle="1" w:styleId="42">
    <w:name w:val="批注文字 字符"/>
    <w:link w:val="10"/>
    <w:qFormat/>
    <w:locked/>
    <w:uiPriority w:val="0"/>
    <w:rPr>
      <w:rFonts w:ascii="Times New Roman" w:hAnsi="Times New Roman" w:eastAsia="宋体"/>
      <w:sz w:val="24"/>
    </w:rPr>
  </w:style>
  <w:style w:type="character" w:customStyle="1" w:styleId="43">
    <w:name w:val="批注文字 字符1"/>
    <w:semiHidden/>
    <w:qFormat/>
    <w:uiPriority w:val="0"/>
    <w:rPr>
      <w:rFonts w:ascii="Times New Roman" w:hAnsi="Times New Roman" w:eastAsia="宋体" w:cs="Times New Roman"/>
      <w:sz w:val="24"/>
      <w:szCs w:val="24"/>
    </w:rPr>
  </w:style>
  <w:style w:type="character" w:customStyle="1" w:styleId="44">
    <w:name w:val="正文文本缩进 字符"/>
    <w:link w:val="12"/>
    <w:semiHidden/>
    <w:qFormat/>
    <w:locked/>
    <w:uiPriority w:val="0"/>
    <w:rPr>
      <w:rFonts w:ascii="Times New Roman" w:hAnsi="Times New Roman" w:eastAsia="宋体" w:cs="Times New Roman"/>
      <w:sz w:val="24"/>
      <w:szCs w:val="24"/>
    </w:rPr>
  </w:style>
  <w:style w:type="character" w:customStyle="1" w:styleId="45">
    <w:name w:val="批注主题 字符"/>
    <w:link w:val="20"/>
    <w:semiHidden/>
    <w:qFormat/>
    <w:locked/>
    <w:uiPriority w:val="0"/>
    <w:rPr>
      <w:rFonts w:ascii="Times New Roman" w:hAnsi="Times New Roman" w:eastAsia="宋体" w:cs="Times New Roman"/>
      <w:b/>
      <w:bCs/>
      <w:kern w:val="2"/>
      <w:sz w:val="24"/>
      <w:szCs w:val="24"/>
    </w:rPr>
  </w:style>
  <w:style w:type="character" w:customStyle="1" w:styleId="46">
    <w:name w:val="普通(网站) Char"/>
    <w:qFormat/>
    <w:locked/>
    <w:uiPriority w:val="0"/>
    <w:rPr>
      <w:rFonts w:ascii="宋体" w:hAnsi="宋体" w:eastAsia="宋体"/>
      <w:sz w:val="24"/>
    </w:rPr>
  </w:style>
  <w:style w:type="character" w:customStyle="1" w:styleId="47">
    <w:name w:val="文档结构图 字符"/>
    <w:basedOn w:val="25"/>
    <w:link w:val="9"/>
    <w:qFormat/>
    <w:uiPriority w:val="0"/>
    <w:rPr>
      <w:rFonts w:ascii="宋体"/>
      <w:kern w:val="2"/>
      <w:sz w:val="18"/>
      <w:szCs w:val="18"/>
    </w:rPr>
  </w:style>
  <w:style w:type="character" w:customStyle="1" w:styleId="48">
    <w:name w:val="正文缩进 字符"/>
    <w:link w:val="6"/>
    <w:qFormat/>
    <w:uiPriority w:val="0"/>
    <w:rPr>
      <w:kern w:val="2"/>
      <w:sz w:val="21"/>
    </w:rPr>
  </w:style>
  <w:style w:type="paragraph" w:customStyle="1" w:styleId="49">
    <w:name w:val="2"/>
    <w:basedOn w:val="1"/>
    <w:next w:val="13"/>
    <w:qFormat/>
    <w:uiPriority w:val="0"/>
    <w:rPr>
      <w:rFonts w:ascii="宋体" w:hAnsi="Courier New" w:cs="Courier New"/>
      <w:szCs w:val="21"/>
    </w:rPr>
  </w:style>
  <w:style w:type="character" w:customStyle="1" w:styleId="50">
    <w:name w:val="纯文本 字符"/>
    <w:basedOn w:val="25"/>
    <w:link w:val="13"/>
    <w:qFormat/>
    <w:uiPriority w:val="0"/>
    <w:rPr>
      <w:rFonts w:ascii="宋体" w:hAnsi="Courier New" w:cs="Courier New"/>
      <w:kern w:val="2"/>
      <w:sz w:val="21"/>
      <w:szCs w:val="21"/>
    </w:rPr>
  </w:style>
  <w:style w:type="character" w:customStyle="1" w:styleId="51">
    <w:name w:val="标题 2 字符"/>
    <w:basedOn w:val="25"/>
    <w:link w:val="3"/>
    <w:semiHidden/>
    <w:qFormat/>
    <w:uiPriority w:val="0"/>
    <w:rPr>
      <w:rFonts w:asciiTheme="majorHAnsi" w:hAnsiTheme="majorHAnsi" w:eastAsiaTheme="majorEastAsia" w:cstheme="majorBidi"/>
      <w:b/>
      <w:bCs/>
      <w:kern w:val="2"/>
      <w:sz w:val="32"/>
      <w:szCs w:val="32"/>
    </w:rPr>
  </w:style>
  <w:style w:type="character" w:customStyle="1" w:styleId="52">
    <w:name w:val="标题 3 字符"/>
    <w:basedOn w:val="25"/>
    <w:link w:val="4"/>
    <w:semiHidden/>
    <w:qFormat/>
    <w:uiPriority w:val="0"/>
    <w:rPr>
      <w:b/>
      <w:bCs/>
      <w:kern w:val="2"/>
      <w:sz w:val="32"/>
      <w:szCs w:val="32"/>
    </w:rPr>
  </w:style>
  <w:style w:type="paragraph" w:customStyle="1" w:styleId="53">
    <w:name w:val="表"/>
    <w:basedOn w:val="1"/>
    <w:qFormat/>
    <w:uiPriority w:val="0"/>
    <w:pPr>
      <w:spacing w:line="240" w:lineRule="exact"/>
    </w:pPr>
    <w:rPr>
      <w:rFonts w:ascii="仿宋_GB2312" w:hAnsi="宋体" w:eastAsia="仿宋_GB2312"/>
      <w:sz w:val="18"/>
      <w:szCs w:val="20"/>
    </w:rPr>
  </w:style>
  <w:style w:type="character" w:customStyle="1" w:styleId="54">
    <w:name w:val="fontstyle01"/>
    <w:qFormat/>
    <w:uiPriority w:val="0"/>
    <w:rPr>
      <w:rFonts w:hint="eastAsia" w:ascii="宋体" w:hAnsi="宋体" w:eastAsia="宋体"/>
      <w:color w:val="000000"/>
      <w:sz w:val="24"/>
      <w:szCs w:val="24"/>
    </w:rPr>
  </w:style>
  <w:style w:type="character" w:customStyle="1" w:styleId="55">
    <w:name w:val="fontstyle21"/>
    <w:qFormat/>
    <w:uiPriority w:val="0"/>
    <w:rPr>
      <w:rFonts w:hint="default" w:ascii="TimesNewRomanPSMT" w:hAnsi="TimesNewRomanPSMT"/>
      <w:color w:val="000000"/>
      <w:sz w:val="24"/>
      <w:szCs w:val="24"/>
    </w:rPr>
  </w:style>
  <w:style w:type="character" w:customStyle="1" w:styleId="56">
    <w:name w:val="fontstyle11"/>
    <w:qFormat/>
    <w:uiPriority w:val="0"/>
    <w:rPr>
      <w:rFonts w:hint="eastAsia" w:ascii="TimesNewRomanPSMT" w:hAnsi="TimesNewRomanPSMT" w:eastAsia="TimesNewRomanPSMT"/>
      <w:color w:val="000000"/>
      <w:sz w:val="24"/>
      <w:szCs w:val="24"/>
    </w:rPr>
  </w:style>
  <w:style w:type="paragraph" w:customStyle="1" w:styleId="57">
    <w:name w:val="样式 表格 32 + 首行缩进:  2 字符"/>
    <w:basedOn w:val="1"/>
    <w:qFormat/>
    <w:uiPriority w:val="0"/>
    <w:pPr>
      <w:autoSpaceDE w:val="0"/>
      <w:autoSpaceDN w:val="0"/>
      <w:adjustRightInd w:val="0"/>
      <w:spacing w:line="0" w:lineRule="atLeast"/>
      <w:ind w:firstLine="200" w:firstLineChars="200"/>
      <w:jc w:val="center"/>
      <w:textAlignment w:val="baseline"/>
    </w:pPr>
    <w:rPr>
      <w:rFonts w:eastAsia="Times New Roman"/>
      <w:kern w:val="0"/>
      <w:sz w:val="24"/>
      <w:szCs w:val="20"/>
    </w:rPr>
  </w:style>
  <w:style w:type="paragraph" w:customStyle="1" w:styleId="58">
    <w:name w:val="Char Char Char Char"/>
    <w:basedOn w:val="1"/>
    <w:qFormat/>
    <w:uiPriority w:val="0"/>
    <w:pPr>
      <w:adjustRightInd w:val="0"/>
      <w:snapToGrid w:val="0"/>
      <w:spacing w:line="360" w:lineRule="auto"/>
      <w:ind w:firstLine="200" w:firstLineChars="200"/>
    </w:pPr>
    <w:rPr>
      <w:color w:val="000000"/>
      <w:sz w:val="24"/>
    </w:rPr>
  </w:style>
  <w:style w:type="paragraph" w:customStyle="1" w:styleId="59">
    <w:name w:val="真·表头"/>
    <w:basedOn w:val="1"/>
    <w:qFormat/>
    <w:uiPriority w:val="0"/>
    <w:pPr>
      <w:spacing w:beforeLines="50" w:line="360" w:lineRule="auto"/>
      <w:jc w:val="center"/>
    </w:pPr>
    <w:rPr>
      <w:rFonts w:eastAsia="黑体"/>
      <w:sz w:val="24"/>
      <w:szCs w:val="30"/>
    </w:rPr>
  </w:style>
  <w:style w:type="paragraph" w:customStyle="1" w:styleId="60">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61">
    <w:name w:val="报告"/>
    <w:basedOn w:val="1"/>
    <w:link w:val="62"/>
    <w:qFormat/>
    <w:uiPriority w:val="0"/>
    <w:pPr>
      <w:adjustRightInd w:val="0"/>
      <w:spacing w:line="360" w:lineRule="auto"/>
      <w:ind w:firstLine="505"/>
      <w:jc w:val="left"/>
      <w:textAlignment w:val="baseline"/>
    </w:pPr>
    <w:rPr>
      <w:kern w:val="0"/>
      <w:sz w:val="24"/>
      <w:szCs w:val="20"/>
    </w:rPr>
  </w:style>
  <w:style w:type="character" w:customStyle="1" w:styleId="62">
    <w:name w:val="报告 Char"/>
    <w:link w:val="61"/>
    <w:qFormat/>
    <w:uiPriority w:val="0"/>
    <w:rPr>
      <w:sz w:val="24"/>
    </w:rPr>
  </w:style>
  <w:style w:type="character" w:customStyle="1" w:styleId="63">
    <w:name w:val="正文缩进 Char1"/>
    <w:qFormat/>
    <w:uiPriority w:val="0"/>
    <w:rPr>
      <w:rFonts w:eastAsia="宋体"/>
      <w:kern w:val="2"/>
      <w:sz w:val="21"/>
      <w:lang w:val="en-US" w:eastAsia="zh-CN" w:bidi="ar-SA"/>
    </w:rPr>
  </w:style>
  <w:style w:type="paragraph" w:customStyle="1" w:styleId="64">
    <w:name w:val="报告表格"/>
    <w:basedOn w:val="1"/>
    <w:link w:val="65"/>
    <w:qFormat/>
    <w:uiPriority w:val="0"/>
    <w:pPr>
      <w:autoSpaceDE w:val="0"/>
      <w:autoSpaceDN w:val="0"/>
      <w:adjustRightInd w:val="0"/>
      <w:spacing w:before="40" w:after="40"/>
      <w:jc w:val="center"/>
    </w:pPr>
    <w:rPr>
      <w:kern w:val="0"/>
      <w:szCs w:val="20"/>
    </w:rPr>
  </w:style>
  <w:style w:type="character" w:customStyle="1" w:styleId="65">
    <w:name w:val="报告表格 Char"/>
    <w:link w:val="64"/>
    <w:qFormat/>
    <w:uiPriority w:val="0"/>
    <w:rPr>
      <w:sz w:val="21"/>
    </w:rPr>
  </w:style>
  <w:style w:type="paragraph" w:customStyle="1" w:styleId="66">
    <w:name w:val="Table Paragraph"/>
    <w:basedOn w:val="1"/>
    <w:qFormat/>
    <w:uiPriority w:val="0"/>
    <w:pPr>
      <w:jc w:val="center"/>
    </w:pPr>
    <w:rPr>
      <w:rFonts w:ascii="宋体" w:hAnsi="宋体" w:cs="宋体"/>
      <w:kern w:val="0"/>
      <w:sz w:val="22"/>
      <w:szCs w:val="22"/>
      <w:lang w:eastAsia="en-US"/>
    </w:rPr>
  </w:style>
  <w:style w:type="character" w:customStyle="1" w:styleId="67">
    <w:name w:val="纯文本 Char"/>
    <w:qFormat/>
    <w:uiPriority w:val="0"/>
    <w:rPr>
      <w:rFonts w:ascii="宋体" w:hAnsi="Times New Roman" w:eastAsia="宋体" w:cs="Times New Roman"/>
      <w:szCs w:val="24"/>
    </w:rPr>
  </w:style>
  <w:style w:type="paragraph" w:styleId="68">
    <w:name w:val="No Spacing"/>
    <w:basedOn w:val="1"/>
    <w:qFormat/>
    <w:uiPriority w:val="1"/>
    <w:pPr>
      <w:adjustRightInd w:val="0"/>
      <w:snapToGrid w:val="0"/>
      <w:spacing w:line="360" w:lineRule="auto"/>
      <w:ind w:left="-200" w:leftChars="-200"/>
      <w:jc w:val="left"/>
    </w:pPr>
    <w:rPr>
      <w:rFonts w:cs="宋体"/>
      <w:b/>
      <w:color w:val="000000"/>
      <w:kern w:val="0"/>
      <w:sz w:val="24"/>
    </w:rPr>
  </w:style>
  <w:style w:type="character" w:customStyle="1" w:styleId="69">
    <w:name w:val="正文文本缩进 2 字符"/>
    <w:basedOn w:val="25"/>
    <w:link w:val="15"/>
    <w:semiHidden/>
    <w:qFormat/>
    <w:uiPriority w:val="0"/>
    <w:rPr>
      <w:kern w:val="2"/>
      <w:sz w:val="21"/>
      <w:szCs w:val="24"/>
    </w:rPr>
  </w:style>
  <w:style w:type="paragraph" w:customStyle="1" w:styleId="70">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71">
    <w:name w:val="p0"/>
    <w:basedOn w:val="1"/>
    <w:qFormat/>
    <w:uiPriority w:val="0"/>
    <w:pPr>
      <w:widowControl/>
    </w:pPr>
    <w:rPr>
      <w:kern w:val="0"/>
      <w:szCs w:val="21"/>
    </w:rPr>
  </w:style>
  <w:style w:type="paragraph" w:customStyle="1" w:styleId="72">
    <w:name w:val="表格内容"/>
    <w:link w:val="74"/>
    <w:qFormat/>
    <w:uiPriority w:val="0"/>
    <w:pPr>
      <w:widowControl w:val="0"/>
      <w:jc w:val="center"/>
    </w:pPr>
    <w:rPr>
      <w:rFonts w:ascii="Times New Roman" w:hAnsi="Times New Roman" w:eastAsia="宋体" w:cs="Times New Roman"/>
      <w:b/>
      <w:kern w:val="2"/>
      <w:sz w:val="18"/>
      <w:szCs w:val="22"/>
      <w:lang w:val="en-US" w:eastAsia="zh-CN" w:bidi="ar-SA"/>
    </w:rPr>
  </w:style>
  <w:style w:type="character" w:customStyle="1" w:styleId="73">
    <w:name w:val="批注文字 Char1"/>
    <w:qFormat/>
    <w:locked/>
    <w:uiPriority w:val="0"/>
    <w:rPr>
      <w:rFonts w:ascii="Times New Roman" w:hAnsi="Times New Roman" w:eastAsia="宋体"/>
      <w:sz w:val="24"/>
    </w:rPr>
  </w:style>
  <w:style w:type="character" w:customStyle="1" w:styleId="74">
    <w:name w:val="表格内容 Char"/>
    <w:link w:val="72"/>
    <w:qFormat/>
    <w:uiPriority w:val="0"/>
    <w:rPr>
      <w:b/>
      <w:kern w:val="2"/>
      <w:sz w:val="18"/>
      <w:szCs w:val="22"/>
    </w:rPr>
  </w:style>
  <w:style w:type="paragraph" w:customStyle="1" w:styleId="75">
    <w:name w:val="Table Text"/>
    <w:basedOn w:val="1"/>
    <w:semiHidden/>
    <w:qFormat/>
    <w:uiPriority w:val="0"/>
    <w:rPr>
      <w:rFonts w:ascii="宋体" w:hAnsi="宋体" w:eastAsia="宋体" w:cs="宋体"/>
      <w:sz w:val="21"/>
      <w:szCs w:val="21"/>
      <w:lang w:val="en-US" w:eastAsia="en-US" w:bidi="ar-SA"/>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样式 样式 样式 样式 样式 正文文本 Char正文文字正文文字 Char Char Char正文文字 Char Char Ch..."/>
    <w:basedOn w:val="1"/>
    <w:qFormat/>
    <w:uiPriority w:val="0"/>
    <w:pPr>
      <w:ind w:firstLine="480"/>
    </w:pPr>
    <w:rPr>
      <w:rFonts w:eastAsia="宋体" w:cs="宋体"/>
      <w:color w:val="000000"/>
      <w:szCs w:val="20"/>
    </w:rPr>
  </w:style>
  <w:style w:type="paragraph" w:customStyle="1" w:styleId="78">
    <w:name w:val="ht正文"/>
    <w:basedOn w:val="1"/>
    <w:link w:val="83"/>
    <w:qFormat/>
    <w:uiPriority w:val="0"/>
    <w:pPr>
      <w:ind w:firstLine="200"/>
      <w:jc w:val="both"/>
    </w:pPr>
  </w:style>
  <w:style w:type="paragraph" w:customStyle="1" w:styleId="79">
    <w:name w:val="表格111"/>
    <w:qFormat/>
    <w:uiPriority w:val="0"/>
    <w:pPr>
      <w:jc w:val="center"/>
    </w:pPr>
    <w:rPr>
      <w:rFonts w:ascii="Times New Roman" w:hAnsi="Times New Roman" w:eastAsia="华文中宋" w:cs="Times New Roman"/>
      <w:sz w:val="21"/>
      <w:szCs w:val="21"/>
      <w:lang w:val="en-US" w:eastAsia="zh-CN" w:bidi="ar-SA"/>
    </w:rPr>
  </w:style>
  <w:style w:type="paragraph" w:customStyle="1" w:styleId="80">
    <w:name w:val="A-正文"/>
    <w:basedOn w:val="1"/>
    <w:qFormat/>
    <w:uiPriority w:val="0"/>
    <w:rPr>
      <w:rFonts w:ascii="Calibri" w:hAnsi="Calibri" w:eastAsia="微软雅黑"/>
      <w:kern w:val="0"/>
      <w:szCs w:val="22"/>
    </w:rPr>
  </w:style>
  <w:style w:type="paragraph" w:customStyle="1" w:styleId="81">
    <w:name w:val="样式4"/>
    <w:basedOn w:val="1"/>
    <w:qFormat/>
    <w:uiPriority w:val="0"/>
    <w:pPr>
      <w:ind w:firstLine="480"/>
    </w:pPr>
  </w:style>
  <w:style w:type="paragraph" w:customStyle="1" w:styleId="82">
    <w:name w:val="标题3"/>
    <w:basedOn w:val="5"/>
    <w:qFormat/>
    <w:uiPriority w:val="0"/>
    <w:pPr>
      <w:keepLines/>
      <w:spacing w:beforeLines="70" w:after="156" w:line="300" w:lineRule="exact"/>
    </w:pPr>
    <w:rPr>
      <w:rFonts w:ascii="华文中宋"/>
      <w:kern w:val="13"/>
      <w:sz w:val="26"/>
      <w:szCs w:val="28"/>
      <w:lang w:val="en-US"/>
    </w:rPr>
  </w:style>
  <w:style w:type="character" w:customStyle="1" w:styleId="83">
    <w:name w:val="ht正文 字符"/>
    <w:link w:val="78"/>
    <w:qFormat/>
    <w:uiPriority w:val="0"/>
  </w:style>
  <w:style w:type="paragraph" w:customStyle="1" w:styleId="84">
    <w:name w:val="报告正文"/>
    <w:basedOn w:val="1"/>
    <w:qFormat/>
    <w:uiPriority w:val="0"/>
    <w:pPr>
      <w:adjustRightInd w:val="0"/>
      <w:snapToGrid w:val="0"/>
      <w:spacing w:line="360" w:lineRule="auto"/>
      <w:ind w:firstLine="200" w:firstLineChars="200"/>
    </w:pPr>
    <w:rPr>
      <w:sz w:val="24"/>
      <w:szCs w:val="20"/>
    </w:rPr>
  </w:style>
  <w:style w:type="paragraph" w:customStyle="1" w:styleId="85">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86">
    <w:name w:val="表格文字"/>
    <w:basedOn w:val="1"/>
    <w:qFormat/>
    <w:uiPriority w:val="0"/>
    <w:pPr>
      <w:adjustRightInd w:val="0"/>
      <w:snapToGrid w:val="0"/>
      <w:spacing w:line="340" w:lineRule="exact"/>
      <w:jc w:val="center"/>
    </w:pPr>
    <w:rPr>
      <w:szCs w:val="20"/>
    </w:rPr>
  </w:style>
  <w:style w:type="paragraph" w:styleId="87">
    <w:name w:val="List Paragraph"/>
    <w:basedOn w:val="1"/>
    <w:qFormat/>
    <w:uiPriority w:val="34"/>
    <w:pPr>
      <w:ind w:firstLine="420" w:firstLineChars="200"/>
    </w:pPr>
    <w:rPr>
      <w:rFonts w:ascii="Calibri" w:hAnsi="Calibri" w:eastAsia="宋体" w:cs="Times New Roman"/>
      <w:szCs w:val="22"/>
    </w:rPr>
  </w:style>
  <w:style w:type="paragraph" w:customStyle="1" w:styleId="88">
    <w:name w:val="表居中"/>
    <w:basedOn w:val="1"/>
    <w:qFormat/>
    <w:uiPriority w:val="99"/>
    <w:pPr>
      <w:spacing w:before="25" w:beforeLines="25" w:after="25" w:afterLines="25"/>
      <w:jc w:val="center"/>
    </w:pPr>
    <w:rPr>
      <w:szCs w:val="21"/>
    </w:rPr>
  </w:style>
  <w:style w:type="paragraph" w:customStyle="1" w:styleId="89">
    <w:name w:val="A-三级标题"/>
    <w:basedOn w:val="90"/>
    <w:qFormat/>
    <w:uiPriority w:val="0"/>
    <w:pPr>
      <w:tabs>
        <w:tab w:val="left" w:pos="425"/>
        <w:tab w:val="left" w:pos="709"/>
        <w:tab w:val="left" w:pos="840"/>
        <w:tab w:val="left" w:pos="1740"/>
      </w:tabs>
      <w:spacing w:beforeLines="150" w:afterLines="0"/>
      <w:ind w:left="1740" w:hanging="420"/>
      <w:outlineLvl w:val="2"/>
    </w:pPr>
    <w:rPr>
      <w:rFonts w:eastAsia="黑体"/>
      <w:sz w:val="28"/>
    </w:rPr>
  </w:style>
  <w:style w:type="paragraph" w:customStyle="1" w:styleId="90">
    <w:name w:val="A-一级标题"/>
    <w:basedOn w:val="2"/>
    <w:qFormat/>
    <w:uiPriority w:val="0"/>
    <w:pPr>
      <w:keepNext/>
      <w:keepLines/>
      <w:widowControl w:val="0"/>
      <w:tabs>
        <w:tab w:val="left" w:pos="425"/>
        <w:tab w:val="left" w:pos="840"/>
      </w:tabs>
      <w:spacing w:beforeLines="50" w:afterLines="50"/>
      <w:ind w:left="840" w:hanging="360"/>
      <w:jc w:val="left"/>
    </w:pPr>
    <w:rPr>
      <w:rFonts w:eastAsia="宋体"/>
      <w:kern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5EFDD-D6C5-48A4-885B-945496D5395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190</Pages>
  <Words>137449</Words>
  <Characters>153470</Characters>
  <Lines>676</Lines>
  <Paragraphs>190</Paragraphs>
  <TotalTime>195</TotalTime>
  <ScaleCrop>false</ScaleCrop>
  <LinksUpToDate>false</LinksUpToDate>
  <CharactersWithSpaces>154610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Q</cp:lastModifiedBy>
  <cp:lastPrinted>2024-07-30T05:31:00Z</cp:lastPrinted>
  <dcterms:modified xsi:type="dcterms:W3CDTF">2024-10-29T09:46:33Z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F4842C22174A43978CC2ED32A1CA56A1_13</vt:lpwstr>
  </property>
</Properties>
</file>