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i w:val="0"/>
          <w:iCs w:val="0"/>
          <w:caps w:val="0"/>
          <w:color w:val="000000" w:themeColor="text1"/>
          <w:spacing w:val="0"/>
          <w:sz w:val="36"/>
          <w:szCs w:val="36"/>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旺苍县</w:t>
      </w:r>
      <w:r>
        <w:rPr>
          <w:rFonts w:hint="eastAsia" w:ascii="黑体" w:hAnsi="黑体" w:eastAsia="黑体" w:cs="黑体"/>
          <w:i w:val="0"/>
          <w:iCs w:val="0"/>
          <w:caps w:val="0"/>
          <w:color w:val="000000" w:themeColor="text1"/>
          <w:spacing w:val="0"/>
          <w:sz w:val="36"/>
          <w:szCs w:val="36"/>
          <w14:textFill>
            <w14:solidFill>
              <w14:schemeClr w14:val="tx1"/>
            </w14:solidFill>
          </w14:textFill>
        </w:rPr>
        <w:t>“十五五”规划前期研究重大课题选题建议</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i w:val="0"/>
          <w:iCs w:val="0"/>
          <w:caps w:val="0"/>
          <w:color w:val="000000" w:themeColor="text1"/>
          <w:spacing w:val="0"/>
          <w:sz w:val="36"/>
          <w:szCs w:val="36"/>
          <w14:textFill>
            <w14:solidFill>
              <w14:schemeClr w14:val="tx1"/>
            </w14:solidFill>
          </w14:textFill>
        </w:rPr>
      </w:pPr>
      <w:r>
        <w:rPr>
          <w:rFonts w:hint="eastAsia" w:ascii="黑体" w:hAnsi="黑体" w:eastAsia="黑体" w:cs="黑体"/>
          <w:i w:val="0"/>
          <w:iCs w:val="0"/>
          <w:caps w:val="0"/>
          <w:color w:val="000000" w:themeColor="text1"/>
          <w:spacing w:val="0"/>
          <w:sz w:val="36"/>
          <w:szCs w:val="36"/>
          <w14:textFill>
            <w14:solidFill>
              <w14:schemeClr w14:val="tx1"/>
            </w14:solidFill>
          </w14:textFill>
        </w:rPr>
        <w:t>征集表</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p>
    <w:tbl>
      <w:tblPr>
        <w:tblStyle w:val="3"/>
        <w:tblW w:w="8682"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857"/>
        <w:gridCol w:w="132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24" w:type="dxa"/>
            <w:noWrap w:val="0"/>
            <w:vAlign w:val="center"/>
          </w:tcPr>
          <w:p>
            <w:pPr>
              <w:spacing w:line="560"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课题</w:t>
            </w:r>
          </w:p>
          <w:p>
            <w:pPr>
              <w:spacing w:line="560" w:lineRule="exact"/>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名称</w:t>
            </w:r>
          </w:p>
        </w:tc>
        <w:tc>
          <w:tcPr>
            <w:tcW w:w="7458" w:type="dxa"/>
            <w:gridSpan w:val="3"/>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24" w:type="dxa"/>
            <w:noWrap w:val="0"/>
            <w:vAlign w:val="center"/>
          </w:tcPr>
          <w:p>
            <w:pPr>
              <w:spacing w:line="576" w:lineRule="exact"/>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填报人</w:t>
            </w:r>
          </w:p>
        </w:tc>
        <w:tc>
          <w:tcPr>
            <w:tcW w:w="2857" w:type="dxa"/>
            <w:noWrap w:val="0"/>
            <w:vAlign w:val="center"/>
          </w:tcPr>
          <w:p>
            <w:pPr>
              <w:spacing w:line="576" w:lineRule="exact"/>
              <w:jc w:val="center"/>
              <w:rPr>
                <w:rFonts w:ascii="黑体" w:hAnsi="Calibri" w:eastAsia="黑体" w:cs="Times New Roman"/>
                <w:color w:val="000000"/>
                <w:kern w:val="0"/>
                <w:sz w:val="44"/>
                <w:szCs w:val="44"/>
              </w:rPr>
            </w:pPr>
          </w:p>
        </w:tc>
        <w:tc>
          <w:tcPr>
            <w:tcW w:w="1321" w:type="dxa"/>
            <w:noWrap w:val="0"/>
            <w:vAlign w:val="center"/>
          </w:tcPr>
          <w:p>
            <w:pPr>
              <w:spacing w:line="576" w:lineRule="exact"/>
              <w:ind w:left="-273" w:leftChars="-130" w:firstLine="417" w:firstLineChars="149"/>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联系</w:t>
            </w:r>
          </w:p>
          <w:p>
            <w:pPr>
              <w:spacing w:line="576" w:lineRule="exact"/>
              <w:ind w:left="-273" w:leftChars="-130" w:firstLine="417" w:firstLineChars="149"/>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电话</w:t>
            </w:r>
          </w:p>
        </w:tc>
        <w:tc>
          <w:tcPr>
            <w:tcW w:w="3280" w:type="dxa"/>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24" w:type="dxa"/>
            <w:noWrap w:val="0"/>
            <w:vAlign w:val="center"/>
          </w:tcPr>
          <w:p>
            <w:pPr>
              <w:spacing w:line="576"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传真</w:t>
            </w:r>
          </w:p>
          <w:p>
            <w:pPr>
              <w:spacing w:line="576" w:lineRule="exact"/>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号码</w:t>
            </w:r>
          </w:p>
        </w:tc>
        <w:tc>
          <w:tcPr>
            <w:tcW w:w="2857" w:type="dxa"/>
            <w:noWrap w:val="0"/>
            <w:vAlign w:val="center"/>
          </w:tcPr>
          <w:p>
            <w:pPr>
              <w:spacing w:line="576" w:lineRule="exact"/>
              <w:jc w:val="center"/>
              <w:rPr>
                <w:rFonts w:ascii="黑体" w:hAnsi="Calibri" w:eastAsia="黑体" w:cs="Times New Roman"/>
                <w:color w:val="000000"/>
                <w:kern w:val="0"/>
                <w:sz w:val="44"/>
                <w:szCs w:val="44"/>
              </w:rPr>
            </w:pPr>
          </w:p>
        </w:tc>
        <w:tc>
          <w:tcPr>
            <w:tcW w:w="1321" w:type="dxa"/>
            <w:noWrap w:val="0"/>
            <w:vAlign w:val="center"/>
          </w:tcPr>
          <w:p>
            <w:pPr>
              <w:spacing w:line="576"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电子</w:t>
            </w:r>
          </w:p>
          <w:p>
            <w:pPr>
              <w:spacing w:line="576" w:lineRule="exact"/>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邮箱</w:t>
            </w:r>
          </w:p>
        </w:tc>
        <w:tc>
          <w:tcPr>
            <w:tcW w:w="3280" w:type="dxa"/>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224" w:type="dxa"/>
            <w:noWrap w:val="0"/>
            <w:vAlign w:val="center"/>
          </w:tcPr>
          <w:p>
            <w:pPr>
              <w:spacing w:line="576"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工作单位</w:t>
            </w:r>
          </w:p>
        </w:tc>
        <w:tc>
          <w:tcPr>
            <w:tcW w:w="7458" w:type="dxa"/>
            <w:gridSpan w:val="3"/>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224" w:type="dxa"/>
            <w:noWrap w:val="0"/>
            <w:vAlign w:val="center"/>
          </w:tcPr>
          <w:p>
            <w:pPr>
              <w:spacing w:line="360"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研究</w:t>
            </w:r>
          </w:p>
          <w:p>
            <w:pPr>
              <w:spacing w:line="360"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要点</w:t>
            </w:r>
          </w:p>
          <w:p>
            <w:pPr>
              <w:spacing w:line="360" w:lineRule="exact"/>
              <w:jc w:val="center"/>
              <w:rPr>
                <w:rFonts w:ascii="楷体_GB2312" w:hAnsi="Calibri" w:eastAsia="楷体_GB2312" w:cs="Times New Roman"/>
                <w:color w:val="000000"/>
                <w:kern w:val="0"/>
                <w:sz w:val="28"/>
                <w:szCs w:val="28"/>
              </w:rPr>
            </w:pPr>
            <w:r>
              <w:rPr>
                <w:rFonts w:hint="eastAsia" w:ascii="楷体_GB2312" w:hAnsi="Calibri" w:eastAsia="楷体_GB2312" w:cs="Times New Roman"/>
                <w:color w:val="000000"/>
                <w:kern w:val="0"/>
                <w:sz w:val="28"/>
                <w:szCs w:val="28"/>
              </w:rPr>
              <w:t>（重要意见及重点内容等）</w:t>
            </w:r>
          </w:p>
        </w:tc>
        <w:tc>
          <w:tcPr>
            <w:tcW w:w="7458" w:type="dxa"/>
            <w:gridSpan w:val="3"/>
            <w:noWrap w:val="0"/>
            <w:vAlign w:val="center"/>
          </w:tcPr>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1224" w:type="dxa"/>
            <w:noWrap w:val="0"/>
            <w:vAlign w:val="center"/>
          </w:tcPr>
          <w:p>
            <w:pPr>
              <w:spacing w:line="360"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备注</w:t>
            </w:r>
          </w:p>
        </w:tc>
        <w:tc>
          <w:tcPr>
            <w:tcW w:w="7458" w:type="dxa"/>
            <w:gridSpan w:val="3"/>
            <w:noWrap w:val="0"/>
            <w:vAlign w:val="center"/>
          </w:tcPr>
          <w:p>
            <w:pPr>
              <w:spacing w:line="576" w:lineRule="exact"/>
              <w:jc w:val="center"/>
              <w:rPr>
                <w:rFonts w:ascii="黑体" w:hAnsi="Calibri" w:eastAsia="黑体" w:cs="Times New Roman"/>
                <w:color w:val="000000"/>
                <w:kern w:val="0"/>
                <w:sz w:val="44"/>
                <w:szCs w:val="44"/>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附件1-1</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国家发展改革委发展战略和规划司2024年第一批研究题目及要点</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一、“十五五”时期世界经济走势及对我国影响研究。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从政治、经贸、科技、人口、气候等方面，系统梳理当前和今后一个时期影响全球经济增长的有利和不利因素，分析主要经济体增长态势、所处周期和政策取向，研判“十五五”时期世界经济走势及对我国发展影响，提出应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二、新一轮全球科技革命和产业变革趋势及对我国影响研究。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全球科技革命和产业变革演变态势，研判“十五五”时期可能取得革命性进展的技术突破及其主要策源地，分析对全球创新版图、竞争格局、生产生活方式的影响及我国面临的机遇和挑战，并提出应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三、全球产业链供应链变化趋势及对我国影响研究。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全球产业链供应链布局调整历程，研判今后一个时期全球产业链供应链调整重构的影响因素和趋势特征，评估对我国产业升级、跨境投资、贸易合作等方面影响，研究提出“十五五”时期稳固提升我国在全球产业链中地位的总体思路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四、全球经贸规则体系变化趋势及应对举措研究。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梳理近年来全球经贸规则成员结构、准入要求、协议内容等方面的变化，研判区域主义、保护主义等经济全球化逆流的演变方向，分析全球经贸规则体系变化趋势、对我国影响以及应对思路举措建议。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五、全球能源格局演变趋势及对我国影响研究。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结合资源储量、经济发展等因素预测全球能源生产和消费格局演变态势，分析应对气候变化、新能源革命和地缘政治冲突对能源供需的影响，研究提出应对全球能源格局演变、保持进口来源通道稳定的总体思路和任务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六、国际地缘政治格局演变趋势及对我国影响研究。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主要大国力量对比变化和热点地缘冲突演变态势，研判今后一个时期国际地缘政治格局主要演变方向和对我影响，重点分析我国周边地缘环境变化和潜在风险，研究提出需要抓住的重大战略机遇、需要应对的重大风险挑战和思路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七、国际秩序和全球治理体系演变趋势及应对举措研究。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当前全球治理体系面临的困难挑战，研究世界进入新的动荡变革期的内涵特征，研判今后一个时期国际政治经济秩序和全球治理体系演变趋势及对我影响，研究提出我国参与全球治理体系改革和建设的总体思路和重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八、“十五五”时期我国发展阶段性特征研究。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分析我国进入新发展阶段面临的新形势，研究我国经济社会发展基础和条件变化，立足2035年基本实现社会主义现代化的目标要求，研判“十五五”时期我国发展所处阶段、主要特征及其突出表现。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九、人口发展趋势对“十五五”时期经济社会发展影响研究。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预测我国人口总量和结构演变趋势，分析人口条件变化对要素投入、投资消费、公共服务、区域发展等可能产生的影响，提出“十五五”时期适应引领人口发展新常态的总体思路、重点任务和政策举措建议。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十、人工智能技术变革对“十五五”时期经济社会发展影响研究。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研判今后一个时期人工智能技术的变革趋势，分析其对产业、就业、收入分配、社会治理、法律伦理等可能产生的影响，研究提出“十五五”时期推动新一代人工智能健康发展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十一、“十五五”时期我国发展面临的战略机遇和风险挑战研究。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国内外环境变化给我国发展带来新的战略机遇，研判可能迟滞甚至中断现代化进程的重大风险，系统阐述战略机遇和风险挑战并存、不确定难预料因素增多时期的内涵和外延，研究提出抢抓机遇应对风险挑战的具体思路和关键举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十二、“十五五”时期经济社会发展目标指标研究。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着眼于2035年基本实现社会主义现代化的目标要求，充分考虑外部环境、要素条件、资源环境承载能力和风险防范等因素，研究提出“十五五”时期经济社会发展主要目标和指标设置建议，在进行平衡匹配基础上测算主要指标2030年目标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十三、国民经济重大比例关系研究。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近年来我国结构调整取得的成效和存在的突出问题，研究提出“十五五”时期产业结构、需求结构、要素投入结构、收入分配结构、城乡区域结构等国民经济重大比例关系调整优化的思路方向、实施路径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十四、提高全要素生产率研究。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测算近年来我国全要素生产率变化趋势，分析制约我国全要素生产率提升的突出问题，对比其他主要经济体全要素生产率水平，围绕推进科技和制度创新、提升人力资本、优化资源配置等方面，提出“十五五”时期我国提高全要素生产率的总体思路、阶段性目标、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十五、实现高水平科技自立自强的内涵和目标研究。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研究到2035年我国实现高水平科技自立自强的具体内涵、发展目标和评价标准，分析我国科技自立自强的突出短板和重点攻关领域，提出“十五五”时期推动高水平科技自立自强的总体思路、阶段性目标、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十六、提升国家创新体系整体效能的主攻方向和任务举措研究。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世界科技强国在研发投入、人才队伍、创新生态等方面普遍特征，分析我国创新体系存在的突出短板，围绕优化重组国家战略科技力量、构建新型举国体制、强化企业创新主体地位、激发科技人员积极性等方面，研究提出“十五五”时期提升国家创新体系整体效能的主攻方向和关键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十七、建设与科技强国相匹配的人才培养体制机制研究。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世界主要科技强国的人才队伍结构、培养体制、激励机制等方面特征，分析我国科技人才队伍存在的突出短板，围绕支撑科技强国建设目标，研究提出促进拔尖创新人才成长和科技人才队伍壮大的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十八、提升原始创新能力研究。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重大原始创新成果形成的支撑条件和策源规律，对比世界科技强国分析我国基础研究和原始创新能力的突出短板，研究需要重点加强创新投入的关键领域，提出“十五五”时期提升原始创新能力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十九、做强做优做大数字经济的路径举措研究。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数字技术创新突破的进展和趋势，分析我国做强做优做大数字经济面临的形势挑战，聚焦培育建设具有国际竞争力的数字产业集群、促进数字经济与实体经济深度融合等方面，研究提出“十五五”时期促进数字经济高质量发展的总体思路、主攻方向、重点任务、重大工程等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二十、促进服务业优质高效发展的制度和政策研究。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梳理我国服务业发展的总体进展和突出短板，分析产业结构优化和消费需求升级对服务业发展提出的新要求， 围绕服务业更好支撑先进制造和现代农业发展、促进就业岗位扩容，提出“十五五”时期促进服务业优质高效发展的总体思路、重点任务和政策举措建议。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二十一、我国产业未来发展新赛道新优势研究。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技术突破快、带动能力强、发展潜力大的新支柱产业，测算未来5—10年全球和我国相关产业潜在发展规模，分析我国产业发展的比较优势和面临困难挑战，研究提出培育新支柱产业、塑造竞争新优势的主攻方向、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二十二、贯通区域协调发展和区域重大战略的体制机制研究。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区域协调发展战略和区域重大战略实施成效和存在问题，围绕构建优势互补、高质量发展的区域经济布局和国土空间体系，研究提出以区域四大板块协调发展为基础、区域重大战略协同互动的融合发展思路，明确“十五五”时期的重点任务和关键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二十三、深化市场化改革的重点领域和重大举措研究。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制约经营主体活力和资源配置效率的体制机制障碍，按照构建高水平社会主义市场经济体制的目标要求，统筹市场化改革、高水平开放和法治化建设，研究“十五五”时期国资国企、垄断行业、要素配置、市场体系等重点领域深化改革的思路和方向，提出具有标志性和牵引性的重大改革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二十四、优化中央和地方财政关系研究。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当前中央和地方财政收支状况和存在的结构性矛盾，以构建各级政府间财力和事权相匹配的体制为目标，研究提出“十五五”时期明晰财权事权、完善转移支付体系、优化税制结构和财力划分等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二十五、构建国有和民营企业高质量协同发展新格局研究。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研究坚持“两个毫不动摇”的科学内涵和实现形式，分析当前各类所有制企业协同发展存在的问题困难，围绕促进国有和民营企业宏观上生态协同、中观上产业链互补、微观上要素平等使用，研究提出推动形成国有和民营企业高质量协同发展新格局的改革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二十六、推进美丽中国建设的阶段性目标和关键举措研究。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现代化先行国家生态环境治理历程和经验，分析当前我国生态文明建设存在的主要短板弱项，锚定到2035年基本实现美丽中国的目标要求，研究提出“十五五”时期推进美丽中国建设的关键指标并测算目标值，明确支撑目标实现的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附件1-2</w:t>
      </w:r>
    </w:p>
    <w:p>
      <w:pPr>
        <w:keepNext w:val="0"/>
        <w:keepLines w:val="0"/>
        <w:pageBreakBefore w:val="0"/>
        <w:kinsoku/>
        <w:wordWrap/>
        <w:overflowPunct/>
        <w:topLinePunct w:val="0"/>
        <w:autoSpaceDE/>
        <w:autoSpaceDN/>
        <w:bidi w:val="0"/>
        <w:adjustRightInd/>
        <w:snapToGrid/>
        <w:spacing w:line="55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国家发展改革委发展战略和规划司2024年第二批</w:t>
      </w:r>
    </w:p>
    <w:p>
      <w:pPr>
        <w:keepNext w:val="0"/>
        <w:keepLines w:val="0"/>
        <w:pageBreakBefore w:val="0"/>
        <w:kinsoku/>
        <w:wordWrap/>
        <w:overflowPunct/>
        <w:topLinePunct w:val="0"/>
        <w:autoSpaceDE/>
        <w:autoSpaceDN/>
        <w:bidi w:val="0"/>
        <w:adjustRightInd/>
        <w:snapToGrid/>
        <w:spacing w:line="55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研究题目及要点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一、交通运输体系与重大生产力布局适配性研究。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我国综合交通运输体系与重大生产力布局适配程度和存在突出问题，围绕提升商品服务效率、推动产业在国内有序转移、促进区域协调发展，研究提出“十五五”时期提升交通运输体系与重大生产力布局适配性的总体思路、重点任务和重大工程项目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二、建设高效顺畅流通体系的政策举措研究。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现代流通体系建设进展成效和存在问题，分析制约商品要素高效顺畅流通的突出堵点，围绕新技术条件下降低商品流通成本、提高要素配置效率、有效畅通国民经济循环等方面，研究提出“十五五”时期建设高效顺畅的流通体系的总体思路、重点任务和重大工程项目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三、扭转南北分化趋势的主攻方向和任务举措研究。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梳理南北方发展分化现状和主要表现，分析制约南北方协调发展的主要短板问题，立足各地主体功能定位和发展条件禀赋，研究提出扭转南北分化趋势的总体思路、重点任务和政策举措建议。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四、重构职业教育和技能培训体系研究。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总结推动职业教育发展的国际经验，分析我国技能人才队伍现状及供需结构性矛盾，梳理制约职业教育质量提升的突出问题，围绕推动职业教育和技能培训体系整合、促进职业教育与产业需求适配等，研究提出“十五五”时期重构职业教育和技能培训体系的总体思路、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五、深化医药卫生体制改革研究。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我国医药卫生体制存在的突出矛盾，围绕优化医疗资源布局、深化公立医院改革、加强医疗保障衔接等方面，提出“十五五”时期深化医药卫生体制改革、促进医保医疗医药协同发展的总体思路、目标要求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六、完善特殊困难群体兜底保障和关爱服务体系研究。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评估当前流动留守儿童、孤儿、残疾人、孤寡老人等特殊困难群体社会兜底保障和关爱服务工作成效和存在问题不足，聚焦补齐基本实现社会主义现代化的兜底性短板，研究进一步完善社会兜底保障和关爱服务体系的总体思路、目标对象、管理机制、保障标准和改革路径等，提出“十五五”时期的重点任务和政策举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七、完善社会治理体系研究。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坚持和发展新时代“枫桥经验”、完善社会治理体系的实践经验，研判社会治理面临的突出风险和挑战，围绕更好处理政府和社会关系、优化社会治理机制、提升社会治理效能等，研究提出“十五五”时期完善社会治理体系的总体思路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八、深入推进环境污染防治的重点任务和举措研究。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总结梳理“十四五”时期打好污染防治攻坚战的进展成效和有效经验，分析当前我国面临的主要环境污染问题和治理薄弱环节，研究提出“十五五”时期深入推进环境污染防治的阶段性目标、主攻方向、重点任务和关键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九、推进城乡建设用地节约集约利用问题研究。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我国城乡建设用地利用规模和效率变化情况，分析制约建设用地节约集约利用的突出问题，统筹粮食安全、生态安全和经济发展需要，测算“十五五”时期建设用地需求和效率提升目标，研究提出优化建设用地布局结构、使用模式、管理机制的总体思路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十、完善宏观经济治理体系的思路和举措研究。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我国宏观政策跨周期设计和逆周期调节存在的短板不足，围绕发挥国家发展规划的战略导向作用，加强财政、货币和就业、产业、投资、消费、环保、区域等政策协调配合，研究提出“十五五”时期完善宏观经济治理体系的总体思路和重点任务，提出若干应对重大经济波动的储备政策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十一、维护多元稳定的国际经济格局和经贸关系研究。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研判今后一个时期国际经济格局的演化趋势，预测国际贸易、跨境投资等的增长态势和结构流向，分析影响我国对外合作和经济安全的重大风险，围绕深度参与全球产业分工和合作、防范“脱钩断链”、保持国际循环畅通，研究“十五五”时期主动塑造稳定有利的对外经济关系的总体思路，提出深化多元经贸合作的重点国别区域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十二、创新服务贸易发展机制研究。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全球和我国服务贸易进出口规模及结构变化，分行业比较我国服务贸易竞争力和存在短板，分析发达国家促进服务贸易发展的政策机制，围绕提升服务贸易水平、深化服务业开放，研究提出“十五五”时期创新服务贸易发展机制的总体思路、政策框架和任务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十三、有序推进人民币国际化研究。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梳理世界货币格局演变历程和趋势，结合国际政治经济格局新动向和数字货币发展新态势，分析人民币国际化面临的新机遇和风险挑战，研究提出有序推进人民币国际化的总体思路、时序目标和重点举措建议。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十四、提升战略性矿产资源供应保障能力研究。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梳理我国战略性矿产资源的储量分布、供需格局、定价机制和存在的风险隐患，测算今后一个时期我国主要战略性矿产资源供需总量和结构变化趋势，研究提出增强战略性矿产资源稳定可靠保障能力的总体思路和重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十五、提升产业链供应链韧性和安全水平研究。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研究产业链供应链安全的评估标准和监测预警机制，分析我国产业链供应链安全的现状水平和存在风险，梳理关系国民经济全局和安全底线的重点产业和关键环节，研判全球产业链供应链调整重构的趋势特征，研究提出保障重要产业链供应链安全的总体思路、重点任务和政策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十六、防范化解系统性金融风险研究。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分析我国政府、企业、居民部门债务总量和结构的现状趋势，通过国际比较、历史分析和未来推演，研判房地产、地方政府债务等领域风险隐患的演变态势，研究各类风险交织叠加的传导路径和可能影响，研究提出防范化解系统性金融风险的总体思路和重点举措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附件1-3</w:t>
      </w:r>
    </w:p>
    <w:p>
      <w:pPr>
        <w:keepNext w:val="0"/>
        <w:keepLines w:val="0"/>
        <w:pageBreakBefore w:val="0"/>
        <w:kinsoku/>
        <w:wordWrap/>
        <w:overflowPunct/>
        <w:topLinePunct w:val="0"/>
        <w:autoSpaceDE/>
        <w:autoSpaceDN/>
        <w:bidi w:val="0"/>
        <w:adjustRightInd/>
        <w:snapToGrid/>
        <w:spacing w:line="55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四川省“十五五”规划前期重点研究课题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1.四川“十五五”面临的新机遇新挑战和发展新阶段研究；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2.四川“十五五”规划主题主线、战略基点和重大举措研究；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3.四川“十五五”重大项目投资领域及相关标准研究；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4.四川“十五五”经济社会发展基本思路研究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5.四川“十五五”经济社会指标体系和发展目标研究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6.四川优化国土空间和重大生产力布局研究。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7.四川“十五五”着力扩大内需研究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8.四川“十五五”深入推进“五区共兴”促进高水平区域协调发展研究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9.“十五五”时期成渝地区双城经济圈建设思路研究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10.四川“十五五”建设现代化综合交通运输体系研究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11.四川“十五五”以新型工业化为主导推进“四化同步”研究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12.四川“十五五”加快社会领域公共服务补短板强弱项提质量研究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13.四川“十五五”推进高水平对外开放加快构筑向西开放战略高地和参与国际竞争新基地研究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14.四川“十五五”构建水风光氢天然气等多能互补新型能源体系研究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15.四川“十五五”以高水平安全保障高质量发展研究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16.四川“十五五”深入实施以人为本的新型城镇化战略研究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17.四川“十五五”深化市场化改革重点领域和重大举措研究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18.四川“十五五”高质量建设现代化开发区思路和重点举措研究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19.四川“十五五”培育壮大县域主导产业促进县域经济高质量发展研究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20.四川“十五五”在推进乡村振兴上全面发力研究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21.四川“十五五”进一步推动长江经济带高质量发展研究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22.四川“十五五”加快数字化发展全面打造“数字四川”研究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23.四川“十五五”在推进科技创新和科技成果转化上同时发力打造西部地区创新高地重点举措研究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24.四川“十五五”加快发展方式绿色转型实现碳达峰目标研究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25.四川“十五五”在筑牢长江黄河上游生态屏障上持续发力研究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26.四川“十五五”人口高质量发展与经济社会良性互动研究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27.四川“十五五”扎实推进共同富裕研究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28.四川“十五五”现代物流发展研究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29.四川省“十五五”铁路发展规划研究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1"/>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30.四川“十五五”涉藏州县经济社会高质量发展研究</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keepNext w:val="0"/>
        <w:keepLines w:val="0"/>
        <w:pageBreakBefore w:val="0"/>
        <w:kinsoku/>
        <w:wordWrap/>
        <w:overflowPunct/>
        <w:topLinePunct w:val="0"/>
        <w:autoSpaceDE/>
        <w:autoSpaceDN/>
        <w:bidi w:val="0"/>
        <w:adjustRightInd/>
        <w:snapToGrid/>
        <w:spacing w:line="556" w:lineRule="exact"/>
        <w:jc w:val="center"/>
        <w:textAlignment w:val="auto"/>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6"/>
          <w:szCs w:val="36"/>
          <w:lang w:val="en-US" w:eastAsia="zh-CN"/>
          <w14:textFill>
            <w14:solidFill>
              <w14:schemeClr w14:val="tx1"/>
            </w14:solidFill>
          </w14:textFill>
        </w:rPr>
        <w:t>旺苍县“十五五”规划前期重大项目建议征集表</w:t>
      </w:r>
    </w:p>
    <w:p>
      <w:pPr>
        <w:spacing w:line="576" w:lineRule="exact"/>
        <w:rPr>
          <w:rFonts w:hint="eastAsia"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rPr>
        <w:t>填报单位：             填报人：          联系方式：</w:t>
      </w:r>
    </w:p>
    <w:tbl>
      <w:tblPr>
        <w:tblStyle w:val="3"/>
        <w:tblW w:w="9299"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435" w:type="dxa"/>
            <w:noWrap w:val="0"/>
            <w:vAlign w:val="center"/>
          </w:tcPr>
          <w:p>
            <w:pPr>
              <w:spacing w:line="500" w:lineRule="exact"/>
              <w:jc w:val="center"/>
              <w:rPr>
                <w:rFonts w:ascii="黑体" w:hAnsi="Calibri" w:eastAsia="黑体" w:cs="Times New Roman"/>
                <w:color w:val="000000"/>
                <w:kern w:val="0"/>
                <w:sz w:val="44"/>
                <w:szCs w:val="44"/>
              </w:rPr>
            </w:pPr>
            <w:r>
              <w:rPr>
                <w:rFonts w:hint="eastAsia" w:ascii="黑体" w:hAnsi="Calibri" w:eastAsia="黑体" w:cs="Times New Roman"/>
                <w:color w:val="000000"/>
                <w:kern w:val="0"/>
                <w:sz w:val="28"/>
                <w:szCs w:val="28"/>
              </w:rPr>
              <w:t>项目名称</w:t>
            </w:r>
          </w:p>
        </w:tc>
        <w:tc>
          <w:tcPr>
            <w:tcW w:w="6864" w:type="dxa"/>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2435" w:type="dxa"/>
            <w:noWrap w:val="0"/>
            <w:vAlign w:val="center"/>
          </w:tcPr>
          <w:p>
            <w:pPr>
              <w:spacing w:line="500" w:lineRule="exact"/>
              <w:jc w:val="center"/>
              <w:rPr>
                <w:rFonts w:hint="eastAsia"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所属领域</w:t>
            </w:r>
          </w:p>
          <w:p>
            <w:pPr>
              <w:spacing w:line="500" w:lineRule="exact"/>
              <w:jc w:val="center"/>
              <w:rPr>
                <w:rFonts w:hint="eastAsia"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w:t>
            </w:r>
            <w:r>
              <w:rPr>
                <w:rFonts w:hint="eastAsia" w:ascii="仿宋_GB2312" w:hAnsi="宋体" w:eastAsia="仿宋_GB2312" w:cs="宋体"/>
                <w:color w:val="000000"/>
                <w:kern w:val="0"/>
                <w:sz w:val="28"/>
                <w:szCs w:val="28"/>
              </w:rPr>
              <w:t>产业发展、基础设施、科技创新、社会民生、生态环境、安全发展等</w:t>
            </w:r>
            <w:r>
              <w:rPr>
                <w:rFonts w:hint="eastAsia" w:ascii="仿宋_GB2312" w:hAnsi="Calibri" w:eastAsia="仿宋_GB2312" w:cs="Times New Roman"/>
                <w:color w:val="000000"/>
                <w:kern w:val="0"/>
                <w:sz w:val="28"/>
                <w:szCs w:val="28"/>
              </w:rPr>
              <w:t>）</w:t>
            </w:r>
          </w:p>
        </w:tc>
        <w:tc>
          <w:tcPr>
            <w:tcW w:w="6864" w:type="dxa"/>
            <w:noWrap w:val="0"/>
            <w:vAlign w:val="center"/>
          </w:tcPr>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435" w:type="dxa"/>
            <w:noWrap w:val="0"/>
            <w:vAlign w:val="center"/>
          </w:tcPr>
          <w:p>
            <w:pPr>
              <w:spacing w:line="360" w:lineRule="exact"/>
              <w:jc w:val="center"/>
              <w:rPr>
                <w:rFonts w:hint="eastAsia"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项目类别</w:t>
            </w:r>
          </w:p>
          <w:p>
            <w:pPr>
              <w:spacing w:line="360" w:lineRule="exact"/>
              <w:jc w:val="center"/>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（拟建成、新开工建设、</w:t>
            </w:r>
            <w:r>
              <w:rPr>
                <w:rFonts w:hint="eastAsia" w:ascii="仿宋_GB2312" w:hAnsi="宋体" w:eastAsia="仿宋_GB2312"/>
                <w:sz w:val="28"/>
                <w:szCs w:val="28"/>
              </w:rPr>
              <w:t>开展前期工作等</w:t>
            </w:r>
            <w:r>
              <w:rPr>
                <w:rFonts w:hint="eastAsia" w:ascii="仿宋_GB2312" w:hAnsi="宋体" w:eastAsia="仿宋_GB2312" w:cs="Times New Roman"/>
                <w:color w:val="000000"/>
                <w:kern w:val="0"/>
                <w:sz w:val="28"/>
                <w:szCs w:val="28"/>
              </w:rPr>
              <w:t>）</w:t>
            </w:r>
          </w:p>
        </w:tc>
        <w:tc>
          <w:tcPr>
            <w:tcW w:w="6864" w:type="dxa"/>
            <w:noWrap w:val="0"/>
            <w:vAlign w:val="center"/>
          </w:tcPr>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2435" w:type="dxa"/>
            <w:noWrap w:val="0"/>
            <w:vAlign w:val="center"/>
          </w:tcPr>
          <w:p>
            <w:pPr>
              <w:spacing w:line="360" w:lineRule="exact"/>
              <w:jc w:val="center"/>
              <w:rPr>
                <w:rFonts w:hint="eastAsia"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建设内容</w:t>
            </w:r>
          </w:p>
        </w:tc>
        <w:tc>
          <w:tcPr>
            <w:tcW w:w="6864" w:type="dxa"/>
            <w:noWrap w:val="0"/>
            <w:vAlign w:val="center"/>
          </w:tcPr>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435" w:type="dxa"/>
            <w:noWrap w:val="0"/>
            <w:vAlign w:val="center"/>
          </w:tcPr>
          <w:p>
            <w:pPr>
              <w:spacing w:line="360" w:lineRule="exact"/>
              <w:jc w:val="center"/>
              <w:rPr>
                <w:rFonts w:hint="eastAsia" w:ascii="黑体" w:hAnsi="Calibri" w:eastAsia="黑体" w:cs="Times New Roman"/>
                <w:color w:val="000000"/>
                <w:kern w:val="0"/>
                <w:sz w:val="28"/>
                <w:szCs w:val="28"/>
                <w:lang w:eastAsia="zh-CN"/>
              </w:rPr>
            </w:pPr>
            <w:r>
              <w:rPr>
                <w:rFonts w:hint="eastAsia" w:ascii="黑体" w:hAnsi="Calibri" w:eastAsia="黑体" w:cs="Times New Roman"/>
                <w:color w:val="000000"/>
                <w:kern w:val="0"/>
                <w:sz w:val="28"/>
                <w:szCs w:val="28"/>
                <w:lang w:eastAsia="zh-CN"/>
              </w:rPr>
              <w:t>计划总投资</w:t>
            </w:r>
          </w:p>
        </w:tc>
        <w:tc>
          <w:tcPr>
            <w:tcW w:w="6864" w:type="dxa"/>
            <w:noWrap w:val="0"/>
            <w:vAlign w:val="center"/>
          </w:tcPr>
          <w:p>
            <w:pPr>
              <w:spacing w:line="576" w:lineRule="exact"/>
              <w:jc w:val="center"/>
              <w:rPr>
                <w:rFonts w:ascii="黑体" w:hAnsi="Calibri" w:eastAsia="黑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435" w:type="dxa"/>
            <w:noWrap w:val="0"/>
            <w:vAlign w:val="center"/>
          </w:tcPr>
          <w:p>
            <w:pPr>
              <w:spacing w:line="576" w:lineRule="exact"/>
              <w:jc w:val="center"/>
              <w:rPr>
                <w:rFonts w:ascii="黑体" w:hAnsi="Calibri" w:eastAsia="黑体" w:cs="Times New Roman"/>
                <w:color w:val="000000"/>
                <w:kern w:val="0"/>
                <w:sz w:val="28"/>
                <w:szCs w:val="28"/>
              </w:rPr>
            </w:pPr>
            <w:r>
              <w:rPr>
                <w:rFonts w:hint="eastAsia" w:ascii="黑体" w:hAnsi="Calibri" w:eastAsia="黑体" w:cs="Times New Roman"/>
                <w:color w:val="000000"/>
                <w:kern w:val="0"/>
                <w:sz w:val="28"/>
                <w:szCs w:val="28"/>
              </w:rPr>
              <w:t>备注</w:t>
            </w:r>
          </w:p>
        </w:tc>
        <w:tc>
          <w:tcPr>
            <w:tcW w:w="6864" w:type="dxa"/>
            <w:noWrap w:val="0"/>
            <w:vAlign w:val="center"/>
          </w:tcPr>
          <w:p>
            <w:pPr>
              <w:spacing w:line="576" w:lineRule="exact"/>
              <w:jc w:val="both"/>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p>
            <w:pPr>
              <w:spacing w:line="576" w:lineRule="exact"/>
              <w:jc w:val="center"/>
              <w:rPr>
                <w:rFonts w:ascii="黑体" w:hAnsi="Calibri" w:eastAsia="黑体" w:cs="Times New Roman"/>
                <w:color w:val="000000"/>
                <w:kern w:val="0"/>
                <w:sz w:val="44"/>
                <w:szCs w:val="44"/>
              </w:rPr>
            </w:pPr>
          </w:p>
        </w:tc>
      </w:tr>
    </w:tbl>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ZGU1ZjFlOTM0OWQ2NTY3OTgzNmZiMThlODVlZDUifQ=="/>
  </w:docVars>
  <w:rsids>
    <w:rsidRoot w:val="00000000"/>
    <w:rsid w:val="004922E4"/>
    <w:rsid w:val="00544619"/>
    <w:rsid w:val="01F0472A"/>
    <w:rsid w:val="03F55B9E"/>
    <w:rsid w:val="04B40C1F"/>
    <w:rsid w:val="056621AB"/>
    <w:rsid w:val="068A6347"/>
    <w:rsid w:val="07EE4794"/>
    <w:rsid w:val="094F6556"/>
    <w:rsid w:val="09EA5159"/>
    <w:rsid w:val="0A2853A1"/>
    <w:rsid w:val="0B1B18E6"/>
    <w:rsid w:val="0C1D105D"/>
    <w:rsid w:val="0C2B4521"/>
    <w:rsid w:val="0C9C373F"/>
    <w:rsid w:val="0E9745D4"/>
    <w:rsid w:val="0EA454BD"/>
    <w:rsid w:val="0FDD7B55"/>
    <w:rsid w:val="0FEB1581"/>
    <w:rsid w:val="123B45F5"/>
    <w:rsid w:val="13305C1E"/>
    <w:rsid w:val="139A6407"/>
    <w:rsid w:val="1536433F"/>
    <w:rsid w:val="175C6DDE"/>
    <w:rsid w:val="178B0FAF"/>
    <w:rsid w:val="18D55DE6"/>
    <w:rsid w:val="19AC11FA"/>
    <w:rsid w:val="19C71F27"/>
    <w:rsid w:val="1AD8308E"/>
    <w:rsid w:val="1BDC17F8"/>
    <w:rsid w:val="1CA73875"/>
    <w:rsid w:val="1D037C44"/>
    <w:rsid w:val="1E7D6633"/>
    <w:rsid w:val="1F1B2614"/>
    <w:rsid w:val="1F503046"/>
    <w:rsid w:val="1F8A753E"/>
    <w:rsid w:val="228C7E35"/>
    <w:rsid w:val="245C07B9"/>
    <w:rsid w:val="2698326F"/>
    <w:rsid w:val="272E2055"/>
    <w:rsid w:val="29DF4E41"/>
    <w:rsid w:val="2B947490"/>
    <w:rsid w:val="2D120C91"/>
    <w:rsid w:val="2DE775D6"/>
    <w:rsid w:val="2DF9594E"/>
    <w:rsid w:val="2E204977"/>
    <w:rsid w:val="2E2C4D13"/>
    <w:rsid w:val="2F371625"/>
    <w:rsid w:val="2F896C15"/>
    <w:rsid w:val="32A4165F"/>
    <w:rsid w:val="32BB1B84"/>
    <w:rsid w:val="32FE31C6"/>
    <w:rsid w:val="33B12786"/>
    <w:rsid w:val="33E6385A"/>
    <w:rsid w:val="350F66BB"/>
    <w:rsid w:val="35311531"/>
    <w:rsid w:val="3650005E"/>
    <w:rsid w:val="36CC7A24"/>
    <w:rsid w:val="38B146F3"/>
    <w:rsid w:val="39796867"/>
    <w:rsid w:val="3CEE290E"/>
    <w:rsid w:val="3D92533B"/>
    <w:rsid w:val="3E572F58"/>
    <w:rsid w:val="3F41113A"/>
    <w:rsid w:val="3FB84362"/>
    <w:rsid w:val="40964C1B"/>
    <w:rsid w:val="436A3A25"/>
    <w:rsid w:val="44491F59"/>
    <w:rsid w:val="450B3069"/>
    <w:rsid w:val="450F1DA2"/>
    <w:rsid w:val="464941C9"/>
    <w:rsid w:val="490E1318"/>
    <w:rsid w:val="49186E7D"/>
    <w:rsid w:val="49482F01"/>
    <w:rsid w:val="499539F9"/>
    <w:rsid w:val="49C03BA7"/>
    <w:rsid w:val="4B7F7B6B"/>
    <w:rsid w:val="4D7C2B91"/>
    <w:rsid w:val="4E13726D"/>
    <w:rsid w:val="4F7C2E75"/>
    <w:rsid w:val="4FCC5F78"/>
    <w:rsid w:val="4FDB2C8C"/>
    <w:rsid w:val="51487A10"/>
    <w:rsid w:val="51BD766E"/>
    <w:rsid w:val="52232C23"/>
    <w:rsid w:val="535B4F6D"/>
    <w:rsid w:val="53986E5C"/>
    <w:rsid w:val="53B02048"/>
    <w:rsid w:val="5415503A"/>
    <w:rsid w:val="580F5093"/>
    <w:rsid w:val="583C2828"/>
    <w:rsid w:val="588F605C"/>
    <w:rsid w:val="599B7BCF"/>
    <w:rsid w:val="5B9E1D5B"/>
    <w:rsid w:val="5C0358D9"/>
    <w:rsid w:val="5D454AA7"/>
    <w:rsid w:val="5DB1464A"/>
    <w:rsid w:val="5DCC6376"/>
    <w:rsid w:val="5DEF33E9"/>
    <w:rsid w:val="5DFF4BAA"/>
    <w:rsid w:val="5E4D7035"/>
    <w:rsid w:val="5E9174BB"/>
    <w:rsid w:val="5F973B30"/>
    <w:rsid w:val="5FBC694B"/>
    <w:rsid w:val="612130BD"/>
    <w:rsid w:val="62987404"/>
    <w:rsid w:val="63F473C7"/>
    <w:rsid w:val="665233FC"/>
    <w:rsid w:val="684A11BD"/>
    <w:rsid w:val="68E6793A"/>
    <w:rsid w:val="6B9D7413"/>
    <w:rsid w:val="6C852CC4"/>
    <w:rsid w:val="71306040"/>
    <w:rsid w:val="715068C6"/>
    <w:rsid w:val="752324AC"/>
    <w:rsid w:val="765A06A8"/>
    <w:rsid w:val="78A17F31"/>
    <w:rsid w:val="792D763A"/>
    <w:rsid w:val="79EB5EFA"/>
    <w:rsid w:val="7A4A7A15"/>
    <w:rsid w:val="7B70085E"/>
    <w:rsid w:val="7BD36D3E"/>
    <w:rsid w:val="7C5A79D4"/>
    <w:rsid w:val="7CB2612E"/>
    <w:rsid w:val="7D8E7007"/>
    <w:rsid w:val="7DC47DDF"/>
    <w:rsid w:val="7EDD4916"/>
    <w:rsid w:val="7FBC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6682</Words>
  <Characters>6767</Characters>
  <Lines>0</Lines>
  <Paragraphs>0</Paragraphs>
  <TotalTime>17</TotalTime>
  <ScaleCrop>false</ScaleCrop>
  <LinksUpToDate>false</LinksUpToDate>
  <CharactersWithSpaces>6795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2022-07-12T02:53:00Z</dcterms:created>
  <dc:creator>ASUS</dc:creator>
  <cp:lastModifiedBy>Dilys艺</cp:lastModifiedBy>
  <dcterms:modified xsi:type="dcterms:W3CDTF">2024-05-27T06:53:19Z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266B8B78C3D845C3962ED5A24DA930D3_13</vt:lpwstr>
  </property>
</Properties>
</file>