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right"/>
        <w:rPr>
          <w:rFonts w:hint="eastAsia" w:eastAsia="宋体"/>
          <w:b/>
          <w:snapToGrid w:val="0"/>
          <w:kern w:val="0"/>
          <w:u w:val="none"/>
          <w:lang w:val="en-US" w:eastAsia="zh-CN"/>
        </w:rPr>
      </w:pPr>
      <w:bookmarkStart w:id="0" w:name="_Toc24202460"/>
      <w:bookmarkStart w:id="1" w:name="_Toc289084806"/>
      <w:bookmarkStart w:id="2" w:name="_Toc209931692"/>
      <w:bookmarkStart w:id="3" w:name="_Toc24202324"/>
      <w:bookmarkStart w:id="4" w:name="_Toc441022841"/>
      <w:bookmarkStart w:id="5" w:name="_Toc441288960"/>
      <w:bookmarkStart w:id="6" w:name="_Toc24029415"/>
      <w:bookmarkStart w:id="7" w:name="_Toc466453372"/>
      <w:bookmarkStart w:id="8" w:name="_Toc24184844"/>
      <w:bookmarkStart w:id="9" w:name="_Toc24003435"/>
      <w:bookmarkStart w:id="10" w:name="_Toc24029163"/>
      <w:bookmarkStart w:id="11" w:name="_Toc106513788"/>
      <w:bookmarkStart w:id="12" w:name="_Toc440539859"/>
      <w:bookmarkStart w:id="13" w:name="_Toc24383468"/>
      <w:r>
        <w:rPr>
          <w:rFonts w:hint="eastAsia"/>
          <w:b/>
          <w:snapToGrid w:val="0"/>
          <w:kern w:val="0"/>
          <w:u w:val="none"/>
          <w:lang w:val="en-US" w:eastAsia="zh-CN"/>
        </w:rPr>
        <w:t xml:space="preserve"> </w:t>
      </w:r>
    </w:p>
    <w:p>
      <w:pPr>
        <w:snapToGrid w:val="0"/>
        <w:spacing w:before="360"/>
        <w:jc w:val="center"/>
        <w:rPr>
          <w:b/>
          <w:sz w:val="44"/>
          <w:u w:val="none"/>
        </w:rPr>
      </w:pPr>
    </w:p>
    <w:p>
      <w:pPr>
        <w:snapToGrid w:val="0"/>
        <w:spacing w:before="360"/>
        <w:jc w:val="center"/>
        <w:rPr>
          <w:b/>
          <w:sz w:val="44"/>
          <w:u w:val="none"/>
        </w:rPr>
      </w:pPr>
    </w:p>
    <w:p>
      <w:pPr>
        <w:snapToGrid w:val="0"/>
        <w:spacing w:before="360"/>
        <w:jc w:val="center"/>
        <w:rPr>
          <w:b/>
          <w:sz w:val="44"/>
          <w:u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sz w:val="52"/>
          <w:szCs w:val="52"/>
          <w:u w:val="none"/>
        </w:rPr>
      </w:pPr>
      <w:r>
        <w:rPr>
          <w:rFonts w:hint="eastAsia" w:eastAsia="黑体"/>
          <w:b/>
          <w:sz w:val="52"/>
          <w:szCs w:val="52"/>
          <w:u w:val="none"/>
          <w:lang w:val="en-US" w:eastAsia="zh-CN"/>
        </w:rPr>
        <w:t>旺苍县医疗废物处置中心建设项目</w:t>
      </w:r>
      <w:r>
        <w:rPr>
          <w:rFonts w:eastAsia="黑体"/>
          <w:b/>
          <w:sz w:val="52"/>
          <w:szCs w:val="52"/>
          <w:u w:val="none"/>
        </w:rPr>
        <w:t>环境影响报告书</w:t>
      </w:r>
    </w:p>
    <w:p>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eastAsia" w:ascii="黑体" w:hAnsi="黑体" w:eastAsia="黑体" w:cs="黑体"/>
          <w:b/>
          <w:sz w:val="52"/>
          <w:szCs w:val="52"/>
          <w:u w:val="none"/>
        </w:rPr>
      </w:pPr>
      <w:r>
        <w:rPr>
          <w:rFonts w:hint="eastAsia" w:ascii="黑体" w:hAnsi="黑体" w:eastAsia="黑体" w:cs="黑体"/>
          <w:b/>
          <w:sz w:val="52"/>
          <w:szCs w:val="52"/>
          <w:u w:val="none"/>
        </w:rPr>
        <w:t>（</w:t>
      </w:r>
      <w:r>
        <w:rPr>
          <w:rFonts w:hint="eastAsia" w:ascii="黑体" w:hAnsi="黑体" w:eastAsia="黑体" w:cs="黑体"/>
          <w:b/>
          <w:sz w:val="52"/>
          <w:szCs w:val="52"/>
          <w:u w:val="none"/>
          <w:lang w:eastAsia="zh-CN"/>
        </w:rPr>
        <w:t>征求意见稿</w:t>
      </w:r>
      <w:r>
        <w:rPr>
          <w:rFonts w:hint="eastAsia" w:ascii="黑体" w:hAnsi="黑体" w:eastAsia="黑体" w:cs="黑体"/>
          <w:b/>
          <w:sz w:val="52"/>
          <w:szCs w:val="52"/>
          <w:u w:val="none"/>
        </w:rPr>
        <w:t>）</w:t>
      </w:r>
    </w:p>
    <w:p>
      <w:pPr>
        <w:spacing w:line="360" w:lineRule="auto"/>
        <w:ind w:firstLine="422"/>
        <w:jc w:val="center"/>
        <w:rPr>
          <w:rFonts w:eastAsia="隶书"/>
          <w:b/>
          <w:sz w:val="44"/>
          <w:szCs w:val="44"/>
          <w:u w:val="none"/>
        </w:rPr>
      </w:pPr>
    </w:p>
    <w:p>
      <w:pPr>
        <w:spacing w:line="360" w:lineRule="auto"/>
        <w:ind w:firstLine="422"/>
        <w:jc w:val="center"/>
        <w:rPr>
          <w:rFonts w:eastAsia="隶书"/>
          <w:b/>
          <w:sz w:val="44"/>
          <w:szCs w:val="44"/>
          <w:u w:val="none"/>
        </w:rPr>
      </w:pPr>
    </w:p>
    <w:p>
      <w:pPr>
        <w:spacing w:line="360" w:lineRule="auto"/>
        <w:ind w:firstLine="422"/>
        <w:jc w:val="center"/>
        <w:rPr>
          <w:rFonts w:eastAsia="隶书"/>
          <w:b/>
          <w:sz w:val="44"/>
          <w:szCs w:val="44"/>
          <w:u w:val="none"/>
        </w:rPr>
      </w:pPr>
    </w:p>
    <w:p>
      <w:pPr>
        <w:spacing w:line="360" w:lineRule="auto"/>
        <w:ind w:firstLine="422"/>
        <w:jc w:val="center"/>
        <w:rPr>
          <w:rFonts w:eastAsia="隶书"/>
          <w:b/>
          <w:sz w:val="44"/>
          <w:szCs w:val="44"/>
          <w:u w:val="none"/>
        </w:rPr>
      </w:pPr>
    </w:p>
    <w:p>
      <w:pPr>
        <w:spacing w:line="360" w:lineRule="auto"/>
        <w:ind w:firstLine="422"/>
        <w:jc w:val="center"/>
        <w:rPr>
          <w:rFonts w:eastAsia="隶书"/>
          <w:b/>
          <w:sz w:val="44"/>
          <w:szCs w:val="44"/>
          <w:u w:val="none"/>
        </w:rPr>
      </w:pPr>
    </w:p>
    <w:p>
      <w:pPr>
        <w:spacing w:line="360" w:lineRule="auto"/>
        <w:ind w:firstLine="1701"/>
        <w:jc w:val="left"/>
        <w:rPr>
          <w:rFonts w:eastAsia="隶书"/>
          <w:b/>
          <w:sz w:val="28"/>
          <w:szCs w:val="28"/>
          <w:u w:val="none"/>
        </w:rPr>
      </w:pPr>
    </w:p>
    <w:p>
      <w:pPr>
        <w:spacing w:line="360" w:lineRule="auto"/>
        <w:ind w:firstLine="1701"/>
        <w:jc w:val="left"/>
        <w:rPr>
          <w:rFonts w:eastAsia="隶书"/>
          <w:b/>
          <w:sz w:val="28"/>
          <w:szCs w:val="28"/>
          <w:u w:val="none"/>
        </w:rPr>
      </w:pPr>
    </w:p>
    <w:p>
      <w:pPr>
        <w:spacing w:line="360" w:lineRule="auto"/>
        <w:ind w:firstLine="1701"/>
        <w:jc w:val="left"/>
        <w:rPr>
          <w:rFonts w:eastAsia="隶书"/>
          <w:b/>
          <w:sz w:val="28"/>
          <w:szCs w:val="28"/>
          <w:u w:val="none"/>
        </w:rPr>
      </w:pPr>
    </w:p>
    <w:p>
      <w:pPr>
        <w:keepNext w:val="0"/>
        <w:keepLines w:val="0"/>
        <w:pageBreakBefore w:val="0"/>
        <w:widowControl w:val="0"/>
        <w:kinsoku/>
        <w:wordWrap/>
        <w:overflowPunct/>
        <w:topLinePunct w:val="0"/>
        <w:autoSpaceDE/>
        <w:autoSpaceDN/>
        <w:bidi w:val="0"/>
        <w:adjustRightInd/>
        <w:snapToGrid/>
        <w:spacing w:line="360" w:lineRule="auto"/>
        <w:ind w:firstLine="2249" w:firstLineChars="800"/>
        <w:jc w:val="left"/>
        <w:textAlignment w:val="auto"/>
        <w:rPr>
          <w:rFonts w:hint="eastAsia" w:eastAsia="黑体"/>
          <w:b/>
          <w:sz w:val="28"/>
          <w:szCs w:val="28"/>
          <w:u w:val="none"/>
          <w:lang w:eastAsia="zh-CN"/>
        </w:rPr>
      </w:pPr>
      <w:r>
        <w:rPr>
          <w:rFonts w:eastAsia="黑体"/>
          <w:b/>
          <w:sz w:val="28"/>
          <w:szCs w:val="28"/>
          <w:u w:val="none"/>
        </w:rPr>
        <w:t>建设单位：</w:t>
      </w:r>
      <w:r>
        <w:rPr>
          <w:rFonts w:hint="eastAsia" w:eastAsia="黑体"/>
          <w:b/>
          <w:sz w:val="28"/>
          <w:szCs w:val="28"/>
          <w:u w:val="none"/>
          <w:lang w:eastAsia="zh-CN"/>
        </w:rPr>
        <w:t>旺苍县卫生健康局</w:t>
      </w:r>
    </w:p>
    <w:p>
      <w:pPr>
        <w:keepNext w:val="0"/>
        <w:keepLines w:val="0"/>
        <w:pageBreakBefore w:val="0"/>
        <w:widowControl w:val="0"/>
        <w:kinsoku/>
        <w:wordWrap/>
        <w:overflowPunct/>
        <w:topLinePunct w:val="0"/>
        <w:autoSpaceDE/>
        <w:autoSpaceDN/>
        <w:bidi w:val="0"/>
        <w:adjustRightInd/>
        <w:snapToGrid/>
        <w:spacing w:line="360" w:lineRule="auto"/>
        <w:ind w:firstLine="2249" w:firstLineChars="800"/>
        <w:jc w:val="left"/>
        <w:textAlignment w:val="auto"/>
        <w:rPr>
          <w:rFonts w:eastAsia="黑体"/>
          <w:b/>
          <w:sz w:val="28"/>
          <w:szCs w:val="28"/>
          <w:u w:val="none"/>
        </w:rPr>
      </w:pPr>
      <w:r>
        <w:rPr>
          <w:rFonts w:eastAsia="黑体"/>
          <w:b/>
          <w:sz w:val="28"/>
          <w:szCs w:val="28"/>
          <w:u w:val="none"/>
        </w:rPr>
        <w:t>评价单位：</w:t>
      </w:r>
      <w:r>
        <w:rPr>
          <w:rFonts w:hint="eastAsia" w:eastAsia="黑体"/>
          <w:b/>
          <w:sz w:val="28"/>
          <w:szCs w:val="28"/>
          <w:u w:val="none"/>
          <w:lang w:val="en-US" w:eastAsia="zh-CN"/>
        </w:rPr>
        <w:t>四川清元环保科技开发有限公司</w:t>
      </w:r>
    </w:p>
    <w:p>
      <w:pPr>
        <w:spacing w:line="360" w:lineRule="auto"/>
        <w:jc w:val="center"/>
        <w:rPr>
          <w:rFonts w:eastAsia="黑体"/>
          <w:b/>
          <w:spacing w:val="30"/>
          <w:sz w:val="28"/>
          <w:szCs w:val="28"/>
          <w:u w:val="none"/>
        </w:rPr>
      </w:pPr>
      <w:r>
        <w:rPr>
          <w:rFonts w:eastAsia="黑体"/>
          <w:b/>
          <w:spacing w:val="30"/>
          <w:sz w:val="28"/>
          <w:szCs w:val="28"/>
          <w:u w:val="none"/>
        </w:rPr>
        <w:t>二O一</w:t>
      </w:r>
      <w:r>
        <w:rPr>
          <w:rFonts w:hint="eastAsia" w:eastAsia="黑体"/>
          <w:b/>
          <w:spacing w:val="30"/>
          <w:sz w:val="28"/>
          <w:szCs w:val="28"/>
          <w:u w:val="none"/>
          <w:lang w:eastAsia="zh-CN"/>
        </w:rPr>
        <w:t>九</w:t>
      </w:r>
      <w:r>
        <w:rPr>
          <w:rFonts w:eastAsia="黑体"/>
          <w:b/>
          <w:spacing w:val="30"/>
          <w:sz w:val="28"/>
          <w:szCs w:val="28"/>
          <w:u w:val="none"/>
        </w:rPr>
        <w:t>年</w:t>
      </w:r>
      <w:r>
        <w:rPr>
          <w:rFonts w:hint="eastAsia" w:eastAsia="黑体"/>
          <w:b/>
          <w:spacing w:val="30"/>
          <w:sz w:val="28"/>
          <w:szCs w:val="28"/>
          <w:u w:val="none"/>
          <w:lang w:eastAsia="zh-CN"/>
        </w:rPr>
        <w:t>九</w:t>
      </w:r>
      <w:r>
        <w:rPr>
          <w:rFonts w:eastAsia="黑体"/>
          <w:b/>
          <w:spacing w:val="30"/>
          <w:sz w:val="28"/>
          <w:szCs w:val="28"/>
          <w:u w:val="none"/>
        </w:rPr>
        <w:t>月</w:t>
      </w:r>
    </w:p>
    <w:p>
      <w:pPr>
        <w:rPr>
          <w:u w:val="none"/>
        </w:rPr>
      </w:pPr>
      <w:r>
        <w:rPr>
          <w:u w:val="none"/>
        </w:rPr>
        <w:br w:type="page"/>
      </w:r>
    </w:p>
    <w:p>
      <w:pPr>
        <w:pStyle w:val="39"/>
        <w:rPr>
          <w:rFonts w:hint="eastAsia" w:ascii="黑体" w:hAnsi="黑体" w:eastAsia="黑体" w:cs="黑体"/>
          <w:sz w:val="32"/>
          <w:szCs w:val="32"/>
          <w:u w:val="none"/>
        </w:rPr>
      </w:pPr>
      <w:bookmarkStart w:id="14" w:name="_Toc5291"/>
      <w:bookmarkStart w:id="15" w:name="_Toc2679"/>
      <w:r>
        <w:rPr>
          <w:rFonts w:hint="eastAsia" w:ascii="黑体" w:hAnsi="黑体" w:eastAsia="黑体" w:cs="黑体"/>
          <w:sz w:val="32"/>
          <w:szCs w:val="32"/>
          <w:u w:val="none"/>
        </w:rPr>
        <w:t>目  录</w:t>
      </w:r>
      <w:bookmarkEnd w:id="14"/>
      <w:bookmarkEnd w:id="15"/>
    </w:p>
    <w:p>
      <w:pPr>
        <w:pStyle w:val="39"/>
        <w:tabs>
          <w:tab w:val="right" w:leader="dot" w:pos="9073"/>
        </w:tabs>
      </w:pPr>
      <w:r>
        <w:rPr>
          <w:sz w:val="24"/>
          <w:szCs w:val="24"/>
          <w:u w:val="none"/>
        </w:rPr>
        <w:fldChar w:fldCharType="begin"/>
      </w:r>
      <w:r>
        <w:rPr>
          <w:sz w:val="24"/>
          <w:szCs w:val="24"/>
          <w:u w:val="none"/>
        </w:rPr>
        <w:instrText xml:space="preserve"> TOC \o "1-2" \h \z \u </w:instrText>
      </w:r>
      <w:r>
        <w:rPr>
          <w:sz w:val="24"/>
          <w:szCs w:val="24"/>
          <w:u w:val="none"/>
        </w:rPr>
        <w:fldChar w:fldCharType="separate"/>
      </w:r>
      <w:r>
        <w:rPr>
          <w:szCs w:val="24"/>
          <w:u w:val="none"/>
        </w:rPr>
        <w:fldChar w:fldCharType="begin"/>
      </w:r>
      <w:r>
        <w:rPr>
          <w:szCs w:val="24"/>
        </w:rPr>
        <w:instrText xml:space="preserve"> HYPERLINK \l _Toc4837 </w:instrText>
      </w:r>
      <w:r>
        <w:rPr>
          <w:szCs w:val="24"/>
        </w:rPr>
        <w:fldChar w:fldCharType="separate"/>
      </w:r>
      <w:r>
        <w:rPr>
          <w:szCs w:val="36"/>
        </w:rPr>
        <w:t>1、概述</w:t>
      </w:r>
      <w:r>
        <w:tab/>
      </w:r>
      <w:r>
        <w:fldChar w:fldCharType="begin"/>
      </w:r>
      <w:r>
        <w:instrText xml:space="preserve"> PAGEREF _Toc4837 </w:instrText>
      </w:r>
      <w:r>
        <w:fldChar w:fldCharType="separate"/>
      </w:r>
      <w:r>
        <w:t>5</w:t>
      </w:r>
      <w:r>
        <w:fldChar w:fldCharType="end"/>
      </w:r>
      <w:r>
        <w:rPr>
          <w:szCs w:val="24"/>
          <w:u w:val="none"/>
        </w:rPr>
        <w:fldChar w:fldCharType="end"/>
      </w:r>
    </w:p>
    <w:p>
      <w:pPr>
        <w:pStyle w:val="49"/>
        <w:tabs>
          <w:tab w:val="right" w:leader="dot" w:pos="9073"/>
        </w:tabs>
      </w:pPr>
      <w:r>
        <w:rPr>
          <w:bCs/>
          <w:caps/>
          <w:u w:val="none"/>
        </w:rPr>
        <w:fldChar w:fldCharType="begin"/>
      </w:r>
      <w:r>
        <w:rPr>
          <w:bCs/>
          <w:caps/>
        </w:rPr>
        <w:instrText xml:space="preserve"> HYPERLINK \l _Toc24275 </w:instrText>
      </w:r>
      <w:r>
        <w:rPr>
          <w:bCs/>
          <w:caps/>
        </w:rPr>
        <w:fldChar w:fldCharType="separate"/>
      </w:r>
      <w:r>
        <w:rPr>
          <w:rFonts w:ascii="Times New Roman" w:hAnsi="Times New Roman"/>
          <w:szCs w:val="28"/>
        </w:rPr>
        <w:t>1.1项目由来</w:t>
      </w:r>
      <w:r>
        <w:tab/>
      </w:r>
      <w:r>
        <w:fldChar w:fldCharType="begin"/>
      </w:r>
      <w:r>
        <w:instrText xml:space="preserve"> PAGEREF _Toc24275 </w:instrText>
      </w:r>
      <w:r>
        <w:fldChar w:fldCharType="separate"/>
      </w:r>
      <w:r>
        <w:t>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_Toc5944 </w:instrText>
      </w:r>
      <w:r>
        <w:rPr>
          <w:bCs/>
          <w:caps/>
        </w:rPr>
        <w:fldChar w:fldCharType="separate"/>
      </w:r>
      <w:r>
        <w:rPr>
          <w:rFonts w:hint="eastAsia" w:ascii="Times New Roman" w:hAnsi="Times New Roman"/>
          <w:szCs w:val="28"/>
          <w:lang w:val="en-US" w:eastAsia="zh-CN"/>
        </w:rPr>
        <w:t>1.2环境影响评价的过程</w:t>
      </w:r>
      <w:r>
        <w:tab/>
      </w:r>
      <w:r>
        <w:fldChar w:fldCharType="begin"/>
      </w:r>
      <w:r>
        <w:instrText xml:space="preserve"> PAGEREF _Toc5944 </w:instrText>
      </w:r>
      <w:r>
        <w:fldChar w:fldCharType="separate"/>
      </w:r>
      <w:r>
        <w:t>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_Toc22249 </w:instrText>
      </w:r>
      <w:r>
        <w:rPr>
          <w:bCs/>
          <w:caps/>
        </w:rPr>
        <w:fldChar w:fldCharType="separate"/>
      </w:r>
      <w:r>
        <w:rPr>
          <w:rFonts w:hint="eastAsia" w:ascii="Times New Roman" w:hAnsi="Times New Roman"/>
          <w:szCs w:val="28"/>
          <w:lang w:val="en-US" w:eastAsia="zh-CN"/>
        </w:rPr>
        <w:t>1.3建设项目特点</w:t>
      </w:r>
      <w:r>
        <w:tab/>
      </w:r>
      <w:r>
        <w:fldChar w:fldCharType="begin"/>
      </w:r>
      <w:r>
        <w:instrText xml:space="preserve"> PAGEREF _Toc22249 </w:instrText>
      </w:r>
      <w:r>
        <w:fldChar w:fldCharType="separate"/>
      </w:r>
      <w:r>
        <w:t>7</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_Toc25835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4</w:t>
      </w:r>
      <w:r>
        <w:rPr>
          <w:rFonts w:ascii="Times New Roman" w:hAnsi="Times New Roman"/>
          <w:szCs w:val="28"/>
        </w:rPr>
        <w:t>关注的主要环境问题</w:t>
      </w:r>
      <w:r>
        <w:tab/>
      </w:r>
      <w:r>
        <w:fldChar w:fldCharType="begin"/>
      </w:r>
      <w:r>
        <w:instrText xml:space="preserve"> PAGEREF _Toc25835 </w:instrText>
      </w:r>
      <w:r>
        <w:fldChar w:fldCharType="separate"/>
      </w:r>
      <w:r>
        <w:t>7</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_Toc31891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3</w:t>
      </w:r>
      <w:r>
        <w:rPr>
          <w:rFonts w:ascii="Times New Roman" w:hAnsi="Times New Roman"/>
          <w:szCs w:val="28"/>
        </w:rPr>
        <w:t>环评报告书的主要结论</w:t>
      </w:r>
      <w:r>
        <w:tab/>
      </w:r>
      <w:r>
        <w:fldChar w:fldCharType="begin"/>
      </w:r>
      <w:r>
        <w:instrText xml:space="preserve"> PAGEREF _Toc31891 </w:instrText>
      </w:r>
      <w:r>
        <w:fldChar w:fldCharType="separate"/>
      </w:r>
      <w:r>
        <w:t>8</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_Toc13758 </w:instrText>
      </w:r>
      <w:r>
        <w:rPr>
          <w:bCs/>
          <w:caps/>
        </w:rPr>
        <w:fldChar w:fldCharType="separate"/>
      </w:r>
      <w:r>
        <w:rPr>
          <w:szCs w:val="36"/>
        </w:rPr>
        <w:t>2、总则</w:t>
      </w:r>
      <w:r>
        <w:tab/>
      </w:r>
      <w:r>
        <w:fldChar w:fldCharType="begin"/>
      </w:r>
      <w:r>
        <w:instrText xml:space="preserve"> PAGEREF _Toc13758 </w:instrText>
      </w:r>
      <w:r>
        <w:fldChar w:fldCharType="separate"/>
      </w:r>
      <w:r>
        <w:t>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_Toc31305 </w:instrText>
      </w:r>
      <w:r>
        <w:rPr>
          <w:bCs/>
          <w:caps/>
        </w:rPr>
        <w:fldChar w:fldCharType="separate"/>
      </w:r>
      <w:r>
        <w:rPr>
          <w:rFonts w:hint="eastAsia" w:ascii="Times New Roman" w:hAnsi="Times New Roman"/>
          <w:szCs w:val="28"/>
          <w:lang w:val="en-US" w:eastAsia="zh-CN"/>
        </w:rPr>
        <w:t>2.1评价目的</w:t>
      </w:r>
      <w:r>
        <w:tab/>
      </w:r>
      <w:r>
        <w:fldChar w:fldCharType="begin"/>
      </w:r>
      <w:r>
        <w:instrText xml:space="preserve"> PAGEREF _Toc31305 </w:instrText>
      </w:r>
      <w:r>
        <w:fldChar w:fldCharType="separate"/>
      </w:r>
      <w:r>
        <w:t>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_Toc19251 </w:instrText>
      </w:r>
      <w:r>
        <w:rPr>
          <w:bCs/>
          <w:caps/>
        </w:rPr>
        <w:fldChar w:fldCharType="separate"/>
      </w:r>
      <w:r>
        <w:rPr>
          <w:rFonts w:ascii="Times New Roman" w:hAnsi="Times New Roman"/>
          <w:szCs w:val="28"/>
        </w:rPr>
        <w:t>2.</w:t>
      </w:r>
      <w:r>
        <w:rPr>
          <w:rFonts w:hint="eastAsia" w:ascii="Times New Roman" w:hAnsi="Times New Roman"/>
          <w:szCs w:val="28"/>
          <w:lang w:val="en-US" w:eastAsia="zh-CN"/>
        </w:rPr>
        <w:t>2</w:t>
      </w:r>
      <w:r>
        <w:rPr>
          <w:rFonts w:ascii="Times New Roman" w:hAnsi="Times New Roman"/>
          <w:szCs w:val="28"/>
        </w:rPr>
        <w:t>编制依据</w:t>
      </w:r>
      <w:r>
        <w:tab/>
      </w:r>
      <w:r>
        <w:fldChar w:fldCharType="begin"/>
      </w:r>
      <w:r>
        <w:instrText xml:space="preserve"> PAGEREF _Toc19251 </w:instrText>
      </w:r>
      <w:r>
        <w:fldChar w:fldCharType="separate"/>
      </w:r>
      <w:r>
        <w:t>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_Toc28864 </w:instrText>
      </w:r>
      <w:r>
        <w:rPr>
          <w:bCs/>
          <w:caps/>
        </w:rPr>
        <w:fldChar w:fldCharType="separate"/>
      </w:r>
      <w:r>
        <w:rPr>
          <w:rFonts w:hint="eastAsia" w:ascii="Times New Roman" w:hAnsi="Times New Roman" w:eastAsia="宋体"/>
          <w:szCs w:val="28"/>
          <w:lang w:val="en-US" w:eastAsia="zh-CN"/>
        </w:rPr>
        <w:t>2.3评价标准与评价因子</w:t>
      </w:r>
      <w:r>
        <w:tab/>
      </w:r>
      <w:r>
        <w:fldChar w:fldCharType="begin"/>
      </w:r>
      <w:r>
        <w:instrText xml:space="preserve"> PAGEREF _Toc28864 </w:instrText>
      </w:r>
      <w:r>
        <w:fldChar w:fldCharType="separate"/>
      </w:r>
      <w:r>
        <w:t>12</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_Toc7016 </w:instrText>
      </w:r>
      <w:r>
        <w:rPr>
          <w:bCs/>
          <w:caps/>
        </w:rPr>
        <w:fldChar w:fldCharType="separate"/>
      </w:r>
      <w:r>
        <w:rPr>
          <w:rFonts w:hint="eastAsia" w:ascii="Times New Roman" w:hAnsi="Times New Roman" w:eastAsia="宋体"/>
          <w:szCs w:val="28"/>
          <w:lang w:val="en-US" w:eastAsia="zh-CN"/>
        </w:rPr>
        <w:t>2.4评价等级和评价</w:t>
      </w:r>
      <w:r>
        <w:rPr>
          <w:rFonts w:hint="eastAsia" w:ascii="Times New Roman" w:hAnsi="Times New Roman"/>
          <w:szCs w:val="28"/>
          <w:lang w:val="en-US" w:eastAsia="zh-CN"/>
        </w:rPr>
        <w:t>范围</w:t>
      </w:r>
      <w:r>
        <w:tab/>
      </w:r>
      <w:r>
        <w:fldChar w:fldCharType="begin"/>
      </w:r>
      <w:r>
        <w:instrText xml:space="preserve"> PAGEREF _Toc7016 </w:instrText>
      </w:r>
      <w:r>
        <w:fldChar w:fldCharType="separate"/>
      </w:r>
      <w:r>
        <w:t>16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_Toc23799 </w:instrText>
      </w:r>
      <w:r>
        <w:rPr>
          <w:bCs/>
          <w:caps/>
        </w:rPr>
        <w:fldChar w:fldCharType="separate"/>
      </w:r>
      <w:r>
        <w:rPr>
          <w:rFonts w:hint="eastAsia" w:ascii="Times New Roman" w:hAnsi="Times New Roman" w:eastAsia="宋体"/>
          <w:szCs w:val="28"/>
          <w:lang w:val="en-US" w:eastAsia="zh-CN"/>
        </w:rPr>
        <w:t>2.5环境保护目标</w:t>
      </w:r>
      <w:r>
        <w:tab/>
      </w:r>
      <w:r>
        <w:fldChar w:fldCharType="begin"/>
      </w:r>
      <w:r>
        <w:instrText xml:space="preserve"> PAGEREF _Toc23799 </w:instrText>
      </w:r>
      <w:r>
        <w:fldChar w:fldCharType="separate"/>
      </w:r>
      <w:r>
        <w:t>19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_Toc22888 </w:instrText>
      </w:r>
      <w:r>
        <w:rPr>
          <w:bCs/>
          <w:caps/>
        </w:rPr>
        <w:fldChar w:fldCharType="separate"/>
      </w:r>
      <w:r>
        <w:rPr>
          <w:rFonts w:hint="eastAsia" w:ascii="Times New Roman" w:hAnsi="Times New Roman" w:eastAsia="宋体"/>
          <w:szCs w:val="28"/>
          <w:lang w:val="en-US" w:eastAsia="zh-CN"/>
        </w:rPr>
        <w:t>2.6产业政策及规划符合性分析</w:t>
      </w:r>
      <w:r>
        <w:tab/>
      </w:r>
      <w:r>
        <w:fldChar w:fldCharType="begin"/>
      </w:r>
      <w:r>
        <w:instrText xml:space="preserve"> PAGEREF _Toc22888 </w:instrText>
      </w:r>
      <w:r>
        <w:fldChar w:fldCharType="separate"/>
      </w:r>
      <w:r>
        <w:t>21</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_Toc20392 </w:instrText>
      </w:r>
      <w:r>
        <w:rPr>
          <w:bCs/>
          <w:caps/>
        </w:rPr>
        <w:fldChar w:fldCharType="separate"/>
      </w:r>
      <w:r>
        <w:rPr>
          <w:rFonts w:hint="eastAsia" w:ascii="Times New Roman" w:hAnsi="Times New Roman" w:eastAsia="宋体"/>
          <w:szCs w:val="28"/>
          <w:lang w:val="en-US" w:eastAsia="zh-CN"/>
        </w:rPr>
        <w:t>2.7项目选址合理性分析</w:t>
      </w:r>
      <w:r>
        <w:tab/>
      </w:r>
      <w:r>
        <w:fldChar w:fldCharType="begin"/>
      </w:r>
      <w:r>
        <w:instrText xml:space="preserve"> PAGEREF _Toc20392 </w:instrText>
      </w:r>
      <w:r>
        <w:fldChar w:fldCharType="separate"/>
      </w:r>
      <w:r>
        <w:t>23</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_Toc23902 </w:instrText>
      </w:r>
      <w:r>
        <w:rPr>
          <w:bCs/>
          <w:caps/>
        </w:rPr>
        <w:fldChar w:fldCharType="separate"/>
      </w:r>
      <w:r>
        <w:rPr>
          <w:szCs w:val="36"/>
        </w:rPr>
        <w:t>3、</w:t>
      </w:r>
      <w:r>
        <w:rPr>
          <w:rFonts w:hint="eastAsia"/>
          <w:szCs w:val="36"/>
          <w:lang w:eastAsia="zh-CN"/>
        </w:rPr>
        <w:t>建设项目工程分析</w:t>
      </w:r>
      <w:r>
        <w:tab/>
      </w:r>
      <w:r>
        <w:fldChar w:fldCharType="begin"/>
      </w:r>
      <w:r>
        <w:instrText xml:space="preserve"> PAGEREF _Toc23902 </w:instrText>
      </w:r>
      <w:r>
        <w:fldChar w:fldCharType="separate"/>
      </w:r>
      <w:r>
        <w:t>25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_Toc2378 </w:instrText>
      </w:r>
      <w:r>
        <w:rPr>
          <w:bCs/>
          <w:caps/>
        </w:rPr>
        <w:fldChar w:fldCharType="separate"/>
      </w:r>
      <w:r>
        <w:rPr>
          <w:rFonts w:ascii="Times New Roman" w:hAnsi="Times New Roman"/>
          <w:szCs w:val="28"/>
        </w:rPr>
        <w:t>3.1</w:t>
      </w:r>
      <w:r>
        <w:rPr>
          <w:rFonts w:hint="eastAsia" w:ascii="Times New Roman" w:hAnsi="Times New Roman"/>
          <w:szCs w:val="28"/>
          <w:lang w:eastAsia="zh-CN"/>
        </w:rPr>
        <w:t>本项目概况</w:t>
      </w:r>
      <w:r>
        <w:tab/>
      </w:r>
      <w:r>
        <w:fldChar w:fldCharType="begin"/>
      </w:r>
      <w:r>
        <w:instrText xml:space="preserve"> PAGEREF _Toc2378 </w:instrText>
      </w:r>
      <w:r>
        <w:fldChar w:fldCharType="separate"/>
      </w:r>
      <w:r>
        <w:t>25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_Toc21267 </w:instrText>
      </w:r>
      <w:r>
        <w:rPr>
          <w:bCs/>
          <w:caps/>
        </w:rPr>
        <w:fldChar w:fldCharType="separate"/>
      </w:r>
      <w:r>
        <w:rPr>
          <w:rFonts w:hint="eastAsia" w:ascii="Times New Roman" w:hAnsi="Times New Roman"/>
          <w:szCs w:val="28"/>
          <w:lang w:val="en-US" w:eastAsia="zh-CN"/>
        </w:rPr>
        <w:t>3</w:t>
      </w:r>
      <w:r>
        <w:rPr>
          <w:rFonts w:hint="eastAsia" w:ascii="Times New Roman" w:hAnsi="Times New Roman"/>
          <w:szCs w:val="28"/>
          <w:lang w:eastAsia="zh-CN"/>
        </w:rPr>
        <w:t>.</w:t>
      </w:r>
      <w:r>
        <w:rPr>
          <w:rFonts w:hint="eastAsia" w:ascii="Times New Roman" w:hAnsi="Times New Roman"/>
          <w:szCs w:val="28"/>
          <w:lang w:val="en-US" w:eastAsia="zh-CN"/>
        </w:rPr>
        <w:t>2</w:t>
      </w:r>
      <w:r>
        <w:rPr>
          <w:rFonts w:hint="eastAsia" w:ascii="Times New Roman" w:hAnsi="Times New Roman"/>
          <w:szCs w:val="28"/>
          <w:lang w:eastAsia="zh-CN"/>
        </w:rPr>
        <w:t>工艺流程及产污环节</w:t>
      </w:r>
      <w:r>
        <w:tab/>
      </w:r>
      <w:r>
        <w:fldChar w:fldCharType="begin"/>
      </w:r>
      <w:r>
        <w:instrText xml:space="preserve"> PAGEREF _Toc21267 </w:instrText>
      </w:r>
      <w:r>
        <w:fldChar w:fldCharType="separate"/>
      </w:r>
      <w:r>
        <w:t>32</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_Toc26366 </w:instrText>
      </w:r>
      <w:r>
        <w:rPr>
          <w:bCs/>
          <w:caps/>
        </w:rPr>
        <w:fldChar w:fldCharType="separate"/>
      </w:r>
      <w:r>
        <w:rPr>
          <w:rFonts w:hint="eastAsia"/>
          <w:szCs w:val="36"/>
          <w:lang w:val="en-US" w:eastAsia="zh-CN"/>
        </w:rPr>
        <w:t>4</w:t>
      </w:r>
      <w:r>
        <w:rPr>
          <w:szCs w:val="36"/>
        </w:rPr>
        <w:t>、总量控制</w:t>
      </w:r>
      <w:r>
        <w:tab/>
      </w:r>
      <w:r>
        <w:fldChar w:fldCharType="begin"/>
      </w:r>
      <w:r>
        <w:instrText xml:space="preserve"> PAGEREF _Toc26366 </w:instrText>
      </w:r>
      <w:r>
        <w:fldChar w:fldCharType="separate"/>
      </w:r>
      <w:r>
        <w:t>74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_Toc2456 </w:instrText>
      </w:r>
      <w:r>
        <w:rPr>
          <w:bCs/>
          <w:caps/>
        </w:rPr>
        <w:fldChar w:fldCharType="separate"/>
      </w:r>
      <w:r>
        <w:rPr>
          <w:rFonts w:hint="eastAsia" w:ascii="Times New Roman" w:hAnsi="Times New Roman"/>
          <w:szCs w:val="28"/>
          <w:lang w:val="en-US" w:eastAsia="zh-CN"/>
        </w:rPr>
        <w:t>4</w:t>
      </w:r>
      <w:r>
        <w:rPr>
          <w:rFonts w:hint="eastAsia" w:ascii="Times New Roman" w:hAnsi="Times New Roman"/>
          <w:szCs w:val="28"/>
          <w:lang w:eastAsia="zh-CN"/>
        </w:rPr>
        <w:t>.1总量控制分析</w:t>
      </w:r>
      <w:r>
        <w:tab/>
      </w:r>
      <w:r>
        <w:fldChar w:fldCharType="begin"/>
      </w:r>
      <w:r>
        <w:instrText xml:space="preserve"> PAGEREF _Toc2456 </w:instrText>
      </w:r>
      <w:r>
        <w:fldChar w:fldCharType="separate"/>
      </w:r>
      <w:r>
        <w:t>74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_Toc12328 </w:instrText>
      </w:r>
      <w:r>
        <w:rPr>
          <w:bCs/>
          <w:caps/>
        </w:rPr>
        <w:fldChar w:fldCharType="separate"/>
      </w:r>
      <w:r>
        <w:rPr>
          <w:rFonts w:hint="eastAsia" w:ascii="Times New Roman" w:hAnsi="Times New Roman"/>
          <w:szCs w:val="28"/>
          <w:lang w:val="en-US" w:eastAsia="zh-CN"/>
        </w:rPr>
        <w:t>4.2污染物控制种类</w:t>
      </w:r>
      <w:r>
        <w:tab/>
      </w:r>
      <w:r>
        <w:fldChar w:fldCharType="begin"/>
      </w:r>
      <w:r>
        <w:instrText xml:space="preserve"> PAGEREF _Toc12328 </w:instrText>
      </w:r>
      <w:r>
        <w:fldChar w:fldCharType="separate"/>
      </w:r>
      <w:r>
        <w:t>74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_Toc21777 </w:instrText>
      </w:r>
      <w:r>
        <w:rPr>
          <w:bCs/>
          <w:caps/>
        </w:rPr>
        <w:fldChar w:fldCharType="separate"/>
      </w:r>
      <w:r>
        <w:rPr>
          <w:rFonts w:hint="eastAsia" w:ascii="Times New Roman" w:hAnsi="Times New Roman"/>
          <w:szCs w:val="28"/>
          <w:lang w:val="en-US" w:eastAsia="zh-CN"/>
        </w:rPr>
        <w:t>4.3项目排污总量</w:t>
      </w:r>
      <w:r>
        <w:tab/>
      </w:r>
      <w:r>
        <w:fldChar w:fldCharType="begin"/>
      </w:r>
      <w:r>
        <w:instrText xml:space="preserve"> PAGEREF _Toc21777 </w:instrText>
      </w:r>
      <w:r>
        <w:fldChar w:fldCharType="separate"/>
      </w:r>
      <w:r>
        <w:t>74</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_Toc4477 </w:instrText>
      </w:r>
      <w:r>
        <w:rPr>
          <w:bCs/>
          <w:caps/>
        </w:rPr>
        <w:fldChar w:fldCharType="separate"/>
      </w:r>
      <w:r>
        <w:rPr>
          <w:rFonts w:hint="eastAsia"/>
          <w:szCs w:val="36"/>
          <w:lang w:val="en-US" w:eastAsia="zh-CN"/>
        </w:rPr>
        <w:t>5</w:t>
      </w:r>
      <w:r>
        <w:rPr>
          <w:szCs w:val="36"/>
        </w:rPr>
        <w:t>、建设项目所在地自然环境概况</w:t>
      </w:r>
      <w:r>
        <w:tab/>
      </w:r>
      <w:r>
        <w:fldChar w:fldCharType="begin"/>
      </w:r>
      <w:r>
        <w:instrText xml:space="preserve"> PAGEREF _Toc4477 </w:instrText>
      </w:r>
      <w:r>
        <w:fldChar w:fldCharType="separate"/>
      </w:r>
      <w:r>
        <w:t>76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_Toc15348 </w:instrText>
      </w:r>
      <w:r>
        <w:rPr>
          <w:bCs/>
          <w:caps/>
        </w:rPr>
        <w:fldChar w:fldCharType="separate"/>
      </w:r>
      <w:r>
        <w:rPr>
          <w:rFonts w:hint="eastAsia" w:ascii="Times New Roman" w:hAnsi="Times New Roman"/>
          <w:szCs w:val="28"/>
          <w:lang w:val="en-US" w:eastAsia="zh-CN"/>
        </w:rPr>
        <w:t>5</w:t>
      </w:r>
      <w:r>
        <w:rPr>
          <w:rFonts w:ascii="Times New Roman" w:hAnsi="Times New Roman"/>
          <w:szCs w:val="28"/>
        </w:rPr>
        <w:t>.1</w:t>
      </w:r>
      <w:r>
        <w:rPr>
          <w:rFonts w:hint="eastAsia" w:ascii="Times New Roman" w:hAnsi="Times New Roman"/>
          <w:szCs w:val="28"/>
          <w:lang w:eastAsia="zh-CN"/>
        </w:rPr>
        <w:t>自然环境概况</w:t>
      </w:r>
      <w:r>
        <w:tab/>
      </w:r>
      <w:r>
        <w:fldChar w:fldCharType="begin"/>
      </w:r>
      <w:r>
        <w:instrText xml:space="preserve"> PAGEREF _Toc15348 </w:instrText>
      </w:r>
      <w:r>
        <w:fldChar w:fldCharType="separate"/>
      </w:r>
      <w:r>
        <w:t>76</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_Toc14795 </w:instrText>
      </w:r>
      <w:r>
        <w:rPr>
          <w:bCs/>
          <w:caps/>
        </w:rPr>
        <w:fldChar w:fldCharType="separate"/>
      </w:r>
      <w:r>
        <w:rPr>
          <w:rFonts w:hint="eastAsia"/>
          <w:szCs w:val="36"/>
          <w:lang w:val="en-US" w:eastAsia="zh-CN"/>
        </w:rPr>
        <w:t>6</w:t>
      </w:r>
      <w:r>
        <w:rPr>
          <w:szCs w:val="36"/>
        </w:rPr>
        <w:t>、环境质量现状评价</w:t>
      </w:r>
      <w:r>
        <w:tab/>
      </w:r>
      <w:r>
        <w:fldChar w:fldCharType="begin"/>
      </w:r>
      <w:r>
        <w:instrText xml:space="preserve"> PAGEREF _Toc14795 </w:instrText>
      </w:r>
      <w:r>
        <w:fldChar w:fldCharType="separate"/>
      </w:r>
      <w:r>
        <w:t>84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_Toc13123 </w:instrText>
      </w:r>
      <w:r>
        <w:rPr>
          <w:bCs/>
          <w:caps/>
        </w:rPr>
        <w:fldChar w:fldCharType="separate"/>
      </w:r>
      <w:r>
        <w:rPr>
          <w:rFonts w:hint="eastAsia" w:ascii="Times New Roman" w:hAnsi="Times New Roman"/>
          <w:szCs w:val="28"/>
          <w:lang w:val="en-US" w:eastAsia="zh-CN"/>
        </w:rPr>
        <w:t>6</w:t>
      </w:r>
      <w:r>
        <w:rPr>
          <w:rFonts w:hint="eastAsia" w:ascii="Times New Roman" w:hAnsi="Times New Roman"/>
          <w:szCs w:val="28"/>
          <w:lang w:eastAsia="zh-CN"/>
        </w:rPr>
        <w:t>.1地表水环境质量现状监测及评价</w:t>
      </w:r>
      <w:r>
        <w:tab/>
      </w:r>
      <w:r>
        <w:fldChar w:fldCharType="begin"/>
      </w:r>
      <w:r>
        <w:instrText xml:space="preserve"> PAGEREF _Toc13123 </w:instrText>
      </w:r>
      <w:r>
        <w:fldChar w:fldCharType="separate"/>
      </w:r>
      <w:r>
        <w:t>84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_Toc28110 </w:instrText>
      </w:r>
      <w:r>
        <w:rPr>
          <w:bCs/>
          <w:caps/>
        </w:rPr>
        <w:fldChar w:fldCharType="separate"/>
      </w:r>
      <w:r>
        <w:rPr>
          <w:rFonts w:hint="eastAsia" w:ascii="Times New Roman" w:hAnsi="Times New Roman"/>
          <w:szCs w:val="28"/>
          <w:lang w:val="en-US" w:eastAsia="zh-CN"/>
        </w:rPr>
        <w:t>6</w:t>
      </w:r>
      <w:r>
        <w:rPr>
          <w:rFonts w:ascii="Times New Roman" w:hAnsi="Times New Roman"/>
          <w:szCs w:val="28"/>
        </w:rPr>
        <w:t>.2大气环境质量现状监测与评价</w:t>
      </w:r>
      <w:r>
        <w:tab/>
      </w:r>
      <w:r>
        <w:fldChar w:fldCharType="begin"/>
      </w:r>
      <w:r>
        <w:instrText xml:space="preserve"> PAGEREF _Toc28110 </w:instrText>
      </w:r>
      <w:r>
        <w:fldChar w:fldCharType="separate"/>
      </w:r>
      <w:r>
        <w:t>87</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_Toc2437 </w:instrText>
      </w:r>
      <w:r>
        <w:rPr>
          <w:bCs/>
          <w:caps/>
        </w:rPr>
        <w:fldChar w:fldCharType="separate"/>
      </w:r>
      <w:r>
        <w:rPr>
          <w:rFonts w:hint="eastAsia" w:ascii="Times New Roman" w:hAnsi="Times New Roman" w:cs="Times New Roman"/>
          <w:szCs w:val="28"/>
          <w:lang w:val="en-US" w:eastAsia="zh-CN"/>
        </w:rPr>
        <w:t>6</w:t>
      </w:r>
      <w:r>
        <w:rPr>
          <w:rFonts w:ascii="Times New Roman" w:hAnsi="Times New Roman" w:cs="Times New Roman"/>
          <w:szCs w:val="28"/>
        </w:rPr>
        <w:t>.3声环境质量现状监测与评价</w:t>
      </w:r>
      <w:r>
        <w:tab/>
      </w:r>
      <w:r>
        <w:fldChar w:fldCharType="begin"/>
      </w:r>
      <w:r>
        <w:instrText xml:space="preserve"> PAGEREF _Toc2437 </w:instrText>
      </w:r>
      <w:r>
        <w:fldChar w:fldCharType="separate"/>
      </w:r>
      <w:r>
        <w:t>89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_Toc21445 </w:instrText>
      </w:r>
      <w:r>
        <w:rPr>
          <w:bCs/>
          <w:caps/>
        </w:rPr>
        <w:fldChar w:fldCharType="separate"/>
      </w:r>
      <w:r>
        <w:rPr>
          <w:rFonts w:hint="eastAsia" w:ascii="Times New Roman" w:hAnsi="Times New Roman" w:cs="Times New Roman"/>
          <w:szCs w:val="28"/>
          <w:lang w:val="en-US" w:eastAsia="zh-CN"/>
        </w:rPr>
        <w:t>6</w:t>
      </w:r>
      <w:r>
        <w:rPr>
          <w:rFonts w:ascii="Times New Roman" w:hAnsi="Times New Roman" w:cs="Times New Roman"/>
          <w:szCs w:val="28"/>
        </w:rPr>
        <w:t>.4地下水质量现状监测与评价</w:t>
      </w:r>
      <w:r>
        <w:tab/>
      </w:r>
      <w:r>
        <w:fldChar w:fldCharType="begin"/>
      </w:r>
      <w:r>
        <w:instrText xml:space="preserve"> PAGEREF _Toc21445 </w:instrText>
      </w:r>
      <w:r>
        <w:fldChar w:fldCharType="separate"/>
      </w:r>
      <w:r>
        <w:t>90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_Toc24199 </w:instrText>
      </w:r>
      <w:r>
        <w:rPr>
          <w:bCs/>
          <w:caps/>
        </w:rPr>
        <w:fldChar w:fldCharType="separate"/>
      </w:r>
      <w:r>
        <w:rPr>
          <w:rFonts w:hint="eastAsia" w:ascii="Times New Roman" w:hAnsi="Times New Roman" w:cs="Times New Roman"/>
          <w:szCs w:val="28"/>
          <w:lang w:val="en-US" w:eastAsia="zh-CN"/>
        </w:rPr>
        <w:t>6.5土壤环境现状调查与评价</w:t>
      </w:r>
      <w:r>
        <w:tab/>
      </w:r>
      <w:r>
        <w:fldChar w:fldCharType="begin"/>
      </w:r>
      <w:r>
        <w:instrText xml:space="preserve"> PAGEREF _Toc24199 </w:instrText>
      </w:r>
      <w:r>
        <w:fldChar w:fldCharType="separate"/>
      </w:r>
      <w:r>
        <w:t>93</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_Toc31916 </w:instrText>
      </w:r>
      <w:r>
        <w:rPr>
          <w:bCs/>
          <w:caps/>
        </w:rPr>
        <w:fldChar w:fldCharType="separate"/>
      </w:r>
      <w:r>
        <w:rPr>
          <w:rFonts w:hint="eastAsia"/>
          <w:szCs w:val="36"/>
          <w:lang w:val="en-US" w:eastAsia="zh-CN"/>
        </w:rPr>
        <w:t>7</w:t>
      </w:r>
      <w:r>
        <w:rPr>
          <w:szCs w:val="36"/>
        </w:rPr>
        <w:t>、施工期环境影响分析</w:t>
      </w:r>
      <w:r>
        <w:tab/>
      </w:r>
      <w:r>
        <w:fldChar w:fldCharType="begin"/>
      </w:r>
      <w:r>
        <w:instrText xml:space="preserve"> PAGEREF _Toc31916 </w:instrText>
      </w:r>
      <w:r>
        <w:fldChar w:fldCharType="separate"/>
      </w:r>
      <w:r>
        <w:t>98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_Toc13870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.1施工期地表水环境影响分析</w:t>
      </w:r>
      <w:r>
        <w:tab/>
      </w:r>
      <w:r>
        <w:fldChar w:fldCharType="begin"/>
      </w:r>
      <w:r>
        <w:instrText xml:space="preserve"> PAGEREF _Toc13870 </w:instrText>
      </w:r>
      <w:r>
        <w:fldChar w:fldCharType="separate"/>
      </w:r>
      <w:r>
        <w:t>98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_Toc8258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.2施工期地下水环境影响分析</w:t>
      </w:r>
      <w:r>
        <w:tab/>
      </w:r>
      <w:r>
        <w:fldChar w:fldCharType="begin"/>
      </w:r>
      <w:r>
        <w:instrText xml:space="preserve"> PAGEREF _Toc8258 </w:instrText>
      </w:r>
      <w:r>
        <w:fldChar w:fldCharType="separate"/>
      </w:r>
      <w:r>
        <w:t>98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_Toc26343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.3施工期噪声影响分析</w:t>
      </w:r>
      <w:r>
        <w:tab/>
      </w:r>
      <w:r>
        <w:fldChar w:fldCharType="begin"/>
      </w:r>
      <w:r>
        <w:instrText xml:space="preserve"> PAGEREF _Toc26343 </w:instrText>
      </w:r>
      <w:r>
        <w:fldChar w:fldCharType="separate"/>
      </w:r>
      <w:r>
        <w:t>98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_Toc27206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.4施工扬尘对环境的影响分析</w:t>
      </w:r>
      <w:r>
        <w:tab/>
      </w:r>
      <w:r>
        <w:fldChar w:fldCharType="begin"/>
      </w:r>
      <w:r>
        <w:instrText xml:space="preserve"> PAGEREF _Toc27206 </w:instrText>
      </w:r>
      <w:r>
        <w:fldChar w:fldCharType="separate"/>
      </w:r>
      <w:r>
        <w:t>100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_Toc26736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.5施工期固废对环境的影响</w:t>
      </w:r>
      <w:r>
        <w:tab/>
      </w:r>
      <w:r>
        <w:fldChar w:fldCharType="begin"/>
      </w:r>
      <w:r>
        <w:instrText xml:space="preserve"> PAGEREF _Toc26736 </w:instrText>
      </w:r>
      <w:r>
        <w:fldChar w:fldCharType="separate"/>
      </w:r>
      <w:r>
        <w:t>101</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_Toc27278 </w:instrText>
      </w:r>
      <w:r>
        <w:rPr>
          <w:bCs/>
          <w:caps/>
        </w:rPr>
        <w:fldChar w:fldCharType="separate"/>
      </w:r>
      <w:r>
        <w:rPr>
          <w:rFonts w:hint="eastAsia" w:ascii="Times New Roman" w:hAnsi="Times New Roman"/>
          <w:szCs w:val="28"/>
          <w:lang w:val="en-US" w:eastAsia="zh-CN"/>
        </w:rPr>
        <w:t>7</w:t>
      </w:r>
      <w:r>
        <w:rPr>
          <w:rFonts w:ascii="Times New Roman" w:hAnsi="Times New Roman"/>
          <w:szCs w:val="28"/>
        </w:rPr>
        <w:t>.6施工期生态环境影响分析</w:t>
      </w:r>
      <w:r>
        <w:tab/>
      </w:r>
      <w:r>
        <w:fldChar w:fldCharType="begin"/>
      </w:r>
      <w:r>
        <w:instrText xml:space="preserve"> PAGEREF _Toc27278 </w:instrText>
      </w:r>
      <w:r>
        <w:fldChar w:fldCharType="separate"/>
      </w:r>
      <w:r>
        <w:t>101</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_Toc28177 </w:instrText>
      </w:r>
      <w:r>
        <w:rPr>
          <w:bCs/>
          <w:caps/>
        </w:rPr>
        <w:fldChar w:fldCharType="separate"/>
      </w:r>
      <w:r>
        <w:rPr>
          <w:rFonts w:hint="eastAsia" w:ascii="Times New Roman" w:hAnsi="Times New Roman"/>
          <w:szCs w:val="28"/>
          <w:lang w:val="en-US" w:eastAsia="zh-CN"/>
        </w:rPr>
        <w:t>7.7</w:t>
      </w:r>
      <w:r>
        <w:rPr>
          <w:rFonts w:ascii="Times New Roman" w:hAnsi="Times New Roman"/>
          <w:szCs w:val="28"/>
        </w:rPr>
        <w:t>施工期环境保护组织管理</w:t>
      </w:r>
      <w:r>
        <w:tab/>
      </w:r>
      <w:r>
        <w:fldChar w:fldCharType="begin"/>
      </w:r>
      <w:r>
        <w:instrText xml:space="preserve"> PAGEREF _Toc28177 </w:instrText>
      </w:r>
      <w:r>
        <w:fldChar w:fldCharType="separate"/>
      </w:r>
      <w:r>
        <w:t>102</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_Toc1765 </w:instrText>
      </w:r>
      <w:r>
        <w:rPr>
          <w:bCs/>
          <w:caps/>
        </w:rPr>
        <w:fldChar w:fldCharType="separate"/>
      </w:r>
      <w:r>
        <w:rPr>
          <w:rFonts w:hint="eastAsia"/>
          <w:szCs w:val="36"/>
          <w:lang w:val="en-US" w:eastAsia="zh-CN"/>
        </w:rPr>
        <w:t>8</w:t>
      </w:r>
      <w:r>
        <w:rPr>
          <w:szCs w:val="36"/>
        </w:rPr>
        <w:t>、运营期环境影响分析</w:t>
      </w:r>
      <w:r>
        <w:tab/>
      </w:r>
      <w:r>
        <w:fldChar w:fldCharType="begin"/>
      </w:r>
      <w:r>
        <w:instrText xml:space="preserve"> PAGEREF _Toc1765 </w:instrText>
      </w:r>
      <w:r>
        <w:fldChar w:fldCharType="separate"/>
      </w:r>
      <w:r>
        <w:t>103</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_Toc20353 </w:instrText>
      </w:r>
      <w:r>
        <w:rPr>
          <w:bCs/>
          <w:caps/>
        </w:rPr>
        <w:fldChar w:fldCharType="separate"/>
      </w:r>
      <w:r>
        <w:rPr>
          <w:rFonts w:hint="eastAsia" w:ascii="Times New Roman" w:hAnsi="Times New Roman"/>
          <w:szCs w:val="28"/>
          <w:lang w:val="en-US" w:eastAsia="zh-CN"/>
        </w:rPr>
        <w:t>8</w:t>
      </w:r>
      <w:r>
        <w:rPr>
          <w:rFonts w:ascii="Times New Roman" w:hAnsi="Times New Roman"/>
          <w:szCs w:val="28"/>
        </w:rPr>
        <w:t>.1大气环境影响预测分析</w:t>
      </w:r>
      <w:r>
        <w:tab/>
      </w:r>
      <w:r>
        <w:fldChar w:fldCharType="begin"/>
      </w:r>
      <w:r>
        <w:instrText xml:space="preserve"> PAGEREF _Toc20353 </w:instrText>
      </w:r>
      <w:r>
        <w:fldChar w:fldCharType="separate"/>
      </w:r>
      <w:r>
        <w:t>103</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_Toc1239 </w:instrText>
      </w:r>
      <w:r>
        <w:rPr>
          <w:bCs/>
          <w:caps/>
        </w:rPr>
        <w:fldChar w:fldCharType="separate"/>
      </w:r>
      <w:r>
        <w:rPr>
          <w:rFonts w:hint="eastAsia" w:ascii="Times New Roman" w:hAnsi="Times New Roman"/>
          <w:szCs w:val="28"/>
          <w:lang w:val="en-US" w:eastAsia="zh-CN"/>
        </w:rPr>
        <w:t>8</w:t>
      </w:r>
      <w:r>
        <w:rPr>
          <w:rFonts w:ascii="Times New Roman" w:hAnsi="Times New Roman"/>
          <w:szCs w:val="28"/>
        </w:rPr>
        <w:t>.2地表水环境影响预测与评价</w:t>
      </w:r>
      <w:r>
        <w:tab/>
      </w:r>
      <w:r>
        <w:fldChar w:fldCharType="begin"/>
      </w:r>
      <w:r>
        <w:instrText xml:space="preserve"> PAGEREF _Toc1239 </w:instrText>
      </w:r>
      <w:r>
        <w:fldChar w:fldCharType="separate"/>
      </w:r>
      <w:r>
        <w:t>109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_Toc7687 </w:instrText>
      </w:r>
      <w:r>
        <w:rPr>
          <w:bCs/>
          <w:caps/>
        </w:rPr>
        <w:fldChar w:fldCharType="separate"/>
      </w:r>
      <w:r>
        <w:rPr>
          <w:rFonts w:hint="eastAsia" w:ascii="Times New Roman" w:hAnsi="Times New Roman"/>
          <w:szCs w:val="28"/>
          <w:lang w:val="en-US" w:eastAsia="zh-CN"/>
        </w:rPr>
        <w:t>8.3声环境影响预测与分析</w:t>
      </w:r>
      <w:r>
        <w:tab/>
      </w:r>
      <w:r>
        <w:fldChar w:fldCharType="begin"/>
      </w:r>
      <w:r>
        <w:instrText xml:space="preserve"> PAGEREF _Toc7687 </w:instrText>
      </w:r>
      <w:r>
        <w:fldChar w:fldCharType="separate"/>
      </w:r>
      <w:r>
        <w:t>113</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_Toc13006 </w:instrText>
      </w:r>
      <w:r>
        <w:rPr>
          <w:bCs/>
          <w:caps/>
        </w:rPr>
        <w:fldChar w:fldCharType="separate"/>
      </w:r>
      <w:r>
        <w:rPr>
          <w:rFonts w:hint="eastAsia" w:ascii="Times New Roman" w:hAnsi="Times New Roman"/>
          <w:szCs w:val="28"/>
          <w:lang w:val="en-US" w:eastAsia="zh-CN"/>
        </w:rPr>
        <w:t>8</w:t>
      </w:r>
      <w:r>
        <w:rPr>
          <w:rFonts w:ascii="Times New Roman" w:hAnsi="Times New Roman"/>
          <w:szCs w:val="28"/>
        </w:rPr>
        <w:t>.</w:t>
      </w:r>
      <w:r>
        <w:rPr>
          <w:rFonts w:hint="eastAsia" w:ascii="Times New Roman" w:hAnsi="Times New Roman"/>
          <w:szCs w:val="28"/>
          <w:lang w:val="en-US" w:eastAsia="zh-CN"/>
        </w:rPr>
        <w:t>4</w:t>
      </w:r>
      <w:r>
        <w:rPr>
          <w:rFonts w:ascii="Times New Roman" w:hAnsi="Times New Roman"/>
          <w:szCs w:val="28"/>
        </w:rPr>
        <w:t>地下水环境影响分析</w:t>
      </w:r>
      <w:r>
        <w:tab/>
      </w:r>
      <w:r>
        <w:fldChar w:fldCharType="begin"/>
      </w:r>
      <w:r>
        <w:instrText xml:space="preserve"> PAGEREF _Toc13006 </w:instrText>
      </w:r>
      <w:r>
        <w:fldChar w:fldCharType="separate"/>
      </w:r>
      <w:r>
        <w:t>115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_Toc28574 </w:instrText>
      </w:r>
      <w:r>
        <w:rPr>
          <w:bCs/>
          <w:caps/>
        </w:rPr>
        <w:fldChar w:fldCharType="separate"/>
      </w:r>
      <w:r>
        <w:rPr>
          <w:rFonts w:hint="eastAsia" w:ascii="Times New Roman" w:hAnsi="Times New Roman"/>
          <w:szCs w:val="28"/>
          <w:lang w:val="en-US" w:eastAsia="zh-CN"/>
        </w:rPr>
        <w:t>8</w:t>
      </w:r>
      <w:r>
        <w:rPr>
          <w:rFonts w:ascii="Times New Roman" w:hAnsi="Times New Roman"/>
          <w:szCs w:val="28"/>
        </w:rPr>
        <w:t>.5固废环境影响分析</w:t>
      </w:r>
      <w:r>
        <w:tab/>
      </w:r>
      <w:r>
        <w:fldChar w:fldCharType="begin"/>
      </w:r>
      <w:r>
        <w:instrText xml:space="preserve"> PAGEREF _Toc28574 </w:instrText>
      </w:r>
      <w:r>
        <w:fldChar w:fldCharType="separate"/>
      </w:r>
      <w:r>
        <w:t>149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_Toc13107 </w:instrText>
      </w:r>
      <w:r>
        <w:rPr>
          <w:bCs/>
          <w:caps/>
        </w:rPr>
        <w:fldChar w:fldCharType="separate"/>
      </w:r>
      <w:r>
        <w:rPr>
          <w:rFonts w:hint="eastAsia" w:ascii="Times New Roman" w:hAnsi="Times New Roman"/>
          <w:szCs w:val="28"/>
          <w:lang w:val="en-US" w:eastAsia="zh-CN"/>
        </w:rPr>
        <w:t>8.6土壤环境影响分析</w:t>
      </w:r>
      <w:r>
        <w:tab/>
      </w:r>
      <w:r>
        <w:fldChar w:fldCharType="begin"/>
      </w:r>
      <w:r>
        <w:instrText xml:space="preserve"> PAGEREF _Toc13107 </w:instrText>
      </w:r>
      <w:r>
        <w:fldChar w:fldCharType="separate"/>
      </w:r>
      <w:r>
        <w:t>150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_Toc30744 </w:instrText>
      </w:r>
      <w:r>
        <w:rPr>
          <w:bCs/>
          <w:caps/>
        </w:rPr>
        <w:fldChar w:fldCharType="separate"/>
      </w:r>
      <w:r>
        <w:rPr>
          <w:rFonts w:hint="eastAsia" w:ascii="Times New Roman" w:hAnsi="Times New Roman"/>
          <w:szCs w:val="28"/>
          <w:lang w:val="en-US" w:eastAsia="zh-CN"/>
        </w:rPr>
        <w:t>8</w:t>
      </w:r>
      <w:r>
        <w:rPr>
          <w:rFonts w:ascii="Times New Roman" w:hAnsi="Times New Roman"/>
          <w:szCs w:val="28"/>
        </w:rPr>
        <w:t>.</w:t>
      </w:r>
      <w:r>
        <w:rPr>
          <w:rFonts w:hint="eastAsia" w:ascii="Times New Roman" w:hAnsi="Times New Roman"/>
          <w:szCs w:val="28"/>
          <w:lang w:val="en-US" w:eastAsia="zh-CN"/>
        </w:rPr>
        <w:t>7</w:t>
      </w:r>
      <w:r>
        <w:rPr>
          <w:rFonts w:ascii="Times New Roman" w:hAnsi="Times New Roman"/>
          <w:szCs w:val="28"/>
        </w:rPr>
        <w:t>生态环境影响分析</w:t>
      </w:r>
      <w:r>
        <w:tab/>
      </w:r>
      <w:r>
        <w:fldChar w:fldCharType="begin"/>
      </w:r>
      <w:r>
        <w:instrText xml:space="preserve"> PAGEREF _Toc30744 </w:instrText>
      </w:r>
      <w:r>
        <w:fldChar w:fldCharType="separate"/>
      </w:r>
      <w:r>
        <w:t>161</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_Toc16746 </w:instrText>
      </w:r>
      <w:r>
        <w:rPr>
          <w:bCs/>
          <w:caps/>
        </w:rPr>
        <w:fldChar w:fldCharType="separate"/>
      </w:r>
      <w:r>
        <w:rPr>
          <w:rFonts w:hint="eastAsia"/>
          <w:szCs w:val="36"/>
          <w:lang w:val="en-US" w:eastAsia="zh-CN"/>
        </w:rPr>
        <w:t>9</w:t>
      </w:r>
      <w:r>
        <w:rPr>
          <w:szCs w:val="36"/>
        </w:rPr>
        <w:t>、环境影响风险评价</w:t>
      </w:r>
      <w:r>
        <w:tab/>
      </w:r>
      <w:r>
        <w:fldChar w:fldCharType="begin"/>
      </w:r>
      <w:r>
        <w:instrText xml:space="preserve"> PAGEREF _Toc16746 </w:instrText>
      </w:r>
      <w:r>
        <w:fldChar w:fldCharType="separate"/>
      </w:r>
      <w:r>
        <w:t>164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_Toc2209 </w:instrText>
      </w:r>
      <w:r>
        <w:rPr>
          <w:bCs/>
          <w:caps/>
        </w:rPr>
        <w:fldChar w:fldCharType="separate"/>
      </w:r>
      <w:r>
        <w:rPr>
          <w:rFonts w:hint="eastAsia" w:ascii="Times New Roman" w:hAnsi="Times New Roman"/>
          <w:szCs w:val="28"/>
          <w:lang w:val="en-US" w:eastAsia="zh-CN"/>
        </w:rPr>
        <w:t>9</w:t>
      </w:r>
      <w:r>
        <w:rPr>
          <w:rFonts w:ascii="Times New Roman" w:hAnsi="Times New Roman"/>
          <w:szCs w:val="28"/>
        </w:rPr>
        <w:t>.1</w:t>
      </w:r>
      <w:r>
        <w:rPr>
          <w:rFonts w:hint="eastAsia" w:ascii="Times New Roman" w:hAnsi="Times New Roman"/>
          <w:szCs w:val="28"/>
          <w:lang w:eastAsia="zh-CN"/>
        </w:rPr>
        <w:t>环境风险调查</w:t>
      </w:r>
      <w:r>
        <w:tab/>
      </w:r>
      <w:r>
        <w:fldChar w:fldCharType="begin"/>
      </w:r>
      <w:r>
        <w:instrText xml:space="preserve"> PAGEREF _Toc2209 </w:instrText>
      </w:r>
      <w:r>
        <w:fldChar w:fldCharType="separate"/>
      </w:r>
      <w:r>
        <w:t>164</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_Toc18405 </w:instrText>
      </w:r>
      <w:r>
        <w:rPr>
          <w:bCs/>
          <w:caps/>
        </w:rPr>
        <w:fldChar w:fldCharType="separate"/>
      </w:r>
      <w:r>
        <w:rPr>
          <w:rFonts w:hint="eastAsia" w:ascii="Times New Roman" w:hAnsi="Times New Roman"/>
          <w:szCs w:val="28"/>
          <w:lang w:val="en-US" w:eastAsia="zh-CN"/>
        </w:rPr>
        <w:t>9.2风险潜势初判</w:t>
      </w:r>
      <w:r>
        <w:tab/>
      </w:r>
      <w:r>
        <w:fldChar w:fldCharType="begin"/>
      </w:r>
      <w:r>
        <w:instrText xml:space="preserve"> PAGEREF _Toc18405 </w:instrText>
      </w:r>
      <w:r>
        <w:fldChar w:fldCharType="separate"/>
      </w:r>
      <w:r>
        <w:t>165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_Toc4111 </w:instrText>
      </w:r>
      <w:r>
        <w:rPr>
          <w:bCs/>
          <w:caps/>
        </w:rPr>
        <w:fldChar w:fldCharType="separate"/>
      </w:r>
      <w:r>
        <w:rPr>
          <w:rFonts w:hint="eastAsia" w:ascii="Times New Roman" w:hAnsi="Times New Roman"/>
          <w:szCs w:val="28"/>
          <w:lang w:val="en-US" w:eastAsia="zh-CN"/>
        </w:rPr>
        <w:t>9.3评价等级</w:t>
      </w:r>
      <w:r>
        <w:tab/>
      </w:r>
      <w:r>
        <w:fldChar w:fldCharType="begin"/>
      </w:r>
      <w:r>
        <w:instrText xml:space="preserve"> PAGEREF _Toc4111 </w:instrText>
      </w:r>
      <w:r>
        <w:fldChar w:fldCharType="separate"/>
      </w:r>
      <w:r>
        <w:t>165</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_Toc6052 </w:instrText>
      </w:r>
      <w:r>
        <w:rPr>
          <w:bCs/>
          <w:caps/>
        </w:rPr>
        <w:fldChar w:fldCharType="separate"/>
      </w:r>
      <w:r>
        <w:rPr>
          <w:rFonts w:hint="eastAsia" w:ascii="Times New Roman" w:hAnsi="Times New Roman"/>
          <w:szCs w:val="28"/>
          <w:lang w:val="en-US" w:eastAsia="zh-CN"/>
        </w:rPr>
        <w:t>9.4环境敏感目标概况</w:t>
      </w:r>
      <w:r>
        <w:tab/>
      </w:r>
      <w:r>
        <w:fldChar w:fldCharType="begin"/>
      </w:r>
      <w:r>
        <w:instrText xml:space="preserve"> PAGEREF _Toc6052 </w:instrText>
      </w:r>
      <w:r>
        <w:fldChar w:fldCharType="separate"/>
      </w:r>
      <w:r>
        <w:t>166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_Toc19158 </w:instrText>
      </w:r>
      <w:r>
        <w:rPr>
          <w:bCs/>
          <w:caps/>
        </w:rPr>
        <w:fldChar w:fldCharType="separate"/>
      </w:r>
      <w:r>
        <w:rPr>
          <w:rFonts w:hint="eastAsia" w:ascii="Times New Roman" w:hAnsi="Times New Roman"/>
          <w:szCs w:val="28"/>
          <w:lang w:val="en-US" w:eastAsia="zh-CN"/>
        </w:rPr>
        <w:t>9</w:t>
      </w:r>
      <w:r>
        <w:rPr>
          <w:rFonts w:ascii="Times New Roman" w:hAnsi="Times New Roman"/>
          <w:szCs w:val="28"/>
        </w:rPr>
        <w:t>.</w:t>
      </w:r>
      <w:r>
        <w:rPr>
          <w:rFonts w:hint="eastAsia" w:ascii="Times New Roman" w:hAnsi="Times New Roman"/>
          <w:szCs w:val="28"/>
          <w:lang w:val="en-US" w:eastAsia="zh-CN"/>
        </w:rPr>
        <w:t>5</w:t>
      </w:r>
      <w:r>
        <w:rPr>
          <w:rFonts w:ascii="Times New Roman" w:hAnsi="Times New Roman"/>
          <w:szCs w:val="28"/>
        </w:rPr>
        <w:t>环境风险识别</w:t>
      </w:r>
      <w:r>
        <w:tab/>
      </w:r>
      <w:r>
        <w:fldChar w:fldCharType="begin"/>
      </w:r>
      <w:r>
        <w:instrText xml:space="preserve"> PAGEREF _Toc19158 </w:instrText>
      </w:r>
      <w:r>
        <w:fldChar w:fldCharType="separate"/>
      </w:r>
      <w:r>
        <w:t>166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_Toc21724 </w:instrText>
      </w:r>
      <w:r>
        <w:rPr>
          <w:bCs/>
          <w:caps/>
        </w:rPr>
        <w:fldChar w:fldCharType="separate"/>
      </w:r>
      <w:r>
        <w:rPr>
          <w:rFonts w:hint="eastAsia" w:ascii="Times New Roman" w:hAnsi="Times New Roman"/>
          <w:szCs w:val="28"/>
          <w:lang w:val="en-US" w:eastAsia="zh-CN"/>
        </w:rPr>
        <w:t>9.6环境风险分析</w:t>
      </w:r>
      <w:r>
        <w:tab/>
      </w:r>
      <w:r>
        <w:fldChar w:fldCharType="begin"/>
      </w:r>
      <w:r>
        <w:instrText xml:space="preserve"> PAGEREF _Toc21724 </w:instrText>
      </w:r>
      <w:r>
        <w:fldChar w:fldCharType="separate"/>
      </w:r>
      <w:r>
        <w:t>170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_Toc1962 </w:instrText>
      </w:r>
      <w:r>
        <w:rPr>
          <w:bCs/>
          <w:caps/>
        </w:rPr>
        <w:fldChar w:fldCharType="separate"/>
      </w:r>
      <w:r>
        <w:rPr>
          <w:rFonts w:hint="eastAsia" w:ascii="Times New Roman" w:hAnsi="Times New Roman" w:eastAsia="宋体" w:cs="Times New Roman"/>
          <w:szCs w:val="28"/>
          <w:lang w:val="en-US" w:eastAsia="zh-CN"/>
        </w:rPr>
        <w:t>9.7风险防范措施及应急要求</w:t>
      </w:r>
      <w:r>
        <w:tab/>
      </w:r>
      <w:r>
        <w:fldChar w:fldCharType="begin"/>
      </w:r>
      <w:r>
        <w:instrText xml:space="preserve"> PAGEREF _Toc1962 </w:instrText>
      </w:r>
      <w:r>
        <w:fldChar w:fldCharType="separate"/>
      </w:r>
      <w:r>
        <w:t>172</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_Toc2451 </w:instrText>
      </w:r>
      <w:r>
        <w:rPr>
          <w:bCs/>
          <w:caps/>
        </w:rPr>
        <w:fldChar w:fldCharType="separate"/>
      </w:r>
      <w:r>
        <w:rPr>
          <w:rFonts w:hint="eastAsia" w:ascii="Times New Roman" w:hAnsi="Times New Roman" w:cs="Times New Roman"/>
          <w:szCs w:val="28"/>
          <w:lang w:val="en-US" w:eastAsia="zh-CN"/>
        </w:rPr>
        <w:t>9</w:t>
      </w:r>
      <w:r>
        <w:rPr>
          <w:rFonts w:hint="eastAsia" w:ascii="Times New Roman" w:hAnsi="Times New Roman" w:eastAsia="宋体" w:cs="Times New Roman"/>
          <w:szCs w:val="28"/>
          <w:lang w:val="en-US" w:eastAsia="zh-CN"/>
        </w:rPr>
        <w:t>.</w:t>
      </w:r>
      <w:r>
        <w:rPr>
          <w:rFonts w:hint="eastAsia" w:ascii="Times New Roman" w:hAnsi="Times New Roman" w:cs="Times New Roman"/>
          <w:szCs w:val="28"/>
          <w:lang w:val="en-US" w:eastAsia="zh-CN"/>
        </w:rPr>
        <w:t>6</w:t>
      </w:r>
      <w:r>
        <w:rPr>
          <w:rFonts w:hint="eastAsia" w:ascii="Times New Roman" w:hAnsi="Times New Roman" w:eastAsia="宋体" w:cs="Times New Roman"/>
          <w:szCs w:val="28"/>
          <w:lang w:val="en-US" w:eastAsia="zh-CN"/>
        </w:rPr>
        <w:t>环境风险分析结论</w:t>
      </w:r>
      <w:r>
        <w:tab/>
      </w:r>
      <w:r>
        <w:fldChar w:fldCharType="begin"/>
      </w:r>
      <w:r>
        <w:instrText xml:space="preserve"> PAGEREF _Toc2451 </w:instrText>
      </w:r>
      <w:r>
        <w:fldChar w:fldCharType="separate"/>
      </w:r>
      <w:r>
        <w:t>178</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_Toc19979 </w:instrText>
      </w:r>
      <w:r>
        <w:rPr>
          <w:bCs/>
          <w:caps/>
        </w:rPr>
        <w:fldChar w:fldCharType="separate"/>
      </w:r>
      <w:r>
        <w:rPr>
          <w:rFonts w:hint="eastAsia"/>
          <w:szCs w:val="36"/>
          <w:lang w:val="en-US" w:eastAsia="zh-CN"/>
        </w:rPr>
        <w:t>10</w:t>
      </w:r>
      <w:r>
        <w:rPr>
          <w:szCs w:val="36"/>
        </w:rPr>
        <w:t>、环境保护措施及其经济技术论证</w:t>
      </w:r>
      <w:r>
        <w:tab/>
      </w:r>
      <w:r>
        <w:fldChar w:fldCharType="begin"/>
      </w:r>
      <w:r>
        <w:instrText xml:space="preserve"> PAGEREF _Toc19979 </w:instrText>
      </w:r>
      <w:r>
        <w:fldChar w:fldCharType="separate"/>
      </w:r>
      <w:r>
        <w:t>179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_Toc5756 </w:instrText>
      </w:r>
      <w:r>
        <w:rPr>
          <w:bCs/>
          <w:caps/>
        </w:rPr>
        <w:fldChar w:fldCharType="separate"/>
      </w:r>
      <w:r>
        <w:rPr>
          <w:rFonts w:hint="eastAsia" w:ascii="Times New Roman" w:hAnsi="Times New Roman" w:eastAsia="宋体" w:cs="Times New Roman"/>
          <w:szCs w:val="28"/>
          <w:lang w:val="en-US" w:eastAsia="zh-CN"/>
        </w:rPr>
        <w:t>1</w:t>
      </w:r>
      <w:r>
        <w:rPr>
          <w:rFonts w:hint="eastAsia" w:ascii="Times New Roman" w:hAnsi="Times New Roman" w:cs="Times New Roman"/>
          <w:szCs w:val="28"/>
          <w:lang w:val="en-US" w:eastAsia="zh-CN"/>
        </w:rPr>
        <w:t>0</w:t>
      </w:r>
      <w:r>
        <w:rPr>
          <w:rFonts w:hint="eastAsia" w:ascii="Times New Roman" w:hAnsi="Times New Roman" w:eastAsia="宋体" w:cs="Times New Roman"/>
          <w:szCs w:val="28"/>
          <w:lang w:val="en-US" w:eastAsia="zh-CN"/>
        </w:rPr>
        <w:t>.1施工期环保措施及技术、经济</w:t>
      </w:r>
      <w:r>
        <w:rPr>
          <w:rFonts w:hint="eastAsia" w:ascii="Times New Roman" w:hAnsi="Times New Roman" w:cs="Times New Roman"/>
          <w:szCs w:val="28"/>
          <w:lang w:val="en-US" w:eastAsia="zh-CN"/>
        </w:rPr>
        <w:t>技术</w:t>
      </w:r>
      <w:r>
        <w:rPr>
          <w:rFonts w:hint="eastAsia" w:ascii="Times New Roman" w:hAnsi="Times New Roman" w:eastAsia="宋体" w:cs="Times New Roman"/>
          <w:szCs w:val="28"/>
          <w:lang w:val="en-US" w:eastAsia="zh-CN"/>
        </w:rPr>
        <w:t>论证</w:t>
      </w:r>
      <w:r>
        <w:tab/>
      </w:r>
      <w:r>
        <w:fldChar w:fldCharType="begin"/>
      </w:r>
      <w:r>
        <w:instrText xml:space="preserve"> PAGEREF _Toc5756 </w:instrText>
      </w:r>
      <w:r>
        <w:fldChar w:fldCharType="separate"/>
      </w:r>
      <w:r>
        <w:t>179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_Toc24142 </w:instrText>
      </w:r>
      <w:r>
        <w:rPr>
          <w:bCs/>
          <w:caps/>
        </w:rPr>
        <w:fldChar w:fldCharType="separate"/>
      </w:r>
      <w:r>
        <w:rPr>
          <w:rFonts w:hint="eastAsia" w:ascii="Times New Roman" w:hAnsi="Times New Roman" w:eastAsia="宋体" w:cs="Times New Roman"/>
          <w:szCs w:val="28"/>
          <w:lang w:val="en-US" w:eastAsia="zh-CN"/>
        </w:rPr>
        <w:t>1</w:t>
      </w:r>
      <w:r>
        <w:rPr>
          <w:rFonts w:hint="eastAsia" w:ascii="Times New Roman" w:hAnsi="Times New Roman" w:cs="Times New Roman"/>
          <w:szCs w:val="28"/>
          <w:lang w:val="en-US" w:eastAsia="zh-CN"/>
        </w:rPr>
        <w:t>0</w:t>
      </w:r>
      <w:r>
        <w:rPr>
          <w:rFonts w:hint="eastAsia" w:ascii="Times New Roman" w:hAnsi="Times New Roman" w:eastAsia="宋体" w:cs="Times New Roman"/>
          <w:szCs w:val="28"/>
          <w:lang w:val="en-US" w:eastAsia="zh-CN"/>
        </w:rPr>
        <w:t>.2营运期污染防治措施</w:t>
      </w:r>
      <w:r>
        <w:rPr>
          <w:rFonts w:hint="eastAsia" w:ascii="Times New Roman" w:hAnsi="Times New Roman" w:cs="Times New Roman"/>
          <w:szCs w:val="28"/>
          <w:lang w:val="en-US" w:eastAsia="zh-CN"/>
        </w:rPr>
        <w:t>及技术、经济技术论证</w:t>
      </w:r>
      <w:r>
        <w:tab/>
      </w:r>
      <w:r>
        <w:fldChar w:fldCharType="begin"/>
      </w:r>
      <w:r>
        <w:instrText xml:space="preserve"> PAGEREF _Toc24142 </w:instrText>
      </w:r>
      <w:r>
        <w:fldChar w:fldCharType="separate"/>
      </w:r>
      <w:r>
        <w:t>179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_Toc15193 </w:instrText>
      </w:r>
      <w:r>
        <w:rPr>
          <w:bCs/>
          <w:caps/>
        </w:rPr>
        <w:fldChar w:fldCharType="separate"/>
      </w:r>
      <w:r>
        <w:rPr>
          <w:rFonts w:hint="eastAsia" w:ascii="Times New Roman" w:hAnsi="Times New Roman" w:eastAsia="宋体" w:cs="Times New Roman"/>
          <w:szCs w:val="28"/>
          <w:lang w:val="en-US" w:eastAsia="zh-CN"/>
        </w:rPr>
        <w:t>1</w:t>
      </w:r>
      <w:r>
        <w:rPr>
          <w:rFonts w:hint="eastAsia" w:ascii="Times New Roman" w:hAnsi="Times New Roman" w:cs="Times New Roman"/>
          <w:szCs w:val="28"/>
          <w:lang w:val="en-US" w:eastAsia="zh-CN"/>
        </w:rPr>
        <w:t>0</w:t>
      </w:r>
      <w:r>
        <w:rPr>
          <w:rFonts w:hint="eastAsia" w:ascii="Times New Roman" w:hAnsi="Times New Roman" w:eastAsia="宋体" w:cs="Times New Roman"/>
          <w:szCs w:val="28"/>
          <w:lang w:val="en-US" w:eastAsia="zh-CN"/>
        </w:rPr>
        <w:t>.3环保投资清单</w:t>
      </w:r>
      <w:r>
        <w:tab/>
      </w:r>
      <w:r>
        <w:fldChar w:fldCharType="begin"/>
      </w:r>
      <w:r>
        <w:instrText xml:space="preserve"> PAGEREF _Toc15193 </w:instrText>
      </w:r>
      <w:r>
        <w:fldChar w:fldCharType="separate"/>
      </w:r>
      <w:r>
        <w:t>194</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_Toc32486 </w:instrText>
      </w:r>
      <w:r>
        <w:rPr>
          <w:bCs/>
          <w:caps/>
        </w:rPr>
        <w:fldChar w:fldCharType="separate"/>
      </w:r>
      <w:r>
        <w:rPr>
          <w:szCs w:val="36"/>
        </w:rPr>
        <w:t>1</w:t>
      </w:r>
      <w:r>
        <w:rPr>
          <w:rFonts w:hint="eastAsia"/>
          <w:szCs w:val="36"/>
          <w:lang w:val="en-US" w:eastAsia="zh-CN"/>
        </w:rPr>
        <w:t>1</w:t>
      </w:r>
      <w:r>
        <w:rPr>
          <w:szCs w:val="36"/>
        </w:rPr>
        <w:t>、环境影响经济损益分析</w:t>
      </w:r>
      <w:r>
        <w:tab/>
      </w:r>
      <w:r>
        <w:fldChar w:fldCharType="begin"/>
      </w:r>
      <w:r>
        <w:instrText xml:space="preserve"> PAGEREF _Toc32486 </w:instrText>
      </w:r>
      <w:r>
        <w:fldChar w:fldCharType="separate"/>
      </w:r>
      <w:r>
        <w:t>196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_Toc31649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1</w:t>
      </w:r>
      <w:r>
        <w:rPr>
          <w:rFonts w:ascii="Times New Roman" w:hAnsi="Times New Roman"/>
          <w:szCs w:val="28"/>
        </w:rPr>
        <w:t>.1</w:t>
      </w:r>
      <w:r>
        <w:rPr>
          <w:rFonts w:hint="eastAsia" w:ascii="Times New Roman" w:hAnsi="Times New Roman"/>
          <w:szCs w:val="28"/>
          <w:lang w:eastAsia="zh-CN"/>
        </w:rPr>
        <w:t>项目的经济效益</w:t>
      </w:r>
      <w:r>
        <w:tab/>
      </w:r>
      <w:r>
        <w:fldChar w:fldCharType="begin"/>
      </w:r>
      <w:r>
        <w:instrText xml:space="preserve"> PAGEREF _Toc31649 </w:instrText>
      </w:r>
      <w:r>
        <w:fldChar w:fldCharType="separate"/>
      </w:r>
      <w:r>
        <w:t>196</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_Toc26872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1</w:t>
      </w:r>
      <w:r>
        <w:rPr>
          <w:rFonts w:ascii="Times New Roman" w:hAnsi="Times New Roman"/>
          <w:szCs w:val="28"/>
        </w:rPr>
        <w:t>.2社会效益分析</w:t>
      </w:r>
      <w:r>
        <w:tab/>
      </w:r>
      <w:r>
        <w:fldChar w:fldCharType="begin"/>
      </w:r>
      <w:r>
        <w:instrText xml:space="preserve"> PAGEREF _Toc26872 </w:instrText>
      </w:r>
      <w:r>
        <w:fldChar w:fldCharType="separate"/>
      </w:r>
      <w:r>
        <w:t>197</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_Toc2379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1</w:t>
      </w:r>
      <w:r>
        <w:rPr>
          <w:rFonts w:ascii="Times New Roman" w:hAnsi="Times New Roman"/>
          <w:szCs w:val="28"/>
        </w:rPr>
        <w:t>.3环境</w:t>
      </w:r>
      <w:r>
        <w:rPr>
          <w:rFonts w:hint="eastAsia" w:ascii="Times New Roman" w:hAnsi="Times New Roman"/>
          <w:szCs w:val="28"/>
          <w:lang w:eastAsia="zh-CN"/>
        </w:rPr>
        <w:t>效益</w:t>
      </w:r>
      <w:r>
        <w:rPr>
          <w:rFonts w:ascii="Times New Roman" w:hAnsi="Times New Roman"/>
          <w:szCs w:val="28"/>
        </w:rPr>
        <w:t>分析</w:t>
      </w:r>
      <w:r>
        <w:tab/>
      </w:r>
      <w:r>
        <w:fldChar w:fldCharType="begin"/>
      </w:r>
      <w:r>
        <w:instrText xml:space="preserve"> PAGEREF _Toc2379 </w:instrText>
      </w:r>
      <w:r>
        <w:fldChar w:fldCharType="separate"/>
      </w:r>
      <w:r>
        <w:t>197</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_Toc30332 </w:instrText>
      </w:r>
      <w:r>
        <w:rPr>
          <w:bCs/>
          <w:caps/>
        </w:rPr>
        <w:fldChar w:fldCharType="separate"/>
      </w:r>
      <w:r>
        <w:rPr>
          <w:rFonts w:hint="eastAsia" w:ascii="Times New Roman" w:hAnsi="Times New Roman"/>
          <w:szCs w:val="28"/>
          <w:lang w:val="en-US" w:eastAsia="zh-CN"/>
        </w:rPr>
        <w:t>11.4本项目环保投资效益分析</w:t>
      </w:r>
      <w:r>
        <w:tab/>
      </w:r>
      <w:r>
        <w:fldChar w:fldCharType="begin"/>
      </w:r>
      <w:r>
        <w:instrText xml:space="preserve"> PAGEREF _Toc30332 </w:instrText>
      </w:r>
      <w:r>
        <w:fldChar w:fldCharType="separate"/>
      </w:r>
      <w:r>
        <w:t>198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_Toc28385 </w:instrText>
      </w:r>
      <w:r>
        <w:rPr>
          <w:bCs/>
          <w:caps/>
        </w:rPr>
        <w:fldChar w:fldCharType="separate"/>
      </w:r>
      <w:r>
        <w:rPr>
          <w:rFonts w:hint="eastAsia" w:ascii="Times New Roman" w:hAnsi="Times New Roman"/>
          <w:szCs w:val="28"/>
          <w:lang w:val="en-US" w:eastAsia="zh-CN"/>
        </w:rPr>
        <w:t>11.5小结</w:t>
      </w:r>
      <w:r>
        <w:tab/>
      </w:r>
      <w:r>
        <w:fldChar w:fldCharType="begin"/>
      </w:r>
      <w:r>
        <w:instrText xml:space="preserve"> PAGEREF _Toc28385 </w:instrText>
      </w:r>
      <w:r>
        <w:fldChar w:fldCharType="separate"/>
      </w:r>
      <w:r>
        <w:t>199</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_Toc1655 </w:instrText>
      </w:r>
      <w:r>
        <w:rPr>
          <w:bCs/>
          <w:caps/>
        </w:rPr>
        <w:fldChar w:fldCharType="separate"/>
      </w:r>
      <w:r>
        <w:rPr>
          <w:szCs w:val="36"/>
        </w:rPr>
        <w:t>1</w:t>
      </w:r>
      <w:r>
        <w:rPr>
          <w:rFonts w:hint="eastAsia"/>
          <w:szCs w:val="36"/>
          <w:lang w:val="en-US" w:eastAsia="zh-CN"/>
        </w:rPr>
        <w:t>2</w:t>
      </w:r>
      <w:r>
        <w:rPr>
          <w:szCs w:val="36"/>
        </w:rPr>
        <w:t>、环境管理与环境监测计划</w:t>
      </w:r>
      <w:r>
        <w:tab/>
      </w:r>
      <w:r>
        <w:fldChar w:fldCharType="begin"/>
      </w:r>
      <w:r>
        <w:instrText xml:space="preserve"> PAGEREF _Toc1655 </w:instrText>
      </w:r>
      <w:r>
        <w:fldChar w:fldCharType="separate"/>
      </w:r>
      <w:r>
        <w:t>200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_Toc15186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2</w:t>
      </w:r>
      <w:r>
        <w:rPr>
          <w:rFonts w:ascii="Times New Roman" w:hAnsi="Times New Roman"/>
          <w:szCs w:val="28"/>
        </w:rPr>
        <w:t>.1施工期环境管理</w:t>
      </w:r>
      <w:r>
        <w:tab/>
      </w:r>
      <w:r>
        <w:fldChar w:fldCharType="begin"/>
      </w:r>
      <w:r>
        <w:instrText xml:space="preserve"> PAGEREF _Toc15186 </w:instrText>
      </w:r>
      <w:r>
        <w:fldChar w:fldCharType="separate"/>
      </w:r>
      <w:r>
        <w:t>200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_Toc28702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2</w:t>
      </w:r>
      <w:r>
        <w:rPr>
          <w:rFonts w:ascii="Times New Roman" w:hAnsi="Times New Roman"/>
          <w:szCs w:val="28"/>
        </w:rPr>
        <w:t>.2营运期环境管理</w:t>
      </w:r>
      <w:r>
        <w:tab/>
      </w:r>
      <w:r>
        <w:fldChar w:fldCharType="begin"/>
      </w:r>
      <w:r>
        <w:instrText xml:space="preserve"> PAGEREF _Toc28702 </w:instrText>
      </w:r>
      <w:r>
        <w:fldChar w:fldCharType="separate"/>
      </w:r>
      <w:r>
        <w:t>200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_Toc17682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2</w:t>
      </w:r>
      <w:r>
        <w:rPr>
          <w:rFonts w:ascii="Times New Roman" w:hAnsi="Times New Roman"/>
          <w:szCs w:val="28"/>
        </w:rPr>
        <w:t>.3环境监测计划</w:t>
      </w:r>
      <w:r>
        <w:tab/>
      </w:r>
      <w:r>
        <w:fldChar w:fldCharType="begin"/>
      </w:r>
      <w:r>
        <w:instrText xml:space="preserve"> PAGEREF _Toc17682 </w:instrText>
      </w:r>
      <w:r>
        <w:fldChar w:fldCharType="separate"/>
      </w:r>
      <w:r>
        <w:t>205</w:t>
      </w:r>
      <w:r>
        <w:fldChar w:fldCharType="end"/>
      </w:r>
      <w:r>
        <w:rPr>
          <w:bCs/>
          <w:caps/>
          <w:u w:val="none"/>
        </w:rPr>
        <w:fldChar w:fldCharType="end"/>
      </w:r>
    </w:p>
    <w:p>
      <w:pPr>
        <w:pStyle w:val="39"/>
        <w:tabs>
          <w:tab w:val="right" w:leader="dot" w:pos="9073"/>
        </w:tabs>
      </w:pPr>
      <w:r>
        <w:rPr>
          <w:bCs/>
          <w:caps/>
          <w:u w:val="none"/>
        </w:rPr>
        <w:fldChar w:fldCharType="begin"/>
      </w:r>
      <w:r>
        <w:rPr>
          <w:bCs/>
          <w:caps/>
        </w:rPr>
        <w:instrText xml:space="preserve"> HYPERLINK \l _Toc25561 </w:instrText>
      </w:r>
      <w:r>
        <w:rPr>
          <w:bCs/>
          <w:caps/>
        </w:rPr>
        <w:fldChar w:fldCharType="separate"/>
      </w:r>
      <w:r>
        <w:rPr>
          <w:szCs w:val="36"/>
        </w:rPr>
        <w:t>1</w:t>
      </w:r>
      <w:r>
        <w:rPr>
          <w:rFonts w:hint="eastAsia"/>
          <w:szCs w:val="36"/>
          <w:lang w:val="en-US" w:eastAsia="zh-CN"/>
        </w:rPr>
        <w:t>3</w:t>
      </w:r>
      <w:r>
        <w:rPr>
          <w:szCs w:val="36"/>
        </w:rPr>
        <w:t>、环境影响评价结论与建议</w:t>
      </w:r>
      <w:r>
        <w:tab/>
      </w:r>
      <w:r>
        <w:fldChar w:fldCharType="begin"/>
      </w:r>
      <w:r>
        <w:instrText xml:space="preserve"> PAGEREF _Toc25561 </w:instrText>
      </w:r>
      <w:r>
        <w:fldChar w:fldCharType="separate"/>
      </w:r>
      <w:r>
        <w:t>208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_Toc1936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3</w:t>
      </w:r>
      <w:r>
        <w:rPr>
          <w:rFonts w:ascii="Times New Roman" w:hAnsi="Times New Roman"/>
          <w:szCs w:val="28"/>
        </w:rPr>
        <w:t>.1项目概况</w:t>
      </w:r>
      <w:r>
        <w:tab/>
      </w:r>
      <w:r>
        <w:fldChar w:fldCharType="begin"/>
      </w:r>
      <w:r>
        <w:instrText xml:space="preserve"> PAGEREF _Toc1936 </w:instrText>
      </w:r>
      <w:r>
        <w:fldChar w:fldCharType="separate"/>
      </w:r>
      <w:r>
        <w:t>208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_Toc20854 </w:instrText>
      </w:r>
      <w:r>
        <w:rPr>
          <w:bCs/>
          <w:caps/>
        </w:rPr>
        <w:fldChar w:fldCharType="separate"/>
      </w:r>
      <w:r>
        <w:rPr>
          <w:rFonts w:ascii="Times New Roman" w:hAnsi="Times New Roman"/>
          <w:szCs w:val="28"/>
        </w:rPr>
        <w:t>1</w:t>
      </w:r>
      <w:r>
        <w:rPr>
          <w:rFonts w:hint="eastAsia" w:ascii="Times New Roman" w:hAnsi="Times New Roman"/>
          <w:szCs w:val="28"/>
          <w:lang w:val="en-US" w:eastAsia="zh-CN"/>
        </w:rPr>
        <w:t>3</w:t>
      </w:r>
      <w:r>
        <w:rPr>
          <w:rFonts w:ascii="Times New Roman" w:hAnsi="Times New Roman"/>
          <w:szCs w:val="28"/>
        </w:rPr>
        <w:t>.2产业政策及规划符合性</w:t>
      </w:r>
      <w:r>
        <w:tab/>
      </w:r>
      <w:r>
        <w:fldChar w:fldCharType="begin"/>
      </w:r>
      <w:r>
        <w:instrText xml:space="preserve"> PAGEREF _Toc20854 </w:instrText>
      </w:r>
      <w:r>
        <w:fldChar w:fldCharType="separate"/>
      </w:r>
      <w:r>
        <w:t>208</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_Toc29964 </w:instrText>
      </w:r>
      <w:r>
        <w:rPr>
          <w:bCs/>
          <w:caps/>
        </w:rPr>
        <w:fldChar w:fldCharType="separate"/>
      </w:r>
      <w:r>
        <w:rPr>
          <w:rFonts w:hint="eastAsia" w:ascii="Times New Roman" w:hAnsi="Times New Roman"/>
          <w:szCs w:val="28"/>
          <w:lang w:val="en-US" w:eastAsia="zh-CN"/>
        </w:rPr>
        <w:t>13.3区域环境质量现状</w:t>
      </w:r>
      <w:r>
        <w:tab/>
      </w:r>
      <w:r>
        <w:fldChar w:fldCharType="begin"/>
      </w:r>
      <w:r>
        <w:instrText xml:space="preserve"> PAGEREF _Toc29964 </w:instrText>
      </w:r>
      <w:r>
        <w:fldChar w:fldCharType="separate"/>
      </w:r>
      <w:r>
        <w:t>209</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_Toc25891 </w:instrText>
      </w:r>
      <w:r>
        <w:rPr>
          <w:bCs/>
          <w:caps/>
        </w:rPr>
        <w:fldChar w:fldCharType="separate"/>
      </w:r>
      <w:r>
        <w:rPr>
          <w:rFonts w:hint="eastAsia" w:ascii="Times New Roman" w:hAnsi="Times New Roman"/>
          <w:szCs w:val="28"/>
          <w:lang w:val="en-US" w:eastAsia="zh-CN"/>
        </w:rPr>
        <w:t>13.4环保措施及环境影响结论</w:t>
      </w:r>
      <w:r>
        <w:tab/>
      </w:r>
      <w:r>
        <w:fldChar w:fldCharType="begin"/>
      </w:r>
      <w:r>
        <w:instrText xml:space="preserve"> PAGEREF _Toc25891 </w:instrText>
      </w:r>
      <w:r>
        <w:fldChar w:fldCharType="separate"/>
      </w:r>
      <w:r>
        <w:t>210</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_Toc10311 </w:instrText>
      </w:r>
      <w:r>
        <w:rPr>
          <w:bCs/>
          <w:caps/>
        </w:rPr>
        <w:fldChar w:fldCharType="separate"/>
      </w:r>
      <w:r>
        <w:rPr>
          <w:rFonts w:hint="eastAsia" w:ascii="Times New Roman" w:hAnsi="Times New Roman"/>
          <w:szCs w:val="28"/>
          <w:lang w:val="en-US" w:eastAsia="zh-CN"/>
        </w:rPr>
        <w:t>13.5总量控制</w:t>
      </w:r>
      <w:r>
        <w:tab/>
      </w:r>
      <w:r>
        <w:fldChar w:fldCharType="begin"/>
      </w:r>
      <w:r>
        <w:instrText xml:space="preserve"> PAGEREF _Toc10311 </w:instrText>
      </w:r>
      <w:r>
        <w:fldChar w:fldCharType="separate"/>
      </w:r>
      <w:r>
        <w:t>212</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_Toc30932 </w:instrText>
      </w:r>
      <w:r>
        <w:rPr>
          <w:bCs/>
          <w:caps/>
        </w:rPr>
        <w:fldChar w:fldCharType="separate"/>
      </w:r>
      <w:r>
        <w:rPr>
          <w:rFonts w:hint="eastAsia" w:ascii="Times New Roman" w:hAnsi="Times New Roman"/>
          <w:szCs w:val="28"/>
          <w:lang w:val="en-US" w:eastAsia="zh-CN"/>
        </w:rPr>
        <w:t>13.6公众参与</w:t>
      </w:r>
      <w:r>
        <w:tab/>
      </w:r>
      <w:r>
        <w:fldChar w:fldCharType="begin"/>
      </w:r>
      <w:r>
        <w:instrText xml:space="preserve"> PAGEREF _Toc30932 </w:instrText>
      </w:r>
      <w:r>
        <w:fldChar w:fldCharType="separate"/>
      </w:r>
      <w:r>
        <w:t>212</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_Toc31920 </w:instrText>
      </w:r>
      <w:r>
        <w:rPr>
          <w:bCs/>
          <w:caps/>
        </w:rPr>
        <w:fldChar w:fldCharType="separate"/>
      </w:r>
      <w:r>
        <w:rPr>
          <w:rFonts w:hint="eastAsia" w:ascii="Times New Roman" w:hAnsi="Times New Roman"/>
          <w:szCs w:val="28"/>
          <w:lang w:val="en-US" w:eastAsia="zh-CN"/>
        </w:rPr>
        <w:t>13.9建设项目环境保护可行性结论</w:t>
      </w:r>
      <w:r>
        <w:tab/>
      </w:r>
      <w:r>
        <w:fldChar w:fldCharType="begin"/>
      </w:r>
      <w:r>
        <w:instrText xml:space="preserve"> PAGEREF _Toc31920 </w:instrText>
      </w:r>
      <w:r>
        <w:fldChar w:fldCharType="separate"/>
      </w:r>
      <w:r>
        <w:t>212</w:t>
      </w:r>
      <w:r>
        <w:fldChar w:fldCharType="end"/>
      </w:r>
      <w:r>
        <w:rPr>
          <w:bCs/>
          <w:caps/>
          <w:u w:val="none"/>
        </w:rPr>
        <w:fldChar w:fldCharType="end"/>
      </w:r>
    </w:p>
    <w:p>
      <w:pPr>
        <w:pStyle w:val="49"/>
        <w:tabs>
          <w:tab w:val="right" w:leader="dot" w:pos="9073"/>
        </w:tabs>
      </w:pPr>
      <w:r>
        <w:rPr>
          <w:bCs/>
          <w:caps/>
          <w:u w:val="none"/>
        </w:rPr>
        <w:fldChar w:fldCharType="begin"/>
      </w:r>
      <w:r>
        <w:rPr>
          <w:bCs/>
          <w:caps/>
        </w:rPr>
        <w:instrText xml:space="preserve"> HYPERLINK \l _Toc1605 </w:instrText>
      </w:r>
      <w:r>
        <w:rPr>
          <w:bCs/>
          <w:caps/>
        </w:rPr>
        <w:fldChar w:fldCharType="separate"/>
      </w:r>
      <w:r>
        <w:rPr>
          <w:rFonts w:hint="eastAsia" w:ascii="Times New Roman" w:hAnsi="Times New Roman"/>
          <w:szCs w:val="28"/>
          <w:lang w:val="en-US" w:eastAsia="zh-CN"/>
        </w:rPr>
        <w:t>13.10要求及建议</w:t>
      </w:r>
      <w:r>
        <w:tab/>
      </w:r>
      <w:r>
        <w:fldChar w:fldCharType="begin"/>
      </w:r>
      <w:r>
        <w:instrText xml:space="preserve"> PAGEREF _Toc1605 </w:instrText>
      </w:r>
      <w:r>
        <w:fldChar w:fldCharType="separate"/>
      </w:r>
      <w:r>
        <w:t>212</w:t>
      </w:r>
      <w:r>
        <w:fldChar w:fldCharType="end"/>
      </w:r>
      <w:r>
        <w:rPr>
          <w:bCs/>
          <w:caps/>
          <w:u w:val="none"/>
        </w:rPr>
        <w:fldChar w:fldCharType="end"/>
      </w:r>
    </w:p>
    <w:p>
      <w:pPr>
        <w:rPr>
          <w:b/>
          <w:bCs/>
          <w:caps/>
          <w:sz w:val="24"/>
          <w:u w:val="none"/>
        </w:rPr>
      </w:pPr>
      <w:r>
        <w:rPr>
          <w:bCs/>
          <w:caps/>
          <w:u w:val="none"/>
        </w:rPr>
        <w:fldChar w:fldCharType="end"/>
      </w:r>
    </w:p>
    <w:p>
      <w:pPr>
        <w:jc w:val="center"/>
        <w:rPr>
          <w:b/>
          <w:sz w:val="36"/>
          <w:szCs w:val="36"/>
          <w:u w:val="none"/>
        </w:rPr>
        <w:sectPr>
          <w:pgSz w:w="11907" w:h="16840"/>
          <w:pgMar w:top="1712" w:right="1417" w:bottom="1440" w:left="1417" w:header="851" w:footer="992" w:gutter="0"/>
          <w:pgBorders>
            <w:top w:val="none" w:sz="0" w:space="0"/>
            <w:left w:val="none" w:sz="0" w:space="0"/>
            <w:bottom w:val="none" w:sz="0" w:space="0"/>
            <w:right w:val="none" w:sz="0" w:space="0"/>
          </w:pgBorders>
          <w:pgNumType w:fmt="numberInDash" w:start="1" w:chapSep="emDash"/>
          <w:cols w:space="0" w:num="1"/>
          <w:rtlGutter w:val="0"/>
          <w:docGrid w:linePitch="0"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p>
      <w:pPr>
        <w:pStyle w:val="2"/>
        <w:topLinePunct/>
        <w:spacing w:before="0" w:after="0" w:line="360" w:lineRule="auto"/>
        <w:rPr>
          <w:sz w:val="36"/>
          <w:szCs w:val="36"/>
          <w:u w:val="none"/>
        </w:rPr>
      </w:pPr>
      <w:bookmarkStart w:id="16" w:name="_Toc4837"/>
      <w:r>
        <w:rPr>
          <w:sz w:val="36"/>
          <w:szCs w:val="36"/>
          <w:u w:val="none"/>
        </w:rPr>
        <w:t>1、概述</w:t>
      </w:r>
      <w:bookmarkEnd w:id="16"/>
    </w:p>
    <w:p>
      <w:pPr>
        <w:pStyle w:val="3"/>
        <w:rPr>
          <w:rFonts w:ascii="Times New Roman" w:hAnsi="Times New Roman"/>
          <w:sz w:val="28"/>
          <w:szCs w:val="28"/>
          <w:u w:val="none"/>
        </w:rPr>
      </w:pPr>
      <w:bookmarkStart w:id="17" w:name="_Toc24275"/>
      <w:r>
        <w:rPr>
          <w:rFonts w:ascii="Times New Roman" w:hAnsi="Times New Roman"/>
          <w:sz w:val="28"/>
          <w:szCs w:val="28"/>
          <w:u w:val="none"/>
        </w:rPr>
        <w:t>1.1项目由来</w:t>
      </w:r>
      <w:bookmarkEnd w:id="1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u w:val="none"/>
          <w:lang w:eastAsia="zh-CN"/>
        </w:rPr>
      </w:pPr>
      <w:r>
        <w:rPr>
          <w:rFonts w:hint="eastAsia" w:ascii="宋体" w:hAnsi="宋体" w:eastAsia="宋体" w:cs="宋体"/>
          <w:sz w:val="24"/>
          <w:u w:val="none"/>
          <w:lang w:eastAsia="zh-CN"/>
        </w:rPr>
        <w:t>医疗废弃物是一种特殊的污染物，虽然与各种固体废弃物相比，其总量不大，但由于这类废弃物是有害病菌、病毒的传播源头之一，也是产生各种传染病及病虫害的污染源之一。其含有大量传染性病原体，危害性明显高于普通生活垃圾，若管理不严或处置不当，医疗废物极易造成对水体、土壤和空气的污染，极易成为传播病毒的源头造成疫情的扩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cs="宋体"/>
          <w:sz w:val="24"/>
          <w:u w:val="none"/>
          <w:lang w:eastAsia="zh-CN"/>
        </w:rPr>
      </w:pPr>
      <w:r>
        <w:rPr>
          <w:rFonts w:hint="eastAsia" w:ascii="宋体" w:hAnsi="宋体" w:cs="宋体"/>
          <w:sz w:val="24"/>
          <w:u w:val="none"/>
          <w:lang w:eastAsia="zh-CN"/>
        </w:rPr>
        <w:t>随着经济发展、社会进步以及人口的持续增长，旺苍县医院的数量和规模日益增大，医疗废弃物的产量也随之不断增加。然而目前，旺苍县并没有专业的医疗废弃物处理中心，未对医疗废物实行集中处置，医疗废物由各医院分散处置，致使医疗废物在管理和处置上存在许多问题。为改善辖区医疗废弃物污染现状，切断病毒传播途径、防止扩散，保护人民群众身体健康，提供一个更加卫生、舒适的生活环境，旺苍县卫生健康局拟选址于旺苍县东河镇嘉川镇，建设旺苍县医疗废物处置中心建设项目（以下简称“本项目”），对全县的医疗废弃物进行集中处理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u w:val="none"/>
          <w:lang w:val="en-US" w:eastAsia="zh-CN"/>
        </w:rPr>
      </w:pPr>
      <w:r>
        <w:rPr>
          <w:rFonts w:hint="eastAsia" w:ascii="宋体" w:hAnsi="宋体" w:cs="宋体"/>
          <w:sz w:val="24"/>
          <w:u w:val="none"/>
          <w:lang w:eastAsia="zh-CN"/>
        </w:rPr>
        <w:t>根据《中华人民共和国环境影响评价法》、《建设项目环境保护管理条例》和《建设项目环境影响评价分类管理名录》的规定，本项目属于“三十四、环境治理业；100 危险废物（含医疗废物）利用及处置；利用及处置的（单独收集、病死动物化尸窖（井）除外）”应编制环境影响报告书。受项目建设单位委托，</w:t>
      </w:r>
      <w:r>
        <w:rPr>
          <w:rFonts w:hint="eastAsia" w:ascii="宋体" w:hAnsi="宋体" w:cs="宋体"/>
          <w:sz w:val="24"/>
          <w:u w:val="none"/>
          <w:lang w:val="en-US" w:eastAsia="zh-CN"/>
        </w:rPr>
        <w:t>四川清元环保科技开发有限公司承担本项目环境影响评价工作（委托书见附件）。接受委托后，我公司及时组织相关专业技术人员进行现场踏勘、资料搜集与调研，在此基础上按照环境影响评价技术导则的要求，完成了项目环境影响报告书的编制，提交建设单位，供环保部门审查批准。</w:t>
      </w:r>
    </w:p>
    <w:p>
      <w:pPr>
        <w:pStyle w:val="3"/>
        <w:rPr>
          <w:rFonts w:hint="eastAsia" w:ascii="Times New Roman" w:hAnsi="Times New Roman"/>
          <w:sz w:val="28"/>
          <w:szCs w:val="28"/>
          <w:u w:val="none"/>
          <w:lang w:val="en-US" w:eastAsia="zh-CN"/>
        </w:rPr>
      </w:pPr>
      <w:bookmarkStart w:id="18" w:name="_Toc5944"/>
      <w:r>
        <w:rPr>
          <w:rFonts w:hint="eastAsia" w:ascii="Times New Roman" w:hAnsi="Times New Roman"/>
          <w:sz w:val="28"/>
          <w:szCs w:val="28"/>
          <w:u w:val="none"/>
          <w:lang w:val="en-US" w:eastAsia="zh-CN"/>
        </w:rPr>
        <w:t>1.2环境影响评价的过程</w:t>
      </w:r>
      <w:bookmarkEnd w:id="18"/>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本项目环境影响评价工作分为三个阶段，即前期准备、调研和工作方案阶段，分析论证和预测阶段，环境影响评价文件编制阶段，具体流程见环境影响评价工作程序图1-1。</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drawing>
          <wp:inline distT="0" distB="0" distL="0" distR="0">
            <wp:extent cx="4888230" cy="6319520"/>
            <wp:effectExtent l="0" t="0" r="7620" b="5080"/>
            <wp:docPr id="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88230" cy="6319520"/>
                    </a:xfrm>
                    <a:prstGeom prst="rect">
                      <a:avLst/>
                    </a:prstGeom>
                    <a:noFill/>
                    <a:ln>
                      <a:noFill/>
                    </a:ln>
                  </pic:spPr>
                </pic:pic>
              </a:graphicData>
            </a:graphic>
          </wp:inline>
        </w:drawing>
      </w:r>
    </w:p>
    <w:p>
      <w:pPr>
        <w:topLinePunct/>
        <w:spacing w:line="240" w:lineRule="auto"/>
        <w:ind w:firstLine="422" w:firstLineChars="200"/>
        <w:jc w:val="center"/>
        <w:rPr>
          <w:rFonts w:hint="eastAsia"/>
          <w:b/>
          <w:bCs/>
          <w:sz w:val="21"/>
          <w:szCs w:val="21"/>
          <w:u w:val="none"/>
          <w:lang w:val="en-US" w:eastAsia="zh-CN"/>
        </w:rPr>
      </w:pPr>
      <w:r>
        <w:rPr>
          <w:rFonts w:hint="eastAsia"/>
          <w:b/>
          <w:bCs/>
          <w:sz w:val="21"/>
          <w:szCs w:val="21"/>
          <w:u w:val="none"/>
          <w:lang w:val="en-US" w:eastAsia="zh-CN"/>
        </w:rPr>
        <w:t>图1-1  环境影响评价工作程序图</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我公司接受委托后，组织环境影响评价人员等完成了一下工作：</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①对项目建设地及其所在区域，进行现场踏勘，调查评价范围的环境敏感点。</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②按照评价等级和评价范围要求，结合项目实际特点以及区域环境功能特点，编制了环境质量现状监测方案，开展了环境质量现状调查和监测。</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③定期与建设单位进行沟通，收集和交流有关项目建设设计方案，及时提出环保要求和建议。</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④在充分的现场工作及工程分析的基础上，结合区域总体发展规划、环境规划及环境功能区划的要求，完成了环境影响预测与评价。</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⑤在以上工作基础上，环评单位编制了完成了本项目环境影响评价报告书，现将报告书呈报环境保护行政主管部门。</w:t>
      </w:r>
    </w:p>
    <w:p>
      <w:pPr>
        <w:pStyle w:val="3"/>
        <w:rPr>
          <w:rFonts w:hint="eastAsia" w:ascii="Times New Roman" w:hAnsi="Times New Roman"/>
          <w:sz w:val="28"/>
          <w:szCs w:val="28"/>
          <w:u w:val="none"/>
          <w:lang w:val="en-US" w:eastAsia="zh-CN"/>
        </w:rPr>
      </w:pPr>
      <w:bookmarkStart w:id="19" w:name="_Toc22249"/>
      <w:r>
        <w:rPr>
          <w:rFonts w:hint="eastAsia" w:ascii="Times New Roman" w:hAnsi="Times New Roman"/>
          <w:sz w:val="28"/>
          <w:szCs w:val="28"/>
          <w:u w:val="none"/>
          <w:lang w:val="en-US" w:eastAsia="zh-CN"/>
        </w:rPr>
        <w:t>1.3建设项目特点</w:t>
      </w:r>
      <w:bookmarkEnd w:id="19"/>
    </w:p>
    <w:p>
      <w:pPr>
        <w:pStyle w:val="71"/>
        <w:rPr>
          <w:rFonts w:hint="default"/>
          <w:sz w:val="24"/>
          <w:szCs w:val="24"/>
          <w:u w:val="none"/>
          <w:lang w:val="en-US" w:eastAsia="zh-CN"/>
        </w:rPr>
      </w:pPr>
      <w:r>
        <w:rPr>
          <w:rFonts w:hint="eastAsia"/>
          <w:sz w:val="24"/>
          <w:szCs w:val="24"/>
          <w:u w:val="none"/>
          <w:lang w:val="en-US" w:eastAsia="zh-CN"/>
        </w:rPr>
        <w:t>本项目为医疗废物集中处置中心建设项目，根据2013年5月1日起实施的《产业结构调整指导目录（2011年本）（2013年修正）》，本项目属于“鼓励类”中“三十八、环境保护与资源节约综合利用：8、危险废物（放射性废物、核设施退役工程、医疗废物、含重金属废弃物）安全处置技术设备开发制造及处置中心建设”类别，因此，本项目建设与国家产业政策相符。</w:t>
      </w:r>
    </w:p>
    <w:p>
      <w:pPr>
        <w:pStyle w:val="71"/>
        <w:rPr>
          <w:rFonts w:hint="eastAsia"/>
          <w:sz w:val="24"/>
          <w:szCs w:val="24"/>
          <w:u w:val="none"/>
          <w:lang w:val="en-US" w:eastAsia="zh-CN"/>
        </w:rPr>
      </w:pPr>
      <w:r>
        <w:rPr>
          <w:rFonts w:hint="eastAsia"/>
          <w:sz w:val="24"/>
          <w:szCs w:val="24"/>
          <w:u w:val="none"/>
          <w:lang w:val="en-US" w:eastAsia="zh-CN"/>
        </w:rPr>
        <w:t>本项目采用先进的微波消毒工艺对收集的医疗废物进行集中处理，项目主要污染是废水、废气。项目营运期生产废水主要来自运输车辆冲洗、周转箱清洗、生产车间地面清洗等废水，经厂区污水处理站处理达标回用，当项目回用不完时，运输至旺苍县污水处理厂处理达标排放，不外排至灌溉沟渠；生产废气采取“活性炭吸附+旋流塔+UV光氧催化”处理达标后通过15m排气筒排放。</w:t>
      </w:r>
    </w:p>
    <w:p>
      <w:pPr>
        <w:pStyle w:val="71"/>
        <w:rPr>
          <w:rFonts w:hint="default"/>
          <w:b/>
          <w:bCs/>
          <w:sz w:val="24"/>
          <w:szCs w:val="24"/>
          <w:u w:val="none"/>
          <w:lang w:val="en-US" w:eastAsia="zh-CN"/>
        </w:rPr>
      </w:pPr>
      <w:r>
        <w:rPr>
          <w:rFonts w:hint="eastAsia"/>
          <w:b/>
          <w:bCs/>
          <w:sz w:val="24"/>
          <w:szCs w:val="24"/>
          <w:u w:val="none"/>
          <w:lang w:val="en-US" w:eastAsia="zh-CN"/>
        </w:rPr>
        <w:t>本项目微波消毒过程涉及微波辐射，需另行评价，微波辐射不在本报告评价范围内。</w:t>
      </w:r>
    </w:p>
    <w:p>
      <w:pPr>
        <w:pStyle w:val="3"/>
        <w:rPr>
          <w:rFonts w:ascii="Times New Roman" w:hAnsi="Times New Roman"/>
          <w:sz w:val="28"/>
          <w:szCs w:val="28"/>
          <w:u w:val="none"/>
        </w:rPr>
      </w:pPr>
      <w:bookmarkStart w:id="20" w:name="_Toc25835"/>
      <w:r>
        <w:rPr>
          <w:rFonts w:ascii="Times New Roman" w:hAnsi="Times New Roman"/>
          <w:sz w:val="28"/>
          <w:szCs w:val="28"/>
          <w:u w:val="none"/>
        </w:rPr>
        <w:t>1.</w:t>
      </w:r>
      <w:r>
        <w:rPr>
          <w:rFonts w:hint="eastAsia" w:ascii="Times New Roman" w:hAnsi="Times New Roman"/>
          <w:sz w:val="28"/>
          <w:szCs w:val="28"/>
          <w:u w:val="none"/>
          <w:lang w:val="en-US" w:eastAsia="zh-CN"/>
        </w:rPr>
        <w:t>4</w:t>
      </w:r>
      <w:r>
        <w:rPr>
          <w:rFonts w:ascii="Times New Roman" w:hAnsi="Times New Roman"/>
          <w:sz w:val="28"/>
          <w:szCs w:val="28"/>
          <w:u w:val="none"/>
        </w:rPr>
        <w:t>关注的主要环境问题</w:t>
      </w:r>
      <w:bookmarkEnd w:id="20"/>
    </w:p>
    <w:p>
      <w:pPr>
        <w:adjustRightInd w:val="0"/>
        <w:snapToGrid w:val="0"/>
        <w:spacing w:line="360" w:lineRule="auto"/>
        <w:ind w:firstLine="573"/>
        <w:jc w:val="left"/>
        <w:rPr>
          <w:rFonts w:hint="eastAsia"/>
          <w:sz w:val="24"/>
          <w:u w:val="none"/>
          <w:lang w:val="en-US" w:eastAsia="zh-CN"/>
        </w:rPr>
      </w:pPr>
      <w:r>
        <w:rPr>
          <w:rFonts w:hint="eastAsia"/>
          <w:sz w:val="24"/>
          <w:u w:val="none"/>
          <w:lang w:eastAsia="zh-CN"/>
        </w:rPr>
        <w:t>本次评价主要关注项目施工期和营运期可能会产生的污染影响，详细调查项目所在地的环境现状，重点分析项目建设机运营期对大气环境、水环境、声环境和生态环境的影响，从环保的角度论证项目选址可行性，针对本项目可能产生的不利影响提出合理的防范措施和对策。</w:t>
      </w:r>
    </w:p>
    <w:p>
      <w:pPr>
        <w:adjustRightInd w:val="0"/>
        <w:snapToGrid w:val="0"/>
        <w:spacing w:line="360" w:lineRule="auto"/>
        <w:ind w:firstLine="573"/>
        <w:jc w:val="left"/>
        <w:rPr>
          <w:rFonts w:hint="eastAsia"/>
          <w:sz w:val="24"/>
          <w:u w:val="none"/>
          <w:lang w:val="en-US" w:eastAsia="zh-CN"/>
        </w:rPr>
      </w:pPr>
      <w:r>
        <w:rPr>
          <w:rFonts w:hint="eastAsia"/>
          <w:sz w:val="24"/>
          <w:u w:val="none"/>
          <w:lang w:val="en-US" w:eastAsia="zh-CN"/>
        </w:rPr>
        <w:t>根据项目工程特点及区域环境现状特点，项目主要关注以下几个环境问题：</w:t>
      </w:r>
    </w:p>
    <w:p>
      <w:pPr>
        <w:adjustRightInd w:val="0"/>
        <w:snapToGrid w:val="0"/>
        <w:spacing w:line="360" w:lineRule="auto"/>
        <w:ind w:firstLine="573"/>
        <w:jc w:val="left"/>
        <w:rPr>
          <w:rFonts w:hint="eastAsia"/>
          <w:sz w:val="24"/>
          <w:u w:val="none"/>
          <w:lang w:eastAsia="zh-CN"/>
        </w:rPr>
      </w:pPr>
      <w:r>
        <w:rPr>
          <w:sz w:val="24"/>
          <w:u w:val="none"/>
        </w:rPr>
        <w:t>（1）</w:t>
      </w:r>
      <w:r>
        <w:rPr>
          <w:rFonts w:hint="eastAsia"/>
          <w:sz w:val="24"/>
          <w:u w:val="none"/>
          <w:lang w:eastAsia="zh-CN"/>
        </w:rPr>
        <w:t>施工期：施工现场的各类施工设备产生的机械噪声和物料运输产生的交通噪声，对区域声环境的影响；场地平整、建材装卸、车辆行驶等作业产生的扬尘对大气环境产生的影响；施工废水和施工人员生活污水对周边环境产生的影响；建筑垃圾和施工人员产生的生活垃圾对环境产生的影响；项目建设占用土地、场地平整、管线铺设、道路修整等产生水土流失、地表扰动、破坏土层等活动对生态环境的影响。</w:t>
      </w:r>
    </w:p>
    <w:p>
      <w:pPr>
        <w:adjustRightInd w:val="0"/>
        <w:snapToGrid w:val="0"/>
        <w:spacing w:line="360" w:lineRule="auto"/>
        <w:ind w:firstLine="573"/>
        <w:jc w:val="left"/>
        <w:rPr>
          <w:rFonts w:hint="eastAsia" w:eastAsia="宋体"/>
          <w:sz w:val="24"/>
          <w:u w:val="none"/>
          <w:lang w:eastAsia="zh-CN"/>
        </w:rPr>
      </w:pPr>
      <w:r>
        <w:rPr>
          <w:sz w:val="24"/>
          <w:u w:val="none"/>
        </w:rPr>
        <w:t>（2）</w:t>
      </w:r>
      <w:r>
        <w:rPr>
          <w:rFonts w:hint="eastAsia"/>
          <w:sz w:val="24"/>
          <w:u w:val="none"/>
          <w:lang w:eastAsia="zh-CN"/>
        </w:rPr>
        <w:t>营运期：项目生产废水及生活污水渗漏、事故排放对地表水、地下水产生的影响；项目医疗废物处置产生的废气等对大气环境产生的影响；固体废物主要考虑处理后医疗废物、污水处理站污泥、废气处理系统污泥和生活垃圾等对生态环境产生的影响；营运期项目设备噪声对项目周边声环境的影响。</w:t>
      </w:r>
    </w:p>
    <w:p>
      <w:pPr>
        <w:pStyle w:val="3"/>
        <w:rPr>
          <w:rFonts w:ascii="Times New Roman" w:hAnsi="Times New Roman"/>
          <w:sz w:val="28"/>
          <w:szCs w:val="28"/>
          <w:u w:val="none"/>
        </w:rPr>
      </w:pPr>
      <w:bookmarkStart w:id="21" w:name="_Toc31891"/>
      <w:r>
        <w:rPr>
          <w:rFonts w:ascii="Times New Roman" w:hAnsi="Times New Roman"/>
          <w:sz w:val="28"/>
          <w:szCs w:val="28"/>
          <w:u w:val="none"/>
        </w:rPr>
        <w:t>1.</w:t>
      </w:r>
      <w:r>
        <w:rPr>
          <w:rFonts w:hint="eastAsia" w:ascii="Times New Roman" w:hAnsi="Times New Roman"/>
          <w:sz w:val="28"/>
          <w:szCs w:val="28"/>
          <w:u w:val="none"/>
          <w:lang w:val="en-US" w:eastAsia="zh-CN"/>
        </w:rPr>
        <w:t>3</w:t>
      </w:r>
      <w:r>
        <w:rPr>
          <w:rFonts w:ascii="Times New Roman" w:hAnsi="Times New Roman"/>
          <w:sz w:val="28"/>
          <w:szCs w:val="28"/>
          <w:u w:val="none"/>
        </w:rPr>
        <w:t>环评报告书的主要结论</w:t>
      </w:r>
      <w:bookmarkEnd w:id="21"/>
    </w:p>
    <w:p>
      <w:pPr>
        <w:adjustRightInd w:val="0"/>
        <w:snapToGrid w:val="0"/>
        <w:spacing w:line="360" w:lineRule="auto"/>
        <w:ind w:firstLine="573"/>
        <w:jc w:val="left"/>
        <w:rPr>
          <w:rFonts w:hint="eastAsia"/>
          <w:sz w:val="24"/>
          <w:u w:val="none"/>
          <w:lang w:eastAsia="zh-CN"/>
        </w:rPr>
      </w:pPr>
      <w:r>
        <w:rPr>
          <w:rFonts w:hint="eastAsia"/>
          <w:sz w:val="24"/>
          <w:u w:val="none"/>
          <w:lang w:eastAsia="zh-CN"/>
        </w:rPr>
        <w:t>通过本环评报告评价分析，本项目的建设符合国家的有关产业政策，有较好的经济效益、社会效益，选址合理合法；所采用的工艺较为先进，符合清洁生产及总量控制要求。</w:t>
      </w:r>
    </w:p>
    <w:p>
      <w:pPr>
        <w:adjustRightInd w:val="0"/>
        <w:snapToGrid w:val="0"/>
        <w:spacing w:line="360" w:lineRule="auto"/>
        <w:ind w:firstLine="573"/>
        <w:jc w:val="left"/>
        <w:rPr>
          <w:sz w:val="24"/>
          <w:u w:val="none"/>
        </w:rPr>
      </w:pPr>
      <w:r>
        <w:rPr>
          <w:rFonts w:hint="eastAsia"/>
          <w:sz w:val="24"/>
          <w:u w:val="none"/>
          <w:lang w:eastAsia="zh-CN"/>
        </w:rPr>
        <w:t>因此，只要建设单位认真落实本环评报告中提出的各项污染防治措施、环境风险防范措施以及环境管理措施等，严格执行环保“三同时”制度，从环境保护角度出发，项目建设可行。</w:t>
      </w:r>
    </w:p>
    <w:p>
      <w:pPr>
        <w:pStyle w:val="2"/>
        <w:topLinePunct/>
        <w:spacing w:before="0" w:after="0" w:line="360" w:lineRule="auto"/>
        <w:rPr>
          <w:sz w:val="36"/>
          <w:szCs w:val="36"/>
          <w:u w:val="none"/>
        </w:rPr>
      </w:pPr>
      <w:bookmarkStart w:id="22" w:name="_Toc13758"/>
      <w:r>
        <w:rPr>
          <w:sz w:val="36"/>
          <w:szCs w:val="36"/>
          <w:u w:val="none"/>
        </w:rPr>
        <w:t>2、总则</w:t>
      </w:r>
      <w:bookmarkEnd w:id="22"/>
    </w:p>
    <w:p>
      <w:pPr>
        <w:pStyle w:val="3"/>
        <w:rPr>
          <w:rFonts w:hint="eastAsia" w:ascii="Times New Roman" w:hAnsi="Times New Roman"/>
          <w:sz w:val="28"/>
          <w:szCs w:val="28"/>
          <w:u w:val="none"/>
          <w:lang w:val="en-US" w:eastAsia="zh-CN"/>
        </w:rPr>
      </w:pPr>
      <w:bookmarkStart w:id="23" w:name="_Toc31305"/>
      <w:bookmarkStart w:id="24" w:name="_Toc30374"/>
      <w:r>
        <w:rPr>
          <w:rFonts w:hint="eastAsia" w:ascii="Times New Roman" w:hAnsi="Times New Roman"/>
          <w:sz w:val="28"/>
          <w:szCs w:val="28"/>
          <w:u w:val="none"/>
          <w:lang w:val="en-US" w:eastAsia="zh-CN"/>
        </w:rPr>
        <w:t>2.1评价目的</w:t>
      </w:r>
      <w:bookmarkEnd w:id="23"/>
    </w:p>
    <w:p>
      <w:pPr>
        <w:tabs>
          <w:tab w:val="left" w:pos="360"/>
        </w:tabs>
        <w:spacing w:line="360" w:lineRule="auto"/>
        <w:ind w:firstLine="480" w:firstLineChars="200"/>
        <w:rPr>
          <w:rFonts w:hint="default"/>
          <w:bCs/>
          <w:sz w:val="24"/>
          <w:u w:val="none"/>
          <w:lang w:val="en-US" w:eastAsia="zh-CN"/>
        </w:rPr>
      </w:pPr>
      <w:r>
        <w:rPr>
          <w:rFonts w:hint="eastAsia"/>
          <w:bCs/>
          <w:sz w:val="24"/>
          <w:u w:val="none"/>
          <w:lang w:val="en-US" w:eastAsia="zh-CN"/>
        </w:rPr>
        <w:t>通过环境影响评价，了解项目所在区域的环境质量现状；针对项目工程特点和污染源特征，评价项目在施工期和运营期可能对周围环境造成的影响；通过环境影响评价，评价项目环保设施和污染防治措施的技术、经济可行性；根据项目环境影响结果，提出环境保护对策和污染物防治措施等；明确建设项目选址的合理性，为政府环境保护行政主管部门进行环境管理提供科学依据。</w:t>
      </w:r>
    </w:p>
    <w:p>
      <w:pPr>
        <w:pStyle w:val="3"/>
        <w:rPr>
          <w:rFonts w:ascii="Times New Roman" w:hAnsi="Times New Roman"/>
          <w:sz w:val="28"/>
          <w:szCs w:val="28"/>
          <w:u w:val="none"/>
        </w:rPr>
      </w:pPr>
      <w:bookmarkStart w:id="25" w:name="_Toc19251"/>
      <w:r>
        <w:rPr>
          <w:rFonts w:ascii="Times New Roman" w:hAnsi="Times New Roman"/>
          <w:sz w:val="28"/>
          <w:szCs w:val="28"/>
          <w:u w:val="none"/>
        </w:rPr>
        <w:t>2.</w:t>
      </w:r>
      <w:bookmarkEnd w:id="24"/>
      <w:r>
        <w:rPr>
          <w:rFonts w:hint="eastAsia" w:ascii="Times New Roman" w:hAnsi="Times New Roman"/>
          <w:sz w:val="28"/>
          <w:szCs w:val="28"/>
          <w:u w:val="none"/>
          <w:lang w:val="en-US" w:eastAsia="zh-CN"/>
        </w:rPr>
        <w:t>2</w:t>
      </w:r>
      <w:r>
        <w:rPr>
          <w:rFonts w:ascii="Times New Roman" w:hAnsi="Times New Roman"/>
          <w:sz w:val="28"/>
          <w:szCs w:val="28"/>
          <w:u w:val="none"/>
        </w:rPr>
        <w:t>编制依据</w:t>
      </w:r>
      <w:bookmarkEnd w:id="25"/>
    </w:p>
    <w:p>
      <w:pPr>
        <w:tabs>
          <w:tab w:val="left" w:pos="360"/>
        </w:tabs>
        <w:spacing w:line="360" w:lineRule="auto"/>
        <w:rPr>
          <w:b/>
          <w:bCs/>
          <w:sz w:val="24"/>
          <w:u w:val="none"/>
        </w:rPr>
      </w:pPr>
      <w:r>
        <w:rPr>
          <w:b/>
          <w:bCs/>
          <w:sz w:val="24"/>
          <w:u w:val="none"/>
        </w:rPr>
        <w:t>2.</w:t>
      </w:r>
      <w:r>
        <w:rPr>
          <w:rFonts w:hint="eastAsia"/>
          <w:b/>
          <w:bCs/>
          <w:sz w:val="24"/>
          <w:u w:val="none"/>
          <w:lang w:val="en-US" w:eastAsia="zh-CN"/>
        </w:rPr>
        <w:t>2</w:t>
      </w:r>
      <w:r>
        <w:rPr>
          <w:b/>
          <w:bCs/>
          <w:sz w:val="24"/>
          <w:u w:val="none"/>
        </w:rPr>
        <w:t>.1环境保护法律法规</w:t>
      </w:r>
      <w:bookmarkStart w:id="26" w:name="_Toc24202329"/>
      <w:bookmarkStart w:id="27" w:name="_Toc289084812"/>
    </w:p>
    <w:p>
      <w:pPr>
        <w:tabs>
          <w:tab w:val="left" w:pos="360"/>
        </w:tabs>
        <w:spacing w:line="360" w:lineRule="auto"/>
        <w:ind w:firstLine="480" w:firstLineChars="200"/>
        <w:rPr>
          <w:bCs/>
          <w:sz w:val="24"/>
          <w:u w:val="none"/>
        </w:rPr>
      </w:pPr>
      <w:r>
        <w:rPr>
          <w:bCs/>
          <w:sz w:val="24"/>
          <w:u w:val="none"/>
        </w:rPr>
        <w:t>1、《中华人民共和国环境保护法》，2015年1月1日施行；</w:t>
      </w:r>
    </w:p>
    <w:p>
      <w:pPr>
        <w:tabs>
          <w:tab w:val="left" w:pos="360"/>
        </w:tabs>
        <w:spacing w:line="360" w:lineRule="auto"/>
        <w:ind w:firstLine="480" w:firstLineChars="200"/>
        <w:rPr>
          <w:bCs/>
          <w:sz w:val="24"/>
          <w:u w:val="none"/>
        </w:rPr>
      </w:pPr>
      <w:r>
        <w:rPr>
          <w:bCs/>
          <w:sz w:val="24"/>
          <w:u w:val="none"/>
        </w:rPr>
        <w:t>2、《中华人民共和国环境影响评价法》，</w:t>
      </w:r>
      <w:r>
        <w:rPr>
          <w:rFonts w:hint="eastAsia"/>
          <w:bCs/>
          <w:sz w:val="24"/>
          <w:u w:val="none"/>
          <w:lang w:val="en-US" w:eastAsia="zh-CN"/>
        </w:rPr>
        <w:t>2018年12月29日修正</w:t>
      </w:r>
      <w:r>
        <w:rPr>
          <w:bCs/>
          <w:sz w:val="24"/>
          <w:u w:val="none"/>
        </w:rPr>
        <w:t>；</w:t>
      </w:r>
    </w:p>
    <w:p>
      <w:pPr>
        <w:tabs>
          <w:tab w:val="left" w:pos="360"/>
        </w:tabs>
        <w:spacing w:line="360" w:lineRule="auto"/>
        <w:ind w:firstLine="480" w:firstLineChars="200"/>
        <w:rPr>
          <w:bCs/>
          <w:sz w:val="24"/>
          <w:u w:val="none"/>
        </w:rPr>
      </w:pPr>
      <w:r>
        <w:rPr>
          <w:bCs/>
          <w:sz w:val="24"/>
          <w:u w:val="none"/>
        </w:rPr>
        <w:t>3、《中华人民共和国固体废物污染环境防治法》，20</w:t>
      </w:r>
      <w:r>
        <w:rPr>
          <w:rFonts w:hint="eastAsia"/>
          <w:bCs/>
          <w:sz w:val="24"/>
          <w:u w:val="none"/>
          <w:lang w:val="en-US" w:eastAsia="zh-CN"/>
        </w:rPr>
        <w:t>16</w:t>
      </w:r>
      <w:r>
        <w:rPr>
          <w:bCs/>
          <w:sz w:val="24"/>
          <w:u w:val="none"/>
        </w:rPr>
        <w:t>年</w:t>
      </w:r>
      <w:r>
        <w:rPr>
          <w:rFonts w:hint="eastAsia"/>
          <w:bCs/>
          <w:sz w:val="24"/>
          <w:u w:val="none"/>
          <w:lang w:val="en-US" w:eastAsia="zh-CN"/>
        </w:rPr>
        <w:t>11月7日施行；</w:t>
      </w:r>
    </w:p>
    <w:p>
      <w:pPr>
        <w:tabs>
          <w:tab w:val="left" w:pos="360"/>
        </w:tabs>
        <w:spacing w:line="360" w:lineRule="auto"/>
        <w:ind w:firstLine="480" w:firstLineChars="200"/>
        <w:rPr>
          <w:bCs/>
          <w:sz w:val="24"/>
          <w:u w:val="none"/>
        </w:rPr>
      </w:pPr>
      <w:r>
        <w:rPr>
          <w:bCs/>
          <w:sz w:val="24"/>
          <w:u w:val="none"/>
        </w:rPr>
        <w:t>4、《中华人民共和国环境噪声污染防治法》，</w:t>
      </w:r>
      <w:r>
        <w:rPr>
          <w:rFonts w:hint="eastAsia"/>
          <w:bCs/>
          <w:sz w:val="24"/>
          <w:u w:val="none"/>
          <w:lang w:val="en-US" w:eastAsia="zh-CN"/>
        </w:rPr>
        <w:t>2018年12月29日修正</w:t>
      </w:r>
      <w:r>
        <w:rPr>
          <w:bCs/>
          <w:sz w:val="24"/>
          <w:u w:val="none"/>
        </w:rPr>
        <w:t>；</w:t>
      </w:r>
    </w:p>
    <w:p>
      <w:pPr>
        <w:tabs>
          <w:tab w:val="left" w:pos="360"/>
        </w:tabs>
        <w:spacing w:line="360" w:lineRule="auto"/>
        <w:ind w:firstLine="480" w:firstLineChars="200"/>
        <w:rPr>
          <w:bCs/>
          <w:sz w:val="24"/>
          <w:u w:val="none"/>
        </w:rPr>
      </w:pPr>
      <w:r>
        <w:rPr>
          <w:bCs/>
          <w:sz w:val="24"/>
          <w:u w:val="none"/>
        </w:rPr>
        <w:t>5、《中华人民共和国水污染防治法》，</w:t>
      </w:r>
      <w:r>
        <w:rPr>
          <w:rFonts w:hint="eastAsia"/>
          <w:bCs/>
          <w:sz w:val="24"/>
          <w:u w:val="none"/>
          <w:lang w:val="en-US" w:eastAsia="zh-CN"/>
        </w:rPr>
        <w:t>2017年6月27日第二次修正</w:t>
      </w:r>
      <w:r>
        <w:rPr>
          <w:bCs/>
          <w:sz w:val="24"/>
          <w:u w:val="none"/>
        </w:rPr>
        <w:t>；</w:t>
      </w:r>
    </w:p>
    <w:p>
      <w:pPr>
        <w:tabs>
          <w:tab w:val="left" w:pos="360"/>
        </w:tabs>
        <w:spacing w:line="360" w:lineRule="auto"/>
        <w:ind w:firstLine="480" w:firstLineChars="200"/>
        <w:rPr>
          <w:bCs/>
          <w:sz w:val="24"/>
          <w:u w:val="none"/>
        </w:rPr>
      </w:pPr>
      <w:r>
        <w:rPr>
          <w:bCs/>
          <w:sz w:val="24"/>
          <w:u w:val="none"/>
        </w:rPr>
        <w:t>6、《中华人民共和国大气污染防治法》，</w:t>
      </w:r>
      <w:r>
        <w:rPr>
          <w:rFonts w:hint="eastAsia"/>
          <w:bCs/>
          <w:sz w:val="24"/>
          <w:u w:val="none"/>
          <w:lang w:val="en-US" w:eastAsia="zh-CN"/>
        </w:rPr>
        <w:t>2018年10月26日第二次修正</w:t>
      </w:r>
      <w:r>
        <w:rPr>
          <w:bCs/>
          <w:sz w:val="24"/>
          <w:u w:val="none"/>
        </w:rPr>
        <w:t>；</w:t>
      </w:r>
    </w:p>
    <w:p>
      <w:pPr>
        <w:tabs>
          <w:tab w:val="left" w:pos="360"/>
        </w:tabs>
        <w:spacing w:line="360" w:lineRule="auto"/>
        <w:ind w:firstLine="480" w:firstLineChars="200"/>
        <w:rPr>
          <w:rFonts w:hint="eastAsia"/>
          <w:bCs/>
          <w:sz w:val="24"/>
          <w:u w:val="none"/>
          <w:lang w:val="en-US" w:eastAsia="zh-CN"/>
        </w:rPr>
      </w:pPr>
      <w:r>
        <w:rPr>
          <w:rFonts w:hint="eastAsia"/>
          <w:bCs/>
          <w:sz w:val="24"/>
          <w:u w:val="none"/>
          <w:lang w:val="en-US" w:eastAsia="zh-CN"/>
        </w:rPr>
        <w:t>7、《中华人民共和国土壤污染防治法》，2018年8月31日实施；</w:t>
      </w:r>
    </w:p>
    <w:p>
      <w:pPr>
        <w:tabs>
          <w:tab w:val="left" w:pos="360"/>
        </w:tabs>
        <w:spacing w:line="360" w:lineRule="auto"/>
        <w:ind w:firstLine="480" w:firstLineChars="200"/>
        <w:rPr>
          <w:bCs/>
          <w:sz w:val="24"/>
          <w:u w:val="none"/>
        </w:rPr>
      </w:pPr>
      <w:r>
        <w:rPr>
          <w:rFonts w:hint="eastAsia"/>
          <w:bCs/>
          <w:sz w:val="24"/>
          <w:u w:val="none"/>
          <w:lang w:val="en-US" w:eastAsia="zh-CN"/>
        </w:rPr>
        <w:t>8</w:t>
      </w:r>
      <w:r>
        <w:rPr>
          <w:bCs/>
          <w:sz w:val="24"/>
          <w:u w:val="none"/>
        </w:rPr>
        <w:t>、《中华人民共和国清洁生产促进法》，2012年2月29日修订；</w:t>
      </w:r>
    </w:p>
    <w:p>
      <w:pPr>
        <w:tabs>
          <w:tab w:val="left" w:pos="360"/>
        </w:tabs>
        <w:spacing w:line="360" w:lineRule="auto"/>
        <w:ind w:firstLine="480" w:firstLineChars="200"/>
        <w:rPr>
          <w:bCs/>
          <w:sz w:val="24"/>
          <w:u w:val="none"/>
        </w:rPr>
      </w:pPr>
      <w:r>
        <w:rPr>
          <w:rFonts w:hint="eastAsia"/>
          <w:bCs/>
          <w:sz w:val="24"/>
          <w:u w:val="none"/>
          <w:lang w:val="en-US" w:eastAsia="zh-CN"/>
        </w:rPr>
        <w:t>9</w:t>
      </w:r>
      <w:r>
        <w:rPr>
          <w:bCs/>
          <w:sz w:val="24"/>
          <w:u w:val="none"/>
        </w:rPr>
        <w:t>、《中华人民共和国土地管理法》，2004年8月28日第二次修正；</w:t>
      </w:r>
    </w:p>
    <w:p>
      <w:pPr>
        <w:tabs>
          <w:tab w:val="left" w:pos="360"/>
        </w:tabs>
        <w:spacing w:line="360" w:lineRule="auto"/>
        <w:ind w:firstLine="480" w:firstLineChars="200"/>
        <w:rPr>
          <w:bCs/>
          <w:sz w:val="24"/>
          <w:u w:val="none"/>
        </w:rPr>
      </w:pPr>
      <w:r>
        <w:rPr>
          <w:rFonts w:hint="eastAsia"/>
          <w:bCs/>
          <w:sz w:val="24"/>
          <w:u w:val="none"/>
          <w:lang w:val="en-US" w:eastAsia="zh-CN"/>
        </w:rPr>
        <w:t>10</w:t>
      </w:r>
      <w:r>
        <w:rPr>
          <w:bCs/>
          <w:sz w:val="24"/>
          <w:u w:val="none"/>
        </w:rPr>
        <w:t>、《中华人民共和国水法》，2016年7月修订；</w:t>
      </w:r>
    </w:p>
    <w:p>
      <w:pPr>
        <w:tabs>
          <w:tab w:val="left" w:pos="360"/>
        </w:tabs>
        <w:spacing w:line="360" w:lineRule="auto"/>
        <w:ind w:firstLine="480" w:firstLineChars="200"/>
        <w:rPr>
          <w:bCs/>
          <w:sz w:val="24"/>
          <w:u w:val="none"/>
        </w:rPr>
      </w:pPr>
      <w:r>
        <w:rPr>
          <w:bCs/>
          <w:sz w:val="24"/>
          <w:u w:val="none"/>
        </w:rPr>
        <w:t>1</w:t>
      </w:r>
      <w:r>
        <w:rPr>
          <w:rFonts w:hint="eastAsia"/>
          <w:bCs/>
          <w:sz w:val="24"/>
          <w:u w:val="none"/>
          <w:lang w:val="en-US" w:eastAsia="zh-CN"/>
        </w:rPr>
        <w:t>1</w:t>
      </w:r>
      <w:r>
        <w:rPr>
          <w:bCs/>
          <w:sz w:val="24"/>
          <w:u w:val="none"/>
        </w:rPr>
        <w:t>、《中华人民共和国节约能源法》，2016年7月修订；</w:t>
      </w:r>
    </w:p>
    <w:p>
      <w:pPr>
        <w:tabs>
          <w:tab w:val="left" w:pos="360"/>
        </w:tabs>
        <w:spacing w:line="360" w:lineRule="auto"/>
        <w:ind w:firstLine="480" w:firstLineChars="200"/>
        <w:rPr>
          <w:rFonts w:hint="default"/>
          <w:bCs/>
          <w:sz w:val="24"/>
          <w:u w:val="none"/>
          <w:lang w:val="en-US" w:eastAsia="zh-CN"/>
        </w:rPr>
      </w:pPr>
      <w:r>
        <w:rPr>
          <w:rFonts w:hint="eastAsia"/>
          <w:bCs/>
          <w:sz w:val="24"/>
          <w:u w:val="none"/>
          <w:lang w:val="en-US" w:eastAsia="zh-CN"/>
        </w:rPr>
        <w:t>12、《中华人民共和国传染病发防治法》，主席令17号，2004年12月1日实施。</w:t>
      </w:r>
    </w:p>
    <w:p>
      <w:pPr>
        <w:tabs>
          <w:tab w:val="left" w:pos="360"/>
        </w:tabs>
        <w:spacing w:line="360" w:lineRule="auto"/>
        <w:rPr>
          <w:b/>
          <w:bCs/>
          <w:sz w:val="24"/>
          <w:u w:val="none"/>
        </w:rPr>
      </w:pPr>
      <w:r>
        <w:rPr>
          <w:b/>
          <w:bCs/>
          <w:sz w:val="24"/>
          <w:u w:val="none"/>
        </w:rPr>
        <w:t>2.</w:t>
      </w:r>
      <w:r>
        <w:rPr>
          <w:rFonts w:hint="eastAsia"/>
          <w:b/>
          <w:bCs/>
          <w:sz w:val="24"/>
          <w:u w:val="none"/>
          <w:lang w:val="en-US" w:eastAsia="zh-CN"/>
        </w:rPr>
        <w:t>2</w:t>
      </w:r>
      <w:r>
        <w:rPr>
          <w:b/>
          <w:bCs/>
          <w:sz w:val="24"/>
          <w:u w:val="none"/>
        </w:rPr>
        <w:t>.2 环境保护法规、条例</w:t>
      </w:r>
    </w:p>
    <w:p>
      <w:pPr>
        <w:tabs>
          <w:tab w:val="left" w:pos="360"/>
        </w:tabs>
        <w:spacing w:line="360" w:lineRule="auto"/>
        <w:ind w:firstLine="480" w:firstLineChars="200"/>
        <w:rPr>
          <w:bCs/>
          <w:sz w:val="24"/>
          <w:u w:val="none"/>
        </w:rPr>
      </w:pPr>
      <w:r>
        <w:rPr>
          <w:bCs/>
          <w:sz w:val="24"/>
          <w:u w:val="none"/>
        </w:rPr>
        <w:t>1、《建设项目环境保护管理条例》（国务院令第682号）；</w:t>
      </w:r>
    </w:p>
    <w:p>
      <w:pPr>
        <w:tabs>
          <w:tab w:val="left" w:pos="360"/>
        </w:tabs>
        <w:spacing w:line="360" w:lineRule="auto"/>
        <w:ind w:firstLine="480" w:firstLineChars="200"/>
        <w:rPr>
          <w:bCs/>
          <w:sz w:val="24"/>
          <w:u w:val="none"/>
        </w:rPr>
      </w:pPr>
      <w:r>
        <w:rPr>
          <w:bCs/>
          <w:sz w:val="24"/>
          <w:u w:val="none"/>
        </w:rPr>
        <w:t>2、《建设项目环境影响评价分类管理名录》（</w:t>
      </w:r>
      <w:r>
        <w:rPr>
          <w:rFonts w:hint="eastAsia"/>
          <w:bCs/>
          <w:sz w:val="24"/>
          <w:u w:val="none"/>
          <w:lang w:eastAsia="zh-CN"/>
        </w:rPr>
        <w:t>根据</w:t>
      </w:r>
      <w:r>
        <w:rPr>
          <w:rFonts w:hint="eastAsia"/>
          <w:bCs/>
          <w:sz w:val="24"/>
          <w:u w:val="none"/>
          <w:lang w:val="en-US" w:eastAsia="zh-CN"/>
        </w:rPr>
        <w:t>2018年4月28日公布的《关于修改&lt;建设项目环境影响评价分类管理名录&gt;部分内容的决定》修正</w:t>
      </w:r>
      <w:r>
        <w:rPr>
          <w:bCs/>
          <w:sz w:val="24"/>
          <w:u w:val="none"/>
        </w:rPr>
        <w:t>）；</w:t>
      </w:r>
    </w:p>
    <w:p>
      <w:pPr>
        <w:tabs>
          <w:tab w:val="left" w:pos="360"/>
        </w:tabs>
        <w:spacing w:line="360" w:lineRule="auto"/>
        <w:ind w:firstLine="480" w:firstLineChars="200"/>
        <w:rPr>
          <w:bCs/>
          <w:sz w:val="24"/>
          <w:u w:val="none"/>
        </w:rPr>
      </w:pPr>
      <w:r>
        <w:rPr>
          <w:bCs/>
          <w:sz w:val="24"/>
          <w:u w:val="none"/>
        </w:rPr>
        <w:t>3、《产业结构调整指导目录》（2011年本，2013年修订本）；</w:t>
      </w:r>
    </w:p>
    <w:p>
      <w:pPr>
        <w:tabs>
          <w:tab w:val="left" w:pos="360"/>
        </w:tabs>
        <w:spacing w:line="360" w:lineRule="auto"/>
        <w:ind w:firstLine="480" w:firstLineChars="200"/>
        <w:rPr>
          <w:bCs/>
          <w:sz w:val="24"/>
          <w:u w:val="none"/>
        </w:rPr>
      </w:pPr>
      <w:r>
        <w:rPr>
          <w:bCs/>
          <w:sz w:val="24"/>
          <w:u w:val="none"/>
        </w:rPr>
        <w:t>4、《国家危险废物名录》（2016.8.1施行）；</w:t>
      </w:r>
    </w:p>
    <w:p>
      <w:pPr>
        <w:tabs>
          <w:tab w:val="left" w:pos="360"/>
        </w:tabs>
        <w:spacing w:line="360" w:lineRule="auto"/>
        <w:ind w:firstLine="480" w:firstLineChars="200"/>
        <w:rPr>
          <w:bCs/>
          <w:sz w:val="24"/>
          <w:u w:val="none"/>
        </w:rPr>
      </w:pPr>
      <w:r>
        <w:rPr>
          <w:bCs/>
          <w:sz w:val="24"/>
          <w:u w:val="none"/>
        </w:rPr>
        <w:t>5、《危险化学品安全管理条例》（2013.12.7施行）；</w:t>
      </w:r>
    </w:p>
    <w:p>
      <w:pPr>
        <w:tabs>
          <w:tab w:val="left" w:pos="360"/>
        </w:tabs>
        <w:spacing w:line="360" w:lineRule="auto"/>
        <w:ind w:firstLine="480" w:firstLineChars="200"/>
        <w:rPr>
          <w:bCs/>
          <w:sz w:val="24"/>
          <w:u w:val="none"/>
        </w:rPr>
      </w:pPr>
      <w:r>
        <w:rPr>
          <w:bCs/>
          <w:sz w:val="24"/>
          <w:u w:val="none"/>
        </w:rPr>
        <w:t>6、《危险化学品重大危险源辨识》（GB18218-2009）；</w:t>
      </w:r>
    </w:p>
    <w:p>
      <w:pPr>
        <w:tabs>
          <w:tab w:val="left" w:pos="360"/>
        </w:tabs>
        <w:spacing w:line="360" w:lineRule="auto"/>
        <w:ind w:firstLine="480" w:firstLineChars="200"/>
        <w:rPr>
          <w:bCs/>
          <w:sz w:val="24"/>
          <w:u w:val="none"/>
        </w:rPr>
      </w:pPr>
      <w:r>
        <w:rPr>
          <w:bCs/>
          <w:sz w:val="24"/>
          <w:u w:val="none"/>
        </w:rPr>
        <w:t>7、《国务院关于加强环境保护重点工作的意见》（国发【2011】35号）；</w:t>
      </w:r>
    </w:p>
    <w:p>
      <w:pPr>
        <w:tabs>
          <w:tab w:val="left" w:pos="360"/>
        </w:tabs>
        <w:spacing w:line="360" w:lineRule="auto"/>
        <w:ind w:firstLine="480" w:firstLineChars="200"/>
        <w:rPr>
          <w:bCs/>
          <w:sz w:val="24"/>
          <w:u w:val="none"/>
        </w:rPr>
      </w:pPr>
      <w:r>
        <w:rPr>
          <w:rFonts w:hint="eastAsia"/>
          <w:bCs/>
          <w:sz w:val="24"/>
          <w:u w:val="none"/>
          <w:lang w:val="en-US" w:eastAsia="zh-CN"/>
        </w:rPr>
        <w:t>8</w:t>
      </w:r>
      <w:r>
        <w:rPr>
          <w:bCs/>
          <w:sz w:val="24"/>
          <w:u w:val="none"/>
        </w:rPr>
        <w:t>、《大气污染防治行动计划》（国发【2013】37号）；</w:t>
      </w:r>
    </w:p>
    <w:p>
      <w:pPr>
        <w:tabs>
          <w:tab w:val="left" w:pos="360"/>
        </w:tabs>
        <w:spacing w:line="360" w:lineRule="auto"/>
        <w:ind w:firstLine="480" w:firstLineChars="200"/>
        <w:rPr>
          <w:bCs/>
          <w:sz w:val="24"/>
          <w:u w:val="none"/>
        </w:rPr>
      </w:pPr>
      <w:r>
        <w:rPr>
          <w:rFonts w:hint="eastAsia"/>
          <w:bCs/>
          <w:sz w:val="24"/>
          <w:u w:val="none"/>
          <w:lang w:val="en-US" w:eastAsia="zh-CN"/>
        </w:rPr>
        <w:t>9</w:t>
      </w:r>
      <w:r>
        <w:rPr>
          <w:bCs/>
          <w:sz w:val="24"/>
          <w:u w:val="none"/>
        </w:rPr>
        <w:t>、《国务院关于印发大气污染防治行动计划的通知》（国发【2013】37号）；</w:t>
      </w:r>
    </w:p>
    <w:p>
      <w:pPr>
        <w:tabs>
          <w:tab w:val="left" w:pos="360"/>
        </w:tabs>
        <w:spacing w:line="360" w:lineRule="auto"/>
        <w:ind w:firstLine="480" w:firstLineChars="200"/>
        <w:rPr>
          <w:bCs/>
          <w:sz w:val="24"/>
          <w:u w:val="none"/>
        </w:rPr>
      </w:pPr>
      <w:r>
        <w:rPr>
          <w:bCs/>
          <w:sz w:val="24"/>
          <w:u w:val="none"/>
        </w:rPr>
        <w:t>1</w:t>
      </w:r>
      <w:r>
        <w:rPr>
          <w:rFonts w:hint="eastAsia"/>
          <w:bCs/>
          <w:sz w:val="24"/>
          <w:u w:val="none"/>
          <w:lang w:val="en-US" w:eastAsia="zh-CN"/>
        </w:rPr>
        <w:t>0</w:t>
      </w:r>
      <w:r>
        <w:rPr>
          <w:bCs/>
          <w:sz w:val="24"/>
          <w:u w:val="none"/>
        </w:rPr>
        <w:t>、《国务院关于印发水污染防治行动计划的通知》（国发【2015】17号）；</w:t>
      </w:r>
    </w:p>
    <w:p>
      <w:pPr>
        <w:tabs>
          <w:tab w:val="left" w:pos="360"/>
        </w:tabs>
        <w:spacing w:line="360" w:lineRule="auto"/>
        <w:ind w:firstLine="480" w:firstLineChars="200"/>
        <w:rPr>
          <w:rFonts w:hint="eastAsia" w:eastAsia="宋体"/>
          <w:bCs/>
          <w:sz w:val="24"/>
          <w:u w:val="none"/>
          <w:lang w:eastAsia="zh-CN"/>
        </w:rPr>
      </w:pPr>
      <w:r>
        <w:rPr>
          <w:bCs/>
          <w:sz w:val="24"/>
          <w:u w:val="none"/>
        </w:rPr>
        <w:t>1</w:t>
      </w:r>
      <w:r>
        <w:rPr>
          <w:rFonts w:hint="eastAsia"/>
          <w:bCs/>
          <w:sz w:val="24"/>
          <w:u w:val="none"/>
          <w:lang w:val="en-US" w:eastAsia="zh-CN"/>
        </w:rPr>
        <w:t>1</w:t>
      </w:r>
      <w:r>
        <w:rPr>
          <w:bCs/>
          <w:sz w:val="24"/>
          <w:u w:val="none"/>
        </w:rPr>
        <w:t>、《国务院关于印发土壤污染防治行动计划的通知》（国发【2016】31号）</w:t>
      </w:r>
      <w:r>
        <w:rPr>
          <w:rFonts w:hint="eastAsia"/>
          <w:bCs/>
          <w:sz w:val="24"/>
          <w:u w:val="none"/>
          <w:lang w:eastAsia="zh-CN"/>
        </w:rPr>
        <w:t>；</w:t>
      </w:r>
    </w:p>
    <w:p>
      <w:pPr>
        <w:pStyle w:val="71"/>
        <w:rPr>
          <w:rFonts w:hint="eastAsia"/>
          <w:bCs/>
          <w:sz w:val="24"/>
          <w:u w:val="none"/>
          <w:lang w:val="en-US" w:eastAsia="zh-CN"/>
        </w:rPr>
      </w:pPr>
      <w:r>
        <w:rPr>
          <w:rFonts w:hint="eastAsia"/>
          <w:bCs/>
          <w:sz w:val="24"/>
          <w:u w:val="none"/>
          <w:lang w:val="en-US" w:eastAsia="zh-CN"/>
        </w:rPr>
        <w:t>12、《环境影响评价公众参与办法》（生态环境部令 第4号）；</w:t>
      </w:r>
    </w:p>
    <w:p>
      <w:pPr>
        <w:pStyle w:val="71"/>
        <w:rPr>
          <w:rFonts w:hint="eastAsia"/>
          <w:bCs/>
          <w:sz w:val="24"/>
          <w:u w:val="none"/>
          <w:lang w:val="en-US" w:eastAsia="zh-CN"/>
        </w:rPr>
      </w:pPr>
      <w:r>
        <w:rPr>
          <w:rFonts w:hint="eastAsia"/>
          <w:bCs/>
          <w:sz w:val="24"/>
          <w:u w:val="none"/>
          <w:lang w:val="en-US" w:eastAsia="zh-CN"/>
        </w:rPr>
        <w:t>13、《关于印发&lt;“十三五”挥发性有机物污染防治工作方案&gt;的通知》（环大气【2017】121号）；</w:t>
      </w:r>
    </w:p>
    <w:p>
      <w:pPr>
        <w:pStyle w:val="71"/>
        <w:rPr>
          <w:rFonts w:hint="eastAsia"/>
          <w:bCs/>
          <w:sz w:val="24"/>
          <w:u w:val="none"/>
          <w:lang w:val="en-US" w:eastAsia="zh-CN"/>
        </w:rPr>
      </w:pPr>
      <w:r>
        <w:rPr>
          <w:rFonts w:hint="eastAsia"/>
          <w:bCs/>
          <w:sz w:val="24"/>
          <w:u w:val="none"/>
          <w:lang w:val="en-US" w:eastAsia="zh-CN"/>
        </w:rPr>
        <w:t>14、《国务院关于印发打赢蓝天保卫战三年行动计划的通知》（国发【2018】22号）；</w:t>
      </w:r>
    </w:p>
    <w:p>
      <w:pPr>
        <w:pStyle w:val="71"/>
        <w:rPr>
          <w:rFonts w:hint="eastAsia"/>
          <w:bCs/>
          <w:sz w:val="24"/>
          <w:u w:val="none"/>
          <w:lang w:val="en-US" w:eastAsia="zh-CN"/>
        </w:rPr>
      </w:pPr>
      <w:r>
        <w:rPr>
          <w:rFonts w:hint="eastAsia"/>
          <w:bCs/>
          <w:sz w:val="24"/>
          <w:u w:val="none"/>
          <w:lang w:val="en-US" w:eastAsia="zh-CN"/>
        </w:rPr>
        <w:t>15、《医疗废物管理条例》（2011年修订），国务院令第588号；</w:t>
      </w:r>
    </w:p>
    <w:p>
      <w:pPr>
        <w:pStyle w:val="71"/>
        <w:rPr>
          <w:rFonts w:hint="eastAsia"/>
          <w:bCs/>
          <w:sz w:val="24"/>
          <w:u w:val="none"/>
          <w:lang w:val="en-US" w:eastAsia="zh-CN"/>
        </w:rPr>
      </w:pPr>
      <w:r>
        <w:rPr>
          <w:rFonts w:hint="eastAsia"/>
          <w:bCs/>
          <w:sz w:val="24"/>
          <w:u w:val="none"/>
          <w:lang w:val="en-US" w:eastAsia="zh-CN"/>
        </w:rPr>
        <w:t>16、《医疗废物分类名录》，卫生部和国家环保总局发布2003第287号；</w:t>
      </w:r>
    </w:p>
    <w:p>
      <w:pPr>
        <w:pStyle w:val="71"/>
        <w:rPr>
          <w:rFonts w:hint="default"/>
          <w:bCs/>
          <w:sz w:val="24"/>
          <w:u w:val="none"/>
          <w:lang w:val="en-US" w:eastAsia="zh-CN"/>
        </w:rPr>
      </w:pPr>
      <w:r>
        <w:rPr>
          <w:rFonts w:hint="eastAsia"/>
          <w:bCs/>
          <w:sz w:val="24"/>
          <w:u w:val="none"/>
          <w:lang w:val="en-US" w:eastAsia="zh-CN"/>
        </w:rPr>
        <w:t>17、</w:t>
      </w:r>
      <w:r>
        <w:rPr>
          <w:rFonts w:hint="default"/>
          <w:bCs/>
          <w:sz w:val="24"/>
          <w:u w:val="none"/>
          <w:lang w:val="en-US" w:eastAsia="zh-CN"/>
        </w:rPr>
        <w:t>《全国危险废物和医疗废物处置设施建设规划》，环发[2004]16号；</w:t>
      </w:r>
    </w:p>
    <w:p>
      <w:pPr>
        <w:pStyle w:val="71"/>
        <w:rPr>
          <w:rFonts w:hint="eastAsia"/>
          <w:bCs/>
          <w:sz w:val="24"/>
          <w:u w:val="none"/>
          <w:lang w:val="en-US" w:eastAsia="zh-CN"/>
        </w:rPr>
      </w:pPr>
      <w:r>
        <w:rPr>
          <w:rFonts w:hint="eastAsia"/>
          <w:bCs/>
          <w:sz w:val="24"/>
          <w:u w:val="none"/>
          <w:lang w:val="en-US" w:eastAsia="zh-CN"/>
        </w:rPr>
        <w:t>18、《医疗卫生机构医疗废物管理办法》，卫生部令[2003]36号；</w:t>
      </w:r>
    </w:p>
    <w:p>
      <w:pPr>
        <w:pStyle w:val="71"/>
        <w:rPr>
          <w:rFonts w:hint="eastAsia"/>
          <w:bCs/>
          <w:sz w:val="24"/>
          <w:u w:val="none"/>
          <w:lang w:val="en-US" w:eastAsia="zh-CN"/>
        </w:rPr>
      </w:pPr>
      <w:r>
        <w:rPr>
          <w:rFonts w:hint="eastAsia"/>
          <w:bCs/>
          <w:sz w:val="24"/>
          <w:u w:val="none"/>
          <w:lang w:val="en-US" w:eastAsia="zh-CN"/>
        </w:rPr>
        <w:t>19、《国家卫生计生委办公厅、环境保护部办公厅关于进一步加强医疗废物管理工作的通知》（国卫办医发〔2013〕45号）。</w:t>
      </w:r>
    </w:p>
    <w:p>
      <w:pPr>
        <w:pStyle w:val="71"/>
        <w:rPr>
          <w:b/>
          <w:bCs/>
          <w:sz w:val="24"/>
          <w:u w:val="none"/>
        </w:rPr>
      </w:pPr>
      <w:r>
        <w:rPr>
          <w:b/>
          <w:bCs/>
          <w:sz w:val="24"/>
          <w:u w:val="none"/>
        </w:rPr>
        <w:t>2.</w:t>
      </w:r>
      <w:r>
        <w:rPr>
          <w:rFonts w:hint="eastAsia"/>
          <w:b/>
          <w:bCs/>
          <w:sz w:val="24"/>
          <w:u w:val="none"/>
          <w:lang w:val="en-US" w:eastAsia="zh-CN"/>
        </w:rPr>
        <w:t>2</w:t>
      </w:r>
      <w:r>
        <w:rPr>
          <w:b/>
          <w:bCs/>
          <w:sz w:val="24"/>
          <w:u w:val="none"/>
        </w:rPr>
        <w:t>.3地方有关环保规定及条例</w:t>
      </w:r>
    </w:p>
    <w:p>
      <w:pPr>
        <w:tabs>
          <w:tab w:val="left" w:pos="360"/>
        </w:tabs>
        <w:spacing w:line="360" w:lineRule="auto"/>
        <w:ind w:firstLine="480" w:firstLineChars="200"/>
        <w:rPr>
          <w:bCs/>
          <w:sz w:val="24"/>
          <w:u w:val="none"/>
        </w:rPr>
      </w:pPr>
      <w:r>
        <w:rPr>
          <w:bCs/>
          <w:sz w:val="24"/>
          <w:u w:val="none"/>
        </w:rPr>
        <w:t>1、《四川省环境保护条例》（</w:t>
      </w:r>
      <w:r>
        <w:rPr>
          <w:rFonts w:hint="eastAsia"/>
          <w:bCs/>
          <w:sz w:val="24"/>
          <w:u w:val="none"/>
          <w:lang w:val="en-US" w:eastAsia="zh-CN"/>
        </w:rPr>
        <w:t>2018年1月1日施行</w:t>
      </w:r>
      <w:r>
        <w:rPr>
          <w:bCs/>
          <w:sz w:val="24"/>
          <w:u w:val="none"/>
        </w:rPr>
        <w:t>）；</w:t>
      </w:r>
    </w:p>
    <w:p>
      <w:pPr>
        <w:tabs>
          <w:tab w:val="left" w:pos="360"/>
        </w:tabs>
        <w:spacing w:line="360" w:lineRule="auto"/>
        <w:ind w:firstLine="480" w:firstLineChars="200"/>
        <w:rPr>
          <w:rFonts w:hint="eastAsia" w:eastAsia="宋体"/>
          <w:bCs/>
          <w:sz w:val="24"/>
          <w:u w:val="none"/>
          <w:lang w:eastAsia="zh-CN"/>
        </w:rPr>
      </w:pPr>
      <w:r>
        <w:rPr>
          <w:bCs/>
          <w:sz w:val="24"/>
          <w:u w:val="none"/>
        </w:rPr>
        <w:t>2、</w:t>
      </w:r>
      <w:r>
        <w:rPr>
          <w:rFonts w:hint="eastAsia"/>
          <w:bCs/>
          <w:sz w:val="24"/>
          <w:u w:val="none"/>
          <w:lang w:eastAsia="zh-CN"/>
        </w:rPr>
        <w:t>《四川省</w:t>
      </w:r>
      <w:r>
        <w:rPr>
          <w:rFonts w:hint="eastAsia"/>
          <w:bCs/>
          <w:sz w:val="24"/>
          <w:u w:val="none"/>
          <w:lang w:val="en-US" w:eastAsia="zh-CN"/>
        </w:rPr>
        <w:t>&lt;中华人民共和国大气污染防治法&gt;实施办法</w:t>
      </w:r>
      <w:r>
        <w:rPr>
          <w:rFonts w:hint="eastAsia"/>
          <w:bCs/>
          <w:sz w:val="24"/>
          <w:u w:val="none"/>
          <w:lang w:eastAsia="zh-CN"/>
        </w:rPr>
        <w:t>》（</w:t>
      </w:r>
      <w:r>
        <w:rPr>
          <w:rFonts w:hint="eastAsia"/>
          <w:bCs/>
          <w:sz w:val="24"/>
          <w:u w:val="none"/>
          <w:lang w:val="en-US" w:eastAsia="zh-CN"/>
        </w:rPr>
        <w:t>2019年1月1日实施</w:t>
      </w:r>
      <w:r>
        <w:rPr>
          <w:rFonts w:hint="eastAsia"/>
          <w:bCs/>
          <w:sz w:val="24"/>
          <w:u w:val="none"/>
          <w:lang w:eastAsia="zh-CN"/>
        </w:rPr>
        <w:t>）；</w:t>
      </w:r>
    </w:p>
    <w:p>
      <w:pPr>
        <w:tabs>
          <w:tab w:val="left" w:pos="360"/>
        </w:tabs>
        <w:spacing w:line="360" w:lineRule="auto"/>
        <w:ind w:firstLine="480" w:firstLineChars="200"/>
        <w:rPr>
          <w:rFonts w:hint="eastAsia"/>
          <w:bCs/>
          <w:sz w:val="24"/>
          <w:u w:val="none"/>
          <w:lang w:val="en-US" w:eastAsia="zh-CN"/>
        </w:rPr>
      </w:pPr>
      <w:r>
        <w:rPr>
          <w:rFonts w:hint="eastAsia"/>
          <w:bCs/>
          <w:sz w:val="24"/>
          <w:u w:val="none"/>
          <w:lang w:val="en-US" w:eastAsia="zh-CN"/>
        </w:rPr>
        <w:t>3、《四川省固体废物污染环境防治条例》（2018年7月26日修正）；</w:t>
      </w:r>
    </w:p>
    <w:p>
      <w:pPr>
        <w:pStyle w:val="71"/>
        <w:rPr>
          <w:rFonts w:hint="eastAsia"/>
          <w:bCs/>
          <w:sz w:val="24"/>
          <w:u w:val="none"/>
          <w:lang w:val="en-US" w:eastAsia="zh-CN"/>
        </w:rPr>
      </w:pPr>
      <w:r>
        <w:rPr>
          <w:rFonts w:hint="eastAsia"/>
          <w:bCs/>
          <w:sz w:val="24"/>
          <w:u w:val="none"/>
          <w:lang w:val="en-US" w:eastAsia="zh-CN"/>
        </w:rPr>
        <w:t>4、《四川省人民政府关于进一步加强医疗废弃物污染防治工作的通知》；</w:t>
      </w:r>
    </w:p>
    <w:p>
      <w:pPr>
        <w:pStyle w:val="71"/>
        <w:rPr>
          <w:bCs/>
          <w:sz w:val="24"/>
          <w:u w:val="none"/>
        </w:rPr>
      </w:pPr>
      <w:r>
        <w:rPr>
          <w:rFonts w:hint="eastAsia"/>
          <w:bCs/>
          <w:sz w:val="24"/>
          <w:u w:val="none"/>
          <w:lang w:val="en-US" w:eastAsia="zh-CN"/>
        </w:rPr>
        <w:t>5、</w:t>
      </w:r>
      <w:r>
        <w:rPr>
          <w:bCs/>
          <w:sz w:val="24"/>
          <w:u w:val="none"/>
        </w:rPr>
        <w:t>《四川省灰霾污染防治办法》（</w:t>
      </w:r>
      <w:r>
        <w:rPr>
          <w:rFonts w:hint="eastAsia"/>
          <w:bCs/>
          <w:sz w:val="24"/>
          <w:u w:val="none"/>
          <w:lang w:val="en-US" w:eastAsia="zh-CN"/>
        </w:rPr>
        <w:t>2015年5月1日实施</w:t>
      </w:r>
      <w:r>
        <w:rPr>
          <w:bCs/>
          <w:sz w:val="24"/>
          <w:u w:val="none"/>
        </w:rPr>
        <w:t>）；</w:t>
      </w:r>
    </w:p>
    <w:p>
      <w:pPr>
        <w:pStyle w:val="71"/>
        <w:rPr>
          <w:rFonts w:hint="eastAsia"/>
          <w:bCs/>
          <w:sz w:val="24"/>
          <w:u w:val="none"/>
          <w:lang w:val="en-US" w:eastAsia="zh-CN"/>
        </w:rPr>
      </w:pPr>
      <w:r>
        <w:rPr>
          <w:rFonts w:hint="eastAsia"/>
          <w:bCs/>
          <w:sz w:val="24"/>
          <w:u w:val="none"/>
          <w:lang w:val="en-US" w:eastAsia="zh-CN"/>
        </w:rPr>
        <w:t>6、《关于调整建设项目环境影响评价文件审批权限的公告》（2018年第4号）；</w:t>
      </w:r>
    </w:p>
    <w:p>
      <w:pPr>
        <w:tabs>
          <w:tab w:val="left" w:pos="360"/>
        </w:tabs>
        <w:spacing w:line="360" w:lineRule="auto"/>
        <w:ind w:firstLine="480" w:firstLineChars="200"/>
        <w:rPr>
          <w:rFonts w:hint="eastAsia"/>
          <w:bCs/>
          <w:sz w:val="24"/>
          <w:u w:val="none"/>
          <w:lang w:eastAsia="zh-CN"/>
        </w:rPr>
      </w:pPr>
      <w:r>
        <w:rPr>
          <w:rFonts w:hint="eastAsia"/>
          <w:bCs/>
          <w:sz w:val="24"/>
          <w:u w:val="none"/>
          <w:lang w:val="en-US" w:eastAsia="zh-CN"/>
        </w:rPr>
        <w:t>7、</w:t>
      </w:r>
      <w:r>
        <w:rPr>
          <w:rFonts w:hint="eastAsia"/>
          <w:bCs/>
          <w:sz w:val="24"/>
          <w:u w:val="none"/>
          <w:lang w:eastAsia="zh-CN"/>
        </w:rPr>
        <w:t>《四川省人民政府关于印发四川省生态保护红线方案的通知》（川府发【</w:t>
      </w:r>
      <w:r>
        <w:rPr>
          <w:rFonts w:hint="eastAsia"/>
          <w:bCs/>
          <w:sz w:val="24"/>
          <w:u w:val="none"/>
          <w:lang w:val="en-US" w:eastAsia="zh-CN"/>
        </w:rPr>
        <w:t>2018</w:t>
      </w:r>
      <w:r>
        <w:rPr>
          <w:rFonts w:hint="eastAsia"/>
          <w:bCs/>
          <w:sz w:val="24"/>
          <w:u w:val="none"/>
          <w:lang w:eastAsia="zh-CN"/>
        </w:rPr>
        <w:t>】</w:t>
      </w:r>
      <w:r>
        <w:rPr>
          <w:rFonts w:hint="eastAsia"/>
          <w:bCs/>
          <w:sz w:val="24"/>
          <w:u w:val="none"/>
          <w:lang w:val="en-US" w:eastAsia="zh-CN"/>
        </w:rPr>
        <w:t>24号</w:t>
      </w:r>
      <w:r>
        <w:rPr>
          <w:rFonts w:hint="eastAsia"/>
          <w:bCs/>
          <w:sz w:val="24"/>
          <w:u w:val="none"/>
          <w:lang w:eastAsia="zh-CN"/>
        </w:rPr>
        <w:t>）；</w:t>
      </w:r>
    </w:p>
    <w:p>
      <w:pPr>
        <w:pStyle w:val="71"/>
        <w:rPr>
          <w:rFonts w:hint="eastAsia"/>
          <w:bCs/>
          <w:sz w:val="24"/>
          <w:u w:val="none"/>
          <w:lang w:val="en-US" w:eastAsia="zh-CN"/>
        </w:rPr>
      </w:pPr>
      <w:r>
        <w:rPr>
          <w:rFonts w:hint="eastAsia"/>
          <w:bCs/>
          <w:sz w:val="24"/>
          <w:u w:val="none"/>
          <w:lang w:val="en-US" w:eastAsia="zh-CN"/>
        </w:rPr>
        <w:t>8、《四川省危险废物集中处置设施建设规划（2017—2022年）》；</w:t>
      </w:r>
    </w:p>
    <w:p>
      <w:pPr>
        <w:tabs>
          <w:tab w:val="left" w:pos="360"/>
        </w:tabs>
        <w:spacing w:line="360" w:lineRule="auto"/>
        <w:ind w:firstLine="480" w:firstLineChars="200"/>
        <w:rPr>
          <w:rFonts w:hint="eastAsia"/>
          <w:bCs/>
          <w:sz w:val="24"/>
          <w:u w:val="none"/>
          <w:lang w:eastAsia="zh-CN"/>
        </w:rPr>
      </w:pPr>
      <w:r>
        <w:rPr>
          <w:rFonts w:hint="eastAsia"/>
          <w:bCs/>
          <w:sz w:val="24"/>
          <w:u w:val="none"/>
          <w:lang w:val="en-US" w:eastAsia="zh-CN"/>
        </w:rPr>
        <w:t>9、</w:t>
      </w:r>
      <w:r>
        <w:rPr>
          <w:bCs/>
          <w:sz w:val="24"/>
          <w:u w:val="none"/>
        </w:rPr>
        <w:t>《广元市区域卫生规划(2011—2020年)》</w:t>
      </w:r>
      <w:r>
        <w:rPr>
          <w:rFonts w:hint="eastAsia"/>
          <w:bCs/>
          <w:sz w:val="24"/>
          <w:u w:val="none"/>
          <w:lang w:eastAsia="zh-CN"/>
        </w:rPr>
        <w:t>；</w:t>
      </w:r>
    </w:p>
    <w:p>
      <w:pPr>
        <w:pStyle w:val="71"/>
        <w:rPr>
          <w:rFonts w:hint="default"/>
          <w:sz w:val="24"/>
          <w:u w:val="none"/>
          <w:lang w:val="en-US" w:eastAsia="zh-CN"/>
        </w:rPr>
      </w:pPr>
      <w:r>
        <w:rPr>
          <w:rFonts w:hint="eastAsia"/>
          <w:bCs/>
          <w:sz w:val="24"/>
          <w:u w:val="none"/>
          <w:lang w:val="en-US" w:eastAsia="zh-CN"/>
        </w:rPr>
        <w:t>10、《</w:t>
      </w:r>
      <w:r>
        <w:rPr>
          <w:rFonts w:hint="eastAsia"/>
          <w:sz w:val="24"/>
          <w:u w:val="none"/>
          <w:lang w:eastAsia="zh-CN"/>
        </w:rPr>
        <w:t>广元市人民政府办公室关于印发</w:t>
      </w:r>
      <w:r>
        <w:rPr>
          <w:rFonts w:hint="eastAsia"/>
          <w:sz w:val="24"/>
          <w:u w:val="none"/>
          <w:lang w:val="en-US" w:eastAsia="zh-CN"/>
        </w:rPr>
        <w:t>&lt;</w:t>
      </w:r>
      <w:r>
        <w:rPr>
          <w:rFonts w:hint="eastAsia"/>
          <w:sz w:val="24"/>
          <w:u w:val="none"/>
          <w:lang w:eastAsia="zh-CN"/>
        </w:rPr>
        <w:t>广元市医疗废物集中处置管理办法</w:t>
      </w:r>
      <w:r>
        <w:rPr>
          <w:rFonts w:hint="eastAsia"/>
          <w:sz w:val="24"/>
          <w:u w:val="none"/>
          <w:lang w:val="en-US" w:eastAsia="zh-CN"/>
        </w:rPr>
        <w:t>&gt;</w:t>
      </w:r>
      <w:r>
        <w:rPr>
          <w:rFonts w:hint="eastAsia"/>
          <w:sz w:val="24"/>
          <w:u w:val="none"/>
          <w:lang w:eastAsia="zh-CN"/>
        </w:rPr>
        <w:t>的通知</w:t>
      </w:r>
      <w:r>
        <w:rPr>
          <w:rFonts w:hint="eastAsia"/>
          <w:bCs/>
          <w:sz w:val="24"/>
          <w:u w:val="none"/>
          <w:lang w:val="en-US" w:eastAsia="zh-CN"/>
        </w:rPr>
        <w:t>》</w:t>
      </w:r>
      <w:r>
        <w:rPr>
          <w:rFonts w:hint="eastAsia"/>
          <w:sz w:val="24"/>
          <w:u w:val="none"/>
          <w:lang w:eastAsia="zh-CN"/>
        </w:rPr>
        <w:t>（广府办发〔2018〕72号）。</w:t>
      </w:r>
    </w:p>
    <w:bookmarkEnd w:id="26"/>
    <w:bookmarkEnd w:id="27"/>
    <w:p>
      <w:pPr>
        <w:tabs>
          <w:tab w:val="left" w:pos="360"/>
        </w:tabs>
        <w:spacing w:line="360" w:lineRule="auto"/>
        <w:rPr>
          <w:b/>
          <w:bCs/>
          <w:sz w:val="24"/>
          <w:u w:val="none"/>
        </w:rPr>
      </w:pPr>
      <w:r>
        <w:rPr>
          <w:b/>
          <w:bCs/>
          <w:sz w:val="24"/>
          <w:u w:val="none"/>
        </w:rPr>
        <w:t>2.</w:t>
      </w:r>
      <w:r>
        <w:rPr>
          <w:rFonts w:hint="eastAsia"/>
          <w:b/>
          <w:bCs/>
          <w:sz w:val="24"/>
          <w:u w:val="none"/>
          <w:lang w:val="en-US" w:eastAsia="zh-CN"/>
        </w:rPr>
        <w:t>2</w:t>
      </w:r>
      <w:r>
        <w:rPr>
          <w:b/>
          <w:bCs/>
          <w:sz w:val="24"/>
          <w:u w:val="none"/>
        </w:rPr>
        <w:t>.4技术文件导则</w:t>
      </w:r>
    </w:p>
    <w:p>
      <w:pPr>
        <w:tabs>
          <w:tab w:val="left" w:pos="360"/>
        </w:tabs>
        <w:spacing w:line="360" w:lineRule="auto"/>
        <w:ind w:firstLine="480" w:firstLineChars="200"/>
        <w:rPr>
          <w:bCs/>
          <w:sz w:val="24"/>
          <w:u w:val="none"/>
        </w:rPr>
      </w:pPr>
      <w:r>
        <w:rPr>
          <w:bCs/>
          <w:sz w:val="24"/>
          <w:u w:val="none"/>
        </w:rPr>
        <w:t>1、《环境影响评价技术导则  总纲》（HJ2.1-2016）；</w:t>
      </w:r>
    </w:p>
    <w:p>
      <w:pPr>
        <w:tabs>
          <w:tab w:val="left" w:pos="360"/>
        </w:tabs>
        <w:spacing w:line="360" w:lineRule="auto"/>
        <w:ind w:firstLine="480" w:firstLineChars="200"/>
        <w:rPr>
          <w:bCs/>
          <w:sz w:val="24"/>
          <w:u w:val="none"/>
        </w:rPr>
      </w:pPr>
      <w:r>
        <w:rPr>
          <w:bCs/>
          <w:sz w:val="24"/>
          <w:u w:val="none"/>
        </w:rPr>
        <w:t>2、《环境影响评价技术导则  大气环境》（HJ2.2-20</w:t>
      </w:r>
      <w:r>
        <w:rPr>
          <w:rFonts w:hint="eastAsia"/>
          <w:bCs/>
          <w:sz w:val="24"/>
          <w:u w:val="none"/>
          <w:lang w:val="en-US" w:eastAsia="zh-CN"/>
        </w:rPr>
        <w:t>18</w:t>
      </w:r>
      <w:r>
        <w:rPr>
          <w:bCs/>
          <w:sz w:val="24"/>
          <w:u w:val="none"/>
        </w:rPr>
        <w:t>）；</w:t>
      </w:r>
    </w:p>
    <w:p>
      <w:pPr>
        <w:tabs>
          <w:tab w:val="left" w:pos="360"/>
        </w:tabs>
        <w:spacing w:line="360" w:lineRule="auto"/>
        <w:ind w:firstLine="480" w:firstLineChars="200"/>
        <w:rPr>
          <w:bCs/>
          <w:sz w:val="24"/>
          <w:u w:val="none"/>
        </w:rPr>
      </w:pPr>
      <w:r>
        <w:rPr>
          <w:bCs/>
          <w:sz w:val="24"/>
          <w:u w:val="none"/>
        </w:rPr>
        <w:t>3、《环境影响评价技术导则  声环境》（HJ2.4-2009）；</w:t>
      </w:r>
    </w:p>
    <w:p>
      <w:pPr>
        <w:tabs>
          <w:tab w:val="left" w:pos="360"/>
        </w:tabs>
        <w:spacing w:line="360" w:lineRule="auto"/>
        <w:ind w:firstLine="480" w:firstLineChars="200"/>
        <w:rPr>
          <w:bCs/>
          <w:sz w:val="24"/>
          <w:u w:val="none"/>
          <w:lang w:val="en-GB"/>
        </w:rPr>
      </w:pPr>
      <w:r>
        <w:rPr>
          <w:bCs/>
          <w:sz w:val="24"/>
          <w:u w:val="none"/>
        </w:rPr>
        <w:t>4、《环境影响评价技术导则  地表水</w:t>
      </w:r>
      <w:r>
        <w:rPr>
          <w:rFonts w:hint="eastAsia"/>
          <w:bCs/>
          <w:sz w:val="24"/>
          <w:u w:val="none"/>
          <w:lang w:eastAsia="zh-CN"/>
        </w:rPr>
        <w:t>环境</w:t>
      </w:r>
      <w:r>
        <w:rPr>
          <w:bCs/>
          <w:sz w:val="24"/>
          <w:u w:val="none"/>
        </w:rPr>
        <w:t>》（HJ2.3-</w:t>
      </w:r>
      <w:r>
        <w:rPr>
          <w:rFonts w:hint="eastAsia"/>
          <w:bCs/>
          <w:sz w:val="24"/>
          <w:u w:val="none"/>
          <w:lang w:val="en-US" w:eastAsia="zh-CN"/>
        </w:rPr>
        <w:t>2018</w:t>
      </w:r>
      <w:r>
        <w:rPr>
          <w:bCs/>
          <w:sz w:val="24"/>
          <w:u w:val="none"/>
        </w:rPr>
        <w:t>）；</w:t>
      </w:r>
    </w:p>
    <w:p>
      <w:pPr>
        <w:tabs>
          <w:tab w:val="left" w:pos="360"/>
        </w:tabs>
        <w:spacing w:line="360" w:lineRule="auto"/>
        <w:ind w:firstLine="480" w:firstLineChars="200"/>
        <w:rPr>
          <w:bCs/>
          <w:sz w:val="24"/>
          <w:u w:val="none"/>
        </w:rPr>
      </w:pPr>
      <w:r>
        <w:rPr>
          <w:bCs/>
          <w:sz w:val="24"/>
          <w:u w:val="none"/>
        </w:rPr>
        <w:t>5、《环境影响评价技术导则  地下水环境》（HJ610-2016）；</w:t>
      </w:r>
    </w:p>
    <w:p>
      <w:pPr>
        <w:tabs>
          <w:tab w:val="left" w:pos="360"/>
        </w:tabs>
        <w:spacing w:line="360" w:lineRule="auto"/>
        <w:ind w:firstLine="480"/>
        <w:rPr>
          <w:bCs/>
          <w:sz w:val="24"/>
          <w:u w:val="none"/>
        </w:rPr>
      </w:pPr>
      <w:r>
        <w:rPr>
          <w:bCs/>
          <w:sz w:val="24"/>
          <w:u w:val="none"/>
        </w:rPr>
        <w:t>6、《建设项目风险评价技术导则》（HJ169-</w:t>
      </w:r>
      <w:r>
        <w:rPr>
          <w:rFonts w:hint="eastAsia"/>
          <w:bCs/>
          <w:sz w:val="24"/>
          <w:u w:val="none"/>
          <w:lang w:val="en-US" w:eastAsia="zh-CN"/>
        </w:rPr>
        <w:t>2018</w:t>
      </w:r>
      <w:r>
        <w:rPr>
          <w:bCs/>
          <w:sz w:val="24"/>
          <w:u w:val="none"/>
        </w:rPr>
        <w:t>）；</w:t>
      </w:r>
    </w:p>
    <w:p>
      <w:pPr>
        <w:tabs>
          <w:tab w:val="left" w:pos="360"/>
        </w:tabs>
        <w:spacing w:line="360" w:lineRule="auto"/>
        <w:ind w:firstLine="480"/>
        <w:rPr>
          <w:rFonts w:hint="eastAsia"/>
          <w:bCs/>
          <w:sz w:val="24"/>
          <w:u w:val="none"/>
          <w:lang w:eastAsia="zh-CN"/>
        </w:rPr>
      </w:pPr>
      <w:r>
        <w:rPr>
          <w:bCs/>
          <w:sz w:val="24"/>
          <w:u w:val="none"/>
        </w:rPr>
        <w:t>7、《环境影响评价技术导则  生态影响》（HJ19-2011）</w:t>
      </w:r>
      <w:r>
        <w:rPr>
          <w:rFonts w:hint="eastAsia"/>
          <w:bCs/>
          <w:sz w:val="24"/>
          <w:u w:val="none"/>
          <w:lang w:eastAsia="zh-CN"/>
        </w:rPr>
        <w:t>；</w:t>
      </w:r>
    </w:p>
    <w:p>
      <w:pPr>
        <w:pStyle w:val="71"/>
        <w:rPr>
          <w:rFonts w:hint="eastAsia"/>
          <w:bCs/>
          <w:sz w:val="24"/>
          <w:u w:val="none"/>
          <w:lang w:val="en-US" w:eastAsia="zh-CN"/>
        </w:rPr>
      </w:pPr>
      <w:r>
        <w:rPr>
          <w:rFonts w:hint="eastAsia"/>
          <w:bCs/>
          <w:sz w:val="24"/>
          <w:u w:val="none"/>
          <w:lang w:val="en-US" w:eastAsia="zh-CN"/>
        </w:rPr>
        <w:t>8、《关于印发&lt;危险废物和医疗废物处置设施建设项目环境影响评价技术原则（试行）&gt;的通知》，环发【2004】58号；；</w:t>
      </w:r>
    </w:p>
    <w:p>
      <w:pPr>
        <w:pStyle w:val="71"/>
        <w:rPr>
          <w:rFonts w:hint="eastAsia"/>
          <w:bCs/>
          <w:sz w:val="24"/>
          <w:u w:val="none"/>
          <w:lang w:val="en-US" w:eastAsia="zh-CN"/>
        </w:rPr>
      </w:pPr>
      <w:r>
        <w:rPr>
          <w:rFonts w:hint="eastAsia"/>
          <w:bCs/>
          <w:sz w:val="24"/>
          <w:u w:val="none"/>
          <w:lang w:val="en-US" w:eastAsia="zh-CN"/>
        </w:rPr>
        <w:t>9、《危险废物处置工程技术导则》HJ2042-2014；</w:t>
      </w:r>
    </w:p>
    <w:p>
      <w:pPr>
        <w:pStyle w:val="71"/>
        <w:rPr>
          <w:rFonts w:hint="eastAsia"/>
          <w:bCs/>
          <w:sz w:val="24"/>
          <w:u w:val="none"/>
          <w:lang w:val="en-US" w:eastAsia="zh-CN"/>
        </w:rPr>
      </w:pPr>
      <w:r>
        <w:rPr>
          <w:rFonts w:hint="eastAsia"/>
          <w:bCs/>
          <w:sz w:val="24"/>
          <w:u w:val="none"/>
          <w:lang w:val="en-US" w:eastAsia="zh-CN"/>
        </w:rPr>
        <w:t>10、《医院污水处理工程技术规范》HJ2029-2013；</w:t>
      </w:r>
    </w:p>
    <w:p>
      <w:pPr>
        <w:pStyle w:val="71"/>
        <w:rPr>
          <w:rFonts w:hint="eastAsia"/>
          <w:bCs/>
          <w:sz w:val="24"/>
          <w:u w:val="none"/>
          <w:lang w:val="en-US" w:eastAsia="zh-CN"/>
        </w:rPr>
      </w:pPr>
      <w:r>
        <w:rPr>
          <w:rFonts w:hint="eastAsia"/>
          <w:bCs/>
          <w:sz w:val="24"/>
          <w:u w:val="none"/>
          <w:lang w:val="en-US" w:eastAsia="zh-CN"/>
        </w:rPr>
        <w:t>11、《医疗废物集中处置技术规范（试行）》（环发【2003】206号，2003年12月26日实施）；</w:t>
      </w:r>
    </w:p>
    <w:p>
      <w:pPr>
        <w:pStyle w:val="71"/>
        <w:rPr>
          <w:rFonts w:hint="eastAsia"/>
          <w:bCs/>
          <w:sz w:val="24"/>
          <w:u w:val="none"/>
          <w:lang w:val="en-US" w:eastAsia="zh-CN"/>
        </w:rPr>
      </w:pPr>
      <w:r>
        <w:rPr>
          <w:rFonts w:hint="eastAsia"/>
          <w:bCs/>
          <w:sz w:val="24"/>
          <w:u w:val="none"/>
          <w:lang w:val="en-US" w:eastAsia="zh-CN"/>
        </w:rPr>
        <w:t>12、《医疗废物专用包装袋、容器和警示标志标准》（HJ421-2008）；</w:t>
      </w:r>
    </w:p>
    <w:p>
      <w:pPr>
        <w:pStyle w:val="71"/>
        <w:rPr>
          <w:rFonts w:hint="eastAsia"/>
          <w:bCs/>
          <w:sz w:val="24"/>
          <w:u w:val="none"/>
          <w:lang w:val="en-US" w:eastAsia="zh-CN"/>
        </w:rPr>
      </w:pPr>
      <w:r>
        <w:rPr>
          <w:rFonts w:hint="eastAsia"/>
          <w:bCs/>
          <w:sz w:val="24"/>
          <w:u w:val="none"/>
          <w:lang w:val="en-US" w:eastAsia="zh-CN"/>
        </w:rPr>
        <w:t>13、《危险废物收集 贮存 运输技术规范》（HJ2025-2012）；</w:t>
      </w:r>
    </w:p>
    <w:p>
      <w:pPr>
        <w:pStyle w:val="71"/>
        <w:rPr>
          <w:rFonts w:hint="eastAsia"/>
          <w:bCs/>
          <w:sz w:val="24"/>
          <w:u w:val="none"/>
          <w:lang w:val="en-US" w:eastAsia="zh-CN"/>
        </w:rPr>
      </w:pPr>
      <w:r>
        <w:rPr>
          <w:rFonts w:hint="eastAsia"/>
          <w:bCs/>
          <w:sz w:val="24"/>
          <w:u w:val="none"/>
          <w:lang w:val="en-US" w:eastAsia="zh-CN"/>
        </w:rPr>
        <w:t>14、《医疗废物微波消毒集中处理工程技术规范（试行）》（HJ/T229-2006）；</w:t>
      </w:r>
    </w:p>
    <w:p>
      <w:pPr>
        <w:pStyle w:val="71"/>
        <w:rPr>
          <w:rFonts w:hint="default"/>
          <w:bCs/>
          <w:sz w:val="24"/>
          <w:u w:val="none"/>
          <w:lang w:val="en-US" w:eastAsia="zh-CN"/>
        </w:rPr>
      </w:pPr>
      <w:r>
        <w:rPr>
          <w:rFonts w:hint="eastAsia"/>
          <w:bCs/>
          <w:sz w:val="24"/>
          <w:u w:val="none"/>
          <w:lang w:val="en-US" w:eastAsia="zh-CN"/>
        </w:rPr>
        <w:t>17、《医疗废物处理处置污染防治最佳可行技术指南（试行）》（HJ-BAT-8）。</w:t>
      </w:r>
    </w:p>
    <w:p>
      <w:pPr>
        <w:tabs>
          <w:tab w:val="left" w:pos="360"/>
        </w:tabs>
        <w:spacing w:line="360" w:lineRule="auto"/>
        <w:rPr>
          <w:b/>
          <w:bCs/>
          <w:sz w:val="24"/>
          <w:u w:val="none"/>
        </w:rPr>
      </w:pPr>
      <w:r>
        <w:rPr>
          <w:b/>
          <w:bCs/>
          <w:sz w:val="24"/>
          <w:u w:val="none"/>
        </w:rPr>
        <w:t>2.</w:t>
      </w:r>
      <w:r>
        <w:rPr>
          <w:rFonts w:hint="eastAsia"/>
          <w:b/>
          <w:bCs/>
          <w:sz w:val="24"/>
          <w:u w:val="none"/>
          <w:lang w:val="en-US" w:eastAsia="zh-CN"/>
        </w:rPr>
        <w:t>2</w:t>
      </w:r>
      <w:r>
        <w:rPr>
          <w:b/>
          <w:bCs/>
          <w:sz w:val="24"/>
          <w:u w:val="none"/>
        </w:rPr>
        <w:t>.5与项目有关的文件、资料</w:t>
      </w:r>
    </w:p>
    <w:p>
      <w:pPr>
        <w:topLinePunct/>
        <w:spacing w:line="360" w:lineRule="auto"/>
        <w:ind w:firstLine="570"/>
        <w:jc w:val="left"/>
        <w:rPr>
          <w:rFonts w:hint="eastAsia"/>
          <w:color w:val="auto"/>
          <w:sz w:val="24"/>
          <w:u w:val="none"/>
          <w:lang w:val="en-US" w:eastAsia="zh-CN"/>
        </w:rPr>
      </w:pPr>
      <w:bookmarkStart w:id="28" w:name="_Toc209931697"/>
      <w:r>
        <w:rPr>
          <w:color w:val="auto"/>
          <w:sz w:val="24"/>
          <w:u w:val="none"/>
        </w:rPr>
        <w:t>1、</w:t>
      </w:r>
      <w:r>
        <w:rPr>
          <w:rFonts w:hint="eastAsia"/>
          <w:color w:val="auto"/>
          <w:sz w:val="24"/>
          <w:u w:val="none"/>
          <w:lang w:val="en-US" w:eastAsia="zh-CN"/>
        </w:rPr>
        <w:t>《中共旺苍县维护社会稳定领导小组关于《旺苍县新建医疗废物处置中心建设项目的社会稳定风险评估报告》的审查意见（旺稳组[2018]17号）；</w:t>
      </w:r>
    </w:p>
    <w:p>
      <w:pPr>
        <w:topLinePunct/>
        <w:spacing w:line="360" w:lineRule="auto"/>
        <w:ind w:firstLine="570"/>
        <w:jc w:val="left"/>
        <w:rPr>
          <w:sz w:val="24"/>
          <w:u w:val="none"/>
        </w:rPr>
      </w:pPr>
      <w:r>
        <w:rPr>
          <w:rFonts w:hint="eastAsia"/>
          <w:sz w:val="24"/>
          <w:u w:val="none"/>
          <w:lang w:val="en-US" w:eastAsia="zh-CN"/>
        </w:rPr>
        <w:t>2</w:t>
      </w:r>
      <w:r>
        <w:rPr>
          <w:sz w:val="24"/>
          <w:u w:val="none"/>
        </w:rPr>
        <w:t>、</w:t>
      </w:r>
      <w:r>
        <w:rPr>
          <w:rFonts w:hint="eastAsia"/>
          <w:sz w:val="24"/>
          <w:u w:val="none"/>
          <w:lang w:eastAsia="zh-CN"/>
        </w:rPr>
        <w:t>《旺苍县自然资源局关于旺苍县医疗废物处置中心建设用地预审的复函》（旺自然资函【</w:t>
      </w:r>
      <w:r>
        <w:rPr>
          <w:rFonts w:hint="eastAsia"/>
          <w:sz w:val="24"/>
          <w:u w:val="none"/>
          <w:lang w:val="en-US" w:eastAsia="zh-CN"/>
        </w:rPr>
        <w:t>2019</w:t>
      </w:r>
      <w:r>
        <w:rPr>
          <w:rFonts w:hint="eastAsia"/>
          <w:sz w:val="24"/>
          <w:u w:val="none"/>
          <w:lang w:eastAsia="zh-CN"/>
        </w:rPr>
        <w:t>】</w:t>
      </w:r>
      <w:r>
        <w:rPr>
          <w:rFonts w:hint="eastAsia"/>
          <w:sz w:val="24"/>
          <w:u w:val="none"/>
          <w:lang w:val="en-US" w:eastAsia="zh-CN"/>
        </w:rPr>
        <w:t>3号</w:t>
      </w:r>
      <w:r>
        <w:rPr>
          <w:rFonts w:hint="eastAsia"/>
          <w:sz w:val="24"/>
          <w:u w:val="none"/>
          <w:lang w:eastAsia="zh-CN"/>
        </w:rPr>
        <w:t>）</w:t>
      </w:r>
      <w:r>
        <w:rPr>
          <w:sz w:val="24"/>
          <w:u w:val="none"/>
        </w:rPr>
        <w:t>；</w:t>
      </w:r>
    </w:p>
    <w:p>
      <w:pPr>
        <w:topLinePunct/>
        <w:spacing w:line="360" w:lineRule="auto"/>
        <w:ind w:firstLine="480" w:firstLineChars="200"/>
        <w:jc w:val="left"/>
        <w:rPr>
          <w:rFonts w:hint="eastAsia"/>
          <w:sz w:val="24"/>
          <w:u w:val="none"/>
          <w:lang w:eastAsia="zh-CN"/>
        </w:rPr>
      </w:pPr>
      <w:r>
        <w:rPr>
          <w:rFonts w:hint="eastAsia"/>
          <w:sz w:val="24"/>
          <w:u w:val="none"/>
          <w:lang w:val="en-US" w:eastAsia="zh-CN"/>
        </w:rPr>
        <w:t>3、</w:t>
      </w:r>
      <w:bookmarkEnd w:id="28"/>
      <w:r>
        <w:rPr>
          <w:rFonts w:hint="eastAsia"/>
          <w:sz w:val="24"/>
          <w:u w:val="none"/>
          <w:lang w:eastAsia="zh-CN"/>
        </w:rPr>
        <w:t>《旺苍县医疗废物处置中心建设项目可行性研究报告》（</w:t>
      </w:r>
      <w:r>
        <w:rPr>
          <w:rFonts w:hint="eastAsia"/>
          <w:sz w:val="24"/>
          <w:u w:val="none"/>
          <w:lang w:val="en-US" w:eastAsia="zh-CN"/>
        </w:rPr>
        <w:t>2019年</w:t>
      </w:r>
      <w:r>
        <w:rPr>
          <w:rFonts w:hint="eastAsia"/>
          <w:sz w:val="24"/>
          <w:u w:val="none"/>
          <w:lang w:eastAsia="zh-CN"/>
        </w:rPr>
        <w:t>）；</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4、《旺苍县发展和改革局关于旺苍县医疗废物处置中心建设项目可行性研究报告的批复》（旺发改【2019】201号）；</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5、《旺苍县医疗废物处置中心建设项目岩土工程勘察报告》；</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6、《建设项目选址建议书》（旺选字第2019-04号）；</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7、医疗机构核准登记证；</w:t>
      </w:r>
    </w:p>
    <w:p>
      <w:pPr>
        <w:topLinePunct/>
        <w:spacing w:line="360" w:lineRule="auto"/>
        <w:ind w:firstLine="480" w:firstLineChars="200"/>
        <w:jc w:val="left"/>
        <w:rPr>
          <w:rFonts w:hint="default"/>
          <w:sz w:val="24"/>
          <w:u w:val="none"/>
          <w:lang w:val="en-US" w:eastAsia="zh-CN"/>
        </w:rPr>
      </w:pPr>
      <w:r>
        <w:rPr>
          <w:rFonts w:hint="eastAsia"/>
          <w:sz w:val="24"/>
          <w:u w:val="none"/>
          <w:lang w:val="en-US" w:eastAsia="zh-CN"/>
        </w:rPr>
        <w:t>8、初步设计图。</w:t>
      </w:r>
    </w:p>
    <w:p>
      <w:pPr>
        <w:pStyle w:val="3"/>
        <w:rPr>
          <w:rFonts w:hint="eastAsia" w:ascii="Times New Roman" w:hAnsi="Times New Roman" w:eastAsia="宋体"/>
          <w:sz w:val="28"/>
          <w:szCs w:val="28"/>
          <w:u w:val="none"/>
          <w:lang w:val="en-US" w:eastAsia="zh-CN"/>
        </w:rPr>
      </w:pPr>
      <w:bookmarkStart w:id="29" w:name="_Toc28864"/>
      <w:r>
        <w:rPr>
          <w:rFonts w:hint="eastAsia" w:ascii="Times New Roman" w:hAnsi="Times New Roman" w:eastAsia="宋体"/>
          <w:sz w:val="28"/>
          <w:szCs w:val="28"/>
          <w:u w:val="none"/>
          <w:lang w:val="en-US" w:eastAsia="zh-CN"/>
        </w:rPr>
        <w:t>2.3评价标准与评价因子</w:t>
      </w:r>
      <w:bookmarkEnd w:id="29"/>
    </w:p>
    <w:p>
      <w:pPr>
        <w:topLinePunct/>
        <w:spacing w:line="360" w:lineRule="auto"/>
        <w:ind w:firstLine="482" w:firstLineChars="200"/>
        <w:jc w:val="left"/>
        <w:rPr>
          <w:rFonts w:hint="eastAsia" w:ascii="Times New Roman" w:hAnsi="Times New Roman" w:eastAsia="宋体"/>
          <w:b/>
          <w:bCs/>
          <w:sz w:val="24"/>
          <w:u w:val="none"/>
          <w:lang w:val="en-US" w:eastAsia="zh-CN"/>
        </w:rPr>
      </w:pPr>
      <w:r>
        <w:rPr>
          <w:rFonts w:hint="eastAsia" w:ascii="Times New Roman" w:hAnsi="Times New Roman" w:eastAsia="宋体"/>
          <w:b/>
          <w:bCs/>
          <w:sz w:val="24"/>
          <w:u w:val="none"/>
          <w:lang w:val="en-US" w:eastAsia="zh-CN"/>
        </w:rPr>
        <w:t>2.3.1环境质量标准</w:t>
      </w:r>
    </w:p>
    <w:p>
      <w:pPr>
        <w:bidi w:val="0"/>
        <w:rPr>
          <w:rFonts w:hint="eastAsia"/>
          <w:lang w:val="en-US" w:eastAsia="zh-CN"/>
        </w:rPr>
      </w:pPr>
      <w:r>
        <w:rPr>
          <w:rFonts w:hint="eastAsia" w:ascii="Times New Roman" w:hAnsi="Times New Roman" w:eastAsia="宋体"/>
          <w:sz w:val="24"/>
          <w:u w:val="none"/>
          <w:lang w:val="en-US" w:eastAsia="zh-CN"/>
        </w:rPr>
        <w:t>1、水环境质量标准</w:t>
      </w:r>
    </w:p>
    <w:p>
      <w:pPr>
        <w:bidi w:val="0"/>
        <w:rPr>
          <w:rFonts w:hint="eastAsia" w:ascii="Times New Roman" w:hAnsi="Times New Roman" w:eastAsia="宋体"/>
          <w:lang w:val="en-US" w:eastAsia="zh-CN"/>
        </w:rPr>
      </w:pPr>
      <w:r>
        <w:rPr>
          <w:rFonts w:hint="eastAsia" w:ascii="Times New Roman" w:hAnsi="Times New Roman" w:eastAsia="宋体"/>
          <w:lang w:val="en-US" w:eastAsia="zh-CN"/>
        </w:rPr>
        <w:t>（1）地表水环境质量标准</w:t>
      </w:r>
    </w:p>
    <w:p>
      <w:pPr>
        <w:bidi w:val="0"/>
        <w:rPr>
          <w:rFonts w:hint="eastAsia" w:ascii="Times New Roman" w:hAnsi="Times New Roman" w:eastAsia="宋体"/>
          <w:lang w:val="en-US" w:eastAsia="zh-CN"/>
        </w:rPr>
      </w:pPr>
      <w:r>
        <w:rPr>
          <w:rFonts w:hint="eastAsia" w:ascii="Times New Roman" w:hAnsi="Times New Roman" w:eastAsia="宋体"/>
          <w:lang w:val="en-US" w:eastAsia="zh-CN"/>
        </w:rPr>
        <w:t>根据现场调查，项目所在区域地表水水域环境功能区划为</w:t>
      </w:r>
      <w:r>
        <w:rPr>
          <w:rFonts w:hint="eastAsia" w:ascii="Times New Roman" w:hAnsi="Times New Roman" w:eastAsia="宋体"/>
          <w:lang w:val="en-US" w:eastAsia="zh-CN"/>
        </w:rPr>
        <w:fldChar w:fldCharType="begin"/>
      </w:r>
      <w:r>
        <w:rPr>
          <w:rFonts w:hint="eastAsia" w:ascii="Times New Roman" w:hAnsi="Times New Roman" w:eastAsia="宋体"/>
          <w:lang w:val="en-US" w:eastAsia="zh-CN"/>
        </w:rPr>
        <w:instrText xml:space="preserve"> = 3 \* ROMAN \* MERGEFORMAT </w:instrText>
      </w:r>
      <w:r>
        <w:rPr>
          <w:rFonts w:hint="eastAsia" w:ascii="Times New Roman" w:hAnsi="Times New Roman" w:eastAsia="宋体"/>
          <w:lang w:val="en-US" w:eastAsia="zh-CN"/>
        </w:rPr>
        <w:fldChar w:fldCharType="separate"/>
      </w:r>
      <w:r>
        <w:t>III</w:t>
      </w:r>
      <w:r>
        <w:rPr>
          <w:rFonts w:hint="eastAsia" w:ascii="Times New Roman" w:hAnsi="Times New Roman" w:eastAsia="宋体"/>
          <w:lang w:val="en-US" w:eastAsia="zh-CN"/>
        </w:rPr>
        <w:fldChar w:fldCharType="end"/>
      </w:r>
      <w:r>
        <w:rPr>
          <w:rFonts w:hint="eastAsia" w:ascii="Times New Roman" w:hAnsi="Times New Roman" w:eastAsia="宋体"/>
          <w:lang w:val="en-US" w:eastAsia="zh-CN"/>
        </w:rPr>
        <w:t>类水域，因此，地表水环境质量标准执行《地表水环境质量标准》（GB3838-2002）的Ⅲ类水域标准，见下表。</w:t>
      </w:r>
    </w:p>
    <w:p>
      <w:pPr>
        <w:pStyle w:val="352"/>
        <w:bidi w:val="0"/>
        <w:rPr>
          <w:rFonts w:hint="eastAsia"/>
          <w:lang w:val="en-US" w:eastAsia="zh-CN"/>
        </w:rPr>
      </w:pPr>
      <w:r>
        <w:rPr>
          <w:rFonts w:hint="eastAsia"/>
          <w:lang w:val="en-US" w:eastAsia="zh-CN"/>
        </w:rPr>
        <w:t>表2-1  地表水环境质量标准限值   单位：mg/L</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46"/>
        <w:gridCol w:w="1316"/>
        <w:gridCol w:w="1120"/>
        <w:gridCol w:w="1053"/>
        <w:gridCol w:w="1493"/>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4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pH</w:t>
            </w:r>
          </w:p>
        </w:tc>
        <w:tc>
          <w:tcPr>
            <w:tcW w:w="131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CODcr</w:t>
            </w:r>
          </w:p>
        </w:tc>
        <w:tc>
          <w:tcPr>
            <w:tcW w:w="1120"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BOD5</w:t>
            </w:r>
          </w:p>
        </w:tc>
        <w:tc>
          <w:tcPr>
            <w:tcW w:w="105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NH3-N</w:t>
            </w:r>
          </w:p>
        </w:tc>
        <w:tc>
          <w:tcPr>
            <w:tcW w:w="149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TP</w:t>
            </w:r>
          </w:p>
        </w:tc>
        <w:tc>
          <w:tcPr>
            <w:tcW w:w="172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粪大肠菌群数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标准值</w:t>
            </w:r>
          </w:p>
        </w:tc>
        <w:tc>
          <w:tcPr>
            <w:tcW w:w="114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6～9</w:t>
            </w:r>
          </w:p>
        </w:tc>
        <w:tc>
          <w:tcPr>
            <w:tcW w:w="131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≤20</w:t>
            </w:r>
          </w:p>
        </w:tc>
        <w:tc>
          <w:tcPr>
            <w:tcW w:w="1120"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≤4</w:t>
            </w:r>
          </w:p>
        </w:tc>
        <w:tc>
          <w:tcPr>
            <w:tcW w:w="105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49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≤0.2（0.05）</w:t>
            </w:r>
          </w:p>
        </w:tc>
        <w:tc>
          <w:tcPr>
            <w:tcW w:w="172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4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镉</w:t>
            </w:r>
          </w:p>
        </w:tc>
        <w:tc>
          <w:tcPr>
            <w:tcW w:w="131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六价铬</w:t>
            </w:r>
          </w:p>
        </w:tc>
        <w:tc>
          <w:tcPr>
            <w:tcW w:w="1120"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砷</w:t>
            </w:r>
          </w:p>
        </w:tc>
        <w:tc>
          <w:tcPr>
            <w:tcW w:w="105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铅</w:t>
            </w:r>
          </w:p>
        </w:tc>
        <w:tc>
          <w:tcPr>
            <w:tcW w:w="149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汞</w:t>
            </w:r>
          </w:p>
        </w:tc>
        <w:tc>
          <w:tcPr>
            <w:tcW w:w="172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标准值</w:t>
            </w:r>
          </w:p>
        </w:tc>
        <w:tc>
          <w:tcPr>
            <w:tcW w:w="114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≤0.005</w:t>
            </w:r>
          </w:p>
        </w:tc>
        <w:tc>
          <w:tcPr>
            <w:tcW w:w="1316"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120"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05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493"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≤0.0001</w:t>
            </w:r>
          </w:p>
        </w:tc>
        <w:tc>
          <w:tcPr>
            <w:tcW w:w="172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p>
        </w:tc>
      </w:tr>
    </w:tbl>
    <w:p>
      <w:pPr>
        <w:bidi w:val="0"/>
        <w:rPr>
          <w:rFonts w:hint="eastAsia" w:ascii="Times New Roman" w:hAnsi="Times New Roman" w:eastAsia="宋体"/>
          <w:lang w:val="en-US" w:eastAsia="zh-CN"/>
        </w:rPr>
      </w:pPr>
      <w:r>
        <w:rPr>
          <w:rFonts w:hint="eastAsia" w:ascii="Times New Roman" w:hAnsi="Times New Roman" w:eastAsia="宋体"/>
          <w:lang w:val="en-US" w:eastAsia="zh-CN"/>
        </w:rPr>
        <w:t>（2）地下水质量标准</w:t>
      </w:r>
    </w:p>
    <w:p>
      <w:pPr>
        <w:bidi w:val="0"/>
        <w:rPr>
          <w:rFonts w:hint="eastAsia" w:ascii="Times New Roman" w:hAnsi="Times New Roman" w:eastAsia="宋体"/>
          <w:lang w:val="en-US" w:eastAsia="zh-CN"/>
        </w:rPr>
      </w:pPr>
      <w:r>
        <w:rPr>
          <w:rFonts w:hint="eastAsia" w:ascii="Times New Roman" w:hAnsi="Times New Roman" w:eastAsia="宋体"/>
          <w:lang w:val="en-US" w:eastAsia="zh-CN"/>
        </w:rPr>
        <w:t>执行《地下水质量标准》（GB/T1848-2017）中Ⅲ类标准，见下表。</w:t>
      </w:r>
    </w:p>
    <w:p>
      <w:pPr>
        <w:pStyle w:val="352"/>
        <w:bidi w:val="0"/>
        <w:rPr>
          <w:rFonts w:hint="eastAsia"/>
          <w:lang w:val="en-US" w:eastAsia="zh-CN"/>
        </w:rPr>
      </w:pPr>
      <w:r>
        <w:rPr>
          <w:rFonts w:hint="eastAsia"/>
          <w:lang w:val="en-US" w:eastAsia="zh-CN"/>
        </w:rPr>
        <w:t>表2-2  地下水质量标准限值   单位：mg/L</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111"/>
        <w:gridCol w:w="1109"/>
        <w:gridCol w:w="1102"/>
        <w:gridCol w:w="1299"/>
        <w:gridCol w:w="1111"/>
        <w:gridCol w:w="113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pH</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氯化物</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硫酸盐</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氨氮</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硝酸盐</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亚硝酸盐</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挥发性酚类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标准值</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6.5～8.5</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≤250</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≤250</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≤0.5</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≤20</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氟化物</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氰化物</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汞</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六价铬</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铅</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锌</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总硬度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标准值</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≤0.001</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镉</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砷</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溶解性总固体</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耗氧量（CODmn）</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总大肠菌群</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细菌总数</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标准值</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≤0.005</w:t>
            </w:r>
          </w:p>
        </w:tc>
        <w:tc>
          <w:tcPr>
            <w:tcW w:w="110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≤0.01</w:t>
            </w:r>
          </w:p>
        </w:tc>
        <w:tc>
          <w:tcPr>
            <w:tcW w:w="1102"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≤1000</w:t>
            </w:r>
          </w:p>
        </w:tc>
        <w:tc>
          <w:tcPr>
            <w:tcW w:w="1299"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≤3.0</w:t>
            </w:r>
          </w:p>
        </w:tc>
        <w:tc>
          <w:tcPr>
            <w:tcW w:w="1111"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≤3.0</w:t>
            </w:r>
          </w:p>
        </w:tc>
        <w:tc>
          <w:tcPr>
            <w:tcW w:w="1134" w:type="dxa"/>
            <w:shd w:val="clear" w:color="auto" w:fill="auto"/>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≤100</w:t>
            </w:r>
          </w:p>
        </w:tc>
        <w:tc>
          <w:tcPr>
            <w:tcW w:w="129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2、环境空气质量标准</w:t>
      </w:r>
    </w:p>
    <w:p>
      <w:pPr>
        <w:ind w:firstLine="480"/>
        <w:jc w:val="both"/>
        <w:rPr>
          <w:rFonts w:hint="eastAsia" w:cs="Times New Roman"/>
        </w:rPr>
      </w:pPr>
      <w:r>
        <w:rPr>
          <w:rFonts w:hint="eastAsia" w:cs="Times New Roman"/>
        </w:rPr>
        <w:t>执行《环境空气质量标准》（GB3095</w:t>
      </w:r>
      <w:r>
        <w:rPr>
          <w:rFonts w:cs="Times New Roman"/>
        </w:rPr>
        <w:t>-</w:t>
      </w:r>
      <w:r>
        <w:rPr>
          <w:rFonts w:hint="eastAsia" w:cs="Times New Roman"/>
        </w:rPr>
        <w:t>2012）二级标准及《环境影响评价技术导则 大气环境》（HJ 2.2-2018）附录D其他污染物</w:t>
      </w:r>
      <w:r>
        <w:rPr>
          <w:rFonts w:cs="Times New Roman"/>
        </w:rPr>
        <w:t>空气治理浓度参考限值</w:t>
      </w:r>
      <w:r>
        <w:rPr>
          <w:rFonts w:hint="eastAsia" w:cs="Times New Roman"/>
        </w:rPr>
        <w:t>，见下表。</w:t>
      </w:r>
    </w:p>
    <w:p>
      <w:pPr>
        <w:pStyle w:val="352"/>
        <w:bidi w:val="0"/>
        <w:rPr>
          <w:rFonts w:hint="default"/>
          <w:lang w:val="en-US" w:eastAsia="zh-CN"/>
        </w:rPr>
      </w:pPr>
      <w:r>
        <w:rPr>
          <w:rFonts w:hint="default"/>
          <w:lang w:val="en-US" w:eastAsia="zh-CN"/>
        </w:rPr>
        <w:t>表2-3  环境空气质量标准   单位：μg/m3</w:t>
      </w:r>
    </w:p>
    <w:tbl>
      <w:tblPr>
        <w:tblStyle w:val="58"/>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337"/>
        <w:gridCol w:w="1098"/>
        <w:gridCol w:w="13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blHeader/>
          <w:jc w:val="center"/>
        </w:trPr>
        <w:tc>
          <w:tcPr>
            <w:tcW w:w="2285" w:type="dxa"/>
            <w:vMerge w:val="restart"/>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污染物</w:t>
            </w:r>
          </w:p>
        </w:tc>
        <w:tc>
          <w:tcPr>
            <w:tcW w:w="3775" w:type="dxa"/>
            <w:gridSpan w:val="3"/>
            <w:noWrap w:val="0"/>
            <w:vAlign w:val="top"/>
          </w:tcPr>
          <w:p>
            <w:pPr>
              <w:pStyle w:val="352"/>
              <w:keepNext w:val="0"/>
              <w:keepLines w:val="0"/>
              <w:suppressLineNumbers w:val="0"/>
              <w:bidi w:val="0"/>
              <w:spacing w:before="0" w:beforeAutospacing="0" w:after="0" w:afterAutospacing="0"/>
              <w:ind w:left="0" w:right="0"/>
              <w:rPr>
                <w:rFonts w:hint="default"/>
              </w:rPr>
            </w:pPr>
            <w:r>
              <w:rPr>
                <w:rFonts w:hint="default"/>
              </w:rPr>
              <w:t>浓度限值</w:t>
            </w:r>
          </w:p>
        </w:tc>
        <w:tc>
          <w:tcPr>
            <w:tcW w:w="306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jc w:val="center"/>
        </w:trPr>
        <w:tc>
          <w:tcPr>
            <w:tcW w:w="2285"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eastAsia"/>
                <w:lang w:eastAsia="zh-CN"/>
              </w:rPr>
              <w:t>日</w:t>
            </w:r>
            <w:r>
              <w:rPr>
                <w:rFonts w:hint="default"/>
              </w:rPr>
              <w:t>平均</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8h均质</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w:t>
            </w:r>
            <w:r>
              <w:rPr>
                <w:rFonts w:hint="eastAsia"/>
                <w:lang w:val="en-US" w:eastAsia="zh-CN"/>
              </w:rPr>
              <w:t>h</w:t>
            </w:r>
            <w:r>
              <w:rPr>
                <w:rFonts w:hint="default"/>
              </w:rPr>
              <w:t>平均</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二氧化硫（SO2）</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150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500</w:t>
            </w:r>
          </w:p>
        </w:tc>
        <w:tc>
          <w:tcPr>
            <w:tcW w:w="3060" w:type="dxa"/>
            <w:vMerge w:val="restart"/>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二氧化氮（NO2）</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80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200</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可吸入颗粒物（PM10）</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150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可吸入颗粒物（PM2.5）</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75</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TSP</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300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H</w:t>
            </w:r>
            <w:r>
              <w:rPr>
                <w:rFonts w:hint="default"/>
                <w:vertAlign w:val="subscript"/>
              </w:rPr>
              <w:t>2</w:t>
            </w:r>
            <w:r>
              <w:rPr>
                <w:rFonts w:hint="default"/>
              </w:rPr>
              <w:t>S</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10</w:t>
            </w:r>
          </w:p>
        </w:tc>
        <w:tc>
          <w:tcPr>
            <w:tcW w:w="3060" w:type="dxa"/>
            <w:vMerge w:val="restart"/>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《环境影响评价技术导则 大气环境》（HJ 2.2-2018）附录D相应</w:t>
            </w:r>
            <w:r>
              <w:rPr>
                <w:rFonts w:hint="default"/>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NH</w:t>
            </w:r>
            <w:r>
              <w:rPr>
                <w:rFonts w:hint="default"/>
                <w:vertAlign w:val="subscript"/>
              </w:rPr>
              <w:t>3</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eastAsia"/>
                <w:b w:val="0"/>
                <w:bCs/>
              </w:rPr>
            </w:pPr>
            <w:r>
              <w:rPr>
                <w:rFonts w:hint="eastAsia"/>
                <w:b w:val="0"/>
                <w:bCs/>
              </w:rPr>
              <w:t>200</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28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TVOC</w:t>
            </w:r>
          </w:p>
        </w:tc>
        <w:tc>
          <w:tcPr>
            <w:tcW w:w="1337"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600</w:t>
            </w:r>
          </w:p>
        </w:tc>
        <w:tc>
          <w:tcPr>
            <w:tcW w:w="134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3060"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3、声环境质量标准</w:t>
      </w:r>
    </w:p>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执行《声环境质量标准》（GB3096－2008）的2类标准，见下表。</w:t>
      </w:r>
    </w:p>
    <w:p>
      <w:pPr>
        <w:pStyle w:val="352"/>
        <w:bidi w:val="0"/>
        <w:rPr>
          <w:rFonts w:hint="default"/>
          <w:lang w:val="en-US" w:eastAsia="zh-CN"/>
        </w:rPr>
      </w:pPr>
      <w:r>
        <w:rPr>
          <w:rFonts w:hint="default"/>
          <w:lang w:val="en-US" w:eastAsia="zh-CN"/>
        </w:rPr>
        <w:t>表</w:t>
      </w:r>
      <w:r>
        <w:rPr>
          <w:rFonts w:hint="eastAsia"/>
          <w:lang w:val="en-US" w:eastAsia="zh-CN"/>
        </w:rPr>
        <w:t xml:space="preserve">2-4  </w:t>
      </w:r>
      <w:r>
        <w:rPr>
          <w:rFonts w:hint="default"/>
          <w:lang w:val="en-US" w:eastAsia="zh-CN"/>
        </w:rPr>
        <w:t>声环境质量标准限值  单位：dB(A )</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3050"/>
        <w:gridCol w:w="3050"/>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63"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类别</w:t>
            </w:r>
          </w:p>
        </w:tc>
        <w:tc>
          <w:tcPr>
            <w:tcW w:w="305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昼间/dB(A)</w:t>
            </w:r>
          </w:p>
        </w:tc>
        <w:tc>
          <w:tcPr>
            <w:tcW w:w="305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夜间/dB(A)</w:t>
            </w:r>
          </w:p>
        </w:tc>
        <w:tc>
          <w:tcPr>
            <w:tcW w:w="1397"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2类</w:t>
            </w:r>
          </w:p>
        </w:tc>
        <w:tc>
          <w:tcPr>
            <w:tcW w:w="305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60</w:t>
            </w:r>
          </w:p>
        </w:tc>
        <w:tc>
          <w:tcPr>
            <w:tcW w:w="305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50</w:t>
            </w:r>
          </w:p>
        </w:tc>
        <w:tc>
          <w:tcPr>
            <w:tcW w:w="139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4、土壤环境质量标准</w:t>
      </w:r>
    </w:p>
    <w:p>
      <w:pPr>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eastAsia="宋体"/>
          <w:sz w:val="24"/>
          <w:u w:val="none"/>
          <w:lang w:val="en-US" w:eastAsia="zh-CN"/>
        </w:rPr>
      </w:pPr>
      <w:r>
        <w:rPr>
          <w:rFonts w:hint="eastAsia"/>
          <w:sz w:val="24"/>
          <w:u w:val="none"/>
          <w:lang w:val="en-US" w:eastAsia="zh-CN"/>
        </w:rPr>
        <w:t>本项目土壤环境质量标准执行情况</w:t>
      </w:r>
      <w:r>
        <w:rPr>
          <w:rFonts w:hint="eastAsia" w:ascii="Times New Roman" w:hAnsi="Times New Roman" w:eastAsia="宋体"/>
          <w:sz w:val="24"/>
          <w:u w:val="none"/>
          <w:lang w:val="en-US" w:eastAsia="zh-CN"/>
        </w:rPr>
        <w:t>见下表。</w:t>
      </w:r>
    </w:p>
    <w:p>
      <w:pPr>
        <w:pStyle w:val="352"/>
        <w:bidi w:val="0"/>
        <w:rPr>
          <w:rFonts w:hint="eastAsia"/>
          <w:lang w:val="en-US" w:eastAsia="zh-CN"/>
        </w:rPr>
      </w:pPr>
      <w:r>
        <w:rPr>
          <w:rFonts w:hint="eastAsia"/>
          <w:lang w:val="en-US" w:eastAsia="zh-CN"/>
        </w:rPr>
        <w:t>表2-5  土壤环境质量标准</w:t>
      </w:r>
    </w:p>
    <w:tbl>
      <w:tblPr>
        <w:tblStyle w:val="58"/>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804"/>
        <w:gridCol w:w="1453"/>
        <w:gridCol w:w="1453"/>
        <w:gridCol w:w="1453"/>
        <w:gridCol w:w="1453"/>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00"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w:t>
            </w:r>
          </w:p>
        </w:tc>
        <w:tc>
          <w:tcPr>
            <w:tcW w:w="7267" w:type="dxa"/>
            <w:gridSpan w:val="5"/>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《土壤环境质量 建设用地土壤污染风险管控标准（试行）》（GB36600-2018）表1建设用地土壤污染风险筛选值和管控制（基本项目）（筛选值第二类用地）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砷</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汞</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镍</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铅</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镉</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38</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900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800</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铜</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六价铬（mg/kg）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四氯化碳（mg/kg）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氯仿（mg/kg）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氯甲烷（mg/kg）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18000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5.7</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2.8</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0.9</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1,1-二氯乙烷（mg/kg）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1,2-二氯乙烷（mg/kg）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1,1-二氯乙烯（mg/kg）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顺-1,2-二氯乙烯（mg/kg）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反-1,2,-二氯乙烯（mg/kg）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66</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596</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二氯甲烷（mg/kg）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1,2-二氯丙烷（mg/kg）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1,1,1,2-四氯乙烷（mg/kg）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1,1,2,2-四氯乙烷（mg/kg）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四氯乙烯（mg/kg）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616</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6.8</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1,1,1-三氯乙烷（mg/kg）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1,1,2-三氯乙烷（mg/kg）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三氯乙烯（mg/kg）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1,2,3-三氯丙烷（mg/kg）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氯乙烯（mg/kg）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840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2.8</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2.8</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氯苯</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1,2-二氯苯（mg/kg）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1,4-二氯苯（mg/kg）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乙苯</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270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560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苯乙烯（mg/kg）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甲苯</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间二甲苯+对二甲苯（mg/kg）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邻二甲苯（mg/kg）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硝基苯（mg/kg）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1290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1200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570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640</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苯胺</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2-氯酚（mg/kg）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苯并[a]蒽（mg/kg）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苯并[a]芘（mg/kg）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苯并[b]荧蒽（mg/kg）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260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2256</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苯并荧[k]蒽（mg/kg）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䓛</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二苯并[a，h]蒽（mg/kg）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茚并[1,2,3-cd]芘（mg/kg）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萘</w:t>
            </w:r>
          </w:p>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151</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1293</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w:t>
            </w:r>
          </w:p>
        </w:tc>
        <w:tc>
          <w:tcPr>
            <w:tcW w:w="7267" w:type="dxa"/>
            <w:gridSpan w:val="5"/>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《土壤环境质量 建设用地土壤污染风险管控标准（试行）》（GB36600-2018）表1建设用地土壤污染风险筛选值和管控制（其他项目）（筛选值第二类用地）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90"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钴（mg/kg）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钒（mg/kg）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锑（mg/kg）</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铍（mg/kg）</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氰化物（mg/kg）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12" w:hRule="atLeast"/>
          <w:jc w:val="center"/>
        </w:trPr>
        <w:tc>
          <w:tcPr>
            <w:tcW w:w="180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453" w:type="dxa"/>
            <w:tcBorders>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752</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w:t>
            </w:r>
          </w:p>
        </w:tc>
        <w:tc>
          <w:tcPr>
            <w:tcW w:w="1453"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29</w:t>
            </w:r>
          </w:p>
        </w:tc>
        <w:tc>
          <w:tcPr>
            <w:tcW w:w="1455" w:type="dxa"/>
            <w:tcBorders>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135</w:t>
            </w:r>
          </w:p>
        </w:tc>
      </w:tr>
    </w:tbl>
    <w:p>
      <w:pPr>
        <w:topLinePunct/>
        <w:spacing w:line="360" w:lineRule="auto"/>
        <w:ind w:firstLine="482" w:firstLineChars="200"/>
        <w:jc w:val="left"/>
        <w:rPr>
          <w:rFonts w:hint="eastAsia" w:ascii="Times New Roman" w:hAnsi="Times New Roman" w:eastAsia="宋体"/>
          <w:b/>
          <w:bCs/>
          <w:sz w:val="24"/>
          <w:u w:val="none"/>
          <w:lang w:val="en-US" w:eastAsia="zh-CN"/>
        </w:rPr>
      </w:pPr>
      <w:r>
        <w:rPr>
          <w:rFonts w:hint="eastAsia" w:ascii="Times New Roman" w:hAnsi="Times New Roman" w:eastAsia="宋体"/>
          <w:b/>
          <w:bCs/>
          <w:sz w:val="24"/>
          <w:u w:val="none"/>
          <w:lang w:val="en-US" w:eastAsia="zh-CN"/>
        </w:rPr>
        <w:t>2.3.2污染物排饭标准</w:t>
      </w:r>
    </w:p>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1、废水排放标准</w:t>
      </w:r>
    </w:p>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按照《医疗废物微波消毒集中处理工程技术规范（试行）》（HJ/T229-2006），项目产生车辆清洗、周转箱清洗、生产车间消毒清洗产生的废水、作业区初期雨水等应按医疗机构产生污水处理，并应符合《医疗机构水污染物排放标准》（GB18499-2005）的综合医疗机构和其他医疗机构水污染物排放标准要求，见下表。</w:t>
      </w:r>
    </w:p>
    <w:p>
      <w:pPr>
        <w:pStyle w:val="352"/>
        <w:bidi w:val="0"/>
        <w:rPr>
          <w:rFonts w:hint="eastAsia"/>
          <w:lang w:val="en-US" w:eastAsia="zh-CN"/>
        </w:rPr>
      </w:pPr>
      <w:r>
        <w:rPr>
          <w:rFonts w:hint="eastAsia"/>
          <w:lang w:val="en-US" w:eastAsia="zh-CN"/>
        </w:rPr>
        <w:t>表2-6  《医疗机构水污染物排放标准》（GB18466-2005）排放标准限值</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149"/>
        <w:gridCol w:w="1270"/>
        <w:gridCol w:w="1270"/>
        <w:gridCol w:w="1270"/>
        <w:gridCol w:w="127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pH</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CODcr</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BOD5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氨氮</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总余氯</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预处理</w:t>
            </w:r>
            <w:r>
              <w:rPr>
                <w:rFonts w:hint="default"/>
              </w:rPr>
              <w:t>标准</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6～9</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250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排放</w:t>
            </w:r>
            <w:r>
              <w:rPr>
                <w:rFonts w:hint="default"/>
              </w:rPr>
              <w:t>标准</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6～9</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60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20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15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0.5</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项目</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汞</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砷</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挥发酚</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LAS</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TP</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预处理</w:t>
            </w:r>
            <w:r>
              <w:rPr>
                <w:rFonts w:hint="default"/>
              </w:rPr>
              <w:t>标准</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0.05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5000MPN/L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排放</w:t>
            </w:r>
            <w:r>
              <w:rPr>
                <w:rFonts w:hint="default"/>
              </w:rPr>
              <w:t>标准</w:t>
            </w:r>
          </w:p>
        </w:tc>
        <w:tc>
          <w:tcPr>
            <w:tcW w:w="1149"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0.05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0.5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0.5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5</w:t>
            </w:r>
          </w:p>
        </w:tc>
        <w:tc>
          <w:tcPr>
            <w:tcW w:w="127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w:t>
            </w:r>
          </w:p>
        </w:tc>
        <w:tc>
          <w:tcPr>
            <w:tcW w:w="144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500</w:t>
            </w:r>
            <w:r>
              <w:rPr>
                <w:rFonts w:hint="default"/>
                <w:b w:val="0"/>
                <w:bCs/>
              </w:rPr>
              <w:t xml:space="preserve"> 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7"/>
            <w:noWrap w:val="0"/>
            <w:vAlign w:val="center"/>
          </w:tcPr>
          <w:p>
            <w:pPr>
              <w:pStyle w:val="352"/>
              <w:keepNext w:val="0"/>
              <w:keepLines w:val="0"/>
              <w:suppressLineNumbers w:val="0"/>
              <w:bidi w:val="0"/>
              <w:spacing w:before="0" w:beforeAutospacing="0" w:after="0" w:afterAutospacing="0"/>
              <w:ind w:left="0" w:right="0"/>
              <w:jc w:val="left"/>
              <w:rPr>
                <w:rFonts w:hint="default"/>
              </w:rPr>
            </w:pPr>
            <w:r>
              <w:rPr>
                <w:rFonts w:hint="default"/>
                <w:b w:val="0"/>
                <w:bCs/>
              </w:rPr>
              <w:t>部分因子执行《污水排入城镇下水道水质标准》（GB/T31962-2015）B级</w:t>
            </w:r>
            <w:r>
              <w:rPr>
                <w:rFonts w:hint="eastAsia"/>
                <w:b w:val="0"/>
                <w:bCs/>
              </w:rPr>
              <w:t>。</w:t>
            </w:r>
            <w:r>
              <w:rPr>
                <w:rFonts w:hint="default"/>
                <w:b w:val="0"/>
                <w:bCs/>
              </w:rPr>
              <w:t>氨氮：45；TP：8</w:t>
            </w: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2、废气排放标准</w:t>
      </w:r>
    </w:p>
    <w:p>
      <w:pPr>
        <w:ind w:firstLine="480"/>
        <w:jc w:val="both"/>
        <w:rPr>
          <w:rFonts w:hint="eastAsia" w:cs="Times New Roman"/>
        </w:rPr>
      </w:pPr>
      <w:r>
        <w:rPr>
          <w:rFonts w:cs="Times New Roman"/>
        </w:rPr>
        <w:t>SO</w:t>
      </w:r>
      <w:r>
        <w:rPr>
          <w:rFonts w:cs="Times New Roman"/>
          <w:vertAlign w:val="subscript"/>
        </w:rPr>
        <w:t>2</w:t>
      </w:r>
      <w:r>
        <w:rPr>
          <w:rFonts w:cs="Times New Roman"/>
        </w:rPr>
        <w:t>、NO</w:t>
      </w:r>
      <w:r>
        <w:rPr>
          <w:rFonts w:cs="Times New Roman"/>
          <w:vertAlign w:val="subscript"/>
        </w:rPr>
        <w:t>2</w:t>
      </w:r>
      <w:r>
        <w:rPr>
          <w:rFonts w:hint="eastAsia" w:cs="Times New Roman"/>
        </w:rPr>
        <w:t>、TSP执行</w:t>
      </w:r>
      <w:r>
        <w:rPr>
          <w:rFonts w:cs="Times New Roman"/>
        </w:rPr>
        <w:t>《大气污染物综合排放标准》（GB16297－1996）二级标准</w:t>
      </w:r>
      <w:r>
        <w:rPr>
          <w:rFonts w:hint="eastAsia" w:cs="Times New Roman"/>
        </w:rPr>
        <w:t>；恶臭（氨</w:t>
      </w:r>
      <w:r>
        <w:rPr>
          <w:rFonts w:cs="Times New Roman"/>
        </w:rPr>
        <w:t>、硫化氢</w:t>
      </w:r>
      <w:r>
        <w:rPr>
          <w:rFonts w:hint="eastAsia" w:cs="Times New Roman"/>
        </w:rPr>
        <w:t>）执行《恶臭污染物排放标准》（GB14555-93）表1标准；VOC</w:t>
      </w:r>
      <w:r>
        <w:rPr>
          <w:rFonts w:cs="Times New Roman"/>
        </w:rPr>
        <w:t>s</w:t>
      </w:r>
      <w:r>
        <w:rPr>
          <w:rFonts w:hint="eastAsia" w:cs="Times New Roman"/>
        </w:rPr>
        <w:t>执行《四川省</w:t>
      </w:r>
      <w:r>
        <w:rPr>
          <w:rFonts w:cs="Times New Roman"/>
        </w:rPr>
        <w:t>固定污染源大气挥发性有机物排放标准</w:t>
      </w:r>
      <w:r>
        <w:rPr>
          <w:rFonts w:hint="eastAsia" w:cs="Times New Roman"/>
        </w:rPr>
        <w:t>》（DB51/2377-2017）表3、</w:t>
      </w:r>
      <w:r>
        <w:rPr>
          <w:rFonts w:cs="Times New Roman"/>
        </w:rPr>
        <w:t>表</w:t>
      </w:r>
      <w:r>
        <w:rPr>
          <w:rFonts w:hint="eastAsia" w:cs="Times New Roman"/>
        </w:rPr>
        <w:t>4相应</w:t>
      </w:r>
      <w:r>
        <w:rPr>
          <w:rFonts w:cs="Times New Roman"/>
        </w:rPr>
        <w:t>标准</w:t>
      </w:r>
      <w:r>
        <w:rPr>
          <w:rFonts w:hint="eastAsia" w:cs="Times New Roman"/>
        </w:rPr>
        <w:t>，见下表。</w:t>
      </w:r>
    </w:p>
    <w:p>
      <w:pPr>
        <w:pStyle w:val="352"/>
        <w:bidi w:val="0"/>
        <w:rPr>
          <w:rFonts w:hint="eastAsia"/>
          <w:lang w:val="en-US" w:eastAsia="zh-CN"/>
        </w:rPr>
      </w:pPr>
      <w:r>
        <w:rPr>
          <w:rFonts w:hint="eastAsia"/>
          <w:lang w:val="en-US" w:eastAsia="zh-CN"/>
        </w:rPr>
        <w:t>表2-7  大气污染物综合排放标准  单位：mg/m3</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308"/>
        <w:gridCol w:w="2077"/>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污染物名称</w:t>
            </w:r>
          </w:p>
        </w:tc>
        <w:tc>
          <w:tcPr>
            <w:tcW w:w="2308"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排放浓度，mg/m3</w:t>
            </w:r>
          </w:p>
        </w:tc>
        <w:tc>
          <w:tcPr>
            <w:tcW w:w="2077"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排放速率，kg/h</w:t>
            </w:r>
          </w:p>
        </w:tc>
        <w:tc>
          <w:tcPr>
            <w:tcW w:w="3093"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无组织排放限值，mg/m3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SO2</w:t>
            </w:r>
          </w:p>
        </w:tc>
        <w:tc>
          <w:tcPr>
            <w:tcW w:w="2308"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550</w:t>
            </w:r>
          </w:p>
        </w:tc>
        <w:tc>
          <w:tcPr>
            <w:tcW w:w="207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2.6</w:t>
            </w:r>
          </w:p>
        </w:tc>
        <w:tc>
          <w:tcPr>
            <w:tcW w:w="3093"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NOx</w:t>
            </w:r>
          </w:p>
        </w:tc>
        <w:tc>
          <w:tcPr>
            <w:tcW w:w="2308"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240</w:t>
            </w:r>
          </w:p>
        </w:tc>
        <w:tc>
          <w:tcPr>
            <w:tcW w:w="207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0.77</w:t>
            </w:r>
          </w:p>
        </w:tc>
        <w:tc>
          <w:tcPr>
            <w:tcW w:w="3093"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TSP</w:t>
            </w:r>
          </w:p>
        </w:tc>
        <w:tc>
          <w:tcPr>
            <w:tcW w:w="2308"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120</w:t>
            </w:r>
          </w:p>
        </w:tc>
        <w:tc>
          <w:tcPr>
            <w:tcW w:w="2077"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3.5</w:t>
            </w:r>
          </w:p>
        </w:tc>
        <w:tc>
          <w:tcPr>
            <w:tcW w:w="3093"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w:t>
            </w:r>
          </w:p>
        </w:tc>
      </w:tr>
    </w:tbl>
    <w:p>
      <w:pPr>
        <w:pStyle w:val="352"/>
        <w:bidi w:val="0"/>
        <w:rPr>
          <w:rFonts w:hint="eastAsia"/>
          <w:lang w:val="en-US" w:eastAsia="zh-CN"/>
        </w:rPr>
      </w:pPr>
      <w:r>
        <w:rPr>
          <w:rFonts w:hint="eastAsia"/>
          <w:lang w:val="en-US" w:eastAsia="zh-CN"/>
        </w:rPr>
        <w:t>表2-8  恶臭污染物排放标准</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435"/>
        <w:gridCol w:w="2241"/>
        <w:gridCol w:w="2241"/>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65" w:type="dxa"/>
            <w:vMerge w:val="restart"/>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序号</w:t>
            </w:r>
          </w:p>
        </w:tc>
        <w:tc>
          <w:tcPr>
            <w:tcW w:w="1435" w:type="dxa"/>
            <w:vMerge w:val="restart"/>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控制项目</w:t>
            </w:r>
          </w:p>
        </w:tc>
        <w:tc>
          <w:tcPr>
            <w:tcW w:w="4482" w:type="dxa"/>
            <w:gridSpan w:val="2"/>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有组织</w:t>
            </w:r>
          </w:p>
        </w:tc>
        <w:tc>
          <w:tcPr>
            <w:tcW w:w="227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无</w:t>
            </w:r>
            <w:r>
              <w:rPr>
                <w:rFonts w:hint="default"/>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65" w:type="dxa"/>
            <w:vMerge w:val="continue"/>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1435" w:type="dxa"/>
            <w:vMerge w:val="continue"/>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排气筒高度，</w:t>
            </w:r>
            <w:r>
              <w:rPr>
                <w:rFonts w:hint="default"/>
                <w:lang w:val="en-US" w:eastAsia="zh-CN"/>
              </w:rPr>
              <w:t>m</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排放量</w:t>
            </w:r>
            <w:r>
              <w:rPr>
                <w:rFonts w:hint="default"/>
                <w:lang w:val="en-US" w:eastAsia="zh-CN"/>
              </w:rPr>
              <w:t>，kg/h</w:t>
            </w:r>
          </w:p>
        </w:tc>
        <w:tc>
          <w:tcPr>
            <w:tcW w:w="227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厂界浓度</w:t>
            </w:r>
            <w:r>
              <w:rPr>
                <w:rFonts w:hint="default"/>
                <w:lang w:val="en-US" w:eastAsia="zh-CN"/>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65"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w:t>
            </w:r>
          </w:p>
        </w:tc>
        <w:tc>
          <w:tcPr>
            <w:tcW w:w="143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氨</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4.9</w:t>
            </w:r>
          </w:p>
        </w:tc>
        <w:tc>
          <w:tcPr>
            <w:tcW w:w="227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65"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w:t>
            </w:r>
          </w:p>
        </w:tc>
        <w:tc>
          <w:tcPr>
            <w:tcW w:w="143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硫化氢</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0.33</w:t>
            </w:r>
          </w:p>
        </w:tc>
        <w:tc>
          <w:tcPr>
            <w:tcW w:w="227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865"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1435"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臭气浓度</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w:t>
            </w:r>
          </w:p>
        </w:tc>
        <w:tc>
          <w:tcPr>
            <w:tcW w:w="2241"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2000（无</w:t>
            </w:r>
            <w:r>
              <w:rPr>
                <w:rFonts w:hint="default"/>
                <w:b w:val="0"/>
                <w:bCs/>
                <w:lang w:val="en-US" w:eastAsia="zh-CN"/>
              </w:rPr>
              <w:t>纲量</w:t>
            </w:r>
            <w:r>
              <w:rPr>
                <w:rFonts w:hint="eastAsia"/>
                <w:b w:val="0"/>
                <w:bCs/>
                <w:lang w:val="en-US" w:eastAsia="zh-CN"/>
              </w:rPr>
              <w:t>）</w:t>
            </w:r>
          </w:p>
        </w:tc>
        <w:tc>
          <w:tcPr>
            <w:tcW w:w="227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无</w:t>
            </w:r>
            <w:r>
              <w:rPr>
                <w:rFonts w:hint="default"/>
                <w:b w:val="0"/>
                <w:bCs/>
                <w:lang w:val="en-US" w:eastAsia="zh-CN"/>
              </w:rPr>
              <w:t>量纲</w:t>
            </w:r>
          </w:p>
        </w:tc>
      </w:tr>
    </w:tbl>
    <w:p>
      <w:pPr>
        <w:pStyle w:val="352"/>
        <w:bidi w:val="0"/>
        <w:rPr>
          <w:rFonts w:hint="eastAsia"/>
          <w:lang w:val="en-US" w:eastAsia="zh-CN"/>
        </w:rPr>
      </w:pPr>
    </w:p>
    <w:p>
      <w:pPr>
        <w:pStyle w:val="352"/>
        <w:bidi w:val="0"/>
        <w:rPr>
          <w:rFonts w:hint="eastAsia"/>
          <w:lang w:val="en-US" w:eastAsia="zh-CN"/>
        </w:rPr>
      </w:pPr>
    </w:p>
    <w:p>
      <w:pPr>
        <w:pStyle w:val="352"/>
        <w:bidi w:val="0"/>
        <w:rPr>
          <w:rFonts w:hint="eastAsia"/>
          <w:lang w:val="en-US" w:eastAsia="zh-CN"/>
        </w:rPr>
      </w:pPr>
      <w:r>
        <w:rPr>
          <w:rFonts w:hint="eastAsia"/>
          <w:lang w:val="en-US" w:eastAsia="zh-CN"/>
        </w:rPr>
        <w:t>表2-9  四川省固定污染源大气挥发性有机物排放标准</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756"/>
        <w:gridCol w:w="904"/>
        <w:gridCol w:w="1658"/>
        <w:gridCol w:w="256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9060" w:type="dxa"/>
            <w:gridSpan w:val="6"/>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有组织</w:t>
            </w:r>
            <w:r>
              <w:rPr>
                <w:rFonts w:hint="default"/>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921"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行业</w:t>
            </w:r>
            <w:r>
              <w:rPr>
                <w:rFonts w:hint="default"/>
              </w:rPr>
              <w:t>名称</w:t>
            </w:r>
          </w:p>
        </w:tc>
        <w:tc>
          <w:tcPr>
            <w:tcW w:w="756"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工艺</w:t>
            </w:r>
            <w:r>
              <w:rPr>
                <w:rFonts w:hint="default"/>
              </w:rPr>
              <w:t>设施</w:t>
            </w:r>
          </w:p>
        </w:tc>
        <w:tc>
          <w:tcPr>
            <w:tcW w:w="904"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污染物</w:t>
            </w:r>
            <w:r>
              <w:rPr>
                <w:rFonts w:hint="default"/>
              </w:rPr>
              <w:t>项目</w:t>
            </w:r>
          </w:p>
        </w:tc>
        <w:tc>
          <w:tcPr>
            <w:tcW w:w="1658"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最高</w:t>
            </w:r>
            <w:r>
              <w:rPr>
                <w:rFonts w:hint="default"/>
              </w:rPr>
              <w:t>允许排放浓度</w:t>
            </w:r>
            <w:r>
              <w:rPr>
                <w:rFonts w:hint="eastAsia"/>
              </w:rPr>
              <w:t>，</w:t>
            </w:r>
            <w:r>
              <w:rPr>
                <w:rFonts w:hint="default"/>
              </w:rPr>
              <w:t>mg/m3</w:t>
            </w:r>
          </w:p>
        </w:tc>
        <w:tc>
          <w:tcPr>
            <w:tcW w:w="2560"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与</w:t>
            </w:r>
            <w:r>
              <w:rPr>
                <w:rFonts w:hint="default"/>
              </w:rPr>
              <w:t>排气筒高度对应的最高允许排放速率</w:t>
            </w:r>
            <w:r>
              <w:rPr>
                <w:rFonts w:hint="eastAsia"/>
              </w:rPr>
              <w:t>，</w:t>
            </w:r>
            <w:r>
              <w:rPr>
                <w:rFonts w:hint="default"/>
              </w:rPr>
              <w:t>kg/h</w:t>
            </w:r>
          </w:p>
        </w:tc>
        <w:tc>
          <w:tcPr>
            <w:tcW w:w="1261"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最低去除效率</w:t>
            </w:r>
            <w:r>
              <w:rPr>
                <w:rFonts w:hint="default"/>
              </w:rPr>
              <w:t>，</w:t>
            </w:r>
            <w:r>
              <w:rPr>
                <w:rFonts w:hint="eastAsia"/>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921"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eastAsia"/>
              </w:rPr>
              <w:t>涉及</w:t>
            </w:r>
            <w:r>
              <w:rPr>
                <w:rFonts w:hint="default"/>
              </w:rPr>
              <w:t>有机溶剂生产和使用的其他行业</w:t>
            </w:r>
          </w:p>
        </w:tc>
        <w:tc>
          <w:tcPr>
            <w:tcW w:w="756"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w:t>
            </w:r>
          </w:p>
        </w:tc>
        <w:tc>
          <w:tcPr>
            <w:tcW w:w="904"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VOC</w:t>
            </w:r>
            <w:r>
              <w:rPr>
                <w:rFonts w:hint="default"/>
                <w:b w:val="0"/>
                <w:bCs/>
              </w:rPr>
              <w:t>s</w:t>
            </w:r>
          </w:p>
        </w:tc>
        <w:tc>
          <w:tcPr>
            <w:tcW w:w="1658"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60</w:t>
            </w:r>
          </w:p>
        </w:tc>
        <w:tc>
          <w:tcPr>
            <w:tcW w:w="25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3.4（15</w:t>
            </w:r>
            <w:r>
              <w:rPr>
                <w:rFonts w:hint="default"/>
                <w:b w:val="0"/>
                <w:bCs/>
              </w:rPr>
              <w:t>m</w:t>
            </w:r>
            <w:r>
              <w:rPr>
                <w:rFonts w:hint="eastAsia"/>
                <w:b w:val="0"/>
                <w:bCs/>
              </w:rPr>
              <w:t>）</w:t>
            </w:r>
          </w:p>
        </w:tc>
        <w:tc>
          <w:tcPr>
            <w:tcW w:w="1261"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eastAsia"/>
                <w:b w:val="0"/>
                <w:bCs/>
              </w:rPr>
              <w:t>80</w:t>
            </w:r>
            <w:r>
              <w:rPr>
                <w:rFonts w:hint="default"/>
                <w:b w:val="0"/>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9060" w:type="dxa"/>
            <w:gridSpan w:val="6"/>
            <w:noWrap w:val="0"/>
            <w:vAlign w:val="center"/>
          </w:tcPr>
          <w:p>
            <w:pPr>
              <w:pStyle w:val="352"/>
              <w:keepNext w:val="0"/>
              <w:keepLines w:val="0"/>
              <w:suppressLineNumbers w:val="0"/>
              <w:bidi w:val="0"/>
              <w:spacing w:before="0" w:beforeAutospacing="0" w:after="0" w:afterAutospacing="0"/>
              <w:ind w:left="0" w:right="0"/>
              <w:jc w:val="left"/>
              <w:rPr>
                <w:rFonts w:hint="eastAsia"/>
              </w:rPr>
            </w:pPr>
            <w:r>
              <w:rPr>
                <w:rFonts w:hint="eastAsia"/>
                <w:b w:val="0"/>
                <w:bCs/>
              </w:rPr>
              <w:t>备注</w:t>
            </w:r>
            <w:r>
              <w:rPr>
                <w:rFonts w:hint="default"/>
                <w:b w:val="0"/>
                <w:bCs/>
              </w:rPr>
              <w:t>：</w:t>
            </w:r>
            <w:r>
              <w:rPr>
                <w:rFonts w:hint="eastAsia"/>
                <w:b w:val="0"/>
                <w:bCs/>
              </w:rPr>
              <w:t>①最低去除效率要求仅适用于处理风量大于10000m</w:t>
            </w:r>
            <w:r>
              <w:rPr>
                <w:rFonts w:hint="default"/>
                <w:b w:val="0"/>
                <w:bCs/>
              </w:rPr>
              <w:t>3</w:t>
            </w:r>
            <w:r>
              <w:rPr>
                <w:rFonts w:hint="eastAsia"/>
                <w:b w:val="0"/>
                <w:bCs/>
              </w:rPr>
              <w:t>/h，且进口VOCs浓度大于200mg/m</w:t>
            </w:r>
            <w:r>
              <w:rPr>
                <w:rFonts w:hint="default"/>
                <w:b w:val="0"/>
                <w:bCs/>
              </w:rPr>
              <w:t>3</w:t>
            </w:r>
            <w:r>
              <w:rPr>
                <w:rFonts w:hint="eastAsia"/>
                <w:b w:val="0"/>
                <w:bCs/>
              </w:rPr>
              <w:t>的净化设施。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9060" w:type="dxa"/>
            <w:gridSpan w:val="6"/>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无组织</w:t>
            </w:r>
            <w:r>
              <w:rPr>
                <w:rFonts w:hint="default"/>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921"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污染物</w:t>
            </w:r>
            <w:r>
              <w:rPr>
                <w:rFonts w:hint="default"/>
              </w:rPr>
              <w:t>项目</w:t>
            </w:r>
          </w:p>
        </w:tc>
        <w:tc>
          <w:tcPr>
            <w:tcW w:w="7139" w:type="dxa"/>
            <w:gridSpan w:val="5"/>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其他，</w:t>
            </w:r>
            <w:r>
              <w:rPr>
                <w:rFonts w:hint="default"/>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921" w:type="dxa"/>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rPr>
              <w:t>VOC</w:t>
            </w:r>
            <w:r>
              <w:rPr>
                <w:rFonts w:hint="default"/>
              </w:rPr>
              <w:t>s</w:t>
            </w:r>
          </w:p>
        </w:tc>
        <w:tc>
          <w:tcPr>
            <w:tcW w:w="7139" w:type="dxa"/>
            <w:gridSpan w:val="5"/>
            <w:noWrap w:val="0"/>
            <w:vAlign w:val="center"/>
          </w:tcPr>
          <w:p>
            <w:pPr>
              <w:pStyle w:val="352"/>
              <w:keepNext w:val="0"/>
              <w:keepLines w:val="0"/>
              <w:suppressLineNumbers w:val="0"/>
              <w:bidi w:val="0"/>
              <w:spacing w:before="0" w:beforeAutospacing="0" w:after="0" w:afterAutospacing="0"/>
              <w:ind w:left="0" w:right="0"/>
              <w:rPr>
                <w:rFonts w:hint="eastAsia"/>
              </w:rPr>
            </w:pPr>
            <w:r>
              <w:rPr>
                <w:rFonts w:hint="eastAsia"/>
                <w:b w:val="0"/>
                <w:bCs/>
              </w:rPr>
              <w:t>20</w:t>
            </w: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3、噪声排放标准</w:t>
      </w:r>
    </w:p>
    <w:p>
      <w:pPr>
        <w:ind w:firstLine="480"/>
        <w:jc w:val="both"/>
        <w:rPr>
          <w:rFonts w:cs="Times New Roman"/>
        </w:rPr>
      </w:pPr>
      <w:r>
        <w:rPr>
          <w:rFonts w:hint="eastAsia" w:cs="Times New Roman"/>
        </w:rPr>
        <w:t>施工期，噪声执行《建筑施工场界环境噪声排放标准》（GB12523-2011）中的相关限值；运营期，噪声执行《工业企业场界环境噪声排放标准》（GB12348-2008）中</w:t>
      </w:r>
      <w:r>
        <w:rPr>
          <w:rFonts w:cs="Times New Roman"/>
        </w:rPr>
        <w:t>2</w:t>
      </w:r>
      <w:r>
        <w:rPr>
          <w:rFonts w:hint="eastAsia" w:cs="Times New Roman"/>
        </w:rPr>
        <w:t>类标准，标准值见下表。</w:t>
      </w:r>
    </w:p>
    <w:p>
      <w:pPr>
        <w:pStyle w:val="352"/>
        <w:bidi w:val="0"/>
        <w:rPr>
          <w:rFonts w:hint="eastAsia"/>
          <w:lang w:val="en-US" w:eastAsia="zh-CN"/>
        </w:rPr>
      </w:pPr>
      <w:r>
        <w:rPr>
          <w:rFonts w:hint="eastAsia"/>
          <w:lang w:val="en-US" w:eastAsia="zh-CN"/>
        </w:rPr>
        <w:t>表2-10  噪声排放标准  单位：dB(A)</w:t>
      </w:r>
    </w:p>
    <w:tbl>
      <w:tblPr>
        <w:tblStyle w:val="58"/>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0"/>
        <w:gridCol w:w="5528"/>
        <w:gridCol w:w="1022"/>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jc w:val="center"/>
        </w:trPr>
        <w:tc>
          <w:tcPr>
            <w:tcW w:w="128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时段</w:t>
            </w:r>
          </w:p>
        </w:tc>
        <w:tc>
          <w:tcPr>
            <w:tcW w:w="552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执行标准</w:t>
            </w:r>
          </w:p>
        </w:tc>
        <w:tc>
          <w:tcPr>
            <w:tcW w:w="1022"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昼</w:t>
            </w:r>
          </w:p>
        </w:tc>
        <w:tc>
          <w:tcPr>
            <w:tcW w:w="102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jc w:val="center"/>
        </w:trPr>
        <w:tc>
          <w:tcPr>
            <w:tcW w:w="1280"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施工期</w:t>
            </w:r>
          </w:p>
        </w:tc>
        <w:tc>
          <w:tcPr>
            <w:tcW w:w="552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《建筑施工场界环境噪声排放标准》（GB12523-2011）</w:t>
            </w:r>
          </w:p>
        </w:tc>
        <w:tc>
          <w:tcPr>
            <w:tcW w:w="1022"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70</w:t>
            </w:r>
          </w:p>
        </w:tc>
        <w:tc>
          <w:tcPr>
            <w:tcW w:w="102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 w:hRule="atLeast"/>
          <w:jc w:val="center"/>
        </w:trPr>
        <w:tc>
          <w:tcPr>
            <w:tcW w:w="1280"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运营期</w:t>
            </w:r>
          </w:p>
        </w:tc>
        <w:tc>
          <w:tcPr>
            <w:tcW w:w="552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《工业企业场界环境噪声排放标准》（GB12348-2008）</w:t>
            </w:r>
            <w:r>
              <w:rPr>
                <w:rFonts w:hint="default"/>
                <w:b w:val="0"/>
                <w:bCs/>
                <w:lang w:val="en-US" w:eastAsia="zh-CN"/>
              </w:rPr>
              <w:t>2</w:t>
            </w:r>
            <w:r>
              <w:rPr>
                <w:rFonts w:hint="eastAsia"/>
                <w:b w:val="0"/>
                <w:bCs/>
                <w:lang w:val="en-US" w:eastAsia="zh-CN"/>
              </w:rPr>
              <w:t>类</w:t>
            </w:r>
          </w:p>
        </w:tc>
        <w:tc>
          <w:tcPr>
            <w:tcW w:w="1022"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60</w:t>
            </w:r>
          </w:p>
        </w:tc>
        <w:tc>
          <w:tcPr>
            <w:tcW w:w="102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50</w:t>
            </w:r>
          </w:p>
        </w:tc>
      </w:tr>
    </w:tbl>
    <w:p>
      <w:pPr>
        <w:bidi w:val="0"/>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4、固体废物</w:t>
      </w:r>
    </w:p>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本项目营运期产生的一般工业固体废物执行《一般工业固体废物贮存、处置场污染控制标准》（GB18599-2001）及修改单（2013.6.8），产生的危险废物执行《危险废物贮存污染控制标准》（GB1859-2001）。</w:t>
      </w:r>
    </w:p>
    <w:p>
      <w:pPr>
        <w:topLinePunct/>
        <w:spacing w:line="360" w:lineRule="auto"/>
        <w:ind w:firstLine="482" w:firstLineChars="200"/>
        <w:jc w:val="left"/>
        <w:rPr>
          <w:rFonts w:hint="eastAsia" w:ascii="Times New Roman" w:hAnsi="Times New Roman" w:eastAsia="宋体"/>
          <w:b/>
          <w:bCs/>
          <w:sz w:val="24"/>
          <w:u w:val="none"/>
          <w:lang w:val="en-US" w:eastAsia="zh-CN"/>
        </w:rPr>
      </w:pPr>
      <w:r>
        <w:rPr>
          <w:rFonts w:hint="eastAsia" w:ascii="Times New Roman" w:hAnsi="Times New Roman" w:eastAsia="宋体"/>
          <w:b/>
          <w:bCs/>
          <w:sz w:val="24"/>
          <w:u w:val="none"/>
          <w:lang w:val="en-US" w:eastAsia="zh-CN"/>
        </w:rPr>
        <w:t>2.3.</w:t>
      </w:r>
      <w:r>
        <w:rPr>
          <w:rFonts w:hint="eastAsia"/>
          <w:b/>
          <w:bCs/>
          <w:sz w:val="24"/>
          <w:u w:val="none"/>
          <w:lang w:val="en-US" w:eastAsia="zh-CN"/>
        </w:rPr>
        <w:t>3</w:t>
      </w:r>
      <w:r>
        <w:rPr>
          <w:rFonts w:hint="eastAsia" w:ascii="Times New Roman" w:hAnsi="Times New Roman" w:eastAsia="宋体"/>
          <w:b/>
          <w:bCs/>
          <w:sz w:val="24"/>
          <w:u w:val="none"/>
          <w:lang w:val="en-US" w:eastAsia="zh-CN"/>
        </w:rPr>
        <w:t>评价因子</w:t>
      </w:r>
    </w:p>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1、环境影响因素分析</w:t>
      </w:r>
    </w:p>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拟建工程对环境的主要影响可分为施工期和运营期两个阶段，其中施工期对环境的影响主要有施工废水、施工人员生活污水、运输车辆及施工机具的尾气、施工场地的扬尘、施工机械噪声、施工人员的生活垃圾及建筑垃圾等对地表水、环境空气、声环境、土壤等造成的影响，以及土石方开挖、场地平整对水土流失和局部生态环境造成的影响。</w:t>
      </w:r>
    </w:p>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营运期主要的环境影响体现在：医疗废物进卸料、贮存产生的废气、微波消毒系统产生的废气、污水处理站恶臭气体等对环境空气的影响；车辆、周转箱、地表清洗、微波消毒处理过程排出的废液，医疗废物的渗滤液及废气处理过程中产生的旋流塔循环废水、厂区初期雨水以及生活污水对地表水环境的影响；微波消毒设备、水泵、风机、空压机、破碎机、运输车辆等设备噪声对声环境的影响；医疗废物处理完成的废渣、废气处理装置废物、厂区污水处理站污泥及生活垃圾等构成主要的固体废物。根据以上识别结果，工程建设对环境可能产生的影响及影响的性质和程度见下表。</w:t>
      </w:r>
    </w:p>
    <w:p>
      <w:pPr>
        <w:pStyle w:val="352"/>
        <w:bidi w:val="0"/>
        <w:rPr>
          <w:rFonts w:hint="eastAsia"/>
          <w:lang w:val="en-US" w:eastAsia="zh-CN"/>
        </w:rPr>
      </w:pPr>
      <w:r>
        <w:rPr>
          <w:rFonts w:hint="eastAsia"/>
          <w:lang w:val="en-US" w:eastAsia="zh-CN"/>
        </w:rPr>
        <w:t>表2-11  本项目环境影响因素识别表</w:t>
      </w:r>
    </w:p>
    <w:tbl>
      <w:tblPr>
        <w:tblStyle w:val="5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538"/>
        <w:gridCol w:w="2587"/>
        <w:gridCol w:w="249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4" w:type="dxa"/>
            <w:gridSpan w:val="2"/>
            <w:vAlign w:val="center"/>
          </w:tcPr>
          <w:p>
            <w:pPr>
              <w:pStyle w:val="352"/>
              <w:keepNext w:val="0"/>
              <w:keepLines w:val="0"/>
              <w:suppressLineNumbers w:val="0"/>
              <w:bidi w:val="0"/>
              <w:spacing w:before="0" w:beforeAutospacing="0" w:after="0" w:afterAutospacing="0"/>
              <w:ind w:left="0" w:right="0"/>
              <w:jc w:val="center"/>
              <w:rPr>
                <w:rFonts w:hint="eastAsia"/>
                <w:b/>
                <w:bCs w:val="0"/>
                <w:vertAlign w:val="baseline"/>
                <w:lang w:val="en-US" w:eastAsia="zh-CN"/>
              </w:rPr>
            </w:pPr>
            <w:r>
              <w:rPr>
                <w:rFonts w:hint="eastAsia"/>
                <w:b/>
                <w:bCs w:val="0"/>
                <w:vertAlign w:val="baseline"/>
                <w:lang w:val="en-US" w:eastAsia="zh-CN"/>
              </w:rPr>
              <w:t>工程环节</w:t>
            </w: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bCs w:val="0"/>
                <w:vertAlign w:val="baseline"/>
                <w:lang w:val="en-US" w:eastAsia="zh-CN"/>
              </w:rPr>
            </w:pPr>
            <w:r>
              <w:rPr>
                <w:rFonts w:hint="eastAsia"/>
                <w:b/>
                <w:bCs w:val="0"/>
                <w:vertAlign w:val="baseline"/>
                <w:lang w:val="en-US" w:eastAsia="zh-CN"/>
              </w:rPr>
              <w:t>可能产生的环境影响</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bCs w:val="0"/>
                <w:vertAlign w:val="baseline"/>
                <w:lang w:val="en-US" w:eastAsia="zh-CN"/>
              </w:rPr>
            </w:pPr>
            <w:r>
              <w:rPr>
                <w:rFonts w:hint="eastAsia"/>
                <w:b/>
                <w:bCs w:val="0"/>
                <w:vertAlign w:val="baseline"/>
                <w:lang w:val="en-US" w:eastAsia="zh-CN"/>
              </w:rPr>
              <w:t>影响的性质和程度</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bCs w:val="0"/>
                <w:vertAlign w:val="baseline"/>
                <w:lang w:val="en-US" w:eastAsia="zh-CN"/>
              </w:rPr>
            </w:pPr>
            <w:r>
              <w:rPr>
                <w:rFonts w:hint="eastAsia"/>
                <w:b/>
                <w:bCs w:val="0"/>
                <w:vertAlign w:val="baseline"/>
                <w:lang w:val="en-US" w:eastAsia="zh-CN"/>
              </w:rPr>
              <w:t>环境因素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施工期</w:t>
            </w:r>
          </w:p>
        </w:tc>
        <w:tc>
          <w:tcPr>
            <w:tcW w:w="1538" w:type="dxa"/>
            <w:vMerge w:val="restart"/>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材料运输、施工机械、施工人员</w:t>
            </w: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扬尘</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Merge w:val="restart"/>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环境空气质量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废气</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噪声</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废水</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建筑垃圾、生活垃圾</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生态环境、土壤环境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破坏植被、水土流失</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短期不利影响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生态环境、土壤环境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营运期</w:t>
            </w:r>
          </w:p>
        </w:tc>
        <w:tc>
          <w:tcPr>
            <w:tcW w:w="1538" w:type="dxa"/>
            <w:vMerge w:val="restart"/>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主体工程及附属设施</w:t>
            </w: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噪声</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长期不利影响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废气</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长期不利影响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废水</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长期不利影响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1538"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c>
          <w:tcPr>
            <w:tcW w:w="258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固废</w:t>
            </w:r>
          </w:p>
        </w:tc>
        <w:tc>
          <w:tcPr>
            <w:tcW w:w="2494"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长期不利影响</w:t>
            </w:r>
          </w:p>
        </w:tc>
        <w:tc>
          <w:tcPr>
            <w:tcW w:w="211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土壤环境</w:t>
            </w:r>
          </w:p>
        </w:tc>
      </w:tr>
    </w:tbl>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2、评价因子确定</w:t>
      </w:r>
    </w:p>
    <w:p>
      <w:pPr>
        <w:tabs>
          <w:tab w:val="left" w:pos="360"/>
        </w:tabs>
        <w:spacing w:line="360" w:lineRule="auto"/>
        <w:rPr>
          <w:rFonts w:hint="eastAsia" w:ascii="Times New Roman" w:hAnsi="Times New Roman" w:eastAsia="宋体"/>
          <w:sz w:val="24"/>
          <w:u w:val="none"/>
          <w:lang w:val="en-US" w:eastAsia="zh-CN"/>
        </w:rPr>
      </w:pPr>
      <w:r>
        <w:rPr>
          <w:rFonts w:hint="eastAsia" w:ascii="Times New Roman" w:hAnsi="Times New Roman" w:eastAsia="宋体"/>
          <w:sz w:val="24"/>
          <w:u w:val="none"/>
          <w:lang w:val="en-US" w:eastAsia="zh-CN"/>
        </w:rPr>
        <w:t>根据环境影响因素的识别，本项目将主要对该区域的水环境、环境空气、声环境和土壤环境等产生一定的不利影响，本次评价主要评价因子筛选见下表。</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表2-12  主要评价因子</w:t>
      </w:r>
    </w:p>
    <w:tbl>
      <w:tblPr>
        <w:tblStyle w:val="5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353"/>
        <w:gridCol w:w="2514"/>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bCs w:val="0"/>
                <w:vertAlign w:val="baseline"/>
                <w:lang w:val="en-US" w:eastAsia="zh-CN"/>
              </w:rPr>
            </w:pPr>
            <w:r>
              <w:rPr>
                <w:rFonts w:hint="eastAsia" w:ascii="Times New Roman" w:hAnsi="Times New Roman" w:eastAsia="宋体"/>
                <w:b/>
                <w:bCs w:val="0"/>
                <w:vertAlign w:val="baseline"/>
                <w:lang w:val="en-US" w:eastAsia="zh-CN"/>
              </w:rPr>
              <w:t>环境要素</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bCs w:val="0"/>
                <w:vertAlign w:val="baseline"/>
                <w:lang w:val="en-US" w:eastAsia="zh-CN"/>
              </w:rPr>
            </w:pPr>
            <w:r>
              <w:rPr>
                <w:rFonts w:hint="eastAsia" w:ascii="Times New Roman" w:hAnsi="Times New Roman" w:eastAsia="宋体"/>
                <w:b/>
                <w:bCs w:val="0"/>
                <w:vertAlign w:val="baseline"/>
                <w:lang w:val="en-US" w:eastAsia="zh-CN"/>
              </w:rPr>
              <w:t>现状评价因子</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bCs w:val="0"/>
                <w:vertAlign w:val="baseline"/>
                <w:lang w:val="en-US" w:eastAsia="zh-CN"/>
              </w:rPr>
            </w:pPr>
            <w:r>
              <w:rPr>
                <w:rFonts w:hint="eastAsia" w:ascii="Times New Roman" w:hAnsi="Times New Roman" w:eastAsia="宋体"/>
                <w:b/>
                <w:bCs w:val="0"/>
                <w:vertAlign w:val="baseline"/>
                <w:lang w:val="en-US" w:eastAsia="zh-CN"/>
              </w:rPr>
              <w:t>影响评价因子</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bCs w:val="0"/>
                <w:vertAlign w:val="baseline"/>
                <w:lang w:val="en-US" w:eastAsia="zh-CN"/>
              </w:rPr>
            </w:pPr>
            <w:r>
              <w:rPr>
                <w:rFonts w:hint="eastAsia" w:ascii="Times New Roman" w:hAnsi="Times New Roman" w:eastAsia="宋体"/>
                <w:b/>
                <w:bCs w:val="0"/>
                <w:vertAlign w:val="baseline"/>
                <w:lang w:val="en-US" w:eastAsia="zh-CN"/>
              </w:rPr>
              <w:t>总量控制因子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环境空气</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TSP、PM</w:t>
            </w:r>
            <w:r>
              <w:rPr>
                <w:rFonts w:hint="eastAsia" w:ascii="Times New Roman" w:hAnsi="Times New Roman" w:eastAsia="宋体"/>
                <w:b w:val="0"/>
                <w:bCs/>
                <w:vertAlign w:val="subscript"/>
                <w:lang w:val="en-US" w:eastAsia="zh-CN"/>
              </w:rPr>
              <w:t>10</w:t>
            </w:r>
            <w:r>
              <w:rPr>
                <w:rFonts w:hint="eastAsia" w:ascii="Times New Roman" w:hAnsi="Times New Roman" w:eastAsia="宋体"/>
                <w:b w:val="0"/>
                <w:bCs/>
                <w:vertAlign w:val="baseline"/>
                <w:lang w:val="en-US" w:eastAsia="zh-CN"/>
              </w:rPr>
              <w:t>、PM</w:t>
            </w:r>
            <w:r>
              <w:rPr>
                <w:rFonts w:hint="eastAsia" w:ascii="Times New Roman" w:hAnsi="Times New Roman" w:eastAsia="宋体"/>
                <w:b w:val="0"/>
                <w:bCs/>
                <w:vertAlign w:val="subscript"/>
                <w:lang w:val="en-US" w:eastAsia="zh-CN"/>
              </w:rPr>
              <w:t>2.5</w:t>
            </w:r>
            <w:r>
              <w:rPr>
                <w:rFonts w:hint="eastAsia" w:ascii="Times New Roman" w:hAnsi="Times New Roman" w:eastAsia="宋体"/>
                <w:b w:val="0"/>
                <w:bCs/>
                <w:vertAlign w:val="baseline"/>
                <w:lang w:val="en-US" w:eastAsia="zh-CN"/>
              </w:rPr>
              <w:t>、SO</w:t>
            </w:r>
            <w:r>
              <w:rPr>
                <w:rFonts w:hint="eastAsia" w:ascii="Times New Roman" w:hAnsi="Times New Roman" w:eastAsia="宋体"/>
                <w:b w:val="0"/>
                <w:bCs/>
                <w:vertAlign w:val="subscript"/>
                <w:lang w:val="en-US" w:eastAsia="zh-CN"/>
              </w:rPr>
              <w:t>2</w:t>
            </w:r>
            <w:r>
              <w:rPr>
                <w:rFonts w:hint="eastAsia" w:ascii="Times New Roman" w:hAnsi="Times New Roman" w:eastAsia="宋体"/>
                <w:b w:val="0"/>
                <w:bCs/>
                <w:vertAlign w:val="baseline"/>
                <w:lang w:val="en-US" w:eastAsia="zh-CN"/>
              </w:rPr>
              <w:t>、NO</w:t>
            </w:r>
            <w:r>
              <w:rPr>
                <w:rFonts w:hint="eastAsia" w:ascii="Times New Roman" w:hAnsi="Times New Roman" w:eastAsia="宋体"/>
                <w:b w:val="0"/>
                <w:bCs/>
                <w:vertAlign w:val="subscript"/>
                <w:lang w:val="en-US" w:eastAsia="zh-CN"/>
              </w:rPr>
              <w:t>2</w:t>
            </w:r>
            <w:r>
              <w:rPr>
                <w:rFonts w:hint="eastAsia" w:ascii="Times New Roman" w:hAnsi="Times New Roman" w:eastAsia="宋体"/>
                <w:b w:val="0"/>
                <w:bCs/>
                <w:vertAlign w:val="baseline"/>
                <w:lang w:val="en-US" w:eastAsia="zh-CN"/>
              </w:rPr>
              <w:t>、NH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、H</w:t>
            </w:r>
            <w:r>
              <w:rPr>
                <w:rFonts w:hint="eastAsia" w:ascii="Times New Roman" w:hAnsi="Times New Roman" w:eastAsia="宋体"/>
                <w:b w:val="0"/>
                <w:bCs/>
                <w:vertAlign w:val="subscript"/>
                <w:lang w:val="en-US" w:eastAsia="zh-CN"/>
              </w:rPr>
              <w:t>2</w:t>
            </w:r>
            <w:r>
              <w:rPr>
                <w:rFonts w:hint="eastAsia" w:ascii="Times New Roman" w:hAnsi="Times New Roman" w:eastAsia="宋体"/>
                <w:b w:val="0"/>
                <w:bCs/>
                <w:vertAlign w:val="baseline"/>
                <w:lang w:val="en-US" w:eastAsia="zh-CN"/>
              </w:rPr>
              <w:t>S、TVOC</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VOCs、NH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、H</w:t>
            </w:r>
            <w:r>
              <w:rPr>
                <w:rFonts w:hint="eastAsia" w:ascii="Times New Roman" w:hAnsi="Times New Roman" w:eastAsia="宋体"/>
                <w:b w:val="0"/>
                <w:bCs/>
                <w:vertAlign w:val="subscript"/>
                <w:lang w:val="en-US" w:eastAsia="zh-CN"/>
              </w:rPr>
              <w:t>2</w:t>
            </w:r>
            <w:r>
              <w:rPr>
                <w:rFonts w:hint="eastAsia" w:ascii="Times New Roman" w:hAnsi="Times New Roman" w:eastAsia="宋体"/>
                <w:b w:val="0"/>
                <w:bCs/>
                <w:vertAlign w:val="baseline"/>
                <w:lang w:val="en-US" w:eastAsia="zh-CN"/>
              </w:rPr>
              <w:t>S、颗粒物</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地表水</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pH、溶解氧、COD</w:t>
            </w:r>
            <w:r>
              <w:rPr>
                <w:rFonts w:hint="eastAsia" w:ascii="Times New Roman" w:hAnsi="Times New Roman" w:eastAsia="宋体"/>
                <w:b w:val="0"/>
                <w:bCs/>
                <w:vertAlign w:val="subscript"/>
                <w:lang w:val="en-US" w:eastAsia="zh-CN"/>
              </w:rPr>
              <w:t>Cr</w:t>
            </w:r>
            <w:r>
              <w:rPr>
                <w:rFonts w:hint="eastAsia" w:ascii="Times New Roman" w:hAnsi="Times New Roman" w:eastAsia="宋体"/>
                <w:b w:val="0"/>
                <w:bCs/>
                <w:vertAlign w:val="baseline"/>
                <w:lang w:val="en-US" w:eastAsia="zh-CN"/>
              </w:rPr>
              <w:t>、BOD</w:t>
            </w:r>
            <w:r>
              <w:rPr>
                <w:rFonts w:hint="eastAsia" w:ascii="Times New Roman" w:hAnsi="Times New Roman" w:eastAsia="宋体"/>
                <w:b w:val="0"/>
                <w:bCs/>
                <w:vertAlign w:val="subscript"/>
                <w:lang w:val="en-US" w:eastAsia="zh-CN"/>
              </w:rPr>
              <w:t>5</w:t>
            </w:r>
            <w:r>
              <w:rPr>
                <w:rFonts w:hint="eastAsia" w:ascii="Times New Roman" w:hAnsi="Times New Roman" w:eastAsia="宋体"/>
                <w:b w:val="0"/>
                <w:bCs/>
                <w:vertAlign w:val="baseline"/>
                <w:lang w:val="en-US" w:eastAsia="zh-CN"/>
              </w:rPr>
              <w:t>、NH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-N、铜、锌、砷、汞、镉、六价铬、铅、总磷、挥发酚、粪大肠菌群、氰化物、游离氯、SS</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COD</w:t>
            </w:r>
            <w:r>
              <w:rPr>
                <w:rFonts w:hint="eastAsia" w:ascii="Times New Roman" w:hAnsi="Times New Roman" w:eastAsia="宋体"/>
                <w:b w:val="0"/>
                <w:bCs/>
                <w:vertAlign w:val="subscript"/>
                <w:lang w:val="en-US" w:eastAsia="zh-CN"/>
              </w:rPr>
              <w:t>Cr</w:t>
            </w:r>
            <w:r>
              <w:rPr>
                <w:rFonts w:hint="eastAsia" w:ascii="Times New Roman" w:hAnsi="Times New Roman" w:eastAsia="宋体"/>
                <w:b w:val="0"/>
                <w:bCs/>
                <w:vertAlign w:val="baseline"/>
                <w:lang w:val="en-US" w:eastAsia="zh-CN"/>
              </w:rPr>
              <w:t>、NH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-N</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COD</w:t>
            </w:r>
            <w:r>
              <w:rPr>
                <w:rFonts w:hint="eastAsia" w:ascii="Times New Roman" w:hAnsi="Times New Roman" w:eastAsia="宋体"/>
                <w:b w:val="0"/>
                <w:bCs/>
                <w:vertAlign w:val="subscript"/>
                <w:lang w:val="en-US" w:eastAsia="zh-CN"/>
              </w:rPr>
              <w:t>Cr</w:t>
            </w:r>
            <w:r>
              <w:rPr>
                <w:rFonts w:hint="eastAsia" w:ascii="Times New Roman" w:hAnsi="Times New Roman" w:eastAsia="宋体"/>
                <w:b w:val="0"/>
                <w:bCs/>
                <w:vertAlign w:val="baseline"/>
                <w:lang w:val="en-US" w:eastAsia="zh-CN"/>
              </w:rPr>
              <w:t>、NH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地下水</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cs="Times New Roman"/>
                <w:b w:val="0"/>
                <w:bCs/>
                <w:color w:val="auto"/>
                <w:sz w:val="21"/>
                <w:szCs w:val="21"/>
                <w:lang w:val="en-US" w:eastAsia="zh-CN"/>
              </w:rPr>
              <w:t>pH、K</w:t>
            </w:r>
            <w:r>
              <w:rPr>
                <w:rFonts w:hint="eastAsia" w:ascii="Times New Roman" w:hAnsi="Times New Roman" w:cs="Times New Roman"/>
                <w:b w:val="0"/>
                <w:bCs/>
                <w:color w:val="auto"/>
                <w:sz w:val="21"/>
                <w:szCs w:val="21"/>
                <w:vertAlign w:val="superscript"/>
                <w:lang w:val="en-US" w:eastAsia="zh-CN"/>
              </w:rPr>
              <w:t>+</w:t>
            </w:r>
            <w:r>
              <w:rPr>
                <w:rFonts w:hint="eastAsia" w:ascii="Times New Roman" w:hAnsi="Times New Roman" w:cs="Times New Roman"/>
                <w:b w:val="0"/>
                <w:bCs/>
                <w:color w:val="auto"/>
                <w:sz w:val="21"/>
                <w:szCs w:val="21"/>
                <w:lang w:val="en-US" w:eastAsia="zh-CN"/>
              </w:rPr>
              <w:t>、Na</w:t>
            </w:r>
            <w:r>
              <w:rPr>
                <w:rFonts w:hint="eastAsia" w:ascii="Times New Roman" w:hAnsi="Times New Roman" w:cs="Times New Roman"/>
                <w:b w:val="0"/>
                <w:bCs/>
                <w:color w:val="auto"/>
                <w:sz w:val="21"/>
                <w:szCs w:val="21"/>
                <w:vertAlign w:val="superscript"/>
                <w:lang w:val="en-US" w:eastAsia="zh-CN"/>
              </w:rPr>
              <w:t>+</w:t>
            </w:r>
            <w:r>
              <w:rPr>
                <w:rFonts w:hint="eastAsia" w:ascii="Times New Roman" w:hAnsi="Times New Roman" w:cs="Times New Roman"/>
                <w:b w:val="0"/>
                <w:bCs/>
                <w:color w:val="auto"/>
                <w:sz w:val="21"/>
                <w:szCs w:val="21"/>
                <w:lang w:val="en-US" w:eastAsia="zh-CN"/>
              </w:rPr>
              <w:t>、Ca</w:t>
            </w:r>
            <w:r>
              <w:rPr>
                <w:rFonts w:hint="eastAsia" w:ascii="Times New Roman" w:hAnsi="Times New Roman" w:cs="Times New Roman"/>
                <w:b w:val="0"/>
                <w:bCs/>
                <w:color w:val="auto"/>
                <w:sz w:val="21"/>
                <w:szCs w:val="21"/>
                <w:vertAlign w:val="superscript"/>
                <w:lang w:val="en-US" w:eastAsia="zh-CN"/>
              </w:rPr>
              <w:t>+</w:t>
            </w:r>
            <w:r>
              <w:rPr>
                <w:rFonts w:hint="eastAsia" w:ascii="Times New Roman" w:hAnsi="Times New Roman" w:cs="Times New Roman"/>
                <w:b w:val="0"/>
                <w:bCs/>
                <w:color w:val="auto"/>
                <w:sz w:val="21"/>
                <w:szCs w:val="21"/>
                <w:lang w:val="en-US" w:eastAsia="zh-CN"/>
              </w:rPr>
              <w:t>、Mg</w:t>
            </w:r>
            <w:r>
              <w:rPr>
                <w:rFonts w:hint="eastAsia" w:ascii="Times New Roman" w:hAnsi="Times New Roman" w:cs="Times New Roman"/>
                <w:b w:val="0"/>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、CO</w:t>
            </w:r>
            <w:r>
              <w:rPr>
                <w:rFonts w:hint="eastAsia" w:ascii="Times New Roman" w:hAnsi="Times New Roman" w:cs="Times New Roman"/>
                <w:b w:val="0"/>
                <w:bCs/>
                <w:color w:val="auto"/>
                <w:sz w:val="21"/>
                <w:szCs w:val="21"/>
                <w:vertAlign w:val="subscript"/>
                <w:lang w:val="en-US" w:eastAsia="zh-CN"/>
              </w:rPr>
              <w:t>3</w:t>
            </w:r>
            <w:r>
              <w:rPr>
                <w:rFonts w:hint="eastAsia" w:ascii="Times New Roman" w:hAnsi="Times New Roman" w:cs="Times New Roman"/>
                <w:b w:val="0"/>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、HCO</w:t>
            </w:r>
            <w:r>
              <w:rPr>
                <w:rFonts w:hint="eastAsia" w:ascii="Times New Roman" w:hAnsi="Times New Roman" w:cs="Times New Roman"/>
                <w:b w:val="0"/>
                <w:bCs/>
                <w:color w:val="auto"/>
                <w:sz w:val="21"/>
                <w:szCs w:val="21"/>
                <w:vertAlign w:val="subscript"/>
                <w:lang w:val="en-US" w:eastAsia="zh-CN"/>
              </w:rPr>
              <w:t>3</w:t>
            </w:r>
            <w:r>
              <w:rPr>
                <w:rFonts w:hint="eastAsia" w:ascii="Times New Roman" w:hAnsi="Times New Roman" w:cs="Times New Roman"/>
                <w:b w:val="0"/>
                <w:bCs/>
                <w:color w:val="auto"/>
                <w:sz w:val="21"/>
                <w:szCs w:val="21"/>
                <w:vertAlign w:val="superscript"/>
                <w:lang w:val="en-US" w:eastAsia="zh-CN"/>
              </w:rPr>
              <w:t>-</w:t>
            </w:r>
            <w:r>
              <w:rPr>
                <w:rFonts w:hint="eastAsia" w:ascii="Times New Roman" w:hAnsi="Times New Roman" w:cs="Times New Roman"/>
                <w:b w:val="0"/>
                <w:bCs/>
                <w:color w:val="auto"/>
                <w:sz w:val="21"/>
                <w:szCs w:val="21"/>
                <w:lang w:val="en-US" w:eastAsia="zh-CN"/>
              </w:rPr>
              <w:t>、CL</w:t>
            </w:r>
            <w:r>
              <w:rPr>
                <w:rFonts w:hint="eastAsia" w:ascii="Times New Roman" w:hAnsi="Times New Roman" w:cs="Times New Roman"/>
                <w:b w:val="0"/>
                <w:bCs/>
                <w:color w:val="auto"/>
                <w:sz w:val="21"/>
                <w:szCs w:val="21"/>
                <w:vertAlign w:val="superscript"/>
                <w:lang w:val="en-US" w:eastAsia="zh-CN"/>
              </w:rPr>
              <w:t>-</w:t>
            </w:r>
            <w:r>
              <w:rPr>
                <w:rFonts w:hint="eastAsia" w:ascii="Times New Roman" w:hAnsi="Times New Roman" w:cs="Times New Roman"/>
                <w:b w:val="0"/>
                <w:bCs/>
                <w:color w:val="auto"/>
                <w:sz w:val="21"/>
                <w:szCs w:val="21"/>
                <w:lang w:val="en-US" w:eastAsia="zh-CN"/>
              </w:rPr>
              <w:t>、SO</w:t>
            </w:r>
            <w:r>
              <w:rPr>
                <w:rFonts w:hint="eastAsia" w:ascii="Times New Roman" w:hAnsi="Times New Roman" w:cs="Times New Roman"/>
                <w:b w:val="0"/>
                <w:bCs/>
                <w:color w:val="auto"/>
                <w:sz w:val="21"/>
                <w:szCs w:val="21"/>
                <w:vertAlign w:val="subscript"/>
                <w:lang w:val="en-US" w:eastAsia="zh-CN"/>
              </w:rPr>
              <w:t>4</w:t>
            </w:r>
            <w:r>
              <w:rPr>
                <w:rFonts w:hint="eastAsia" w:ascii="Times New Roman" w:hAnsi="Times New Roman" w:cs="Times New Roman"/>
                <w:b w:val="0"/>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总硬度、氨氮、硝酸盐、亚硝酸盐、挥发性酚类、氰化物、砷、汞、六价铬、铅、氟、镉、铁、锰、溶解性总固体、耗氧量、硫酸盐、氯化物、总大肠菌群、细菌总数、阴离子表面活性剂、铜、锌、硒、锑、铊、铍、钼、镍、钴、氰化物</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COD</w:t>
            </w:r>
            <w:r>
              <w:rPr>
                <w:rFonts w:hint="eastAsia" w:ascii="Times New Roman" w:hAnsi="Times New Roman" w:eastAsia="宋体"/>
                <w:b w:val="0"/>
                <w:bCs/>
                <w:vertAlign w:val="subscript"/>
                <w:lang w:val="en-US" w:eastAsia="zh-CN"/>
              </w:rPr>
              <w:t>Cr</w:t>
            </w:r>
            <w:r>
              <w:rPr>
                <w:rFonts w:hint="eastAsia" w:ascii="Times New Roman" w:hAnsi="Times New Roman" w:eastAsia="宋体"/>
                <w:b w:val="0"/>
                <w:bCs/>
                <w:vertAlign w:val="baseline"/>
                <w:lang w:val="en-US" w:eastAsia="zh-CN"/>
              </w:rPr>
              <w:t>、NH</w:t>
            </w:r>
            <w:r>
              <w:rPr>
                <w:rFonts w:hint="eastAsia" w:ascii="Times New Roman" w:hAnsi="Times New Roman" w:eastAsia="宋体"/>
                <w:b w:val="0"/>
                <w:bCs/>
                <w:vertAlign w:val="subscript"/>
                <w:lang w:val="en-US" w:eastAsia="zh-CN"/>
              </w:rPr>
              <w:t>3</w:t>
            </w:r>
            <w:r>
              <w:rPr>
                <w:rFonts w:hint="eastAsia" w:ascii="Times New Roman" w:hAnsi="Times New Roman" w:eastAsia="宋体"/>
                <w:b w:val="0"/>
                <w:bCs/>
                <w:vertAlign w:val="baseline"/>
                <w:lang w:val="en-US" w:eastAsia="zh-CN"/>
              </w:rPr>
              <w:t>-N</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土壤</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default" w:ascii="Times New Roman" w:hAnsi="Times New Roman" w:eastAsia="宋体"/>
                <w:b w:val="0"/>
                <w:bCs/>
                <w:vertAlign w:val="baseline"/>
                <w:lang w:val="en-US" w:eastAsia="zh-CN"/>
              </w:rPr>
              <w:t>砷、汞、镍、铅、镉、铜、六价铬、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葱、苯并[a]芘、苯并荧[b]葱、苯并荧[k]葱、䓛、二苯并[a，h]葱、茚并[1,2,3-cd]芘、萘</w:t>
            </w:r>
            <w:r>
              <w:rPr>
                <w:rFonts w:hint="eastAsia" w:ascii="Times New Roman" w:hAnsi="Times New Roman" w:eastAsia="宋体"/>
                <w:b w:val="0"/>
                <w:bCs/>
                <w:vertAlign w:val="baseline"/>
                <w:lang w:val="en-US" w:eastAsia="zh-CN"/>
              </w:rPr>
              <w:t>、总铬、锌、六六六总量、滴滴涕总量</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铬、汞等</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声环境</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昼间、夜间等效连续A声级</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default" w:ascii="Times New Roman" w:hAnsi="Times New Roman" w:eastAsia="宋体"/>
                <w:b w:val="0"/>
                <w:bCs/>
                <w:vertAlign w:val="baseline"/>
                <w:lang w:val="en-US" w:eastAsia="zh-CN"/>
              </w:rPr>
              <w:t>昼间、夜间等效连续A声级</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0"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固废</w:t>
            </w:r>
          </w:p>
        </w:tc>
        <w:tc>
          <w:tcPr>
            <w:tcW w:w="335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w:t>
            </w:r>
          </w:p>
        </w:tc>
        <w:tc>
          <w:tcPr>
            <w:tcW w:w="251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一般工业固废、危险废物、生活垃圾</w:t>
            </w:r>
          </w:p>
        </w:tc>
        <w:tc>
          <w:tcPr>
            <w:tcW w:w="2513"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ascii="Times New Roman" w:hAnsi="Times New Roman" w:eastAsia="宋体"/>
                <w:b w:val="0"/>
                <w:bCs/>
                <w:vertAlign w:val="baseline"/>
                <w:lang w:val="en-US" w:eastAsia="zh-CN"/>
              </w:rPr>
              <w:t>/</w:t>
            </w:r>
          </w:p>
        </w:tc>
      </w:tr>
    </w:tbl>
    <w:p>
      <w:pPr>
        <w:pStyle w:val="3"/>
        <w:rPr>
          <w:rFonts w:hint="eastAsia" w:ascii="Times New Roman" w:hAnsi="Times New Roman" w:eastAsia="宋体"/>
          <w:sz w:val="28"/>
          <w:szCs w:val="28"/>
          <w:u w:val="none"/>
          <w:lang w:val="en-US" w:eastAsia="zh-CN"/>
        </w:rPr>
      </w:pPr>
      <w:bookmarkStart w:id="30" w:name="_Toc7016"/>
      <w:r>
        <w:rPr>
          <w:rFonts w:hint="eastAsia" w:ascii="Times New Roman" w:hAnsi="Times New Roman" w:eastAsia="宋体"/>
          <w:sz w:val="28"/>
          <w:szCs w:val="28"/>
          <w:u w:val="none"/>
          <w:lang w:val="en-US" w:eastAsia="zh-CN"/>
        </w:rPr>
        <w:t>2.4评价等级和评价</w:t>
      </w:r>
      <w:r>
        <w:rPr>
          <w:rFonts w:hint="eastAsia" w:ascii="Times New Roman" w:hAnsi="Times New Roman"/>
          <w:sz w:val="28"/>
          <w:szCs w:val="28"/>
          <w:u w:val="none"/>
          <w:lang w:val="en-US" w:eastAsia="zh-CN"/>
        </w:rPr>
        <w:t>范围</w:t>
      </w:r>
      <w:bookmarkEnd w:id="30"/>
    </w:p>
    <w:p>
      <w:pPr>
        <w:tabs>
          <w:tab w:val="left" w:pos="360"/>
        </w:tabs>
        <w:spacing w:line="360" w:lineRule="auto"/>
        <w:rPr>
          <w:rFonts w:hint="eastAsia"/>
          <w:b/>
          <w:bCs/>
          <w:sz w:val="24"/>
          <w:u w:val="none"/>
          <w:lang w:val="en-US" w:eastAsia="zh-CN"/>
        </w:rPr>
      </w:pPr>
      <w:r>
        <w:rPr>
          <w:rFonts w:hint="eastAsia"/>
          <w:b/>
          <w:bCs/>
          <w:sz w:val="24"/>
          <w:u w:val="none"/>
          <w:lang w:val="en-US" w:eastAsia="zh-CN"/>
        </w:rPr>
        <w:t>2.4.1评价等级</w:t>
      </w:r>
    </w:p>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1、地表水环境影响评价等级</w:t>
      </w:r>
    </w:p>
    <w:p>
      <w:pPr>
        <w:topLinePunct/>
        <w:adjustRightInd w:val="0"/>
        <w:snapToGrid w:val="0"/>
        <w:spacing w:line="360" w:lineRule="auto"/>
        <w:ind w:firstLine="480" w:firstLineChars="200"/>
        <w:rPr>
          <w:rFonts w:ascii="Times New Roman" w:hAnsi="Times New Roman" w:eastAsia="宋体"/>
          <w:bCs/>
          <w:sz w:val="24"/>
          <w:u w:val="none"/>
        </w:rPr>
      </w:pPr>
      <w:r>
        <w:rPr>
          <w:rFonts w:hint="eastAsia" w:ascii="Times New Roman" w:hAnsi="Times New Roman" w:eastAsia="宋体"/>
          <w:bCs/>
          <w:sz w:val="24"/>
          <w:u w:val="none"/>
          <w:lang w:eastAsia="zh-CN"/>
        </w:rPr>
        <w:t>本项目属于水污染性影响型建设项目，</w:t>
      </w:r>
      <w:r>
        <w:rPr>
          <w:rFonts w:ascii="Times New Roman" w:hAnsi="Times New Roman" w:eastAsia="宋体"/>
          <w:bCs/>
          <w:sz w:val="24"/>
          <w:u w:val="none"/>
        </w:rPr>
        <w:t>根据《环境影响评价技术导则——</w:t>
      </w:r>
      <w:r>
        <w:rPr>
          <w:rFonts w:hint="eastAsia" w:ascii="Times New Roman" w:hAnsi="Times New Roman" w:eastAsia="宋体"/>
          <w:bCs/>
          <w:sz w:val="24"/>
          <w:u w:val="none"/>
          <w:lang w:eastAsia="zh-CN"/>
        </w:rPr>
        <w:t>地表水</w:t>
      </w:r>
      <w:r>
        <w:rPr>
          <w:rFonts w:ascii="Times New Roman" w:hAnsi="Times New Roman" w:eastAsia="宋体"/>
          <w:bCs/>
          <w:sz w:val="24"/>
          <w:u w:val="none"/>
        </w:rPr>
        <w:t>环境》（HJ2.3-</w:t>
      </w:r>
      <w:r>
        <w:rPr>
          <w:rFonts w:hint="eastAsia" w:ascii="Times New Roman" w:hAnsi="Times New Roman" w:eastAsia="宋体"/>
          <w:bCs/>
          <w:sz w:val="24"/>
          <w:u w:val="none"/>
          <w:lang w:val="en-US" w:eastAsia="zh-CN"/>
        </w:rPr>
        <w:t>2018</w:t>
      </w:r>
      <w:r>
        <w:rPr>
          <w:rFonts w:ascii="Times New Roman" w:hAnsi="Times New Roman" w:eastAsia="宋体"/>
          <w:bCs/>
          <w:sz w:val="24"/>
          <w:u w:val="none"/>
        </w:rPr>
        <w:t>）中相关规定，</w:t>
      </w:r>
      <w:r>
        <w:rPr>
          <w:rFonts w:hint="eastAsia" w:ascii="Times New Roman" w:hAnsi="Times New Roman" w:eastAsia="宋体"/>
          <w:bCs/>
          <w:sz w:val="24"/>
          <w:u w:val="none"/>
          <w:lang w:eastAsia="zh-CN"/>
        </w:rPr>
        <w:t>水污染影响型建设项目根据排放方式和废水排放量划分评价等级，详见下表</w:t>
      </w:r>
      <w:r>
        <w:rPr>
          <w:rFonts w:ascii="Times New Roman" w:hAnsi="Times New Roman" w:eastAsia="宋体"/>
          <w:bCs/>
          <w:sz w:val="24"/>
          <w:u w:val="none"/>
        </w:rPr>
        <w:t>。</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表2-11  项目地表水环境影响评价等级</w:t>
      </w:r>
    </w:p>
    <w:tbl>
      <w:tblPr>
        <w:tblStyle w:val="5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7"/>
        <w:gridCol w:w="2133"/>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47" w:type="dxa"/>
            <w:vMerge w:val="restart"/>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评价等级</w:t>
            </w:r>
          </w:p>
        </w:tc>
        <w:tc>
          <w:tcPr>
            <w:tcW w:w="5933" w:type="dxa"/>
            <w:gridSpan w:val="2"/>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47" w:type="dxa"/>
            <w:vMerge w:val="continue"/>
            <w:vAlign w:val="center"/>
          </w:tcPr>
          <w:p>
            <w:pPr>
              <w:pStyle w:val="352"/>
              <w:keepNext w:val="0"/>
              <w:keepLines w:val="0"/>
              <w:suppressLineNumbers w:val="0"/>
              <w:bidi w:val="0"/>
              <w:spacing w:before="0" w:beforeAutospacing="0" w:after="0" w:afterAutospacing="0"/>
              <w:ind w:left="0" w:right="0"/>
              <w:rPr>
                <w:rFonts w:hint="default"/>
                <w:lang w:val="en-US" w:eastAsia="zh-CN"/>
              </w:rPr>
            </w:pPr>
          </w:p>
        </w:tc>
        <w:tc>
          <w:tcPr>
            <w:tcW w:w="2133"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排放方式</w:t>
            </w:r>
          </w:p>
        </w:tc>
        <w:tc>
          <w:tcPr>
            <w:tcW w:w="3800" w:type="dxa"/>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废水排放量Q/（m³/d）；</w:t>
            </w:r>
          </w:p>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47"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一级</w:t>
            </w:r>
          </w:p>
        </w:tc>
        <w:tc>
          <w:tcPr>
            <w:tcW w:w="213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直接排放</w:t>
            </w:r>
          </w:p>
        </w:tc>
        <w:tc>
          <w:tcPr>
            <w:tcW w:w="3800"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47"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二级</w:t>
            </w:r>
          </w:p>
        </w:tc>
        <w:tc>
          <w:tcPr>
            <w:tcW w:w="213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直接排放</w:t>
            </w:r>
          </w:p>
        </w:tc>
        <w:tc>
          <w:tcPr>
            <w:tcW w:w="3800"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47"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三级A</w:t>
            </w:r>
          </w:p>
        </w:tc>
        <w:tc>
          <w:tcPr>
            <w:tcW w:w="213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直接排放</w:t>
            </w:r>
          </w:p>
        </w:tc>
        <w:tc>
          <w:tcPr>
            <w:tcW w:w="3800"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947"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三级B</w:t>
            </w:r>
          </w:p>
        </w:tc>
        <w:tc>
          <w:tcPr>
            <w:tcW w:w="213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间接排放</w:t>
            </w:r>
          </w:p>
        </w:tc>
        <w:tc>
          <w:tcPr>
            <w:tcW w:w="3800"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w:t>
            </w:r>
          </w:p>
        </w:tc>
      </w:tr>
    </w:tbl>
    <w:p>
      <w:pPr>
        <w:topLinePunct/>
        <w:adjustRightInd w:val="0"/>
        <w:snapToGrid w:val="0"/>
        <w:spacing w:line="360" w:lineRule="auto"/>
        <w:ind w:firstLine="480" w:firstLineChars="200"/>
        <w:rPr>
          <w:rFonts w:hint="eastAsia"/>
          <w:bCs/>
          <w:sz w:val="24"/>
          <w:u w:val="none"/>
          <w:lang w:eastAsia="zh-CN"/>
        </w:rPr>
      </w:pPr>
      <w:r>
        <w:rPr>
          <w:rFonts w:hint="eastAsia" w:ascii="Times New Roman" w:hAnsi="Times New Roman" w:eastAsia="宋体"/>
          <w:bCs/>
          <w:sz w:val="24"/>
          <w:u w:val="none"/>
        </w:rPr>
        <w:t>本项目</w:t>
      </w:r>
      <w:r>
        <w:rPr>
          <w:rFonts w:hint="eastAsia"/>
          <w:bCs/>
          <w:sz w:val="24"/>
          <w:u w:val="none"/>
          <w:lang w:eastAsia="zh-CN"/>
        </w:rPr>
        <w:t>生产废水、生活污水及初期雨水等经处理达标后回用，当项目回用不完时，运输至旺苍县污水处理厂处理达标排放。因此，本项目外排废水方式属于间接排放，由上表可知，本项目地表水环境影响评价等级为三级。</w:t>
      </w:r>
    </w:p>
    <w:p>
      <w:pPr>
        <w:topLinePunct/>
        <w:adjustRightInd w:val="0"/>
        <w:snapToGrid w:val="0"/>
        <w:spacing w:line="360" w:lineRule="auto"/>
        <w:ind w:firstLine="480" w:firstLineChars="200"/>
        <w:rPr>
          <w:rFonts w:hint="eastAsia"/>
          <w:bCs/>
          <w:sz w:val="24"/>
          <w:u w:val="none"/>
          <w:lang w:val="en-US" w:eastAsia="zh-CN"/>
        </w:rPr>
      </w:pPr>
      <w:r>
        <w:rPr>
          <w:rFonts w:hint="eastAsia"/>
          <w:bCs/>
          <w:sz w:val="24"/>
          <w:u w:val="none"/>
          <w:lang w:val="en-US" w:eastAsia="zh-CN"/>
        </w:rPr>
        <w:t>2、大气环境影响评价等级</w:t>
      </w:r>
    </w:p>
    <w:p>
      <w:pPr>
        <w:pStyle w:val="341"/>
        <w:topLinePunct/>
        <w:spacing w:line="360" w:lineRule="auto"/>
        <w:ind w:firstLine="480" w:firstLineChars="200"/>
        <w:rPr>
          <w:sz w:val="24"/>
          <w:szCs w:val="24"/>
          <w:u w:val="none"/>
        </w:rPr>
      </w:pPr>
      <w:r>
        <w:rPr>
          <w:sz w:val="24"/>
          <w:szCs w:val="24"/>
          <w:u w:val="none"/>
        </w:rPr>
        <w:t>根据《环境影响评价技术导则大气环境》（</w:t>
      </w:r>
      <w:r>
        <w:rPr>
          <w:rFonts w:hint="eastAsia"/>
          <w:sz w:val="24"/>
          <w:szCs w:val="24"/>
          <w:u w:val="none"/>
          <w:lang w:eastAsia="zh-CN"/>
        </w:rPr>
        <w:t>HJ2.2—2018</w:t>
      </w:r>
      <w:r>
        <w:rPr>
          <w:sz w:val="24"/>
          <w:szCs w:val="24"/>
          <w:u w:val="none"/>
        </w:rPr>
        <w:t>）规定的评价工作级别的划分原则和方法，按如下模式计算出最大地面质量浓度占标率：</w:t>
      </w:r>
    </w:p>
    <w:p>
      <w:pPr>
        <w:pStyle w:val="341"/>
        <w:topLinePunct/>
        <w:spacing w:line="360" w:lineRule="auto"/>
        <w:jc w:val="center"/>
        <w:rPr>
          <w:sz w:val="24"/>
          <w:szCs w:val="24"/>
          <w:u w:val="none"/>
        </w:rPr>
      </w:pPr>
      <m:oMathPara>
        <m:oMath>
          <m:sSub>
            <m:sSubPr>
              <m:ctrlPr>
                <w:rPr>
                  <w:rFonts w:ascii="Cambria Math" w:hAnsi="Cambria Math"/>
                  <w:sz w:val="24"/>
                  <w:szCs w:val="24"/>
                  <w:u w:val="none"/>
                </w:rPr>
              </m:ctrlPr>
            </m:sSubPr>
            <m:e>
              <m:r>
                <w:rPr>
                  <w:rFonts w:ascii="Cambria Math" w:hAnsi="Cambria Math"/>
                  <w:sz w:val="24"/>
                  <w:szCs w:val="24"/>
                  <w:u w:val="none"/>
                </w:rPr>
                <m:t>P</m:t>
              </m:r>
              <m:ctrlPr>
                <w:rPr>
                  <w:rFonts w:ascii="Cambria Math" w:hAnsi="Cambria Math"/>
                  <w:sz w:val="24"/>
                  <w:szCs w:val="24"/>
                  <w:u w:val="none"/>
                </w:rPr>
              </m:ctrlPr>
            </m:e>
            <m:sub>
              <m:r>
                <w:rPr>
                  <w:rFonts w:ascii="Cambria Math" w:hAnsi="Cambria Math"/>
                  <w:sz w:val="24"/>
                  <w:szCs w:val="24"/>
                  <w:u w:val="none"/>
                </w:rPr>
                <m:t>i</m:t>
              </m:r>
              <m:ctrlPr>
                <w:rPr>
                  <w:rFonts w:ascii="Cambria Math" w:hAnsi="Cambria Math"/>
                  <w:sz w:val="24"/>
                  <w:szCs w:val="24"/>
                  <w:u w:val="none"/>
                </w:rPr>
              </m:ctrlPr>
            </m:sub>
          </m:sSub>
          <m:r>
            <w:rPr>
              <w:rFonts w:hint="eastAsia" w:ascii="Cambria Math" w:hAnsi="Cambria Math"/>
              <w:sz w:val="24"/>
              <w:szCs w:val="24"/>
              <w:u w:val="none"/>
            </w:rPr>
            <m:t>=</m:t>
          </m:r>
          <m:f>
            <m:fPr>
              <m:ctrlPr>
                <w:rPr>
                  <w:rFonts w:ascii="Cambria Math" w:hAnsi="Cambria Math"/>
                  <w:i/>
                  <w:sz w:val="24"/>
                  <w:szCs w:val="24"/>
                  <w:u w:val="none"/>
                </w:rPr>
              </m:ctrlPr>
            </m:fPr>
            <m:num>
              <m:sSub>
                <m:sSubPr>
                  <m:ctrlPr>
                    <w:rPr>
                      <w:rFonts w:ascii="Cambria Math" w:hAnsi="Cambria Math"/>
                      <w:i/>
                      <w:sz w:val="24"/>
                      <w:szCs w:val="24"/>
                      <w:u w:val="none"/>
                    </w:rPr>
                  </m:ctrlPr>
                </m:sSubPr>
                <m:e>
                  <m:r>
                    <w:rPr>
                      <w:rFonts w:ascii="Cambria Math" w:hAnsi="Cambria Math"/>
                      <w:sz w:val="24"/>
                      <w:szCs w:val="24"/>
                      <w:u w:val="none"/>
                    </w:rPr>
                    <m:t>C</m:t>
                  </m:r>
                  <m:ctrlPr>
                    <w:rPr>
                      <w:rFonts w:ascii="Cambria Math" w:hAnsi="Cambria Math"/>
                      <w:i/>
                      <w:sz w:val="24"/>
                      <w:szCs w:val="24"/>
                      <w:u w:val="none"/>
                    </w:rPr>
                  </m:ctrlPr>
                </m:e>
                <m:sub>
                  <m:r>
                    <w:rPr>
                      <w:rFonts w:ascii="Cambria Math" w:hAnsi="Cambria Math"/>
                      <w:sz w:val="24"/>
                      <w:szCs w:val="24"/>
                      <w:u w:val="none"/>
                    </w:rPr>
                    <m:t>i</m:t>
                  </m:r>
                  <m:ctrlPr>
                    <w:rPr>
                      <w:rFonts w:ascii="Cambria Math" w:hAnsi="Cambria Math"/>
                      <w:i/>
                      <w:sz w:val="24"/>
                      <w:szCs w:val="24"/>
                      <w:u w:val="none"/>
                    </w:rPr>
                  </m:ctrlPr>
                </m:sub>
              </m:sSub>
              <m:ctrlPr>
                <w:rPr>
                  <w:rFonts w:ascii="Cambria Math" w:hAnsi="Cambria Math"/>
                  <w:i/>
                  <w:sz w:val="24"/>
                  <w:szCs w:val="24"/>
                  <w:u w:val="none"/>
                </w:rPr>
              </m:ctrlPr>
            </m:num>
            <m:den>
              <m:sSub>
                <m:sSubPr>
                  <m:ctrlPr>
                    <w:rPr>
                      <w:rFonts w:ascii="Cambria Math" w:hAnsi="Cambria Math"/>
                      <w:i/>
                      <w:sz w:val="24"/>
                      <w:szCs w:val="24"/>
                      <w:u w:val="none"/>
                    </w:rPr>
                  </m:ctrlPr>
                </m:sSubPr>
                <m:e>
                  <m:r>
                    <w:rPr>
                      <w:rFonts w:ascii="Cambria Math" w:hAnsi="Cambria Math"/>
                      <w:sz w:val="24"/>
                      <w:szCs w:val="24"/>
                      <w:u w:val="none"/>
                    </w:rPr>
                    <m:t>C</m:t>
                  </m:r>
                  <m:ctrlPr>
                    <w:rPr>
                      <w:rFonts w:ascii="Cambria Math" w:hAnsi="Cambria Math"/>
                      <w:i/>
                      <w:sz w:val="24"/>
                      <w:szCs w:val="24"/>
                      <w:u w:val="none"/>
                    </w:rPr>
                  </m:ctrlPr>
                </m:e>
                <m:sub>
                  <m:r>
                    <w:rPr>
                      <w:rFonts w:ascii="Cambria Math" w:hAnsi="Cambria Math"/>
                      <w:sz w:val="24"/>
                      <w:szCs w:val="24"/>
                      <w:u w:val="none"/>
                    </w:rPr>
                    <m:t>oi</m:t>
                  </m:r>
                  <m:ctrlPr>
                    <w:rPr>
                      <w:rFonts w:ascii="Cambria Math" w:hAnsi="Cambria Math"/>
                      <w:i/>
                      <w:sz w:val="24"/>
                      <w:szCs w:val="24"/>
                      <w:u w:val="none"/>
                    </w:rPr>
                  </m:ctrlPr>
                </m:sub>
              </m:sSub>
              <m:ctrlPr>
                <w:rPr>
                  <w:rFonts w:ascii="Cambria Math" w:hAnsi="Cambria Math"/>
                  <w:i/>
                  <w:sz w:val="24"/>
                  <w:szCs w:val="24"/>
                  <w:u w:val="none"/>
                </w:rPr>
              </m:ctrlPr>
            </m:den>
          </m:f>
          <m:r>
            <w:rPr>
              <w:rFonts w:ascii="Cambria Math" w:hAnsi="Cambria Math"/>
              <w:sz w:val="24"/>
              <w:szCs w:val="24"/>
              <w:u w:val="none"/>
            </w:rPr>
            <m:t>×100</m:t>
          </m:r>
          <m:r>
            <w:rPr>
              <w:rFonts w:hint="eastAsia" w:ascii="Cambria Math" w:hAnsi="Cambria Math"/>
              <w:sz w:val="24"/>
              <w:szCs w:val="24"/>
              <w:u w:val="none"/>
            </w:rPr>
            <m:t>%</m:t>
          </m:r>
        </m:oMath>
      </m:oMathPara>
    </w:p>
    <w:p>
      <w:pPr>
        <w:pStyle w:val="341"/>
        <w:topLinePunct/>
        <w:spacing w:line="360" w:lineRule="auto"/>
        <w:ind w:firstLine="480" w:firstLineChars="200"/>
        <w:rPr>
          <w:sz w:val="24"/>
          <w:szCs w:val="24"/>
          <w:u w:val="none"/>
        </w:rPr>
      </w:pPr>
      <w:r>
        <w:rPr>
          <w:sz w:val="24"/>
          <w:szCs w:val="24"/>
          <w:u w:val="none"/>
        </w:rPr>
        <w:t>式中：</w:t>
      </w:r>
      <m:oMath>
        <m:sSub>
          <m:sSubPr>
            <m:ctrlPr>
              <w:rPr>
                <w:rFonts w:ascii="Cambria Math" w:hAnsi="Cambria Math"/>
                <w:sz w:val="24"/>
                <w:szCs w:val="24"/>
                <w:u w:val="none"/>
              </w:rPr>
            </m:ctrlPr>
          </m:sSubPr>
          <m:e>
            <m:r>
              <w:rPr>
                <w:rFonts w:ascii="Cambria Math" w:hAnsi="Cambria Math"/>
                <w:sz w:val="24"/>
                <w:szCs w:val="24"/>
                <w:u w:val="none"/>
              </w:rPr>
              <m:t>P</m:t>
            </m:r>
            <m:ctrlPr>
              <w:rPr>
                <w:rFonts w:ascii="Cambria Math" w:hAnsi="Cambria Math"/>
                <w:sz w:val="24"/>
                <w:szCs w:val="24"/>
                <w:u w:val="none"/>
              </w:rPr>
            </m:ctrlPr>
          </m:e>
          <m:sub>
            <m:r>
              <w:rPr>
                <w:rFonts w:ascii="Cambria Math" w:hAnsi="Cambria Math"/>
                <w:sz w:val="24"/>
                <w:szCs w:val="24"/>
                <w:u w:val="none"/>
              </w:rPr>
              <m:t>i</m:t>
            </m:r>
            <m:ctrlPr>
              <w:rPr>
                <w:rFonts w:ascii="Cambria Math" w:hAnsi="Cambria Math"/>
                <w:sz w:val="24"/>
                <w:szCs w:val="24"/>
                <w:u w:val="none"/>
              </w:rPr>
            </m:ctrlPr>
          </m:sub>
        </m:sSub>
      </m:oMath>
      <w:r>
        <w:rPr>
          <w:sz w:val="24"/>
          <w:szCs w:val="24"/>
          <w:u w:val="none"/>
        </w:rPr>
        <w:t>---第i个污染物的最大地面浓度占标率，%；</w:t>
      </w:r>
    </w:p>
    <w:p>
      <w:pPr>
        <w:pStyle w:val="341"/>
        <w:topLinePunct/>
        <w:spacing w:line="360" w:lineRule="auto"/>
        <w:ind w:firstLine="1200" w:firstLineChars="500"/>
        <w:rPr>
          <w:sz w:val="24"/>
          <w:szCs w:val="24"/>
          <w:u w:val="none"/>
        </w:rPr>
      </w:pPr>
      <m:oMath>
        <m:sSub>
          <m:sSubPr>
            <m:ctrlPr>
              <w:rPr>
                <w:rFonts w:ascii="Cambria Math" w:hAnsi="Cambria Math"/>
                <w:i/>
                <w:sz w:val="24"/>
                <w:szCs w:val="24"/>
                <w:u w:val="none"/>
              </w:rPr>
            </m:ctrlPr>
          </m:sSubPr>
          <m:e>
            <m:r>
              <w:rPr>
                <w:rFonts w:ascii="Cambria Math" w:hAnsi="Cambria Math"/>
                <w:sz w:val="24"/>
                <w:szCs w:val="24"/>
                <w:u w:val="none"/>
              </w:rPr>
              <m:t>C</m:t>
            </m:r>
            <m:ctrlPr>
              <w:rPr>
                <w:rFonts w:ascii="Cambria Math" w:hAnsi="Cambria Math"/>
                <w:i/>
                <w:sz w:val="24"/>
                <w:szCs w:val="24"/>
                <w:u w:val="none"/>
              </w:rPr>
            </m:ctrlPr>
          </m:e>
          <m:sub>
            <m:r>
              <w:rPr>
                <w:rFonts w:ascii="Cambria Math" w:hAnsi="Cambria Math"/>
                <w:sz w:val="24"/>
                <w:szCs w:val="24"/>
                <w:u w:val="none"/>
              </w:rPr>
              <m:t>i</m:t>
            </m:r>
            <m:ctrlPr>
              <w:rPr>
                <w:rFonts w:ascii="Cambria Math" w:hAnsi="Cambria Math"/>
                <w:i/>
                <w:sz w:val="24"/>
                <w:szCs w:val="24"/>
                <w:u w:val="none"/>
              </w:rPr>
            </m:ctrlPr>
          </m:sub>
        </m:sSub>
      </m:oMath>
      <w:r>
        <w:rPr>
          <w:sz w:val="24"/>
          <w:szCs w:val="24"/>
          <w:u w:val="none"/>
        </w:rPr>
        <w:t>--采用估算模式计算出的第i个污染物的最大地面浓度，mg/m</w:t>
      </w:r>
      <w:r>
        <w:rPr>
          <w:sz w:val="24"/>
          <w:szCs w:val="24"/>
          <w:u w:val="none"/>
          <w:vertAlign w:val="superscript"/>
        </w:rPr>
        <w:t>3</w:t>
      </w:r>
      <w:r>
        <w:rPr>
          <w:sz w:val="24"/>
          <w:szCs w:val="24"/>
          <w:u w:val="none"/>
        </w:rPr>
        <w:t>；</w:t>
      </w:r>
    </w:p>
    <w:p>
      <w:pPr>
        <w:pStyle w:val="341"/>
        <w:topLinePunct/>
        <w:spacing w:line="360" w:lineRule="auto"/>
        <w:ind w:firstLine="1200" w:firstLineChars="500"/>
        <w:rPr>
          <w:sz w:val="24"/>
          <w:szCs w:val="24"/>
          <w:u w:val="none"/>
        </w:rPr>
      </w:pPr>
      <m:oMath>
        <m:sSub>
          <m:sSubPr>
            <m:ctrlPr>
              <w:rPr>
                <w:rFonts w:ascii="Cambria Math" w:hAnsi="Cambria Math"/>
                <w:i/>
                <w:sz w:val="24"/>
                <w:szCs w:val="24"/>
                <w:u w:val="none"/>
              </w:rPr>
            </m:ctrlPr>
          </m:sSubPr>
          <m:e>
            <m:r>
              <w:rPr>
                <w:rFonts w:ascii="Cambria Math" w:hAnsi="Cambria Math"/>
                <w:sz w:val="24"/>
                <w:szCs w:val="24"/>
                <w:u w:val="none"/>
              </w:rPr>
              <m:t>C</m:t>
            </m:r>
            <m:ctrlPr>
              <w:rPr>
                <w:rFonts w:ascii="Cambria Math" w:hAnsi="Cambria Math"/>
                <w:i/>
                <w:sz w:val="24"/>
                <w:szCs w:val="24"/>
                <w:u w:val="none"/>
              </w:rPr>
            </m:ctrlPr>
          </m:e>
          <m:sub>
            <m:r>
              <w:rPr>
                <w:rFonts w:ascii="Cambria Math" w:hAnsi="Cambria Math"/>
                <w:sz w:val="24"/>
                <w:szCs w:val="24"/>
                <w:u w:val="none"/>
              </w:rPr>
              <m:t>oi</m:t>
            </m:r>
            <m:ctrlPr>
              <w:rPr>
                <w:rFonts w:ascii="Cambria Math" w:hAnsi="Cambria Math"/>
                <w:i/>
                <w:sz w:val="24"/>
                <w:szCs w:val="24"/>
                <w:u w:val="none"/>
              </w:rPr>
            </m:ctrlPr>
          </m:sub>
        </m:sSub>
      </m:oMath>
      <w:r>
        <w:rPr>
          <w:sz w:val="24"/>
          <w:szCs w:val="24"/>
          <w:u w:val="none"/>
        </w:rPr>
        <w:t>---第i个污染物的环境空气质量标准，mg/m</w:t>
      </w:r>
      <w:r>
        <w:rPr>
          <w:sz w:val="24"/>
          <w:szCs w:val="24"/>
          <w:u w:val="none"/>
          <w:vertAlign w:val="superscript"/>
        </w:rPr>
        <w:t>3</w:t>
      </w:r>
      <w:r>
        <w:rPr>
          <w:sz w:val="24"/>
          <w:szCs w:val="24"/>
          <w:u w:val="none"/>
        </w:rPr>
        <w:t>。</w:t>
      </w:r>
    </w:p>
    <w:p>
      <w:pPr>
        <w:pStyle w:val="341"/>
        <w:topLinePunct/>
        <w:spacing w:line="360" w:lineRule="auto"/>
        <w:ind w:firstLine="480" w:firstLineChars="200"/>
        <w:rPr>
          <w:sz w:val="24"/>
          <w:szCs w:val="24"/>
          <w:u w:val="none"/>
        </w:rPr>
      </w:pPr>
      <w:r>
        <w:rPr>
          <w:sz w:val="24"/>
          <w:szCs w:val="24"/>
          <w:u w:val="none"/>
        </w:rPr>
        <w:t>评价工作等级判据划分依据见下表：</w:t>
      </w:r>
    </w:p>
    <w:p>
      <w:pPr>
        <w:pStyle w:val="352"/>
        <w:bidi w:val="0"/>
        <w:rPr>
          <w:rFonts w:hint="eastAsia" w:ascii="Times New Roman" w:hAnsi="Times New Roman" w:eastAsia="宋体"/>
          <w:b w:val="0"/>
          <w:bCs/>
          <w:lang w:val="en-US" w:eastAsia="zh-CN"/>
        </w:rPr>
      </w:pPr>
      <w:r>
        <w:rPr>
          <w:rFonts w:hint="eastAsia" w:ascii="Times New Roman" w:hAnsi="Times New Roman" w:eastAsia="宋体"/>
          <w:lang w:val="en-US" w:eastAsia="zh-CN"/>
        </w:rPr>
        <w:t>表2-1</w:t>
      </w:r>
      <w:r>
        <w:rPr>
          <w:rFonts w:hint="eastAsia"/>
          <w:lang w:val="en-US" w:eastAsia="zh-CN"/>
        </w:rPr>
        <w:t>2</w:t>
      </w:r>
      <w:r>
        <w:rPr>
          <w:rFonts w:hint="eastAsia" w:ascii="Times New Roman" w:hAnsi="Times New Roman" w:eastAsia="宋体"/>
          <w:lang w:val="en-US" w:eastAsia="zh-CN"/>
        </w:rPr>
        <w:t xml:space="preserve">  大气环境评价等级</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评价工作等级</w:t>
            </w:r>
          </w:p>
        </w:tc>
        <w:tc>
          <w:tcPr>
            <w:tcW w:w="5585"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一级</w:t>
            </w:r>
          </w:p>
        </w:tc>
        <w:tc>
          <w:tcPr>
            <w:tcW w:w="5585"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m:oMath>
              <m:sSub>
                <m:sSubPr>
                  <m:ctrlPr>
                    <w:rPr>
                      <w:rFonts w:hint="default" w:ascii="Cambria Math" w:hAnsi="Cambria Math"/>
                      <w:b w:val="0"/>
                      <w:bCs/>
                      <w:lang w:val="en-US" w:eastAsia="zh-CN"/>
                    </w:rPr>
                  </m:ctrlPr>
                </m:sSubPr>
                <m:e>
                  <m:r>
                    <m:rPr>
                      <m:sty m:val="p"/>
                    </m:rPr>
                    <w:rPr>
                      <w:rFonts w:hint="default" w:ascii="Cambria Math" w:hAnsi="Cambria Math"/>
                      <w:lang w:val="en-US" w:eastAsia="zh-CN"/>
                    </w:rPr>
                    <m:t>P</m:t>
                  </m:r>
                  <m:ctrlPr>
                    <w:rPr>
                      <w:rFonts w:hint="default" w:ascii="Cambria Math" w:hAnsi="Cambria Math"/>
                      <w:b w:val="0"/>
                      <w:bCs/>
                      <w:lang w:val="en-US" w:eastAsia="zh-CN"/>
                    </w:rPr>
                  </m:ctrlPr>
                </m:e>
                <m:sub>
                  <m:r>
                    <m:rPr>
                      <m:sty m:val="p"/>
                    </m:rPr>
                    <w:rPr>
                      <w:rFonts w:hint="eastAsia" w:ascii="Cambria Math" w:hAnsi="Cambria Math"/>
                      <w:lang w:val="en-US" w:eastAsia="zh-CN"/>
                    </w:rPr>
                    <m:t>max</m:t>
                  </m:r>
                  <m:ctrlPr>
                    <w:rPr>
                      <w:rFonts w:hint="default" w:ascii="Cambria Math" w:hAnsi="Cambria Math"/>
                      <w:b w:val="0"/>
                      <w:bCs/>
                      <w:lang w:val="en-US" w:eastAsia="zh-CN"/>
                    </w:rPr>
                  </m:ctrlPr>
                </m:sub>
              </m:sSub>
            </m:oMath>
            <w:r>
              <w:rPr>
                <w:rFonts w:hint="default"/>
                <w:b w:val="0"/>
                <w:bCs/>
                <w:lang w:val="en-US" w:eastAsia="zh-CN"/>
              </w:rPr>
              <w:t>≥</w:t>
            </w:r>
            <w:r>
              <w:rPr>
                <w:rFonts w:hint="eastAsia"/>
                <w:b w:val="0"/>
                <w:bCs/>
                <w:lang w:val="en-US" w:eastAsia="zh-CN"/>
              </w:rPr>
              <w:t>10</w:t>
            </w: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二级</w:t>
            </w:r>
          </w:p>
        </w:tc>
        <w:tc>
          <w:tcPr>
            <w:tcW w:w="5585"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w:t>
            </w:r>
            <m:oMath>
              <m:sSub>
                <m:sSubPr>
                  <m:ctrlPr>
                    <w:rPr>
                      <w:rFonts w:hint="default" w:ascii="Cambria Math" w:hAnsi="Cambria Math"/>
                      <w:b w:val="0"/>
                      <w:bCs/>
                      <w:lang w:val="en-US" w:eastAsia="zh-CN"/>
                    </w:rPr>
                  </m:ctrlPr>
                </m:sSubPr>
                <m:e>
                  <m:r>
                    <m:rPr>
                      <m:sty m:val="p"/>
                    </m:rPr>
                    <w:rPr>
                      <w:rFonts w:hint="default" w:ascii="Cambria Math" w:hAnsi="Cambria Math"/>
                      <w:lang w:val="en-US" w:eastAsia="zh-CN"/>
                    </w:rPr>
                    <m:t>P</m:t>
                  </m:r>
                  <m:ctrlPr>
                    <w:rPr>
                      <w:rFonts w:hint="default" w:ascii="Cambria Math" w:hAnsi="Cambria Math"/>
                      <w:b w:val="0"/>
                      <w:bCs/>
                      <w:lang w:val="en-US" w:eastAsia="zh-CN"/>
                    </w:rPr>
                  </m:ctrlPr>
                </m:e>
                <m:sub>
                  <m:r>
                    <m:rPr>
                      <m:sty m:val="p"/>
                    </m:rPr>
                    <w:rPr>
                      <w:rFonts w:hint="eastAsia" w:ascii="Cambria Math" w:hAnsi="Cambria Math"/>
                      <w:lang w:val="en-US" w:eastAsia="zh-CN"/>
                    </w:rPr>
                    <m:t>max</m:t>
                  </m:r>
                  <m:ctrlPr>
                    <w:rPr>
                      <w:rFonts w:hint="default" w:ascii="Cambria Math" w:hAnsi="Cambria Math"/>
                      <w:b w:val="0"/>
                      <w:bCs/>
                      <w:lang w:val="en-US" w:eastAsia="zh-CN"/>
                    </w:rPr>
                  </m:ctrlPr>
                </m:sub>
              </m:sSub>
            </m:oMath>
            <w:r>
              <w:rPr>
                <w:rFonts w:hint="eastAsia"/>
                <w:b w:val="0"/>
                <w:bCs/>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三级</w:t>
            </w:r>
          </w:p>
        </w:tc>
        <w:tc>
          <w:tcPr>
            <w:tcW w:w="5585"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m:oMath>
              <m:sSub>
                <m:sSubPr>
                  <m:ctrlPr>
                    <w:rPr>
                      <w:rFonts w:hint="default" w:ascii="Cambria Math" w:hAnsi="Cambria Math"/>
                      <w:b w:val="0"/>
                      <w:bCs/>
                      <w:lang w:val="en-US" w:eastAsia="zh-CN"/>
                    </w:rPr>
                  </m:ctrlPr>
                </m:sSubPr>
                <m:e>
                  <m:r>
                    <m:rPr>
                      <m:sty m:val="p"/>
                    </m:rPr>
                    <w:rPr>
                      <w:rFonts w:hint="default" w:ascii="Cambria Math" w:hAnsi="Cambria Math"/>
                      <w:lang w:val="en-US" w:eastAsia="zh-CN"/>
                    </w:rPr>
                    <m:t>P</m:t>
                  </m:r>
                  <m:ctrlPr>
                    <w:rPr>
                      <w:rFonts w:hint="default" w:ascii="Cambria Math" w:hAnsi="Cambria Math"/>
                      <w:b w:val="0"/>
                      <w:bCs/>
                      <w:lang w:val="en-US" w:eastAsia="zh-CN"/>
                    </w:rPr>
                  </m:ctrlPr>
                </m:e>
                <m:sub>
                  <m:r>
                    <m:rPr>
                      <m:sty m:val="p"/>
                    </m:rPr>
                    <w:rPr>
                      <w:rFonts w:hint="eastAsia" w:ascii="Cambria Math" w:hAnsi="Cambria Math"/>
                      <w:lang w:val="en-US" w:eastAsia="zh-CN"/>
                    </w:rPr>
                    <m:t>max</m:t>
                  </m:r>
                  <m:ctrlPr>
                    <w:rPr>
                      <w:rFonts w:hint="default" w:ascii="Cambria Math" w:hAnsi="Cambria Math"/>
                      <w:b w:val="0"/>
                      <w:bCs/>
                      <w:lang w:val="en-US" w:eastAsia="zh-CN"/>
                    </w:rPr>
                  </m:ctrlPr>
                </m:sub>
              </m:sSub>
            </m:oMath>
            <w:r>
              <w:rPr>
                <w:rFonts w:hint="default"/>
                <w:b w:val="0"/>
                <w:bCs/>
                <w:lang w:val="en-US" w:eastAsia="zh-CN"/>
              </w:rPr>
              <w:t>＜</w:t>
            </w:r>
            <w:r>
              <w:rPr>
                <w:rFonts w:hint="eastAsia"/>
                <w:b w:val="0"/>
                <w:bCs/>
                <w:lang w:val="en-US" w:eastAsia="zh-CN"/>
              </w:rPr>
              <w:t>1%</w:t>
            </w:r>
          </w:p>
        </w:tc>
      </w:tr>
    </w:tbl>
    <w:p>
      <w:pPr>
        <w:pStyle w:val="341"/>
        <w:topLinePunct/>
        <w:spacing w:line="360" w:lineRule="auto"/>
        <w:ind w:firstLine="480" w:firstLineChars="200"/>
        <w:rPr>
          <w:rFonts w:hint="eastAsia" w:eastAsia="宋体"/>
          <w:sz w:val="24"/>
          <w:szCs w:val="24"/>
          <w:u w:val="none"/>
          <w:lang w:val="en-US" w:eastAsia="zh-CN"/>
        </w:rPr>
      </w:pPr>
      <w:r>
        <w:rPr>
          <w:sz w:val="24"/>
          <w:szCs w:val="24"/>
          <w:u w:val="none"/>
        </w:rPr>
        <w:t>根据《环境影响评价技术导则——大气环境》（</w:t>
      </w:r>
      <w:r>
        <w:rPr>
          <w:rFonts w:hint="eastAsia"/>
          <w:sz w:val="24"/>
          <w:szCs w:val="24"/>
          <w:u w:val="none"/>
          <w:lang w:eastAsia="zh-CN"/>
        </w:rPr>
        <w:t>HJ2.2—2018</w:t>
      </w:r>
      <w:r>
        <w:rPr>
          <w:sz w:val="24"/>
          <w:szCs w:val="24"/>
          <w:u w:val="none"/>
        </w:rPr>
        <w:t>），选取</w:t>
      </w:r>
      <w:r>
        <w:rPr>
          <w:rFonts w:hint="eastAsia" w:ascii="Times New Roman" w:eastAsia="宋体"/>
          <w:bCs/>
          <w:sz w:val="24"/>
          <w:u w:val="none"/>
          <w:lang w:val="en-US" w:eastAsia="zh-CN"/>
        </w:rPr>
        <w:t>颗粒物、NH</w:t>
      </w:r>
      <w:r>
        <w:rPr>
          <w:rFonts w:hint="eastAsia" w:ascii="Times New Roman" w:eastAsia="宋体"/>
          <w:bCs/>
          <w:sz w:val="24"/>
          <w:u w:val="none"/>
          <w:vertAlign w:val="subscript"/>
          <w:lang w:val="en-US" w:eastAsia="zh-CN"/>
        </w:rPr>
        <w:t>3</w:t>
      </w:r>
      <w:r>
        <w:rPr>
          <w:rFonts w:hint="eastAsia" w:ascii="Times New Roman" w:eastAsia="宋体"/>
          <w:bCs/>
          <w:sz w:val="24"/>
          <w:u w:val="none"/>
          <w:lang w:val="en-US" w:eastAsia="zh-CN"/>
        </w:rPr>
        <w:t>-N、H</w:t>
      </w:r>
      <w:r>
        <w:rPr>
          <w:rFonts w:hint="eastAsia" w:ascii="Times New Roman" w:eastAsia="宋体"/>
          <w:bCs/>
          <w:sz w:val="24"/>
          <w:u w:val="none"/>
          <w:vertAlign w:val="subscript"/>
          <w:lang w:val="en-US" w:eastAsia="zh-CN"/>
        </w:rPr>
        <w:t>2</w:t>
      </w:r>
      <w:r>
        <w:rPr>
          <w:rFonts w:hint="eastAsia" w:ascii="Times New Roman" w:eastAsia="宋体"/>
          <w:bCs/>
          <w:sz w:val="24"/>
          <w:u w:val="none"/>
          <w:lang w:val="en-US" w:eastAsia="zh-CN"/>
        </w:rPr>
        <w:t>S、VOCs</w:t>
      </w:r>
      <w:r>
        <w:rPr>
          <w:sz w:val="24"/>
          <w:szCs w:val="24"/>
          <w:u w:val="none"/>
        </w:rPr>
        <w:t>为主要污染物，利用导则推荐模式中的估算模式进行估算。经计算，本项目排放污染物最大地面浓度占标率</w:t>
      </w:r>
      <w:r>
        <w:rPr>
          <w:rFonts w:hint="eastAsia"/>
          <w:sz w:val="24"/>
          <w:szCs w:val="24"/>
          <w:u w:val="none"/>
          <w:lang w:eastAsia="zh-CN"/>
        </w:rPr>
        <w:t>为</w:t>
      </w:r>
      <w:r>
        <w:rPr>
          <w:rFonts w:hint="eastAsia"/>
          <w:color w:val="auto"/>
          <w:sz w:val="24"/>
          <w:szCs w:val="24"/>
          <w:u w:val="none"/>
          <w:lang w:val="en-US" w:eastAsia="zh-CN"/>
        </w:rPr>
        <w:t xml:space="preserve">2.88% </w:t>
      </w:r>
      <w:r>
        <w:rPr>
          <w:color w:val="auto"/>
          <w:sz w:val="24"/>
          <w:szCs w:val="24"/>
          <w:u w:val="none"/>
        </w:rPr>
        <w:t>，</w:t>
      </w:r>
      <w:r>
        <w:rPr>
          <w:sz w:val="24"/>
          <w:szCs w:val="24"/>
          <w:u w:val="none"/>
        </w:rPr>
        <w:t>按《环境影响评价技术导则——大气环境》（</w:t>
      </w:r>
      <w:r>
        <w:rPr>
          <w:rFonts w:hint="eastAsia"/>
          <w:sz w:val="24"/>
          <w:szCs w:val="24"/>
          <w:u w:val="none"/>
          <w:lang w:eastAsia="zh-CN"/>
        </w:rPr>
        <w:t>HJ2.2—2018</w:t>
      </w:r>
      <w:r>
        <w:rPr>
          <w:sz w:val="24"/>
          <w:szCs w:val="24"/>
          <w:u w:val="none"/>
        </w:rPr>
        <w:t>）中的规定，本项目大气环境评价为</w:t>
      </w:r>
      <w:r>
        <w:rPr>
          <w:rFonts w:hint="eastAsia"/>
          <w:sz w:val="24"/>
          <w:szCs w:val="24"/>
          <w:u w:val="none"/>
          <w:lang w:eastAsia="zh-CN"/>
        </w:rPr>
        <w:t>二</w:t>
      </w:r>
      <w:r>
        <w:rPr>
          <w:sz w:val="24"/>
          <w:szCs w:val="24"/>
          <w:u w:val="none"/>
        </w:rPr>
        <w:t>级。</w:t>
      </w:r>
      <w:r>
        <w:rPr>
          <w:rFonts w:hint="eastAsia"/>
          <w:sz w:val="24"/>
          <w:szCs w:val="24"/>
          <w:u w:val="none"/>
          <w:lang w:eastAsia="zh-CN"/>
        </w:rPr>
        <w:t>评价范围以项目厂址为中心区域，确定为边长为</w:t>
      </w:r>
      <w:r>
        <w:rPr>
          <w:rFonts w:hint="eastAsia"/>
          <w:sz w:val="24"/>
          <w:szCs w:val="24"/>
          <w:u w:val="none"/>
          <w:lang w:val="en-US" w:eastAsia="zh-CN"/>
        </w:rPr>
        <w:t>5km的矩形区域。</w:t>
      </w:r>
    </w:p>
    <w:p>
      <w:pPr>
        <w:topLinePunct/>
        <w:adjustRightInd w:val="0"/>
        <w:snapToGrid w:val="0"/>
        <w:spacing w:line="360" w:lineRule="auto"/>
        <w:ind w:firstLine="480" w:firstLineChars="200"/>
        <w:rPr>
          <w:rFonts w:hint="eastAsia"/>
          <w:bCs/>
          <w:sz w:val="24"/>
          <w:u w:val="none"/>
          <w:lang w:val="en-US" w:eastAsia="zh-CN"/>
        </w:rPr>
      </w:pPr>
      <w:r>
        <w:rPr>
          <w:rFonts w:hint="eastAsia"/>
          <w:bCs/>
          <w:sz w:val="24"/>
          <w:u w:val="none"/>
          <w:lang w:val="en-US" w:eastAsia="zh-CN"/>
        </w:rPr>
        <w:t>3、声环境影响评价等级</w:t>
      </w:r>
    </w:p>
    <w:p>
      <w:pPr>
        <w:topLinePunct/>
        <w:adjustRightInd w:val="0"/>
        <w:snapToGrid w:val="0"/>
        <w:spacing w:line="360" w:lineRule="auto"/>
        <w:ind w:firstLine="480" w:firstLineChars="200"/>
        <w:rPr>
          <w:rFonts w:hint="eastAsia"/>
          <w:bCs/>
          <w:sz w:val="24"/>
          <w:u w:val="none"/>
          <w:lang w:val="en-US" w:eastAsia="zh-CN"/>
        </w:rPr>
      </w:pPr>
      <w:r>
        <w:rPr>
          <w:rFonts w:hint="eastAsia"/>
          <w:bCs/>
          <w:sz w:val="24"/>
          <w:u w:val="none"/>
          <w:lang w:val="en-US" w:eastAsia="zh-CN"/>
        </w:rPr>
        <w:t>本项目所在区域属于2类声功能区，根据现场调查，项目周边200m范围内无学校、医院及集中住宅区等噪声敏感点，噪声经隔音、减振及距离衰减后对环境噪声的贡献值小于3dB（A），对周围声环境不会产生明显影响。根据《环境影响评价技术导则——声环境》（HJ2.4-2009）中的规定“建设项目所处的声环境功能区为GB3096规定的1类、2类地区，或建设项目建设前后评价范围内敏感目标噪声级增量达3~5dB（A）【含5dB（A）】，或受噪声影响人口数量增加较多时，按二级评价。”</w:t>
      </w:r>
    </w:p>
    <w:p>
      <w:pPr>
        <w:topLinePunct/>
        <w:adjustRightInd w:val="0"/>
        <w:snapToGrid w:val="0"/>
        <w:spacing w:line="360" w:lineRule="auto"/>
        <w:ind w:firstLine="480" w:firstLineChars="200"/>
        <w:rPr>
          <w:rFonts w:hint="default"/>
          <w:bCs/>
          <w:sz w:val="24"/>
          <w:u w:val="none"/>
          <w:lang w:val="en-US" w:eastAsia="zh-CN"/>
        </w:rPr>
      </w:pPr>
      <w:r>
        <w:rPr>
          <w:rFonts w:hint="eastAsia"/>
          <w:bCs/>
          <w:sz w:val="24"/>
          <w:u w:val="none"/>
          <w:lang w:val="en-US" w:eastAsia="zh-CN"/>
        </w:rPr>
        <w:t>因此，本项目声环境评价等级为二级。</w:t>
      </w:r>
    </w:p>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4、地下水环境影响评价等级</w:t>
      </w:r>
    </w:p>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根据《环境影响评价技术导则——地下水环境》（HJ610-2016），本项目为</w:t>
      </w:r>
      <w:r>
        <w:rPr>
          <w:rFonts w:hint="eastAsia"/>
          <w:b w:val="0"/>
          <w:bCs w:val="0"/>
          <w:sz w:val="24"/>
          <w:u w:val="none"/>
          <w:lang w:val="en-US" w:eastAsia="zh-CN"/>
        </w:rPr>
        <w:fldChar w:fldCharType="begin"/>
      </w:r>
      <w:r>
        <w:rPr>
          <w:rFonts w:hint="eastAsia"/>
          <w:b w:val="0"/>
          <w:bCs w:val="0"/>
          <w:sz w:val="24"/>
          <w:u w:val="none"/>
          <w:lang w:val="en-US" w:eastAsia="zh-CN"/>
        </w:rPr>
        <w:instrText xml:space="preserve"> = 1 \* ROMAN \* MERGEFORMAT </w:instrText>
      </w:r>
      <w:r>
        <w:rPr>
          <w:rFonts w:hint="eastAsia"/>
          <w:b w:val="0"/>
          <w:bCs w:val="0"/>
          <w:sz w:val="24"/>
          <w:u w:val="none"/>
          <w:lang w:val="en-US" w:eastAsia="zh-CN"/>
        </w:rPr>
        <w:fldChar w:fldCharType="separate"/>
      </w:r>
      <w:r>
        <w:t>I</w:t>
      </w:r>
      <w:r>
        <w:rPr>
          <w:rFonts w:hint="eastAsia"/>
          <w:b w:val="0"/>
          <w:bCs w:val="0"/>
          <w:sz w:val="24"/>
          <w:u w:val="none"/>
          <w:lang w:val="en-US" w:eastAsia="zh-CN"/>
        </w:rPr>
        <w:fldChar w:fldCharType="end"/>
      </w:r>
      <w:r>
        <w:rPr>
          <w:rFonts w:hint="eastAsia"/>
          <w:b w:val="0"/>
          <w:bCs w:val="0"/>
          <w:sz w:val="24"/>
          <w:u w:val="none"/>
          <w:lang w:val="en-US" w:eastAsia="zh-CN"/>
        </w:rPr>
        <w:t>类项目，项目所在区域地下水环境敏感程度为不敏感，确定评价工作等级为二级，确定依据见下表。</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表2-13  地下水环境评价工作等级确定依据</w:t>
      </w:r>
    </w:p>
    <w:tbl>
      <w:tblPr>
        <w:tblStyle w:val="58"/>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4"/>
        <w:gridCol w:w="2192"/>
        <w:gridCol w:w="219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74" w:type="dxa"/>
            <w:tcBorders>
              <w:tl2br w:val="single" w:color="auto" w:sz="4" w:space="0"/>
            </w:tcBorders>
            <w:noWrap w:val="0"/>
            <w:vAlign w:val="center"/>
          </w:tcPr>
          <w:p>
            <w:pPr>
              <w:pStyle w:val="352"/>
              <w:keepNext w:val="0"/>
              <w:keepLines w:val="0"/>
              <w:suppressLineNumbers w:val="0"/>
              <w:bidi w:val="0"/>
              <w:spacing w:before="0" w:beforeAutospacing="0" w:after="0" w:afterAutospacing="0"/>
              <w:ind w:left="0" w:right="0"/>
              <w:jc w:val="right"/>
              <w:rPr>
                <w:rFonts w:hint="default"/>
                <w:lang w:val="en-US" w:eastAsia="zh-CN"/>
              </w:rPr>
            </w:pPr>
            <w:r>
              <w:rPr>
                <w:rFonts w:hint="eastAsia"/>
                <w:lang w:val="en-US" w:eastAsia="zh-CN"/>
              </w:rPr>
              <w:t>环境</w:t>
            </w:r>
            <w:r>
              <w:rPr>
                <w:rFonts w:hint="default"/>
                <w:lang w:val="en-US" w:eastAsia="zh-CN"/>
              </w:rPr>
              <w:t>敏感</w:t>
            </w:r>
            <w:r>
              <w:rPr>
                <w:rFonts w:hint="eastAsia"/>
                <w:lang w:val="en-US" w:eastAsia="zh-CN"/>
              </w:rPr>
              <w:t xml:space="preserve">程度 </w:t>
            </w:r>
          </w:p>
          <w:p>
            <w:pPr>
              <w:pStyle w:val="352"/>
              <w:keepNext w:val="0"/>
              <w:keepLines w:val="0"/>
              <w:suppressLineNumbers w:val="0"/>
              <w:bidi w:val="0"/>
              <w:spacing w:before="0" w:beforeAutospacing="0" w:after="0" w:afterAutospacing="0"/>
              <w:ind w:left="0" w:right="0"/>
              <w:jc w:val="left"/>
              <w:rPr>
                <w:rFonts w:hint="eastAsia"/>
                <w:lang w:val="en-US" w:eastAsia="zh-CN"/>
              </w:rPr>
            </w:pPr>
            <w:r>
              <w:rPr>
                <w:rFonts w:hint="default"/>
                <w:lang w:val="en-US" w:eastAsia="zh-CN"/>
              </w:rPr>
              <w:t xml:space="preserve">   </w:t>
            </w:r>
            <w:r>
              <w:rPr>
                <w:rFonts w:hint="eastAsia"/>
                <w:lang w:val="en-US" w:eastAsia="zh-CN"/>
              </w:rPr>
              <w:t>类别</w:t>
            </w:r>
          </w:p>
        </w:tc>
        <w:tc>
          <w:tcPr>
            <w:tcW w:w="2192"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Ⅰ类</w:t>
            </w:r>
            <w:r>
              <w:rPr>
                <w:rFonts w:hint="default"/>
                <w:lang w:val="en-US" w:eastAsia="zh-CN"/>
              </w:rPr>
              <w:t>项目</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Ⅱ类</w:t>
            </w:r>
            <w:r>
              <w:rPr>
                <w:rFonts w:hint="default"/>
                <w:lang w:val="en-US" w:eastAsia="zh-CN"/>
              </w:rPr>
              <w:t>项目</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Ⅲ类</w:t>
            </w:r>
            <w:r>
              <w:rPr>
                <w:rFonts w:hint="default"/>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敏感</w:t>
            </w:r>
          </w:p>
        </w:tc>
        <w:tc>
          <w:tcPr>
            <w:tcW w:w="2192"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一</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一</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较敏感</w:t>
            </w:r>
          </w:p>
        </w:tc>
        <w:tc>
          <w:tcPr>
            <w:tcW w:w="2192"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一</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二</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不</w:t>
            </w:r>
            <w:r>
              <w:rPr>
                <w:rFonts w:hint="default"/>
                <w:lang w:val="en-US" w:eastAsia="zh-CN"/>
              </w:rPr>
              <w:t>敏感</w:t>
            </w:r>
          </w:p>
        </w:tc>
        <w:tc>
          <w:tcPr>
            <w:tcW w:w="2192"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bCs w:val="0"/>
                <w:lang w:val="en-US" w:eastAsia="zh-CN"/>
              </w:rPr>
              <w:t>二</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三</w:t>
            </w:r>
          </w:p>
        </w:tc>
        <w:tc>
          <w:tcPr>
            <w:tcW w:w="219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三</w:t>
            </w:r>
          </w:p>
        </w:tc>
      </w:tr>
    </w:tbl>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5、生态环境影响评价等级</w:t>
      </w:r>
    </w:p>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根据《环境影响评价技术导则——生态影响》（HJ19-2011）中有关生态影响评价工作等级划分的基本原则，生态影响评价等级与工程占地范围及影响区域生态敏感性有关。本项目占地2898.89平方米，项目所处区域不涉及特殊生态敏感区及重要生态敏感区，因此，本项目生态影响评价等级为三级，判别依据见下表。</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w:t>
      </w:r>
      <w:r>
        <w:rPr>
          <w:rFonts w:hint="eastAsia"/>
          <w:lang w:val="en-US" w:eastAsia="zh-CN"/>
        </w:rPr>
        <w:t>4</w:t>
      </w:r>
      <w:r>
        <w:rPr>
          <w:rFonts w:hint="eastAsia" w:ascii="Times New Roman" w:hAnsi="Times New Roman" w:eastAsia="宋体"/>
          <w:lang w:val="en-US" w:eastAsia="zh-CN"/>
        </w:rPr>
        <w:t xml:space="preserve">  生态环境影响评价工作等级判定依据</w:t>
      </w:r>
    </w:p>
    <w:tbl>
      <w:tblPr>
        <w:tblStyle w:val="58"/>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8"/>
        <w:gridCol w:w="1615"/>
        <w:gridCol w:w="2385"/>
        <w:gridCol w:w="1491"/>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258" w:type="dxa"/>
            <w:vMerge w:val="restar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影响</w:t>
            </w:r>
            <w:r>
              <w:rPr>
                <w:rFonts w:hint="default" w:ascii="Times New Roman" w:hAnsi="Times New Roman" w:eastAsia="宋体" w:cs="Times New Roman"/>
                <w:b/>
                <w:sz w:val="21"/>
                <w:szCs w:val="21"/>
              </w:rPr>
              <w:t>区域生态敏感性</w:t>
            </w:r>
          </w:p>
        </w:tc>
        <w:tc>
          <w:tcPr>
            <w:tcW w:w="5491" w:type="dxa"/>
            <w:gridSpan w:val="3"/>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工程</w:t>
            </w:r>
            <w:r>
              <w:rPr>
                <w:rFonts w:hint="default" w:ascii="Times New Roman" w:hAnsi="Times New Roman" w:eastAsia="宋体" w:cs="Times New Roman"/>
                <w:b/>
                <w:sz w:val="21"/>
                <w:szCs w:val="21"/>
              </w:rPr>
              <w:t>占地范围</w:t>
            </w:r>
          </w:p>
        </w:tc>
        <w:tc>
          <w:tcPr>
            <w:tcW w:w="1488" w:type="dxa"/>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258" w:type="dxa"/>
            <w:vMerge w:val="continue"/>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61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面积≥20km</w:t>
            </w:r>
            <w:r>
              <w:rPr>
                <w:rFonts w:hint="default" w:ascii="Times New Roman" w:hAnsi="Times New Roman" w:eastAsia="宋体" w:cs="Times New Roman"/>
                <w:b/>
                <w:sz w:val="21"/>
                <w:szCs w:val="21"/>
                <w:vertAlign w:val="superscript"/>
              </w:rPr>
              <w:t>2</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或长度≥100km</w:t>
            </w:r>
          </w:p>
        </w:tc>
        <w:tc>
          <w:tcPr>
            <w:tcW w:w="238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面积2km</w:t>
            </w:r>
            <w:r>
              <w:rPr>
                <w:rFonts w:hint="default" w:ascii="Times New Roman" w:hAnsi="Times New Roman" w:eastAsia="宋体" w:cs="Times New Roman"/>
                <w:b/>
                <w:sz w:val="21"/>
                <w:szCs w:val="21"/>
                <w:vertAlign w:val="superscript"/>
              </w:rPr>
              <w:t>2</w:t>
            </w:r>
            <w:r>
              <w:rPr>
                <w:rFonts w:hint="default" w:ascii="Times New Roman" w:hAnsi="Times New Roman" w:eastAsia="宋体" w:cs="Times New Roman"/>
                <w:b/>
                <w:sz w:val="21"/>
                <w:szCs w:val="21"/>
              </w:rPr>
              <w:t>～20km</w:t>
            </w:r>
            <w:r>
              <w:rPr>
                <w:rFonts w:hint="default" w:ascii="Times New Roman" w:hAnsi="Times New Roman" w:eastAsia="宋体" w:cs="Times New Roman"/>
                <w:b/>
                <w:sz w:val="21"/>
                <w:szCs w:val="21"/>
                <w:vertAlign w:val="superscript"/>
              </w:rPr>
              <w:t>2</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或长度50km～100km</w:t>
            </w:r>
          </w:p>
        </w:tc>
        <w:tc>
          <w:tcPr>
            <w:tcW w:w="149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面积≤2km</w:t>
            </w:r>
            <w:r>
              <w:rPr>
                <w:rFonts w:hint="default" w:ascii="Times New Roman" w:hAnsi="Times New Roman" w:eastAsia="宋体" w:cs="Times New Roman"/>
                <w:b/>
                <w:sz w:val="21"/>
                <w:szCs w:val="21"/>
                <w:vertAlign w:val="superscript"/>
              </w:rPr>
              <w:t>2</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或长度≤50km</w:t>
            </w:r>
          </w:p>
        </w:tc>
        <w:tc>
          <w:tcPr>
            <w:tcW w:w="148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2km²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特殊生态敏感区</w:t>
            </w:r>
          </w:p>
        </w:tc>
        <w:tc>
          <w:tcPr>
            <w:tcW w:w="161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38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49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488"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位于一般区域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重要生态敏感区</w:t>
            </w:r>
          </w:p>
        </w:tc>
        <w:tc>
          <w:tcPr>
            <w:tcW w:w="161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38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149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1488"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一般区域</w:t>
            </w:r>
          </w:p>
        </w:tc>
        <w:tc>
          <w:tcPr>
            <w:tcW w:w="161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238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149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三级</w:t>
            </w:r>
          </w:p>
        </w:tc>
        <w:tc>
          <w:tcPr>
            <w:tcW w:w="1488"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rPr>
            </w:pPr>
          </w:p>
        </w:tc>
      </w:tr>
    </w:tbl>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6、土壤环境影响评价等级</w:t>
      </w:r>
    </w:p>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根据《环境影响评价技术导则——土壤环境（试行）》（HJ964-2018）中关于等级划分的依据规定，本项目属于</w:t>
      </w:r>
      <w:r>
        <w:rPr>
          <w:rFonts w:hint="eastAsia"/>
          <w:b w:val="0"/>
          <w:bCs w:val="0"/>
          <w:sz w:val="24"/>
          <w:u w:val="none"/>
          <w:lang w:val="en-US" w:eastAsia="zh-CN"/>
        </w:rPr>
        <w:fldChar w:fldCharType="begin"/>
      </w:r>
      <w:r>
        <w:rPr>
          <w:rFonts w:hint="eastAsia"/>
          <w:b w:val="0"/>
          <w:bCs w:val="0"/>
          <w:sz w:val="24"/>
          <w:u w:val="none"/>
          <w:lang w:val="en-US" w:eastAsia="zh-CN"/>
        </w:rPr>
        <w:instrText xml:space="preserve"> = 1 \* ROMAN \* MERGEFORMAT </w:instrText>
      </w:r>
      <w:r>
        <w:rPr>
          <w:rFonts w:hint="eastAsia"/>
          <w:b w:val="0"/>
          <w:bCs w:val="0"/>
          <w:sz w:val="24"/>
          <w:u w:val="none"/>
          <w:lang w:val="en-US" w:eastAsia="zh-CN"/>
        </w:rPr>
        <w:fldChar w:fldCharType="separate"/>
      </w:r>
      <w:r>
        <w:t>I</w:t>
      </w:r>
      <w:r>
        <w:rPr>
          <w:rFonts w:hint="eastAsia"/>
          <w:b w:val="0"/>
          <w:bCs w:val="0"/>
          <w:sz w:val="24"/>
          <w:u w:val="none"/>
          <w:lang w:val="en-US" w:eastAsia="zh-CN"/>
        </w:rPr>
        <w:fldChar w:fldCharType="end"/>
      </w:r>
      <w:r>
        <w:rPr>
          <w:rFonts w:hint="eastAsia"/>
          <w:b w:val="0"/>
          <w:bCs w:val="0"/>
          <w:sz w:val="24"/>
          <w:u w:val="none"/>
          <w:lang w:val="en-US" w:eastAsia="zh-CN"/>
        </w:rPr>
        <w:t>类项目，占地规模为小型，项目所在区域周边土壤涉及耕地，土壤环境敏感程度为敏感。因此，本项目土壤环境影响评价工作等级为一级，具体判别依据详见下表。</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表2-15  污染影响型评价工作等级划分表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774"/>
        <w:gridCol w:w="774"/>
        <w:gridCol w:w="774"/>
        <w:gridCol w:w="774"/>
        <w:gridCol w:w="774"/>
        <w:gridCol w:w="774"/>
        <w:gridCol w:w="774"/>
        <w:gridCol w:w="77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2322" w:type="dxa"/>
            <w:vMerge w:val="restart"/>
            <w:vAlign w:val="center"/>
            <mc:AlternateContent>
              <mc:Choice Requires="wpsCustomData">
                <wpsCustomData:diagonals>
                  <wpsCustomData:diagonal from="30000" to="13900">
                    <wpsCustomData:border w:val="single" w:color="auto" w:sz="4" w:space="0"/>
                  </wpsCustomData:diagonal>
                  <wpsCustomData:diagonal from="30000" to="3700">
                    <wpsCustomData:border w:val="single" w:color="auto" w:sz="4" w:space="0"/>
                  </wpsCustomData:diagonal>
                </wpsCustomData:diagonals>
              </mc:Choice>
            </mc:AlternateContent>
          </w:tcPr>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mc:AlternateContent>
                <mc:Choice Requires="wpsCustomData">
                  <wpsCustomData:diagonalParaType/>
                </mc:Choice>
              </mc:AlternateContent>
              <w:rPr>
                <w:rFonts w:hint="default"/>
                <w:vertAlign w:val="baseline"/>
                <w:lang w:val="en-US" w:eastAsia="zh-CN"/>
              </w:rPr>
            </w:pPr>
            <w:r>
              <w:rPr>
                <w:rFonts w:hint="eastAsia"/>
                <w:vertAlign w:val="baseline"/>
                <w:lang w:val="en-US" w:eastAsia="zh-CN"/>
              </w:rPr>
              <w:t>敏感程度</w:t>
            </w:r>
          </w:p>
          <w:p>
            <w:pPr>
              <w:pStyle w:val="352"/>
              <w:keepNext w:val="0"/>
              <w:keepLines w:val="0"/>
              <w:suppressLineNumbers w:val="0"/>
              <w:bidi w:val="0"/>
              <w:snapToGrid w:val="0"/>
              <w:spacing w:before="0" w:beforeAutospacing="0" w:after="0" w:afterAutospacing="0" w:line="240" w:lineRule="auto"/>
              <w:ind w:left="0" w:right="0"/>
              <w:jc w:val="left"/>
              <w:rPr>
                <w:rFonts w:hint="default"/>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mc:AlternateContent>
                <mc:Choice Requires="wpsCustomData">
                  <wpsCustomData:diagonalParaType/>
                </mc:Choice>
              </mc:AlternateContent>
              <w:rPr>
                <w:rFonts w:hint="default"/>
                <w:vertAlign w:val="baseline"/>
                <w:lang w:val="en-US" w:eastAsia="zh-CN"/>
              </w:rPr>
            </w:pPr>
            <w:r>
              <w:rPr>
                <w:rFonts w:hint="eastAsia"/>
                <w:vertAlign w:val="baseline"/>
                <w:lang w:val="en-US" w:eastAsia="zh-CN"/>
              </w:rPr>
              <w:t>评价工作等级</w:t>
            </w:r>
          </w:p>
          <w:p>
            <w:pPr>
              <w:pStyle w:val="352"/>
              <w:keepNext w:val="0"/>
              <w:keepLines w:val="0"/>
              <w:suppressLineNumbers w:val="0"/>
              <w:bidi w:val="0"/>
              <w:spacing w:before="0" w:beforeAutospacing="0" w:after="0" w:afterAutospacing="0"/>
              <w:ind w:left="0" w:right="0"/>
              <w:jc w:val="right"/>
              <w:rPr>
                <w:rFonts w:hint="eastAsia"/>
                <w:vertAlign w:val="baseline"/>
                <w:lang w:val="en-US" w:eastAsia="zh-CN"/>
              </w:rPr>
            </w:pPr>
          </w:p>
          <w:p>
            <w:pPr>
              <w:pStyle w:val="352"/>
              <w:keepNext w:val="0"/>
              <w:keepLines w:val="0"/>
              <w:suppressLineNumbers w:val="0"/>
              <w:bidi w:val="0"/>
              <w:spacing w:before="0" w:beforeAutospacing="0" w:after="0" w:afterAutospacing="0"/>
              <w:ind w:left="0" w:right="0"/>
              <w:jc w:val="right"/>
              <w:rPr>
                <w:rFonts w:hint="eastAsia"/>
                <w:vertAlign w:val="baseline"/>
                <w:lang w:val="en-US" w:eastAsia="zh-CN"/>
              </w:rPr>
            </w:pPr>
            <w:r>
              <w:rPr>
                <w:rFonts w:hint="eastAsia"/>
                <w:vertAlign w:val="baseline"/>
                <w:lang w:val="en-US" w:eastAsia="zh-CN"/>
              </w:rPr>
              <w:t>占地规模</w:t>
            </w:r>
          </w:p>
          <w:p>
            <w:pPr>
              <w:pStyle w:val="352"/>
              <w:keepNext w:val="0"/>
              <w:keepLines w:val="0"/>
              <w:suppressLineNumbers w:val="0"/>
              <w:bidi w:val="0"/>
              <w:spacing w:before="0" w:beforeAutospacing="0" w:after="0" w:afterAutospacing="0"/>
              <w:ind w:left="0" w:right="0"/>
              <w:jc w:val="left"/>
              <w:rPr>
                <w:rFonts w:hint="default"/>
                <w:vertAlign w:val="baseline"/>
                <w:lang w:val="en-US" w:eastAsia="zh-CN"/>
              </w:rPr>
            </w:pP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vertAlign w:val="baseline"/>
                <w:lang w:val="en-US" w:eastAsia="zh-CN"/>
              </w:rPr>
              <w:fldChar w:fldCharType="begin"/>
            </w:r>
            <w:r>
              <w:rPr>
                <w:rFonts w:hint="default" w:ascii="Times New Roman" w:hAnsi="Times New Roman" w:eastAsia="宋体"/>
                <w:vertAlign w:val="baseline"/>
                <w:lang w:val="en-US" w:eastAsia="zh-CN"/>
              </w:rPr>
              <w:instrText xml:space="preserve"> = 1 \* ROMAN \* MERGEFORMAT </w:instrText>
            </w:r>
            <w:r>
              <w:rPr>
                <w:rFonts w:hint="default" w:ascii="Times New Roman" w:hAnsi="Times New Roman" w:eastAsia="宋体"/>
                <w:vertAlign w:val="baseline"/>
                <w:lang w:val="en-US" w:eastAsia="zh-CN"/>
              </w:rPr>
              <w:fldChar w:fldCharType="separate"/>
            </w:r>
            <w:r>
              <w:rPr>
                <w:rFonts w:hint="default"/>
              </w:rPr>
              <w:t>I</w:t>
            </w:r>
            <w:r>
              <w:rPr>
                <w:rFonts w:hint="default" w:ascii="Times New Roman" w:hAnsi="Times New Roman" w:eastAsia="宋体"/>
                <w:vertAlign w:val="baseline"/>
                <w:lang w:val="en-US" w:eastAsia="zh-CN"/>
              </w:rPr>
              <w:fldChar w:fldCharType="end"/>
            </w:r>
            <w:r>
              <w:rPr>
                <w:rFonts w:hint="eastAsia"/>
                <w:vertAlign w:val="baseline"/>
                <w:lang w:val="en-US" w:eastAsia="zh-CN"/>
              </w:rPr>
              <w:t>类</w:t>
            </w: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vertAlign w:val="baseline"/>
                <w:lang w:val="en-US" w:eastAsia="zh-CN"/>
              </w:rPr>
              <w:fldChar w:fldCharType="begin"/>
            </w:r>
            <w:r>
              <w:rPr>
                <w:rFonts w:hint="default" w:ascii="Times New Roman" w:hAnsi="Times New Roman" w:eastAsia="宋体"/>
                <w:vertAlign w:val="baseline"/>
                <w:lang w:val="en-US" w:eastAsia="zh-CN"/>
              </w:rPr>
              <w:instrText xml:space="preserve"> = 2 \* ROMAN \* MERGEFORMAT </w:instrText>
            </w:r>
            <w:r>
              <w:rPr>
                <w:rFonts w:hint="default" w:ascii="Times New Roman" w:hAnsi="Times New Roman" w:eastAsia="宋体"/>
                <w:vertAlign w:val="baseline"/>
                <w:lang w:val="en-US" w:eastAsia="zh-CN"/>
              </w:rPr>
              <w:fldChar w:fldCharType="separate"/>
            </w:r>
            <w:r>
              <w:rPr>
                <w:rFonts w:hint="default"/>
              </w:rPr>
              <w:t>II</w:t>
            </w:r>
            <w:r>
              <w:rPr>
                <w:rFonts w:hint="default" w:ascii="Times New Roman" w:hAnsi="Times New Roman" w:eastAsia="宋体"/>
                <w:vertAlign w:val="baseline"/>
                <w:lang w:val="en-US" w:eastAsia="zh-CN"/>
              </w:rPr>
              <w:fldChar w:fldCharType="end"/>
            </w:r>
            <w:r>
              <w:rPr>
                <w:rFonts w:hint="eastAsia"/>
                <w:vertAlign w:val="baseline"/>
                <w:lang w:val="en-US" w:eastAsia="zh-CN"/>
              </w:rPr>
              <w:t>类</w:t>
            </w: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vertAlign w:val="baseline"/>
                <w:lang w:val="en-US" w:eastAsia="zh-CN"/>
              </w:rPr>
              <w:fldChar w:fldCharType="begin"/>
            </w:r>
            <w:r>
              <w:rPr>
                <w:rFonts w:hint="default" w:ascii="Times New Roman" w:hAnsi="Times New Roman" w:eastAsia="宋体"/>
                <w:vertAlign w:val="baseline"/>
                <w:lang w:val="en-US" w:eastAsia="zh-CN"/>
              </w:rPr>
              <w:instrText xml:space="preserve"> = 3 \* ROMAN \* MERGEFORMAT </w:instrText>
            </w:r>
            <w:r>
              <w:rPr>
                <w:rFonts w:hint="default" w:ascii="Times New Roman" w:hAnsi="Times New Roman" w:eastAsia="宋体"/>
                <w:vertAlign w:val="baseline"/>
                <w:lang w:val="en-US" w:eastAsia="zh-CN"/>
              </w:rPr>
              <w:fldChar w:fldCharType="separate"/>
            </w:r>
            <w:r>
              <w:rPr>
                <w:rFonts w:hint="default"/>
              </w:rPr>
              <w:t>III</w:t>
            </w:r>
            <w:r>
              <w:rPr>
                <w:rFonts w:hint="default" w:ascii="Times New Roman" w:hAnsi="Times New Roman" w:eastAsia="宋体"/>
                <w:vertAlign w:val="baseline"/>
                <w:lang w:val="en-US" w:eastAsia="zh-CN"/>
              </w:rPr>
              <w:fldChar w:fldCharType="end"/>
            </w:r>
            <w:r>
              <w:rPr>
                <w:rFonts w:hint="eastAsia"/>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22" w:type="dxa"/>
            <w:vMerge w:val="continue"/>
            <w:vAlign w:val="center"/>
          </w:tcPr>
          <w:p>
            <w:pPr>
              <w:pStyle w:val="352"/>
              <w:keepNext w:val="0"/>
              <w:keepLines w:val="0"/>
              <w:suppressLineNumbers w:val="0"/>
              <w:bidi w:val="0"/>
              <w:spacing w:before="0" w:beforeAutospacing="0" w:after="0" w:afterAutospacing="0"/>
              <w:ind w:left="0" w:right="0"/>
              <w:jc w:val="left"/>
              <w:rPr>
                <w:rFonts w:hint="default"/>
                <w:vertAlign w:val="baseline"/>
                <w:lang w:val="en-US" w:eastAsia="zh-CN"/>
              </w:rPr>
            </w:pP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vertAlign w:val="baseline"/>
                <w:lang w:val="en-US" w:eastAsia="zh-CN"/>
              </w:rPr>
              <w:t>小</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小</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bCs w:val="0"/>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较敏感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不敏感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10"/>
            <w:vAlign w:val="center"/>
          </w:tcPr>
          <w:p>
            <w:pPr>
              <w:pStyle w:val="352"/>
              <w:keepNext w:val="0"/>
              <w:keepLines w:val="0"/>
              <w:suppressLineNumbers w:val="0"/>
              <w:bidi w:val="0"/>
              <w:spacing w:before="0" w:beforeAutospacing="0" w:after="0" w:afterAutospacing="0"/>
              <w:ind w:left="0" w:right="0"/>
              <w:jc w:val="left"/>
              <w:rPr>
                <w:rFonts w:hint="default" w:ascii="Times New Roman" w:hAnsi="Times New Roman" w:eastAsia="宋体"/>
                <w:b w:val="0"/>
                <w:bCs/>
                <w:vertAlign w:val="baseline"/>
                <w:lang w:val="en-US" w:eastAsia="zh-CN"/>
              </w:rPr>
            </w:pPr>
            <w:r>
              <w:rPr>
                <w:rFonts w:hint="eastAsia"/>
                <w:b w:val="0"/>
                <w:bCs/>
                <w:vertAlign w:val="baseline"/>
                <w:lang w:val="en-US" w:eastAsia="zh-CN"/>
              </w:rPr>
              <w:t>注：“-”表示可不开展土壤环境影响评价工作。</w:t>
            </w:r>
          </w:p>
        </w:tc>
      </w:tr>
    </w:tbl>
    <w:p>
      <w:pPr>
        <w:tabs>
          <w:tab w:val="left" w:pos="360"/>
        </w:tabs>
        <w:spacing w:line="360" w:lineRule="auto"/>
        <w:rPr>
          <w:rFonts w:hint="eastAsia"/>
          <w:b w:val="0"/>
          <w:bCs w:val="0"/>
          <w:sz w:val="24"/>
          <w:u w:val="none"/>
          <w:lang w:val="en-US" w:eastAsia="zh-CN"/>
        </w:rPr>
      </w:pPr>
      <w:r>
        <w:rPr>
          <w:rFonts w:hint="eastAsia"/>
          <w:b w:val="0"/>
          <w:bCs w:val="0"/>
          <w:sz w:val="24"/>
          <w:u w:val="none"/>
          <w:lang w:val="en-US" w:eastAsia="zh-CN"/>
        </w:rPr>
        <w:t>7、环境风险</w:t>
      </w:r>
    </w:p>
    <w:p>
      <w:pPr>
        <w:tabs>
          <w:tab w:val="left" w:pos="360"/>
        </w:tabs>
        <w:spacing w:line="360" w:lineRule="auto"/>
        <w:rPr>
          <w:rFonts w:hint="default"/>
          <w:b w:val="0"/>
          <w:bCs w:val="0"/>
          <w:sz w:val="24"/>
          <w:u w:val="none"/>
          <w:lang w:val="en-US" w:eastAsia="zh-CN"/>
        </w:rPr>
      </w:pPr>
      <w:r>
        <w:rPr>
          <w:rFonts w:hint="default"/>
          <w:b w:val="0"/>
          <w:bCs w:val="0"/>
          <w:sz w:val="24"/>
          <w:u w:val="none"/>
          <w:lang w:val="en-US" w:eastAsia="zh-CN"/>
        </w:rPr>
        <w:t>本项目营运过程中化学品储存和使用量较小，不构成重大危险源，环境风险潜势为</w:t>
      </w:r>
      <w:r>
        <w:rPr>
          <w:rFonts w:hint="default"/>
          <w:b w:val="0"/>
          <w:bCs w:val="0"/>
          <w:sz w:val="24"/>
          <w:u w:val="none"/>
          <w:lang w:val="en-US" w:eastAsia="zh-CN"/>
        </w:rPr>
        <w:fldChar w:fldCharType="begin"/>
      </w:r>
      <w:r>
        <w:rPr>
          <w:rFonts w:hint="default"/>
          <w:b w:val="0"/>
          <w:bCs w:val="0"/>
          <w:sz w:val="24"/>
          <w:u w:val="none"/>
          <w:lang w:val="en-US" w:eastAsia="zh-CN"/>
        </w:rPr>
        <w:instrText xml:space="preserve"> = 1 \* ROMAN \* MERGEFORMAT </w:instrText>
      </w:r>
      <w:r>
        <w:rPr>
          <w:rFonts w:hint="default"/>
          <w:b w:val="0"/>
          <w:bCs w:val="0"/>
          <w:sz w:val="24"/>
          <w:u w:val="none"/>
          <w:lang w:val="en-US" w:eastAsia="zh-CN"/>
        </w:rPr>
        <w:fldChar w:fldCharType="separate"/>
      </w:r>
      <w:r>
        <w:rPr>
          <w:rFonts w:hint="default"/>
          <w:b w:val="0"/>
          <w:bCs w:val="0"/>
          <w:sz w:val="24"/>
          <w:u w:val="none"/>
          <w:lang w:val="en-US" w:eastAsia="zh-CN"/>
        </w:rPr>
        <w:t>I</w:t>
      </w:r>
      <w:r>
        <w:rPr>
          <w:rFonts w:hint="default"/>
          <w:b w:val="0"/>
          <w:bCs w:val="0"/>
          <w:sz w:val="24"/>
          <w:u w:val="none"/>
          <w:lang w:val="en-US" w:eastAsia="zh-CN"/>
        </w:rPr>
        <w:fldChar w:fldCharType="end"/>
      </w:r>
      <w:r>
        <w:rPr>
          <w:rFonts w:hint="default"/>
          <w:b w:val="0"/>
          <w:bCs w:val="0"/>
          <w:sz w:val="24"/>
          <w:u w:val="none"/>
          <w:lang w:val="en-US" w:eastAsia="zh-CN"/>
        </w:rPr>
        <w:t>。因此，按照《建设项目环境风险评价技术导则》（HJ169-2018）的等级划分标准，本项目风险评价只需进行简单分析</w:t>
      </w:r>
      <w:r>
        <w:rPr>
          <w:rFonts w:hint="eastAsia"/>
          <w:b w:val="0"/>
          <w:bCs w:val="0"/>
          <w:sz w:val="24"/>
          <w:u w:val="none"/>
          <w:lang w:val="en-US" w:eastAsia="zh-CN"/>
        </w:rPr>
        <w:t>，</w:t>
      </w:r>
      <w:r>
        <w:rPr>
          <w:rFonts w:hint="default"/>
          <w:b w:val="0"/>
          <w:bCs w:val="0"/>
          <w:sz w:val="24"/>
          <w:u w:val="none"/>
          <w:lang w:val="en-US" w:eastAsia="zh-CN"/>
        </w:rPr>
        <w:t>环境风险评价工作级别判别标准件下表。</w:t>
      </w:r>
    </w:p>
    <w:p>
      <w:pPr>
        <w:pStyle w:val="352"/>
        <w:bidi w:val="0"/>
        <w:rPr>
          <w:rFonts w:hint="default" w:ascii="Times New Roman" w:hAnsi="Times New Roman" w:eastAsia="宋体"/>
          <w:lang w:val="en-US" w:eastAsia="zh-CN"/>
        </w:rPr>
      </w:pPr>
      <w:r>
        <w:rPr>
          <w:rFonts w:hint="default" w:ascii="Times New Roman" w:hAnsi="Times New Roman" w:eastAsia="宋体"/>
          <w:lang w:val="en-US" w:eastAsia="zh-CN"/>
        </w:rPr>
        <w:t>表2-1</w:t>
      </w:r>
      <w:r>
        <w:rPr>
          <w:rFonts w:hint="eastAsia"/>
          <w:lang w:val="en-US" w:eastAsia="zh-CN"/>
        </w:rPr>
        <w:t>6</w:t>
      </w:r>
      <w:r>
        <w:rPr>
          <w:rFonts w:hint="default" w:ascii="Times New Roman" w:hAnsi="Times New Roman" w:eastAsia="宋体"/>
          <w:lang w:val="en-US" w:eastAsia="zh-CN"/>
        </w:rPr>
        <w:t xml:space="preserve">  风险评价工作级别表</w:t>
      </w:r>
    </w:p>
    <w:tbl>
      <w:tblPr>
        <w:tblStyle w:val="5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624"/>
        <w:gridCol w:w="1624"/>
        <w:gridCol w:w="162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971"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环境风险潜势</w:t>
            </w:r>
          </w:p>
        </w:tc>
        <w:tc>
          <w:tcPr>
            <w:tcW w:w="1624"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fldChar w:fldCharType="begin"/>
            </w:r>
            <w:r>
              <w:rPr>
                <w:rFonts w:hint="default"/>
                <w:lang w:val="en-US" w:eastAsia="zh-CN"/>
              </w:rPr>
              <w:instrText xml:space="preserve"> = 4 \* ROMAN \* MERGEFORMAT </w:instrText>
            </w:r>
            <w:r>
              <w:rPr>
                <w:rFonts w:hint="default"/>
                <w:lang w:val="en-US" w:eastAsia="zh-CN"/>
              </w:rPr>
              <w:fldChar w:fldCharType="separate"/>
            </w:r>
            <w:r>
              <w:rPr>
                <w:rFonts w:hint="default"/>
                <w:lang w:val="en-US" w:eastAsia="zh-CN"/>
              </w:rPr>
              <w:t>IV</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 4 \* ROMAN \* MERGEFORMAT </w:instrText>
            </w:r>
            <w:r>
              <w:rPr>
                <w:rFonts w:hint="default"/>
                <w:lang w:val="en-US" w:eastAsia="zh-CN"/>
              </w:rPr>
              <w:fldChar w:fldCharType="separate"/>
            </w:r>
            <w:r>
              <w:rPr>
                <w:rFonts w:hint="default"/>
                <w:lang w:val="en-US" w:eastAsia="zh-CN"/>
              </w:rPr>
              <w:t>IV</w:t>
            </w:r>
            <w:r>
              <w:rPr>
                <w:rFonts w:hint="default"/>
                <w:lang w:val="en-US" w:eastAsia="zh-CN"/>
              </w:rPr>
              <w:fldChar w:fldCharType="end"/>
            </w:r>
            <w:r>
              <w:rPr>
                <w:rFonts w:hint="default"/>
                <w:lang w:val="en-US" w:eastAsia="zh-CN"/>
              </w:rPr>
              <w:t>+</w:t>
            </w:r>
          </w:p>
        </w:tc>
        <w:tc>
          <w:tcPr>
            <w:tcW w:w="1624"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fldChar w:fldCharType="begin"/>
            </w:r>
            <w:r>
              <w:rPr>
                <w:rFonts w:hint="default"/>
                <w:lang w:val="en-US" w:eastAsia="zh-CN"/>
              </w:rPr>
              <w:instrText xml:space="preserve"> = 3 \* ROMAN \* MERGEFORMAT </w:instrText>
            </w:r>
            <w:r>
              <w:rPr>
                <w:rFonts w:hint="default"/>
                <w:lang w:val="en-US" w:eastAsia="zh-CN"/>
              </w:rPr>
              <w:fldChar w:fldCharType="separate"/>
            </w:r>
            <w:r>
              <w:rPr>
                <w:rFonts w:hint="default"/>
                <w:lang w:val="en-US" w:eastAsia="zh-CN"/>
              </w:rPr>
              <w:t>III</w:t>
            </w:r>
            <w:r>
              <w:rPr>
                <w:rFonts w:hint="default"/>
                <w:lang w:val="en-US" w:eastAsia="zh-CN"/>
              </w:rPr>
              <w:fldChar w:fldCharType="end"/>
            </w:r>
          </w:p>
        </w:tc>
        <w:tc>
          <w:tcPr>
            <w:tcW w:w="1624"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fldChar w:fldCharType="begin"/>
            </w:r>
            <w:r>
              <w:rPr>
                <w:rFonts w:hint="default"/>
                <w:lang w:val="en-US" w:eastAsia="zh-CN"/>
              </w:rPr>
              <w:instrText xml:space="preserve"> = 2 \* ROMAN \* MERGEFORMAT </w:instrText>
            </w:r>
            <w:r>
              <w:rPr>
                <w:rFonts w:hint="default"/>
                <w:lang w:val="en-US" w:eastAsia="zh-CN"/>
              </w:rPr>
              <w:fldChar w:fldCharType="separate"/>
            </w:r>
            <w:r>
              <w:rPr>
                <w:rFonts w:hint="default"/>
                <w:lang w:val="en-US" w:eastAsia="zh-CN"/>
              </w:rPr>
              <w:t>II</w:t>
            </w:r>
            <w:r>
              <w:rPr>
                <w:rFonts w:hint="default"/>
                <w:lang w:val="en-US" w:eastAsia="zh-CN"/>
              </w:rPr>
              <w:fldChar w:fldCharType="end"/>
            </w:r>
          </w:p>
        </w:tc>
        <w:tc>
          <w:tcPr>
            <w:tcW w:w="1622"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fldChar w:fldCharType="begin"/>
            </w:r>
            <w:r>
              <w:rPr>
                <w:rFonts w:hint="default"/>
                <w:lang w:val="en-US" w:eastAsia="zh-CN"/>
              </w:rPr>
              <w:instrText xml:space="preserve"> = 1 \* ROMAN \* MERGEFORMAT </w:instrText>
            </w:r>
            <w:r>
              <w:rPr>
                <w:rFonts w:hint="default"/>
                <w:lang w:val="en-US" w:eastAsia="zh-CN"/>
              </w:rPr>
              <w:fldChar w:fldCharType="separate"/>
            </w:r>
            <w:r>
              <w:rPr>
                <w:rFonts w:hint="default"/>
                <w:lang w:val="en-US" w:eastAsia="zh-CN"/>
              </w:rPr>
              <w:t>I</w:t>
            </w:r>
            <w:r>
              <w:rPr>
                <w:rFonts w:hint="default"/>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71" w:type="dxa"/>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评价工作等级</w:t>
            </w:r>
          </w:p>
        </w:tc>
        <w:tc>
          <w:tcPr>
            <w:tcW w:w="1624"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一</w:t>
            </w:r>
          </w:p>
        </w:tc>
        <w:tc>
          <w:tcPr>
            <w:tcW w:w="1624"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二</w:t>
            </w:r>
          </w:p>
        </w:tc>
        <w:tc>
          <w:tcPr>
            <w:tcW w:w="1624"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三</w:t>
            </w:r>
          </w:p>
        </w:tc>
        <w:tc>
          <w:tcPr>
            <w:tcW w:w="1622" w:type="dxa"/>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简单分析</w:t>
            </w:r>
          </w:p>
        </w:tc>
      </w:tr>
    </w:tbl>
    <w:p>
      <w:pPr>
        <w:tabs>
          <w:tab w:val="left" w:pos="360"/>
        </w:tabs>
        <w:spacing w:line="360" w:lineRule="auto"/>
        <w:rPr>
          <w:rFonts w:hint="eastAsia"/>
          <w:b/>
          <w:bCs/>
          <w:sz w:val="24"/>
          <w:u w:val="none"/>
          <w:lang w:val="en-US" w:eastAsia="zh-CN"/>
        </w:rPr>
      </w:pPr>
      <w:r>
        <w:rPr>
          <w:rFonts w:hint="eastAsia"/>
          <w:b/>
          <w:bCs/>
          <w:sz w:val="24"/>
          <w:u w:val="none"/>
          <w:lang w:val="en-US" w:eastAsia="zh-CN"/>
        </w:rPr>
        <w:t>2.4.2评价范围</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根据本项目评价等级，污染物排放特点及当地气象条件、自然环境状况等，确定各环境要素的评价范围，详见下表。</w:t>
      </w:r>
    </w:p>
    <w:p>
      <w:pPr>
        <w:pStyle w:val="352"/>
        <w:bidi w:val="0"/>
        <w:rPr>
          <w:rFonts w:hint="eastAsia" w:ascii="Times New Roman" w:hAnsi="Times New Roman" w:eastAsia="宋体"/>
          <w:lang w:val="en-US" w:eastAsia="zh-CN"/>
        </w:rPr>
      </w:pPr>
    </w:p>
    <w:p>
      <w:pPr>
        <w:pStyle w:val="352"/>
        <w:bidi w:val="0"/>
        <w:rPr>
          <w:rFonts w:hint="eastAsia" w:ascii="Times New Roman" w:hAnsi="Times New Roman" w:eastAsia="宋体"/>
          <w:lang w:val="en-US" w:eastAsia="zh-CN"/>
        </w:rPr>
      </w:pPr>
    </w:p>
    <w:p>
      <w:pPr>
        <w:pStyle w:val="352"/>
        <w:bidi w:val="0"/>
        <w:rPr>
          <w:rFonts w:hint="eastAsia" w:ascii="Times New Roman" w:hAnsi="Times New Roman" w:eastAsia="宋体"/>
          <w:lang w:val="en-US" w:eastAsia="zh-CN"/>
        </w:rPr>
      </w:pP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表2-17  项目评价范围汇总表</w:t>
      </w:r>
    </w:p>
    <w:tbl>
      <w:tblPr>
        <w:tblStyle w:val="58"/>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9"/>
        <w:gridCol w:w="1133"/>
        <w:gridCol w:w="6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环境要素</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评价等级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地表水</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三级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旺苍县污水处理厂</w:t>
            </w:r>
            <w:r>
              <w:rPr>
                <w:rFonts w:hint="default" w:ascii="Times New Roman" w:hAnsi="Times New Roman" w:eastAsia="宋体"/>
                <w:b w:val="0"/>
                <w:bCs/>
                <w:lang w:val="en-US" w:eastAsia="zh-CN"/>
              </w:rPr>
              <w:t>排口上游500m至下游1000m河段；</w:t>
            </w:r>
          </w:p>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医废运输线路沿线重要地表水水体；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地下水</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二级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以项目选址区域为中心，分水岭为边界共计</w:t>
            </w:r>
            <w:r>
              <w:rPr>
                <w:rFonts w:hint="eastAsia"/>
                <w:b w:val="0"/>
                <w:bCs/>
                <w:color w:val="FF0000"/>
                <w:lang w:val="en-US" w:eastAsia="zh-CN"/>
              </w:rPr>
              <w:t>5.04</w:t>
            </w:r>
            <w:r>
              <w:rPr>
                <w:rFonts w:hint="default" w:ascii="Times New Roman" w:hAnsi="Times New Roman" w:eastAsia="宋体"/>
                <w:b w:val="0"/>
                <w:bCs/>
                <w:color w:val="FF0000"/>
                <w:lang w:val="en-US" w:eastAsia="zh-CN"/>
              </w:rPr>
              <w:t xml:space="preserve"> km</w:t>
            </w:r>
            <w:r>
              <w:rPr>
                <w:rFonts w:hint="default" w:ascii="Times New Roman" w:hAnsi="Times New Roman" w:eastAsia="宋体"/>
                <w:b w:val="0"/>
                <w:bCs/>
                <w:color w:val="FF0000"/>
                <w:vertAlign w:val="superscript"/>
                <w:lang w:val="en-US" w:eastAsia="zh-CN"/>
              </w:rPr>
              <w:t>2</w:t>
            </w:r>
            <w:r>
              <w:rPr>
                <w:rFonts w:hint="default" w:ascii="Times New Roman" w:hAnsi="Times New Roman" w:eastAsia="宋体"/>
                <w:b w:val="0"/>
                <w:bCs/>
                <w:lang w:val="en-US" w:eastAsia="zh-CN"/>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大气</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二级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以项目选址区域为中心，边长5.0km正方形范围内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声</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二级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以项目选址场界为边界向外延伸200m范围，并考虑附近毗邻噪声敏感点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土壤环境</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一级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占地范围内，以及占地范围外1km范围内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生态环境</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三级</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以项目选址区域为中心，半径1.0km范围内区域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环境风险</w:t>
            </w:r>
          </w:p>
        </w:tc>
        <w:tc>
          <w:tcPr>
            <w:tcW w:w="113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简单分析</w:t>
            </w:r>
          </w:p>
        </w:tc>
        <w:tc>
          <w:tcPr>
            <w:tcW w:w="658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以项目选址区域为中心，半径3.0km范围内区域</w:t>
            </w:r>
          </w:p>
        </w:tc>
      </w:tr>
    </w:tbl>
    <w:p>
      <w:pPr>
        <w:pStyle w:val="3"/>
        <w:rPr>
          <w:rFonts w:hint="default" w:ascii="Times New Roman" w:hAnsi="Times New Roman" w:eastAsia="宋体"/>
          <w:sz w:val="28"/>
          <w:szCs w:val="28"/>
          <w:u w:val="none"/>
          <w:lang w:val="en-US" w:eastAsia="zh-CN"/>
        </w:rPr>
      </w:pPr>
      <w:bookmarkStart w:id="31" w:name="_Toc23799"/>
      <w:r>
        <w:rPr>
          <w:rFonts w:hint="eastAsia" w:ascii="Times New Roman" w:hAnsi="Times New Roman" w:eastAsia="宋体"/>
          <w:sz w:val="28"/>
          <w:szCs w:val="28"/>
          <w:u w:val="none"/>
          <w:lang w:val="en-US" w:eastAsia="zh-CN"/>
        </w:rPr>
        <w:t>2.5环境保护目标</w:t>
      </w:r>
      <w:bookmarkEnd w:id="31"/>
    </w:p>
    <w:p>
      <w:pPr>
        <w:tabs>
          <w:tab w:val="left" w:pos="360"/>
        </w:tabs>
        <w:spacing w:line="360" w:lineRule="auto"/>
        <w:rPr>
          <w:rFonts w:hint="eastAsia"/>
          <w:b/>
          <w:bCs/>
          <w:sz w:val="24"/>
          <w:u w:val="none"/>
          <w:lang w:val="en-US" w:eastAsia="zh-CN"/>
        </w:rPr>
      </w:pPr>
      <w:r>
        <w:rPr>
          <w:rFonts w:hint="eastAsia"/>
          <w:b/>
          <w:bCs/>
          <w:sz w:val="24"/>
          <w:u w:val="none"/>
          <w:lang w:val="en-US" w:eastAsia="zh-CN"/>
        </w:rPr>
        <w:t>2.5.1本项目外环境关系</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本项目拟建于旺苍县东河镇嘉川镇，北面距规划环城路约180m，东北距县垃圾填埋场180m，南侧距规划居住区直线距离约235米，外环境关系详见附图。</w:t>
      </w:r>
    </w:p>
    <w:p>
      <w:pPr>
        <w:tabs>
          <w:tab w:val="left" w:pos="360"/>
        </w:tabs>
        <w:spacing w:line="360" w:lineRule="auto"/>
        <w:rPr>
          <w:rFonts w:hint="eastAsia"/>
          <w:b/>
          <w:bCs/>
          <w:sz w:val="24"/>
          <w:u w:val="none"/>
          <w:lang w:val="en-US" w:eastAsia="zh-CN"/>
        </w:rPr>
      </w:pPr>
      <w:r>
        <w:rPr>
          <w:rFonts w:hint="eastAsia"/>
          <w:b/>
          <w:bCs/>
          <w:sz w:val="24"/>
          <w:u w:val="none"/>
          <w:lang w:val="en-US" w:eastAsia="zh-CN"/>
        </w:rPr>
        <w:t>2.5.2主要环境保护目标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1、水环境保护目标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本项目外排废水依托旺苍县污水处理厂处理达标后外排至东河，东河执行《地表水环境质量标准》（GB3838-2002）中的</w:t>
      </w:r>
      <w:r>
        <w:rPr>
          <w:rFonts w:hint="eastAsia"/>
          <w:sz w:val="24"/>
          <w:u w:val="none"/>
          <w:lang w:val="en-US" w:eastAsia="zh-CN"/>
        </w:rPr>
        <w:fldChar w:fldCharType="begin"/>
      </w:r>
      <w:r>
        <w:rPr>
          <w:rFonts w:hint="eastAsia"/>
          <w:sz w:val="24"/>
          <w:u w:val="none"/>
          <w:lang w:val="en-US" w:eastAsia="zh-CN"/>
        </w:rPr>
        <w:instrText xml:space="preserve"> = 3 \* ROMAN \* MERGEFORMAT </w:instrText>
      </w:r>
      <w:r>
        <w:rPr>
          <w:rFonts w:hint="eastAsia"/>
          <w:sz w:val="24"/>
          <w:u w:val="none"/>
          <w:lang w:val="en-US" w:eastAsia="zh-CN"/>
        </w:rPr>
        <w:fldChar w:fldCharType="separate"/>
      </w:r>
      <w:r>
        <w:t>III</w:t>
      </w:r>
      <w:r>
        <w:rPr>
          <w:rFonts w:hint="eastAsia"/>
          <w:sz w:val="24"/>
          <w:u w:val="none"/>
          <w:lang w:val="en-US" w:eastAsia="zh-CN"/>
        </w:rPr>
        <w:fldChar w:fldCharType="end"/>
      </w:r>
      <w:r>
        <w:rPr>
          <w:rFonts w:hint="eastAsia"/>
          <w:sz w:val="24"/>
          <w:u w:val="none"/>
          <w:lang w:val="en-US" w:eastAsia="zh-CN"/>
        </w:rPr>
        <w:t>类标准。</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2、大气环境保护目标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所在区域大气环境质量执行《环境空气质量标准》（GB3095-2012）二级标准，根据现场调查，本项目大气环境保护目标为：周围居民住宅区，以及项目所在区域环境空气质量功能区划不因本项目的建设而改变。</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表2-18  环境空气保护目标一览表</w:t>
      </w:r>
    </w:p>
    <w:tbl>
      <w:tblPr>
        <w:tblStyle w:val="58"/>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1913"/>
        <w:gridCol w:w="990"/>
        <w:gridCol w:w="990"/>
        <w:gridCol w:w="1234"/>
        <w:gridCol w:w="1477"/>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75"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名称</w:t>
            </w:r>
          </w:p>
        </w:tc>
        <w:tc>
          <w:tcPr>
            <w:tcW w:w="191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坐标</w:t>
            </w:r>
          </w:p>
        </w:tc>
        <w:tc>
          <w:tcPr>
            <w:tcW w:w="99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保护对象</w:t>
            </w:r>
          </w:p>
        </w:tc>
        <w:tc>
          <w:tcPr>
            <w:tcW w:w="99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保护</w:t>
            </w:r>
            <w:r>
              <w:rPr>
                <w:rFonts w:hint="eastAsia"/>
                <w:lang w:val="en-US" w:eastAsia="zh-CN"/>
              </w:rPr>
              <w:t>规模</w:t>
            </w:r>
          </w:p>
        </w:tc>
        <w:tc>
          <w:tcPr>
            <w:tcW w:w="123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环境功能区</w:t>
            </w:r>
          </w:p>
        </w:tc>
        <w:tc>
          <w:tcPr>
            <w:tcW w:w="1477"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相对厂址方向</w:t>
            </w:r>
          </w:p>
        </w:tc>
        <w:tc>
          <w:tcPr>
            <w:tcW w:w="1475"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相对厂界</w:t>
            </w:r>
            <w:r>
              <w:rPr>
                <w:rFonts w:hint="eastAsia"/>
                <w:lang w:val="en-US" w:eastAsia="zh-CN"/>
              </w:rPr>
              <w:t>最近</w:t>
            </w:r>
            <w:r>
              <w:rPr>
                <w:rFonts w:hint="default" w:ascii="Times New Roman" w:hAnsi="Times New Roman" w:eastAsia="宋体"/>
                <w:lang w:val="en-US" w:eastAsia="zh-CN"/>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eastAsia"/>
                <w:lang w:val="en-US" w:eastAsia="zh-CN"/>
              </w:rPr>
              <w:t>石桥村居民</w:t>
            </w:r>
          </w:p>
        </w:tc>
        <w:tc>
          <w:tcPr>
            <w:tcW w:w="191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经度：106.231067176</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居民</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约100户</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S</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3</w:t>
            </w:r>
            <w:r>
              <w:rPr>
                <w:rFonts w:hint="eastAsia"/>
                <w:b w:val="0"/>
                <w:bCs/>
                <w:lang w:val="en-US" w:eastAsia="zh-CN"/>
              </w:rPr>
              <w:t>50</w:t>
            </w:r>
            <w:r>
              <w:rPr>
                <w:rFonts w:hint="default" w:ascii="Times New Roman" w:hAnsi="Times New Roman" w:eastAsia="宋体"/>
                <w:b w:val="0"/>
                <w:bCs/>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纬度：32.221744545</w:t>
            </w: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eastAsia"/>
                <w:lang w:val="en-US" w:eastAsia="zh-CN"/>
              </w:rPr>
              <w:t>顺水</w:t>
            </w:r>
            <w:r>
              <w:rPr>
                <w:rFonts w:hint="default" w:ascii="Times New Roman" w:hAnsi="Times New Roman" w:eastAsia="宋体"/>
                <w:lang w:val="en-US" w:eastAsia="zh-CN"/>
              </w:rPr>
              <w:t>村居民</w:t>
            </w:r>
          </w:p>
        </w:tc>
        <w:tc>
          <w:tcPr>
            <w:tcW w:w="191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经度：106.223192210</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居民</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约40</w:t>
            </w:r>
            <w:r>
              <w:rPr>
                <w:rFonts w:hint="default" w:ascii="Times New Roman" w:hAnsi="Times New Roman" w:eastAsia="宋体"/>
                <w:b w:val="0"/>
                <w:bCs/>
                <w:lang w:val="en-US" w:eastAsia="zh-CN"/>
              </w:rPr>
              <w:t>户</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W</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650</w:t>
            </w:r>
            <w:r>
              <w:rPr>
                <w:rFonts w:hint="default" w:ascii="Times New Roman" w:hAnsi="Times New Roman" w:eastAsia="宋体"/>
                <w:b w:val="0"/>
                <w:bCs/>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纬度：32.224255093</w:t>
            </w: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嘉川镇城镇</w:t>
            </w:r>
          </w:p>
        </w:tc>
        <w:tc>
          <w:tcPr>
            <w:tcW w:w="191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经度：106.226904387</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常住人口</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约3万人</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S</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685m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纬度：32.213869580</w:t>
            </w: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石桥小学</w:t>
            </w:r>
          </w:p>
        </w:tc>
        <w:tc>
          <w:tcPr>
            <w:tcW w:w="191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经度：106.237955089</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师生</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约1500人</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SE</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850m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right="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纬度：32.219813355</w:t>
            </w: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嘉川小学</w:t>
            </w:r>
          </w:p>
        </w:tc>
        <w:tc>
          <w:tcPr>
            <w:tcW w:w="1913"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r>
              <w:rPr>
                <w:rFonts w:hint="eastAsia"/>
                <w:b w:val="0"/>
                <w:bCs/>
                <w:lang w:val="en-US" w:eastAsia="zh-CN"/>
              </w:rPr>
              <w:t>经度：106.215145583</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师生</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约2000人</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SW</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2600m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r>
              <w:rPr>
                <w:rFonts w:hint="eastAsia"/>
                <w:b w:val="0"/>
                <w:bCs/>
                <w:lang w:val="en-US" w:eastAsia="zh-CN"/>
              </w:rPr>
              <w:t>纬度：32.205136307</w:t>
            </w:r>
          </w:p>
        </w:tc>
        <w:tc>
          <w:tcPr>
            <w:tcW w:w="990"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775" w:type="dxa"/>
            <w:vMerge w:val="restart"/>
            <w:noWrap w:val="0"/>
            <w:vAlign w:val="center"/>
          </w:tcPr>
          <w:p>
            <w:pPr>
              <w:pStyle w:val="352"/>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德康医院</w:t>
            </w:r>
          </w:p>
        </w:tc>
        <w:tc>
          <w:tcPr>
            <w:tcW w:w="1913"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r>
              <w:rPr>
                <w:rFonts w:hint="eastAsia"/>
                <w:b w:val="0"/>
                <w:bCs/>
                <w:lang w:val="en-US" w:eastAsia="zh-CN"/>
              </w:rPr>
              <w:t>经度：106.213890309</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居民</w:t>
            </w:r>
          </w:p>
        </w:tc>
        <w:tc>
          <w:tcPr>
            <w:tcW w:w="99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约800人</w:t>
            </w:r>
          </w:p>
        </w:tc>
        <w:tc>
          <w:tcPr>
            <w:tcW w:w="123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二类</w:t>
            </w:r>
          </w:p>
        </w:tc>
        <w:tc>
          <w:tcPr>
            <w:tcW w:w="1477"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SW</w:t>
            </w:r>
          </w:p>
        </w:tc>
        <w:tc>
          <w:tcPr>
            <w:tcW w:w="1475"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2000m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775"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rPr>
            </w:pPr>
          </w:p>
        </w:tc>
        <w:tc>
          <w:tcPr>
            <w:tcW w:w="1913"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r>
              <w:rPr>
                <w:rFonts w:hint="eastAsia"/>
                <w:b w:val="0"/>
                <w:bCs/>
                <w:lang w:val="en-US" w:eastAsia="zh-CN"/>
              </w:rPr>
              <w:t>纬度：32.212308534</w:t>
            </w:r>
          </w:p>
        </w:tc>
        <w:tc>
          <w:tcPr>
            <w:tcW w:w="990"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990"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234"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477"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c>
          <w:tcPr>
            <w:tcW w:w="1475" w:type="dxa"/>
            <w:vMerge w:val="continue"/>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lang w:val="en-US" w:eastAsia="zh-CN"/>
              </w:rPr>
            </w:pPr>
          </w:p>
        </w:tc>
      </w:tr>
    </w:tbl>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3、声环境保护目标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项目所在地为《声环境质量标准》（GB3096-2008）中的2类区域，项目所在区域声环境保护目标为：本项目占地范围及占地范围外200m范围内声环境质量满足《声环境质量标准》（GB3096-2008）中的2类标准要求限值。</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4、地下水环境保护目标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项目所在区域地下水水质满足《地下水质量标准》（GB/T14848-2017）中</w:t>
      </w:r>
      <w:r>
        <w:rPr>
          <w:rFonts w:hint="eastAsia"/>
          <w:sz w:val="24"/>
          <w:u w:val="none"/>
          <w:lang w:val="en-US" w:eastAsia="zh-CN"/>
        </w:rPr>
        <w:fldChar w:fldCharType="begin"/>
      </w:r>
      <w:r>
        <w:rPr>
          <w:rFonts w:hint="eastAsia"/>
          <w:sz w:val="24"/>
          <w:u w:val="none"/>
          <w:lang w:val="en-US" w:eastAsia="zh-CN"/>
        </w:rPr>
        <w:instrText xml:space="preserve"> = 3 \* ROMAN \* MERGEFORMAT </w:instrText>
      </w:r>
      <w:r>
        <w:rPr>
          <w:rFonts w:hint="eastAsia"/>
          <w:sz w:val="24"/>
          <w:u w:val="none"/>
          <w:lang w:val="en-US" w:eastAsia="zh-CN"/>
        </w:rPr>
        <w:fldChar w:fldCharType="separate"/>
      </w:r>
      <w:r>
        <w:t>III</w:t>
      </w:r>
      <w:r>
        <w:rPr>
          <w:rFonts w:hint="eastAsia"/>
          <w:sz w:val="24"/>
          <w:u w:val="none"/>
          <w:lang w:val="en-US" w:eastAsia="zh-CN"/>
        </w:rPr>
        <w:fldChar w:fldCharType="end"/>
      </w:r>
      <w:r>
        <w:rPr>
          <w:rFonts w:hint="eastAsia"/>
          <w:sz w:val="24"/>
          <w:u w:val="none"/>
          <w:lang w:val="en-US" w:eastAsia="zh-CN"/>
        </w:rPr>
        <w:t>类水质标准要求限值。</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5、土壤环境保护目标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项目占地范围外1km范围内涉及耕地、居民住宅区等，因此，本项目土壤环境保护目标为：项目占地范围外1km范围内的耕地和居住用地等。</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6、生态环境保护目标</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项目所在区域生态环境功能不因项目建设而发生变化。</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7、环境风险保护目标</w:t>
      </w:r>
    </w:p>
    <w:p>
      <w:pPr>
        <w:tabs>
          <w:tab w:val="left" w:pos="360"/>
        </w:tabs>
        <w:spacing w:line="360" w:lineRule="auto"/>
        <w:rPr>
          <w:rFonts w:hint="eastAsia"/>
          <w:sz w:val="24"/>
          <w:u w:val="none"/>
          <w:lang w:val="en-US" w:eastAsia="zh-CN"/>
        </w:rPr>
      </w:pPr>
      <w:r>
        <w:rPr>
          <w:rFonts w:hint="eastAsia"/>
          <w:sz w:val="24"/>
          <w:u w:val="none"/>
          <w:lang w:val="en-US" w:eastAsia="zh-CN"/>
        </w:rPr>
        <w:t>本项目营运期产生的污染物包括废气、废水和固废等，当发生环境风险事故时，项目对环境空气、地表水环境、地下水环境、土壤环境等造成影响。因此，本项目环境风险保护目标主要为：项目风险评价范围内居民、地表水体、地下水体、土壤环境等。</w:t>
      </w:r>
    </w:p>
    <w:p>
      <w:pPr>
        <w:tabs>
          <w:tab w:val="left" w:pos="360"/>
        </w:tabs>
        <w:spacing w:line="360" w:lineRule="auto"/>
        <w:rPr>
          <w:rFonts w:hint="eastAsia"/>
          <w:sz w:val="24"/>
          <w:u w:val="none"/>
          <w:lang w:val="en-US" w:eastAsia="zh-CN"/>
        </w:rPr>
      </w:pPr>
      <w:r>
        <w:rPr>
          <w:rFonts w:hint="eastAsia"/>
          <w:sz w:val="24"/>
          <w:u w:val="none"/>
          <w:lang w:val="en-US" w:eastAsia="zh-CN"/>
        </w:rPr>
        <w:t>综上所述，结合本项目所在区域外环境关系及项目特点，本项目主要环境保护目标详见下表。</w:t>
      </w:r>
    </w:p>
    <w:p>
      <w:pPr>
        <w:pStyle w:val="352"/>
        <w:bidi w:val="0"/>
        <w:rPr>
          <w:rFonts w:hint="eastAsia" w:ascii="Times New Roman" w:hAnsi="Times New Roman" w:eastAsia="宋体"/>
          <w:lang w:val="en-US" w:eastAsia="zh-CN"/>
        </w:rPr>
      </w:pPr>
      <w:r>
        <w:rPr>
          <w:rFonts w:hint="eastAsia" w:ascii="Times New Roman" w:hAnsi="Times New Roman" w:eastAsia="宋体"/>
          <w:lang w:val="en-US" w:eastAsia="zh-CN"/>
        </w:rPr>
        <w:t>表2-19  本项目主要环境保护目标一览表</w:t>
      </w:r>
    </w:p>
    <w:tbl>
      <w:tblPr>
        <w:tblStyle w:val="58"/>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0"/>
        <w:gridCol w:w="1302"/>
        <w:gridCol w:w="2100"/>
        <w:gridCol w:w="1558"/>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环境要素</w:t>
            </w:r>
          </w:p>
        </w:tc>
        <w:tc>
          <w:tcPr>
            <w:tcW w:w="130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保护目标</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方位、距离</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保护内容</w:t>
            </w: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lang w:val="en-US" w:eastAsia="zh-CN"/>
              </w:rPr>
            </w:pPr>
            <w:r>
              <w:rPr>
                <w:rFonts w:hint="default" w:ascii="Times New Roman" w:hAnsi="Times New Roman" w:eastAsia="宋体"/>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大气环境</w:t>
            </w: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val="en-US" w:eastAsia="zh-CN"/>
              </w:rPr>
              <w:t>石桥村居民</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S</w:t>
            </w:r>
            <w:r>
              <w:rPr>
                <w:rFonts w:hint="default" w:ascii="Times New Roman" w:hAnsi="Times New Roman" w:eastAsia="宋体"/>
                <w:b w:val="0"/>
                <w:bCs/>
                <w:color w:val="auto"/>
                <w:lang w:val="en-US" w:eastAsia="zh-CN"/>
              </w:rPr>
              <w:t>，</w:t>
            </w:r>
            <w:r>
              <w:rPr>
                <w:rFonts w:hint="eastAsia"/>
                <w:b w:val="0"/>
                <w:bCs/>
                <w:color w:val="auto"/>
                <w:lang w:val="en-US" w:eastAsia="zh-CN"/>
              </w:rPr>
              <w:t>350</w:t>
            </w:r>
            <w:r>
              <w:rPr>
                <w:rFonts w:hint="default" w:ascii="Times New Roman" w:hAnsi="Times New Roman" w:eastAsia="宋体"/>
                <w:b w:val="0"/>
                <w:bCs/>
                <w:color w:val="auto"/>
                <w:lang w:val="en-US" w:eastAsia="zh-CN"/>
              </w:rPr>
              <w:t>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100</w:t>
            </w:r>
            <w:r>
              <w:rPr>
                <w:rFonts w:hint="default" w:ascii="Times New Roman" w:hAnsi="Times New Roman" w:eastAsia="宋体"/>
                <w:b w:val="0"/>
                <w:bCs/>
                <w:color w:val="auto"/>
                <w:lang w:val="en-US" w:eastAsia="zh-CN"/>
              </w:rPr>
              <w:t>户</w:t>
            </w:r>
          </w:p>
        </w:tc>
        <w:tc>
          <w:tcPr>
            <w:tcW w:w="2754"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满足《环境空气质量标准》（GB3095-2012）二级标准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val="en-US" w:eastAsia="zh-CN"/>
              </w:rPr>
              <w:t>顺水</w:t>
            </w:r>
            <w:r>
              <w:rPr>
                <w:rFonts w:hint="default" w:ascii="Times New Roman" w:hAnsi="Times New Roman" w:eastAsia="宋体"/>
                <w:b w:val="0"/>
                <w:bCs/>
                <w:lang w:val="en-US" w:eastAsia="zh-CN"/>
              </w:rPr>
              <w:t>村居民</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W</w:t>
            </w:r>
            <w:r>
              <w:rPr>
                <w:rFonts w:hint="eastAsia"/>
                <w:b w:val="0"/>
                <w:bCs/>
                <w:color w:val="auto"/>
                <w:lang w:val="en-US" w:eastAsia="zh-CN"/>
              </w:rPr>
              <w:t>，650m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约40</w:t>
            </w:r>
            <w:r>
              <w:rPr>
                <w:rFonts w:hint="eastAsia"/>
                <w:b w:val="0"/>
                <w:bCs/>
                <w:color w:val="auto"/>
                <w:lang w:val="en-US" w:eastAsia="zh-CN"/>
              </w:rPr>
              <w:t>户</w:t>
            </w:r>
          </w:p>
        </w:tc>
        <w:tc>
          <w:tcPr>
            <w:tcW w:w="27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eastAsia="zh-CN"/>
              </w:rPr>
              <w:t>嘉川镇城镇</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S</w:t>
            </w:r>
            <w:r>
              <w:rPr>
                <w:rFonts w:hint="eastAsia"/>
                <w:b w:val="0"/>
                <w:bCs/>
                <w:color w:val="auto"/>
                <w:lang w:val="en-US" w:eastAsia="zh-CN"/>
              </w:rPr>
              <w:t>，685m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3万</w:t>
            </w:r>
            <w:r>
              <w:rPr>
                <w:rFonts w:hint="default" w:ascii="Times New Roman" w:hAnsi="Times New Roman" w:eastAsia="宋体"/>
                <w:b w:val="0"/>
                <w:bCs/>
                <w:color w:val="auto"/>
                <w:lang w:val="en-US" w:eastAsia="zh-CN"/>
              </w:rPr>
              <w:t>人</w:t>
            </w:r>
          </w:p>
        </w:tc>
        <w:tc>
          <w:tcPr>
            <w:tcW w:w="27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eastAsia="zh-CN"/>
              </w:rPr>
              <w:t>石桥小学</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SE，850m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约1</w:t>
            </w:r>
            <w:r>
              <w:rPr>
                <w:rFonts w:hint="eastAsia"/>
                <w:b w:val="0"/>
                <w:bCs/>
                <w:color w:val="auto"/>
                <w:lang w:val="en-US" w:eastAsia="zh-CN"/>
              </w:rPr>
              <w:t>5</w:t>
            </w:r>
            <w:r>
              <w:rPr>
                <w:rFonts w:hint="default" w:ascii="Times New Roman" w:hAnsi="Times New Roman" w:eastAsia="宋体"/>
                <w:b w:val="0"/>
                <w:bCs/>
                <w:color w:val="auto"/>
                <w:lang w:val="en-US" w:eastAsia="zh-CN"/>
              </w:rPr>
              <w:t>00人</w:t>
            </w:r>
          </w:p>
        </w:tc>
        <w:tc>
          <w:tcPr>
            <w:tcW w:w="27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eastAsia="zh-CN"/>
              </w:rPr>
              <w:t>嘉川小学</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b w:val="0"/>
                <w:bCs/>
                <w:color w:val="auto"/>
                <w:lang w:val="en-US" w:eastAsia="zh-CN"/>
              </w:rPr>
            </w:pPr>
            <w:r>
              <w:rPr>
                <w:rFonts w:hint="eastAsia"/>
                <w:b w:val="0"/>
                <w:bCs/>
                <w:color w:val="auto"/>
                <w:lang w:val="en-US" w:eastAsia="zh-CN"/>
              </w:rPr>
              <w:t>SW，2600m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2000</w:t>
            </w:r>
            <w:r>
              <w:rPr>
                <w:rFonts w:hint="default" w:ascii="Times New Roman" w:hAnsi="Times New Roman" w:eastAsia="宋体"/>
                <w:b w:val="0"/>
                <w:bCs/>
                <w:color w:val="auto"/>
                <w:lang w:val="en-US" w:eastAsia="zh-CN"/>
              </w:rPr>
              <w:t>人</w:t>
            </w:r>
          </w:p>
        </w:tc>
        <w:tc>
          <w:tcPr>
            <w:tcW w:w="27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c>
          <w:tcPr>
            <w:tcW w:w="1302"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FF0000"/>
                <w:lang w:val="en-US" w:eastAsia="zh-CN"/>
              </w:rPr>
            </w:pPr>
            <w:r>
              <w:rPr>
                <w:rFonts w:hint="eastAsia"/>
                <w:b w:val="0"/>
                <w:bCs/>
                <w:lang w:eastAsia="zh-CN"/>
              </w:rPr>
              <w:t>德康医院</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SW，2000m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8</w:t>
            </w:r>
            <w:r>
              <w:rPr>
                <w:rFonts w:hint="default" w:ascii="Times New Roman" w:hAnsi="Times New Roman" w:eastAsia="宋体"/>
                <w:b w:val="0"/>
                <w:bCs/>
                <w:color w:val="auto"/>
                <w:lang w:val="en-US" w:eastAsia="zh-CN"/>
              </w:rPr>
              <w:t>00人</w:t>
            </w:r>
          </w:p>
        </w:tc>
        <w:tc>
          <w:tcPr>
            <w:tcW w:w="27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声环境</w:t>
            </w:r>
          </w:p>
        </w:tc>
        <w:tc>
          <w:tcPr>
            <w:tcW w:w="4960" w:type="dxa"/>
            <w:gridSpan w:val="3"/>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FF0000"/>
                <w:lang w:val="en-US" w:eastAsia="zh-CN"/>
              </w:rPr>
            </w:pPr>
            <w:r>
              <w:rPr>
                <w:rFonts w:hint="default" w:ascii="Times New Roman" w:hAnsi="Times New Roman" w:eastAsia="宋体"/>
                <w:b w:val="0"/>
                <w:bCs/>
                <w:color w:val="auto"/>
                <w:lang w:val="en-US" w:eastAsia="zh-CN"/>
              </w:rPr>
              <w:t>项目场界200m范围内无居民居住</w:t>
            </w: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满足《声环境质量标准》（GB3096-2008）2类标准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地表水环境</w:t>
            </w:r>
          </w:p>
        </w:tc>
        <w:tc>
          <w:tcPr>
            <w:tcW w:w="130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东河</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W</w:t>
            </w:r>
            <w:r>
              <w:rPr>
                <w:rFonts w:hint="default" w:ascii="Times New Roman" w:hAnsi="Times New Roman" w:eastAsia="宋体"/>
                <w:b w:val="0"/>
                <w:bCs/>
                <w:color w:val="auto"/>
                <w:lang w:val="en-US" w:eastAsia="zh-CN"/>
              </w:rPr>
              <w:t>，1</w:t>
            </w:r>
            <w:r>
              <w:rPr>
                <w:rFonts w:hint="eastAsia"/>
                <w:b w:val="0"/>
                <w:bCs/>
                <w:color w:val="auto"/>
                <w:lang w:val="en-US" w:eastAsia="zh-CN"/>
              </w:rPr>
              <w:t>6</w:t>
            </w:r>
            <w:r>
              <w:rPr>
                <w:rFonts w:hint="default" w:ascii="Times New Roman" w:hAnsi="Times New Roman" w:eastAsia="宋体"/>
                <w:b w:val="0"/>
                <w:bCs/>
                <w:color w:val="auto"/>
                <w:lang w:val="en-US" w:eastAsia="zh-CN"/>
              </w:rPr>
              <w:t>00m</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Ⅲ类水域</w:t>
            </w: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满足《地表水环境质量标准》（GB3838-2002）Ⅲ类标准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地下水环境</w:t>
            </w:r>
          </w:p>
        </w:tc>
        <w:tc>
          <w:tcPr>
            <w:tcW w:w="130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潜水含水层</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场界外</w:t>
            </w:r>
            <w:r>
              <w:rPr>
                <w:rFonts w:hint="eastAsia"/>
                <w:b w:val="0"/>
                <w:bCs/>
                <w:color w:val="auto"/>
                <w:lang w:val="en-US" w:eastAsia="zh-CN"/>
              </w:rPr>
              <w:t>5.04</w:t>
            </w:r>
            <w:r>
              <w:rPr>
                <w:rFonts w:hint="default" w:ascii="Times New Roman" w:hAnsi="Times New Roman" w:eastAsia="宋体"/>
                <w:b w:val="0"/>
                <w:bCs/>
                <w:color w:val="auto"/>
                <w:lang w:val="en-US" w:eastAsia="zh-CN"/>
              </w:rPr>
              <w:t xml:space="preserve"> km</w:t>
            </w:r>
            <w:r>
              <w:rPr>
                <w:rFonts w:hint="default" w:ascii="Times New Roman" w:hAnsi="Times New Roman" w:eastAsia="宋体"/>
                <w:b w:val="0"/>
                <w:bCs/>
                <w:color w:val="auto"/>
                <w:vertAlign w:val="superscript"/>
                <w:lang w:val="en-US" w:eastAsia="zh-CN"/>
              </w:rPr>
              <w:t>2</w:t>
            </w:r>
            <w:r>
              <w:rPr>
                <w:rFonts w:hint="default" w:ascii="Times New Roman" w:hAnsi="Times New Roman" w:eastAsia="宋体"/>
                <w:b w:val="0"/>
                <w:bCs/>
                <w:color w:val="auto"/>
                <w:lang w:val="en-US" w:eastAsia="zh-CN"/>
              </w:rPr>
              <w:t>范围</w:t>
            </w:r>
          </w:p>
        </w:tc>
        <w:tc>
          <w:tcPr>
            <w:tcW w:w="1558"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Ⅲ类标准</w:t>
            </w: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满足《地下水质量标准》（GB/T14848-2017）Ⅲ类标准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土壤环境</w:t>
            </w:r>
          </w:p>
        </w:tc>
        <w:tc>
          <w:tcPr>
            <w:tcW w:w="130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耕地、居住地</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eastAsia"/>
                <w:b w:val="0"/>
                <w:bCs/>
                <w:color w:val="auto"/>
                <w:lang w:val="en-US" w:eastAsia="zh-CN"/>
              </w:rPr>
              <w:t>项目厂界范围外1km</w:t>
            </w:r>
          </w:p>
        </w:tc>
        <w:tc>
          <w:tcPr>
            <w:tcW w:w="1558" w:type="dxa"/>
            <w:vMerge w:val="restart"/>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不因项目的建设导致环境恶化</w:t>
            </w: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eastAsia"/>
                <w:b w:val="0"/>
                <w:bCs/>
                <w:lang w:val="en-US" w:eastAsia="zh-CN"/>
              </w:rPr>
              <w:t>满足相关土壤质量标准要求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lang w:val="en-US" w:eastAsia="zh-CN"/>
              </w:rPr>
            </w:pPr>
            <w:r>
              <w:rPr>
                <w:rFonts w:hint="default" w:ascii="Times New Roman" w:hAnsi="Times New Roman" w:eastAsia="宋体"/>
                <w:b w:val="0"/>
                <w:bCs/>
                <w:lang w:val="en-US" w:eastAsia="zh-CN"/>
              </w:rPr>
              <w:t>生态环境</w:t>
            </w:r>
          </w:p>
        </w:tc>
        <w:tc>
          <w:tcPr>
            <w:tcW w:w="1302"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现有自然生态环境</w:t>
            </w:r>
          </w:p>
        </w:tc>
        <w:tc>
          <w:tcPr>
            <w:tcW w:w="2100"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项目选址区域场界外1000m范围</w:t>
            </w:r>
          </w:p>
        </w:tc>
        <w:tc>
          <w:tcPr>
            <w:tcW w:w="1558" w:type="dxa"/>
            <w:vMerge w:val="continue"/>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p>
        </w:tc>
        <w:tc>
          <w:tcPr>
            <w:tcW w:w="2754" w:type="dxa"/>
            <w:noWrap w:val="0"/>
            <w:vAlign w:val="center"/>
          </w:tcPr>
          <w:p>
            <w:pPr>
              <w:pStyle w:val="352"/>
              <w:keepNext w:val="0"/>
              <w:keepLines w:val="0"/>
              <w:suppressLineNumbers w:val="0"/>
              <w:bidi w:val="0"/>
              <w:spacing w:before="0" w:beforeAutospacing="0" w:after="0" w:afterAutospacing="0"/>
              <w:ind w:left="0" w:right="0"/>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w:t>
            </w:r>
          </w:p>
        </w:tc>
      </w:tr>
    </w:tbl>
    <w:p>
      <w:pPr>
        <w:pStyle w:val="352"/>
        <w:bidi w:val="0"/>
        <w:rPr>
          <w:rFonts w:hint="default" w:ascii="Times New Roman" w:hAnsi="Times New Roman" w:eastAsia="宋体"/>
          <w:lang w:val="en-US" w:eastAsia="zh-CN"/>
        </w:rPr>
      </w:pPr>
    </w:p>
    <w:p>
      <w:pPr>
        <w:pStyle w:val="3"/>
        <w:rPr>
          <w:rFonts w:hint="eastAsia" w:ascii="Times New Roman" w:hAnsi="Times New Roman" w:eastAsia="宋体"/>
          <w:sz w:val="28"/>
          <w:szCs w:val="28"/>
          <w:u w:val="none"/>
          <w:lang w:val="en-US" w:eastAsia="zh-CN"/>
        </w:rPr>
      </w:pPr>
      <w:bookmarkStart w:id="32" w:name="_Toc22888"/>
      <w:r>
        <w:rPr>
          <w:rFonts w:hint="eastAsia" w:ascii="Times New Roman" w:hAnsi="Times New Roman" w:eastAsia="宋体"/>
          <w:sz w:val="28"/>
          <w:szCs w:val="28"/>
          <w:u w:val="none"/>
          <w:lang w:val="en-US" w:eastAsia="zh-CN"/>
        </w:rPr>
        <w:t>2.6产业政策及规划符合性分析</w:t>
      </w:r>
      <w:bookmarkEnd w:id="32"/>
    </w:p>
    <w:p>
      <w:pPr>
        <w:topLinePunct/>
        <w:spacing w:line="360" w:lineRule="auto"/>
        <w:ind w:firstLine="482" w:firstLineChars="200"/>
        <w:jc w:val="left"/>
        <w:rPr>
          <w:rFonts w:hint="eastAsia" w:ascii="宋体" w:hAnsi="宋体" w:eastAsia="宋体" w:cs="宋体"/>
          <w:b/>
          <w:bCs/>
          <w:sz w:val="24"/>
          <w:u w:val="none"/>
        </w:rPr>
      </w:pPr>
      <w:r>
        <w:rPr>
          <w:rFonts w:hint="eastAsia" w:ascii="宋体" w:hAnsi="宋体" w:cs="宋体"/>
          <w:b/>
          <w:bCs/>
          <w:sz w:val="24"/>
          <w:u w:val="none"/>
          <w:lang w:val="en-US" w:eastAsia="zh-CN"/>
        </w:rPr>
        <w:t>2.6.1</w:t>
      </w:r>
      <w:r>
        <w:rPr>
          <w:rFonts w:hint="eastAsia" w:ascii="宋体" w:hAnsi="宋体" w:eastAsia="宋体" w:cs="宋体"/>
          <w:b/>
          <w:bCs/>
          <w:sz w:val="24"/>
          <w:u w:val="none"/>
        </w:rPr>
        <w:t>“三线一单”符合性分析</w:t>
      </w:r>
    </w:p>
    <w:p>
      <w:pPr>
        <w:topLinePunct/>
        <w:spacing w:line="360" w:lineRule="auto"/>
        <w:ind w:firstLine="480" w:firstLineChars="200"/>
        <w:jc w:val="left"/>
        <w:rPr>
          <w:sz w:val="24"/>
          <w:u w:val="none"/>
        </w:rPr>
      </w:pPr>
      <w:r>
        <w:rPr>
          <w:rFonts w:hint="eastAsia"/>
          <w:sz w:val="24"/>
          <w:u w:val="none"/>
          <w:lang w:val="en-US" w:eastAsia="zh-CN"/>
        </w:rPr>
        <w:t>1、</w:t>
      </w:r>
      <w:r>
        <w:rPr>
          <w:sz w:val="24"/>
          <w:u w:val="none"/>
        </w:rPr>
        <w:t>生态保护红线</w:t>
      </w:r>
    </w:p>
    <w:p>
      <w:pPr>
        <w:topLinePunct/>
        <w:spacing w:line="360" w:lineRule="auto"/>
        <w:ind w:firstLine="480" w:firstLineChars="200"/>
        <w:jc w:val="left"/>
        <w:rPr>
          <w:sz w:val="24"/>
          <w:u w:val="none"/>
        </w:rPr>
      </w:pPr>
      <w:r>
        <w:rPr>
          <w:sz w:val="24"/>
          <w:u w:val="none"/>
        </w:rPr>
        <w:t>本项目位于</w:t>
      </w:r>
      <w:r>
        <w:rPr>
          <w:rFonts w:hint="eastAsia"/>
          <w:sz w:val="24"/>
          <w:u w:val="none"/>
          <w:lang w:val="en-US" w:eastAsia="zh-CN"/>
        </w:rPr>
        <w:t>旺苍县东河镇嘉川镇石桥村</w:t>
      </w:r>
      <w:r>
        <w:rPr>
          <w:sz w:val="24"/>
          <w:u w:val="none"/>
        </w:rPr>
        <w:t>（地理位置图见附图1），根据《四川省生态保护红线实施意见》，项目建设不涉及《四川省生态保护红线实施意见》划定的生态红线区域，项目建设符合四川省生态保护红线实施意见的相关要求。</w:t>
      </w:r>
    </w:p>
    <w:p>
      <w:pPr>
        <w:topLinePunct/>
        <w:spacing w:line="360" w:lineRule="auto"/>
        <w:ind w:firstLine="480" w:firstLineChars="200"/>
        <w:jc w:val="left"/>
        <w:rPr>
          <w:sz w:val="24"/>
          <w:u w:val="none"/>
        </w:rPr>
      </w:pPr>
      <w:r>
        <w:rPr>
          <w:rFonts w:hint="eastAsia"/>
          <w:sz w:val="24"/>
          <w:u w:val="none"/>
          <w:lang w:val="en-US" w:eastAsia="zh-CN"/>
        </w:rPr>
        <w:t>2、</w:t>
      </w:r>
      <w:r>
        <w:rPr>
          <w:sz w:val="24"/>
          <w:u w:val="none"/>
        </w:rPr>
        <w:t>环境质量底线</w:t>
      </w:r>
    </w:p>
    <w:p>
      <w:pPr>
        <w:topLinePunct/>
        <w:spacing w:line="360" w:lineRule="auto"/>
        <w:ind w:firstLine="480" w:firstLineChars="200"/>
        <w:jc w:val="left"/>
        <w:rPr>
          <w:sz w:val="24"/>
          <w:u w:val="none"/>
        </w:rPr>
      </w:pPr>
      <w:r>
        <w:rPr>
          <w:sz w:val="24"/>
          <w:u w:val="none"/>
        </w:rPr>
        <w:t>根据</w:t>
      </w:r>
      <w:r>
        <w:rPr>
          <w:rFonts w:hint="eastAsia"/>
          <w:sz w:val="24"/>
          <w:u w:val="none"/>
          <w:lang w:eastAsia="zh-CN"/>
        </w:rPr>
        <w:t>旺苍县生态环境局发布的环境信息以及本项目现状监测</w:t>
      </w:r>
      <w:r>
        <w:rPr>
          <w:sz w:val="24"/>
          <w:u w:val="none"/>
        </w:rPr>
        <w:t>，</w:t>
      </w:r>
      <w:r>
        <w:rPr>
          <w:rFonts w:hint="eastAsia"/>
          <w:sz w:val="24"/>
          <w:u w:val="none"/>
          <w:lang w:eastAsia="zh-CN"/>
        </w:rPr>
        <w:t>本</w:t>
      </w:r>
      <w:r>
        <w:rPr>
          <w:sz w:val="24"/>
          <w:u w:val="none"/>
        </w:rPr>
        <w:t>项目</w:t>
      </w:r>
      <w:r>
        <w:rPr>
          <w:rFonts w:hint="eastAsia"/>
          <w:sz w:val="24"/>
          <w:u w:val="none"/>
          <w:lang w:eastAsia="zh-CN"/>
        </w:rPr>
        <w:t>所在区域环境质量良好，可容纳本项目的建设。</w:t>
      </w:r>
    </w:p>
    <w:p>
      <w:pPr>
        <w:topLinePunct/>
        <w:spacing w:line="360" w:lineRule="auto"/>
        <w:ind w:firstLine="480" w:firstLineChars="200"/>
        <w:jc w:val="left"/>
        <w:rPr>
          <w:sz w:val="24"/>
          <w:u w:val="none"/>
        </w:rPr>
      </w:pPr>
      <w:r>
        <w:rPr>
          <w:rFonts w:hint="eastAsia"/>
          <w:sz w:val="24"/>
          <w:u w:val="none"/>
          <w:lang w:val="en-US" w:eastAsia="zh-CN"/>
        </w:rPr>
        <w:t>3、</w:t>
      </w:r>
      <w:r>
        <w:rPr>
          <w:sz w:val="24"/>
          <w:u w:val="none"/>
        </w:rPr>
        <w:t>资源利用上线</w:t>
      </w:r>
    </w:p>
    <w:p>
      <w:pPr>
        <w:topLinePunct/>
        <w:spacing w:line="360" w:lineRule="auto"/>
        <w:ind w:firstLine="480" w:firstLineChars="200"/>
        <w:jc w:val="left"/>
        <w:rPr>
          <w:sz w:val="24"/>
          <w:u w:val="none"/>
        </w:rPr>
      </w:pPr>
      <w:r>
        <w:rPr>
          <w:sz w:val="24"/>
          <w:u w:val="none"/>
        </w:rPr>
        <w:t>本项目为</w:t>
      </w:r>
      <w:r>
        <w:rPr>
          <w:rFonts w:hint="eastAsia"/>
          <w:sz w:val="24"/>
          <w:u w:val="none"/>
          <w:lang w:eastAsia="zh-CN"/>
        </w:rPr>
        <w:t>医疗废物集中处置</w:t>
      </w:r>
      <w:r>
        <w:rPr>
          <w:sz w:val="24"/>
          <w:u w:val="none"/>
        </w:rPr>
        <w:t>项目，所需资源为土地资源、水资源，项目</w:t>
      </w:r>
      <w:r>
        <w:rPr>
          <w:rFonts w:hint="eastAsia"/>
          <w:sz w:val="24"/>
          <w:u w:val="none"/>
          <w:lang w:eastAsia="zh-CN"/>
        </w:rPr>
        <w:t>选址于旺苍县嘉川镇石桥村</w:t>
      </w:r>
      <w:r>
        <w:rPr>
          <w:sz w:val="24"/>
          <w:u w:val="none"/>
        </w:rPr>
        <w:t>，项目</w:t>
      </w:r>
      <w:r>
        <w:rPr>
          <w:rFonts w:hint="eastAsia"/>
          <w:sz w:val="24"/>
          <w:u w:val="none"/>
          <w:lang w:eastAsia="zh-CN"/>
        </w:rPr>
        <w:t>占地</w:t>
      </w:r>
      <w:r>
        <w:rPr>
          <w:rFonts w:hint="eastAsia"/>
          <w:sz w:val="24"/>
          <w:u w:val="none"/>
          <w:lang w:val="en-US" w:eastAsia="zh-CN"/>
        </w:rPr>
        <w:t>2898.89平方米，符合《旺苍县（中心城区）土地利用总体规划（2006-2020）》</w:t>
      </w:r>
      <w:r>
        <w:rPr>
          <w:sz w:val="24"/>
          <w:u w:val="none"/>
        </w:rPr>
        <w:t>，未涉及土地资源利用上线；项目用水主要为生产用水和生活用</w:t>
      </w:r>
      <w:r>
        <w:rPr>
          <w:color w:val="auto"/>
          <w:sz w:val="24"/>
          <w:u w:val="none"/>
        </w:rPr>
        <w:t>水，</w:t>
      </w:r>
      <w:r>
        <w:rPr>
          <w:rFonts w:hint="eastAsia"/>
          <w:color w:val="auto"/>
          <w:sz w:val="24"/>
          <w:u w:val="none"/>
          <w:lang w:eastAsia="zh-CN"/>
        </w:rPr>
        <w:t>其中生产用水大部分用废水处理站处理过后的中水，污水处理站回用率</w:t>
      </w:r>
      <w:r>
        <w:rPr>
          <w:rFonts w:hint="eastAsia"/>
          <w:color w:val="auto"/>
          <w:sz w:val="24"/>
          <w:u w:val="none"/>
          <w:lang w:val="en-US" w:eastAsia="zh-CN"/>
        </w:rPr>
        <w:t>100%</w:t>
      </w:r>
      <w:r>
        <w:rPr>
          <w:rFonts w:hint="eastAsia"/>
          <w:color w:val="auto"/>
          <w:sz w:val="24"/>
          <w:u w:val="none"/>
          <w:lang w:eastAsia="zh-CN"/>
        </w:rPr>
        <w:t>。本项目新鲜</w:t>
      </w:r>
      <w:r>
        <w:rPr>
          <w:color w:val="auto"/>
          <w:sz w:val="24"/>
          <w:u w:val="none"/>
        </w:rPr>
        <w:t>用水量为</w:t>
      </w:r>
      <w:r>
        <w:rPr>
          <w:rFonts w:hint="eastAsia"/>
          <w:color w:val="auto"/>
          <w:sz w:val="24"/>
          <w:u w:val="none"/>
          <w:lang w:val="en-US" w:eastAsia="zh-CN"/>
        </w:rPr>
        <w:t>1686</w:t>
      </w:r>
      <w:r>
        <w:rPr>
          <w:color w:val="auto"/>
          <w:sz w:val="24"/>
          <w:u w:val="none"/>
        </w:rPr>
        <w:t>m³/a，用水来自城市自来水厂，未涉及水资源利用上线。</w:t>
      </w:r>
    </w:p>
    <w:p>
      <w:pPr>
        <w:topLinePunct/>
        <w:spacing w:line="360" w:lineRule="auto"/>
        <w:ind w:firstLine="480" w:firstLineChars="200"/>
        <w:jc w:val="left"/>
        <w:rPr>
          <w:sz w:val="24"/>
          <w:u w:val="none"/>
        </w:rPr>
      </w:pPr>
      <w:r>
        <w:rPr>
          <w:rFonts w:hint="eastAsia"/>
          <w:sz w:val="24"/>
          <w:u w:val="none"/>
          <w:lang w:val="en-US" w:eastAsia="zh-CN"/>
        </w:rPr>
        <w:t>4、</w:t>
      </w:r>
      <w:r>
        <w:rPr>
          <w:sz w:val="24"/>
          <w:u w:val="none"/>
        </w:rPr>
        <w:t>环境准入负面清单</w:t>
      </w:r>
    </w:p>
    <w:p>
      <w:pPr>
        <w:topLinePunct/>
        <w:spacing w:line="360" w:lineRule="auto"/>
        <w:ind w:firstLine="480" w:firstLineChars="200"/>
        <w:jc w:val="left"/>
        <w:rPr>
          <w:sz w:val="24"/>
          <w:u w:val="none"/>
        </w:rPr>
      </w:pPr>
      <w:r>
        <w:rPr>
          <w:rFonts w:hint="eastAsia"/>
          <w:sz w:val="24"/>
          <w:u w:val="none"/>
          <w:lang w:eastAsia="zh-CN"/>
        </w:rPr>
        <w:t>根据</w:t>
      </w:r>
      <w:r>
        <w:rPr>
          <w:rFonts w:hint="eastAsia"/>
          <w:sz w:val="24"/>
          <w:u w:val="none"/>
        </w:rPr>
        <w:t>《四川省国家重点生态功能区产业准入负面清单（第一批）</w:t>
      </w:r>
      <w:r>
        <w:rPr>
          <w:rFonts w:hint="eastAsia"/>
          <w:sz w:val="24"/>
          <w:u w:val="none"/>
          <w:lang w:eastAsia="zh-CN"/>
        </w:rPr>
        <w:t>（试行）</w:t>
      </w:r>
      <w:r>
        <w:rPr>
          <w:rFonts w:hint="eastAsia"/>
          <w:sz w:val="24"/>
          <w:u w:val="none"/>
        </w:rPr>
        <w:t>》</w:t>
      </w:r>
      <w:r>
        <w:rPr>
          <w:rFonts w:hint="eastAsia"/>
          <w:sz w:val="24"/>
          <w:u w:val="none"/>
          <w:lang w:eastAsia="zh-CN"/>
        </w:rPr>
        <w:t>，</w:t>
      </w:r>
      <w:r>
        <w:rPr>
          <w:sz w:val="24"/>
          <w:u w:val="none"/>
        </w:rPr>
        <w:t>本项目</w:t>
      </w:r>
      <w:r>
        <w:rPr>
          <w:rFonts w:hint="eastAsia"/>
          <w:sz w:val="24"/>
          <w:u w:val="none"/>
          <w:lang w:eastAsia="zh-CN"/>
        </w:rPr>
        <w:t>不在旺苍县产业准入负面清单内</w:t>
      </w:r>
      <w:r>
        <w:rPr>
          <w:sz w:val="24"/>
          <w:u w:val="none"/>
        </w:rPr>
        <w:t>。</w:t>
      </w:r>
    </w:p>
    <w:p>
      <w:pPr>
        <w:topLinePunct/>
        <w:spacing w:line="360" w:lineRule="auto"/>
        <w:ind w:firstLine="480" w:firstLineChars="200"/>
        <w:jc w:val="left"/>
        <w:rPr>
          <w:sz w:val="24"/>
          <w:u w:val="none"/>
        </w:rPr>
      </w:pPr>
      <w:r>
        <w:rPr>
          <w:sz w:val="24"/>
          <w:u w:val="none"/>
        </w:rPr>
        <w:t>综上，经过</w:t>
      </w:r>
      <w:r>
        <w:rPr>
          <w:rFonts w:hint="eastAsia" w:ascii="宋体" w:hAnsi="宋体" w:eastAsia="宋体" w:cs="宋体"/>
          <w:sz w:val="24"/>
          <w:u w:val="none"/>
        </w:rPr>
        <w:t>“三线一单”</w:t>
      </w:r>
      <w:r>
        <w:rPr>
          <w:sz w:val="24"/>
          <w:u w:val="none"/>
        </w:rPr>
        <w:t>进行对照后，项目不在生态保护红线内、未超出环境质量底线及资源利用上线、未列入环境准入负面清单内。</w:t>
      </w:r>
    </w:p>
    <w:p>
      <w:pPr>
        <w:topLinePunct/>
        <w:spacing w:line="360" w:lineRule="auto"/>
        <w:ind w:firstLine="482" w:firstLineChars="200"/>
        <w:jc w:val="left"/>
        <w:rPr>
          <w:rFonts w:hint="eastAsia" w:ascii="宋体" w:hAnsi="宋体" w:eastAsia="宋体" w:cs="宋体"/>
          <w:b/>
          <w:bCs/>
          <w:sz w:val="24"/>
          <w:u w:val="none"/>
        </w:rPr>
      </w:pPr>
      <w:r>
        <w:rPr>
          <w:rFonts w:hint="eastAsia" w:ascii="宋体" w:hAnsi="宋体" w:eastAsia="宋体" w:cs="宋体"/>
          <w:b/>
          <w:bCs/>
          <w:sz w:val="24"/>
          <w:u w:val="none"/>
          <w:lang w:val="en-US" w:eastAsia="zh-CN"/>
        </w:rPr>
        <w:t>2.6.2</w:t>
      </w:r>
      <w:r>
        <w:rPr>
          <w:rFonts w:hint="eastAsia" w:ascii="宋体" w:hAnsi="宋体" w:eastAsia="宋体" w:cs="宋体"/>
          <w:b/>
          <w:bCs/>
          <w:sz w:val="24"/>
          <w:u w:val="none"/>
        </w:rPr>
        <w:t>产业政策符合性分析</w:t>
      </w:r>
    </w:p>
    <w:p>
      <w:pPr>
        <w:topLinePunct/>
        <w:spacing w:line="360" w:lineRule="auto"/>
        <w:ind w:firstLine="480" w:firstLineChars="200"/>
        <w:jc w:val="left"/>
        <w:rPr>
          <w:rFonts w:hint="default"/>
          <w:sz w:val="24"/>
          <w:u w:val="none"/>
          <w:lang w:val="en-US" w:eastAsia="zh-CN"/>
        </w:rPr>
      </w:pPr>
      <w:r>
        <w:rPr>
          <w:rFonts w:hint="eastAsia"/>
          <w:sz w:val="24"/>
          <w:u w:val="none"/>
          <w:lang w:val="en-US" w:eastAsia="zh-CN"/>
        </w:rPr>
        <w:t>本项目为医疗废物集中处置中心建设项目，</w:t>
      </w:r>
      <w:r>
        <w:rPr>
          <w:sz w:val="24"/>
          <w:u w:val="none"/>
        </w:rPr>
        <w:t>根据国民经济行业分类，本项目属于</w:t>
      </w:r>
      <w:r>
        <w:rPr>
          <w:rFonts w:hint="eastAsia"/>
          <w:sz w:val="24"/>
          <w:u w:val="none"/>
          <w:lang w:eastAsia="zh-CN"/>
        </w:rPr>
        <w:t>名录中</w:t>
      </w:r>
      <w:r>
        <w:rPr>
          <w:rFonts w:hint="eastAsia" w:asciiTheme="minorEastAsia" w:hAnsiTheme="minorEastAsia" w:eastAsiaTheme="minorEastAsia" w:cstheme="minorEastAsia"/>
          <w:sz w:val="24"/>
          <w:u w:val="none"/>
        </w:rPr>
        <w:t>“</w:t>
      </w:r>
      <w:r>
        <w:rPr>
          <w:rFonts w:hint="eastAsia" w:asciiTheme="minorEastAsia" w:hAnsiTheme="minorEastAsia" w:eastAsiaTheme="minorEastAsia" w:cstheme="minorEastAsia"/>
          <w:sz w:val="24"/>
          <w:u w:val="none"/>
          <w:lang w:val="en-US" w:eastAsia="zh-CN"/>
        </w:rPr>
        <w:t>N7724危险废物治理</w:t>
      </w:r>
      <w:r>
        <w:rPr>
          <w:rFonts w:hint="eastAsia" w:asciiTheme="minorEastAsia" w:hAnsiTheme="minorEastAsia" w:eastAsiaTheme="minorEastAsia" w:cstheme="minorEastAsia"/>
          <w:sz w:val="24"/>
          <w:u w:val="none"/>
        </w:rPr>
        <w:t>”</w:t>
      </w:r>
      <w:r>
        <w:rPr>
          <w:rFonts w:hint="eastAsia" w:asciiTheme="minorEastAsia" w:hAnsiTheme="minorEastAsia" w:eastAsiaTheme="minorEastAsia" w:cstheme="minorEastAsia"/>
          <w:sz w:val="24"/>
          <w:u w:val="none"/>
          <w:lang w:eastAsia="zh-CN"/>
        </w:rPr>
        <w:t>类</w:t>
      </w:r>
      <w:r>
        <w:rPr>
          <w:rFonts w:hint="eastAsia"/>
          <w:sz w:val="24"/>
          <w:u w:val="none"/>
          <w:lang w:val="en-US" w:eastAsia="zh-CN"/>
        </w:rPr>
        <w:t>，根据2013年5月1日起实施的《产业结构调整指导目录（2011年本）（2013年修正）》，本项目属于“鼓励类”中“三十八、环境保护与资源节约综合利用：8、危险废物（放射性废物、核设施退役工程、医疗废物、含重金属废弃物）安全处置技术设备开发制造及处置中心建设”类别，因此，本项目建设与国家产业政策相符。</w:t>
      </w:r>
    </w:p>
    <w:p>
      <w:pPr>
        <w:topLinePunct/>
        <w:spacing w:line="360" w:lineRule="auto"/>
        <w:ind w:firstLine="480" w:firstLineChars="200"/>
        <w:jc w:val="left"/>
        <w:rPr>
          <w:sz w:val="24"/>
          <w:u w:val="none"/>
        </w:rPr>
      </w:pPr>
      <w:r>
        <w:rPr>
          <w:sz w:val="24"/>
          <w:u w:val="none"/>
        </w:rPr>
        <w:t>综上，本项目符合国家现行产业政策。</w:t>
      </w:r>
    </w:p>
    <w:p>
      <w:pPr>
        <w:topLinePunct/>
        <w:spacing w:line="360" w:lineRule="auto"/>
        <w:ind w:firstLine="482" w:firstLineChars="200"/>
        <w:jc w:val="left"/>
        <w:rPr>
          <w:rFonts w:hint="eastAsia" w:ascii="宋体" w:hAnsi="宋体" w:eastAsia="宋体" w:cs="宋体"/>
          <w:b/>
          <w:bCs/>
          <w:sz w:val="24"/>
          <w:u w:val="none"/>
          <w:lang w:val="en-US" w:eastAsia="zh-CN"/>
        </w:rPr>
      </w:pPr>
      <w:r>
        <w:rPr>
          <w:rFonts w:hint="eastAsia" w:ascii="宋体" w:hAnsi="宋体" w:eastAsia="宋体" w:cs="宋体"/>
          <w:b/>
          <w:bCs/>
          <w:sz w:val="24"/>
          <w:u w:val="none"/>
          <w:lang w:val="en-US" w:eastAsia="zh-CN"/>
        </w:rPr>
        <w:t>2.6.3相关规划符合性分析</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1、与《“十三五”生态环境保护规划》符合性分析</w:t>
      </w:r>
    </w:p>
    <w:p>
      <w:pPr>
        <w:topLinePunct/>
        <w:spacing w:line="360" w:lineRule="auto"/>
        <w:ind w:firstLine="480" w:firstLineChars="200"/>
        <w:jc w:val="left"/>
        <w:rPr>
          <w:rFonts w:hint="eastAsia"/>
          <w:sz w:val="24"/>
          <w:u w:val="none"/>
          <w:lang w:val="en-US" w:eastAsia="zh-CN"/>
        </w:rPr>
      </w:pPr>
      <w:r>
        <w:rPr>
          <w:rFonts w:hint="eastAsia" w:ascii="宋体" w:hAnsi="宋体" w:eastAsia="宋体" w:cs="宋体"/>
          <w:sz w:val="24"/>
          <w:u w:val="none"/>
          <w:lang w:val="en-US" w:eastAsia="zh-CN"/>
        </w:rPr>
        <w:t>根据《“十三五”</w:t>
      </w:r>
      <w:r>
        <w:rPr>
          <w:rFonts w:hint="default"/>
          <w:sz w:val="24"/>
          <w:u w:val="none"/>
          <w:lang w:val="en-US" w:eastAsia="zh-CN"/>
        </w:rPr>
        <w:t>生态环境保护规划》</w:t>
      </w:r>
      <w:r>
        <w:rPr>
          <w:rFonts w:hint="eastAsia"/>
          <w:sz w:val="24"/>
          <w:u w:val="none"/>
          <w:lang w:val="en-US" w:eastAsia="zh-CN"/>
        </w:rPr>
        <w:t>关于推进医疗废物安全处置的要求：“扩大医疗废物集中处置设施服务范围，建立区域医疗废物协同与应急处置机制，因地制宜推进农村、乡镇和偏远地区医疗废物安全处置。”</w:t>
      </w:r>
    </w:p>
    <w:p>
      <w:pPr>
        <w:topLinePunct/>
        <w:spacing w:line="360" w:lineRule="auto"/>
        <w:ind w:firstLine="480" w:firstLineChars="200"/>
        <w:jc w:val="left"/>
        <w:rPr>
          <w:rFonts w:hint="eastAsia" w:eastAsia="宋体"/>
          <w:sz w:val="24"/>
          <w:u w:val="none"/>
          <w:lang w:val="en-US" w:eastAsia="zh-CN"/>
        </w:rPr>
      </w:pPr>
      <w:r>
        <w:rPr>
          <w:rFonts w:hint="eastAsia"/>
          <w:sz w:val="24"/>
          <w:u w:val="none"/>
          <w:lang w:val="en-US" w:eastAsia="zh-CN"/>
        </w:rPr>
        <w:t>本项目选址于旺苍县嘉川镇石桥村内，主要负责收集处理旺苍县及管辖区各乡镇各级医疗机构产生的医疗废弃物，符合《“十三五”生态环境保护规划》相关要求。</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2、与《四川省危险废物集中处置设施建设规划（2017-2022年）》符合性分析</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根据《四川省危险废物集中处置设施建设规划（2017-2022年）》要求，到2020年全省医疗废物处置能力达到14.29万吨/年，新增能力8.92万吨/年。为实现这一目标，规划要求：加快推进旺苍县、剑阁县、大英县、营山县、茂县、丹巴县、乡城县、甘孜县、会理县、盐源县、雷波县、昭觉县、普格县、冕宁县、甘洛县等产生量大区域或偏远地区的医疗废物集中处置设施建设，鼓励采取高温蒸汽处理、化学消毒和微波消毒等非焚烧方式，有效辐射周边区域，实现区域医疗废物集中收集、无害化处置。</w:t>
      </w:r>
    </w:p>
    <w:p>
      <w:pPr>
        <w:topLinePunct/>
        <w:spacing w:line="360" w:lineRule="auto"/>
        <w:ind w:firstLine="480" w:firstLineChars="200"/>
        <w:jc w:val="left"/>
        <w:rPr>
          <w:rFonts w:hint="default"/>
          <w:sz w:val="24"/>
          <w:u w:val="none"/>
          <w:lang w:val="en-US" w:eastAsia="zh-CN"/>
        </w:rPr>
      </w:pPr>
      <w:r>
        <w:rPr>
          <w:rFonts w:hint="eastAsia"/>
          <w:sz w:val="24"/>
          <w:u w:val="none"/>
          <w:lang w:val="en-US" w:eastAsia="zh-CN"/>
        </w:rPr>
        <w:t>本项目选址于旺苍县嘉川镇石桥村内，项目采用微波消毒工艺进行医疗废物的集中、无害化处置，年处置量为800t/a。因此，本项目与《四川省危险废物集中处置设施建设规划（2017-2022年）》相符。</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2、与《广元市医疗废物集中处置管理办法》符合性分析</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根据《广元市医疗废物集中处置管理办法》的要求，医疗废物集中处置单位收集、运输、贮存和处置医疗废物应当符合国家规定的环境保护、卫生标准与规范。</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医疗废物运输路线避开人群密集区和人群出没频繁时段，选择最短的运输路线，最大限度的减小意外事故带来的环境污染和病毒感染；项目厂区内设有专门的医疗废物储存场所，医疗废物卸料场地、暂时储存库、冷藏库等设施的设计、运行、安全防护等满足《危险废物贮存污染控制标准》和《医疗卫生机构医疗废物管理办法》的有关要求；项目采用微波消毒工艺进行医疗废物的集中处置，具有杀菌谱广、无残留物、除臭效果好、清洁卫生等特点，可用于感染性和损伤性医疗废物的处理。因此，本项目的建设符合《广元市医疗废物集中处置管理办法》相关要求。</w:t>
      </w:r>
    </w:p>
    <w:p>
      <w:pPr>
        <w:pStyle w:val="3"/>
        <w:rPr>
          <w:rFonts w:hint="eastAsia" w:ascii="Times New Roman" w:hAnsi="Times New Roman" w:eastAsia="宋体"/>
          <w:sz w:val="28"/>
          <w:szCs w:val="28"/>
          <w:u w:val="none"/>
          <w:lang w:val="en-US" w:eastAsia="zh-CN"/>
        </w:rPr>
      </w:pPr>
      <w:bookmarkStart w:id="33" w:name="_Toc20392"/>
      <w:r>
        <w:rPr>
          <w:rFonts w:hint="eastAsia" w:ascii="Times New Roman" w:hAnsi="Times New Roman" w:eastAsia="宋体"/>
          <w:sz w:val="28"/>
          <w:szCs w:val="28"/>
          <w:u w:val="none"/>
          <w:lang w:val="en-US" w:eastAsia="zh-CN"/>
        </w:rPr>
        <w:t>2.7项目选址合理性分析</w:t>
      </w:r>
      <w:bookmarkEnd w:id="33"/>
    </w:p>
    <w:p>
      <w:pPr>
        <w:topLinePunct/>
        <w:spacing w:line="360" w:lineRule="auto"/>
        <w:ind w:firstLine="482" w:firstLineChars="200"/>
        <w:jc w:val="left"/>
        <w:rPr>
          <w:rFonts w:hint="eastAsia" w:ascii="宋体" w:hAnsi="宋体" w:eastAsia="宋体" w:cs="宋体"/>
          <w:b/>
          <w:bCs/>
          <w:sz w:val="24"/>
          <w:u w:val="none"/>
          <w:lang w:val="en-US" w:eastAsia="zh-CN"/>
        </w:rPr>
      </w:pPr>
      <w:r>
        <w:rPr>
          <w:rFonts w:hint="eastAsia" w:ascii="宋体" w:hAnsi="宋体" w:eastAsia="宋体" w:cs="宋体"/>
          <w:b/>
          <w:bCs/>
          <w:sz w:val="24"/>
          <w:u w:val="none"/>
          <w:lang w:val="en-US" w:eastAsia="zh-CN"/>
        </w:rPr>
        <w:t>2.7.1与用地规划符合性分析</w:t>
      </w:r>
    </w:p>
    <w:p>
      <w:pPr>
        <w:topLinePunct/>
        <w:spacing w:line="360" w:lineRule="auto"/>
        <w:ind w:firstLine="480" w:firstLineChars="200"/>
        <w:jc w:val="left"/>
        <w:rPr>
          <w:rFonts w:hint="eastAsia" w:eastAsia="宋体"/>
          <w:sz w:val="24"/>
          <w:u w:val="none"/>
          <w:lang w:eastAsia="zh-CN"/>
        </w:rPr>
      </w:pPr>
      <w:r>
        <w:rPr>
          <w:sz w:val="24"/>
          <w:u w:val="none"/>
        </w:rPr>
        <w:t>本项目拟选址于</w:t>
      </w:r>
      <w:r>
        <w:rPr>
          <w:rFonts w:hint="eastAsia"/>
          <w:sz w:val="24"/>
          <w:u w:val="none"/>
          <w:lang w:eastAsia="zh-CN"/>
        </w:rPr>
        <w:t>旺苍县嘉川镇石桥村</w:t>
      </w:r>
      <w:r>
        <w:rPr>
          <w:sz w:val="24"/>
          <w:u w:val="none"/>
        </w:rPr>
        <w:t>内，</w:t>
      </w:r>
      <w:r>
        <w:rPr>
          <w:rFonts w:hint="eastAsia"/>
          <w:sz w:val="24"/>
          <w:u w:val="none"/>
          <w:lang w:eastAsia="zh-CN"/>
        </w:rPr>
        <w:t>根据《旺苍县自然资源局关于旺苍县医疗废物处置中心建设用地预审的复函》（旺自然资函【</w:t>
      </w:r>
      <w:r>
        <w:rPr>
          <w:rFonts w:hint="eastAsia"/>
          <w:sz w:val="24"/>
          <w:u w:val="none"/>
          <w:lang w:val="en-US" w:eastAsia="zh-CN"/>
        </w:rPr>
        <w:t>2019</w:t>
      </w:r>
      <w:r>
        <w:rPr>
          <w:rFonts w:hint="eastAsia"/>
          <w:sz w:val="24"/>
          <w:u w:val="none"/>
          <w:lang w:eastAsia="zh-CN"/>
        </w:rPr>
        <w:t>】</w:t>
      </w:r>
      <w:r>
        <w:rPr>
          <w:rFonts w:hint="eastAsia"/>
          <w:sz w:val="24"/>
          <w:u w:val="none"/>
          <w:lang w:val="en-US" w:eastAsia="zh-CN"/>
        </w:rPr>
        <w:t>3号</w:t>
      </w:r>
      <w:r>
        <w:rPr>
          <w:rFonts w:hint="eastAsia"/>
          <w:sz w:val="24"/>
          <w:u w:val="none"/>
          <w:lang w:eastAsia="zh-CN"/>
        </w:rPr>
        <w:t>）（详见附件），该项目符合旺苍县（中心城区）土地利用总体规划（</w:t>
      </w:r>
      <w:r>
        <w:rPr>
          <w:rFonts w:hint="eastAsia"/>
          <w:sz w:val="24"/>
          <w:u w:val="none"/>
          <w:lang w:val="en-US" w:eastAsia="zh-CN"/>
        </w:rPr>
        <w:t>2006-2020</w:t>
      </w:r>
      <w:r>
        <w:rPr>
          <w:rFonts w:hint="eastAsia"/>
          <w:sz w:val="24"/>
          <w:u w:val="none"/>
          <w:lang w:eastAsia="zh-CN"/>
        </w:rPr>
        <w:t>）</w:t>
      </w:r>
      <w:r>
        <w:rPr>
          <w:sz w:val="24"/>
          <w:u w:val="none"/>
        </w:rPr>
        <w:t>。</w:t>
      </w:r>
      <w:r>
        <w:rPr>
          <w:rFonts w:hint="eastAsia"/>
          <w:sz w:val="24"/>
          <w:u w:val="none"/>
          <w:lang w:eastAsia="zh-CN"/>
        </w:rPr>
        <w:t>根据《中华人民共和国建设项目选址意见书》（旺选字第</w:t>
      </w:r>
      <w:r>
        <w:rPr>
          <w:rFonts w:hint="eastAsia"/>
          <w:sz w:val="24"/>
          <w:u w:val="none"/>
          <w:lang w:val="en-US" w:eastAsia="zh-CN"/>
        </w:rPr>
        <w:t>2019-04号</w:t>
      </w:r>
      <w:r>
        <w:rPr>
          <w:rFonts w:hint="eastAsia"/>
          <w:sz w:val="24"/>
          <w:u w:val="none"/>
          <w:lang w:eastAsia="zh-CN"/>
        </w:rPr>
        <w:t>）（详见附件），建设项目符合城乡规划要求。</w:t>
      </w:r>
    </w:p>
    <w:p>
      <w:pPr>
        <w:topLinePunct/>
        <w:spacing w:line="360" w:lineRule="auto"/>
        <w:ind w:firstLine="480" w:firstLineChars="200"/>
        <w:jc w:val="left"/>
        <w:rPr>
          <w:sz w:val="24"/>
          <w:u w:val="none"/>
        </w:rPr>
      </w:pPr>
      <w:r>
        <w:rPr>
          <w:sz w:val="24"/>
          <w:u w:val="none"/>
        </w:rPr>
        <w:t>综上，本项目选址符合</w:t>
      </w:r>
      <w:r>
        <w:rPr>
          <w:rFonts w:hint="eastAsia"/>
          <w:sz w:val="24"/>
          <w:u w:val="none"/>
          <w:lang w:eastAsia="zh-CN"/>
        </w:rPr>
        <w:t>旺苍县城市总体规划和城乡规划</w:t>
      </w:r>
      <w:r>
        <w:rPr>
          <w:sz w:val="24"/>
          <w:u w:val="none"/>
        </w:rPr>
        <w:t>要求。</w:t>
      </w:r>
    </w:p>
    <w:p>
      <w:pPr>
        <w:topLinePunct/>
        <w:spacing w:line="360" w:lineRule="auto"/>
        <w:ind w:firstLine="482" w:firstLineChars="200"/>
        <w:jc w:val="left"/>
        <w:rPr>
          <w:rFonts w:hint="eastAsia" w:ascii="宋体" w:hAnsi="宋体" w:eastAsia="宋体" w:cs="宋体"/>
          <w:b/>
          <w:bCs/>
          <w:sz w:val="24"/>
          <w:u w:val="none"/>
          <w:lang w:val="en-US" w:eastAsia="zh-CN"/>
        </w:rPr>
      </w:pPr>
      <w:r>
        <w:rPr>
          <w:rFonts w:hint="eastAsia" w:ascii="宋体" w:hAnsi="宋体" w:eastAsia="宋体" w:cs="宋体"/>
          <w:b/>
          <w:bCs/>
          <w:sz w:val="24"/>
          <w:u w:val="none"/>
          <w:lang w:val="en-US" w:eastAsia="zh-CN"/>
        </w:rPr>
        <w:t>2.7.2</w:t>
      </w:r>
      <w:r>
        <w:rPr>
          <w:rFonts w:hint="eastAsia" w:ascii="宋体" w:hAnsi="宋体" w:cs="宋体"/>
          <w:b/>
          <w:bCs/>
          <w:sz w:val="24"/>
          <w:u w:val="none"/>
          <w:lang w:val="en-US" w:eastAsia="zh-CN"/>
        </w:rPr>
        <w:t>场址选择可行性分析</w:t>
      </w:r>
    </w:p>
    <w:p>
      <w:pPr>
        <w:pStyle w:val="24"/>
        <w:keepNext w:val="0"/>
        <w:keepLines w:val="0"/>
        <w:pageBreakBefore w:val="0"/>
        <w:widowControl w:val="0"/>
        <w:kinsoku/>
        <w:wordWrap/>
        <w:overflowPunct/>
        <w:topLinePunct w:val="0"/>
        <w:autoSpaceDE/>
        <w:autoSpaceDN/>
        <w:bidi w:val="0"/>
        <w:adjustRightInd/>
        <w:snapToGrid/>
        <w:spacing w:after="0"/>
        <w:jc w:val="left"/>
        <w:textAlignment w:val="auto"/>
        <w:rPr>
          <w:rFonts w:hint="eastAsia"/>
          <w:sz w:val="24"/>
          <w:u w:val="none"/>
          <w:lang w:val="en-US" w:eastAsia="zh-CN"/>
        </w:rPr>
      </w:pPr>
      <w:r>
        <w:rPr>
          <w:rFonts w:hint="eastAsia"/>
          <w:sz w:val="24"/>
          <w:u w:val="none"/>
          <w:lang w:eastAsia="zh-CN"/>
        </w:rPr>
        <w:t>本项目选址于旺苍县嘉川镇石桥村内，选址场地满足</w:t>
      </w:r>
      <w:r>
        <w:rPr>
          <w:rFonts w:hint="eastAsia"/>
          <w:sz w:val="24"/>
          <w:u w:val="none"/>
          <w:lang w:val="en-US" w:eastAsia="zh-CN"/>
        </w:rPr>
        <w:t>《医疗废物微波消毒集中处理工程技术规范（试行）》（HJ/T229-2006）的要求，具体情况如下：</w:t>
      </w:r>
    </w:p>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表2-1  选址符合性分析</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3022"/>
        <w:gridCol w:w="3311"/>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16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
                <w:sz w:val="21"/>
                <w:szCs w:val="21"/>
              </w:rPr>
            </w:pPr>
            <w:r>
              <w:rPr>
                <w:rFonts w:hint="eastAsia" w:cs="Times New Roman"/>
                <w:b/>
                <w:sz w:val="21"/>
                <w:szCs w:val="21"/>
              </w:rPr>
              <w:t>规范</w:t>
            </w:r>
            <w:r>
              <w:rPr>
                <w:rFonts w:hint="default" w:cs="Times New Roman"/>
                <w:b/>
                <w:sz w:val="21"/>
                <w:szCs w:val="21"/>
              </w:rPr>
              <w:t>要求</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
                <w:sz w:val="21"/>
                <w:szCs w:val="21"/>
              </w:rPr>
            </w:pPr>
            <w:r>
              <w:rPr>
                <w:rFonts w:hint="eastAsia" w:cs="Times New Roman"/>
                <w:b/>
                <w:sz w:val="21"/>
                <w:szCs w:val="21"/>
              </w:rPr>
              <w:t>规范</w:t>
            </w:r>
            <w:r>
              <w:rPr>
                <w:rFonts w:hint="default" w:cs="Times New Roman"/>
                <w:b/>
                <w:sz w:val="21"/>
                <w:szCs w:val="21"/>
              </w:rPr>
              <w:t>内容</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
                <w:sz w:val="21"/>
                <w:szCs w:val="21"/>
              </w:rPr>
            </w:pPr>
            <w:r>
              <w:rPr>
                <w:rFonts w:hint="eastAsia" w:cs="Times New Roman"/>
                <w:b/>
                <w:sz w:val="21"/>
                <w:szCs w:val="21"/>
              </w:rPr>
              <w:t>本</w:t>
            </w:r>
            <w:r>
              <w:rPr>
                <w:rFonts w:hint="default" w:cs="Times New Roman"/>
                <w:b/>
                <w:sz w:val="21"/>
                <w:szCs w:val="21"/>
              </w:rPr>
              <w:t>项目</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
                <w:sz w:val="21"/>
                <w:szCs w:val="21"/>
              </w:rPr>
            </w:pPr>
            <w:r>
              <w:rPr>
                <w:rFonts w:hint="eastAsia" w:cs="Times New Roman"/>
                <w:b/>
                <w:sz w:val="21"/>
                <w:szCs w:val="21"/>
              </w:rPr>
              <w:t>是否</w:t>
            </w:r>
            <w:r>
              <w:rPr>
                <w:rFonts w:hint="default" w:cs="Times New Roman"/>
                <w:b/>
                <w:sz w:val="21"/>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建设</w:t>
            </w:r>
            <w:r>
              <w:rPr>
                <w:rFonts w:hint="default" w:cs="Times New Roman"/>
                <w:sz w:val="21"/>
                <w:szCs w:val="21"/>
              </w:rPr>
              <w:t>规模</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适宜</w:t>
            </w:r>
            <w:r>
              <w:rPr>
                <w:rFonts w:hint="default" w:cs="Times New Roman"/>
                <w:sz w:val="21"/>
                <w:szCs w:val="21"/>
              </w:rPr>
              <w:t>在</w:t>
            </w:r>
            <w:r>
              <w:rPr>
                <w:rFonts w:hint="eastAsia" w:cs="Times New Roman"/>
                <w:sz w:val="21"/>
                <w:szCs w:val="21"/>
              </w:rPr>
              <w:t>10</w:t>
            </w:r>
            <w:r>
              <w:rPr>
                <w:rFonts w:hint="default" w:cs="Times New Roman"/>
                <w:sz w:val="21"/>
                <w:szCs w:val="21"/>
              </w:rPr>
              <w:t>t/d</w:t>
            </w:r>
            <w:r>
              <w:rPr>
                <w:rFonts w:hint="eastAsia" w:cs="Times New Roman"/>
                <w:sz w:val="21"/>
                <w:szCs w:val="21"/>
              </w:rPr>
              <w:t>以下</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color w:val="00B0F0"/>
                <w:sz w:val="21"/>
                <w:szCs w:val="21"/>
              </w:rPr>
            </w:pPr>
            <w:r>
              <w:rPr>
                <w:rFonts w:hint="eastAsia" w:cs="Times New Roman"/>
                <w:color w:val="auto"/>
                <w:sz w:val="21"/>
                <w:szCs w:val="21"/>
              </w:rPr>
              <w:t>＜10</w:t>
            </w:r>
            <w:r>
              <w:rPr>
                <w:rFonts w:hint="default" w:cs="Times New Roman"/>
                <w:color w:val="auto"/>
                <w:sz w:val="21"/>
                <w:szCs w:val="21"/>
              </w:rPr>
              <w:t>t/d</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服务</w:t>
            </w:r>
            <w:r>
              <w:rPr>
                <w:rFonts w:hint="default" w:cs="Times New Roman"/>
                <w:sz w:val="21"/>
                <w:szCs w:val="21"/>
              </w:rPr>
              <w:t>年限</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不</w:t>
            </w:r>
            <w:r>
              <w:rPr>
                <w:rFonts w:hint="default" w:cs="Times New Roman"/>
                <w:sz w:val="21"/>
                <w:szCs w:val="21"/>
              </w:rPr>
              <w:t>应低于</w:t>
            </w:r>
            <w:r>
              <w:rPr>
                <w:rFonts w:hint="eastAsia" w:cs="Times New Roman"/>
                <w:sz w:val="21"/>
                <w:szCs w:val="21"/>
              </w:rPr>
              <w:t>10年</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default" w:cs="Times New Roman"/>
                <w:sz w:val="21"/>
                <w:szCs w:val="21"/>
              </w:rPr>
              <w:t>15</w:t>
            </w:r>
            <w:r>
              <w:rPr>
                <w:rFonts w:hint="eastAsia" w:cs="Times New Roman"/>
                <w:sz w:val="21"/>
                <w:szCs w:val="21"/>
              </w:rPr>
              <w:t>年</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正常</w:t>
            </w:r>
            <w:r>
              <w:rPr>
                <w:rFonts w:hint="default" w:cs="Times New Roman"/>
                <w:sz w:val="21"/>
                <w:szCs w:val="21"/>
              </w:rPr>
              <w:t>运行时间</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不</w:t>
            </w:r>
            <w:r>
              <w:rPr>
                <w:rFonts w:hint="default" w:cs="Times New Roman"/>
                <w:sz w:val="21"/>
                <w:szCs w:val="21"/>
              </w:rPr>
              <w:t>应少于</w:t>
            </w:r>
            <w:r>
              <w:rPr>
                <w:rFonts w:hint="eastAsia" w:cs="Times New Roman"/>
                <w:sz w:val="21"/>
                <w:szCs w:val="21"/>
              </w:rPr>
              <w:t>16</w:t>
            </w:r>
            <w:r>
              <w:rPr>
                <w:rFonts w:hint="default" w:cs="Times New Roman"/>
                <w:sz w:val="21"/>
                <w:szCs w:val="21"/>
              </w:rPr>
              <w:t>h</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8</w:t>
            </w:r>
            <w:r>
              <w:rPr>
                <w:rFonts w:hint="default" w:cs="Times New Roman"/>
                <w:sz w:val="21"/>
                <w:szCs w:val="21"/>
              </w:rPr>
              <w:t>h/班，</w:t>
            </w:r>
            <w:r>
              <w:rPr>
                <w:rFonts w:hint="eastAsia" w:cs="Times New Roman"/>
                <w:sz w:val="21"/>
                <w:szCs w:val="21"/>
              </w:rPr>
              <w:t>2班/</w:t>
            </w:r>
            <w:r>
              <w:rPr>
                <w:rFonts w:hint="default" w:cs="Times New Roman"/>
                <w:sz w:val="21"/>
                <w:szCs w:val="21"/>
              </w:rPr>
              <w:t>d</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处理</w:t>
            </w:r>
            <w:r>
              <w:rPr>
                <w:rFonts w:hint="default" w:cs="Times New Roman"/>
                <w:sz w:val="21"/>
                <w:szCs w:val="21"/>
              </w:rPr>
              <w:t>设备</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单台</w:t>
            </w:r>
            <w:r>
              <w:rPr>
                <w:rFonts w:hint="default" w:cs="Times New Roman"/>
                <w:sz w:val="21"/>
                <w:szCs w:val="21"/>
              </w:rPr>
              <w:t>处理设备</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单台</w:t>
            </w:r>
            <w:r>
              <w:rPr>
                <w:rFonts w:hint="default" w:cs="Times New Roman"/>
                <w:sz w:val="21"/>
                <w:szCs w:val="21"/>
              </w:rPr>
              <w:t>设备</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restar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厂址</w:t>
            </w:r>
            <w:r>
              <w:rPr>
                <w:rFonts w:hint="default" w:cs="Times New Roman"/>
                <w:sz w:val="21"/>
                <w:szCs w:val="21"/>
              </w:rPr>
              <w:t>选择</w:t>
            </w: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符合</w:t>
            </w:r>
            <w:r>
              <w:rPr>
                <w:rFonts w:hint="default" w:cs="Times New Roman"/>
                <w:sz w:val="21"/>
                <w:szCs w:val="21"/>
              </w:rPr>
              <w:t>国家及当地有关规划</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项目位于</w:t>
            </w:r>
            <w:r>
              <w:rPr>
                <w:rFonts w:hint="eastAsia" w:cs="Times New Roman"/>
                <w:sz w:val="21"/>
                <w:szCs w:val="21"/>
                <w:lang w:eastAsia="zh-CN"/>
              </w:rPr>
              <w:t>旺苍县嘉川镇石桥村</w:t>
            </w:r>
            <w:r>
              <w:rPr>
                <w:rFonts w:hint="eastAsia" w:cs="Times New Roman"/>
                <w:sz w:val="21"/>
                <w:szCs w:val="21"/>
              </w:rPr>
              <w:t>内</w:t>
            </w:r>
            <w:r>
              <w:rPr>
                <w:rFonts w:hint="default" w:cs="Times New Roman"/>
                <w:sz w:val="21"/>
                <w:szCs w:val="21"/>
              </w:rPr>
              <w:t>，符合规划要求</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符合</w:t>
            </w:r>
            <w:r>
              <w:rPr>
                <w:rFonts w:hint="default" w:cs="Times New Roman"/>
                <w:sz w:val="21"/>
                <w:szCs w:val="21"/>
              </w:rPr>
              <w:t>当地环境保护要求</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通过</w:t>
            </w:r>
            <w:r>
              <w:rPr>
                <w:rFonts w:hint="default" w:cs="Times New Roman"/>
                <w:sz w:val="21"/>
                <w:szCs w:val="21"/>
              </w:rPr>
              <w:t>相应的环保</w:t>
            </w:r>
            <w:r>
              <w:rPr>
                <w:rFonts w:hint="eastAsia" w:cs="Times New Roman"/>
                <w:sz w:val="21"/>
                <w:szCs w:val="21"/>
              </w:rPr>
              <w:t>措施</w:t>
            </w:r>
            <w:r>
              <w:rPr>
                <w:rFonts w:hint="default" w:cs="Times New Roman"/>
                <w:sz w:val="21"/>
                <w:szCs w:val="21"/>
              </w:rPr>
              <w:t>，其“</w:t>
            </w:r>
            <w:r>
              <w:rPr>
                <w:rFonts w:hint="eastAsia" w:cs="Times New Roman"/>
                <w:sz w:val="21"/>
                <w:szCs w:val="21"/>
              </w:rPr>
              <w:t>三废</w:t>
            </w:r>
            <w:r>
              <w:rPr>
                <w:rFonts w:hint="default" w:cs="Times New Roman"/>
                <w:sz w:val="21"/>
                <w:szCs w:val="21"/>
              </w:rPr>
              <w:t>”</w:t>
            </w:r>
            <w:r>
              <w:rPr>
                <w:rFonts w:hint="eastAsia" w:cs="Times New Roman"/>
                <w:sz w:val="21"/>
                <w:szCs w:val="21"/>
              </w:rPr>
              <w:t>排放符合当地</w:t>
            </w:r>
            <w:r>
              <w:rPr>
                <w:rFonts w:hint="default" w:cs="Times New Roman"/>
                <w:sz w:val="21"/>
                <w:szCs w:val="21"/>
              </w:rPr>
              <w:t>环保要</w:t>
            </w:r>
            <w:r>
              <w:rPr>
                <w:rFonts w:hint="eastAsia" w:cs="Times New Roman"/>
                <w:sz w:val="21"/>
                <w:szCs w:val="21"/>
              </w:rPr>
              <w:t>求</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不</w:t>
            </w:r>
            <w:r>
              <w:rPr>
                <w:rFonts w:hint="default" w:cs="Times New Roman"/>
                <w:sz w:val="21"/>
                <w:szCs w:val="21"/>
              </w:rPr>
              <w:t>宜在居民区、学校、医院等人口密集区域</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本项目建设</w:t>
            </w:r>
            <w:r>
              <w:rPr>
                <w:rFonts w:hint="default" w:cs="Times New Roman"/>
                <w:sz w:val="21"/>
                <w:szCs w:val="21"/>
              </w:rPr>
              <w:t>区域不涉及居民区、学校、医院等人口密集区域</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不</w:t>
            </w:r>
            <w:r>
              <w:rPr>
                <w:rFonts w:hint="default" w:cs="Times New Roman"/>
                <w:sz w:val="21"/>
                <w:szCs w:val="21"/>
              </w:rPr>
              <w:t>宜在水源保护区附</w:t>
            </w:r>
            <w:r>
              <w:rPr>
                <w:rFonts w:hint="eastAsia" w:cs="Times New Roman"/>
                <w:sz w:val="21"/>
                <w:szCs w:val="21"/>
              </w:rPr>
              <w:t>近</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w:t>
            </w:r>
            <w:r>
              <w:rPr>
                <w:rFonts w:hint="default" w:cs="Times New Roman"/>
                <w:sz w:val="21"/>
                <w:szCs w:val="21"/>
              </w:rPr>
              <w:t>周围无水源保护区</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厂址应满足工程建设的工程地质条件、水文地质条件和气象条件，不应选在地震断层、滑坡、泥石流、沼泽、流沙、采矿陷落区</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项目场址属四川盆地北部边缘弧形构造带，区内地质构造简单，断裂不发育，无断层、熔洞、塌陷、滑坡等，区内地质构造简单。</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综合</w:t>
            </w:r>
            <w:r>
              <w:rPr>
                <w:rFonts w:hint="default" w:cs="Times New Roman"/>
                <w:sz w:val="21"/>
                <w:szCs w:val="21"/>
              </w:rPr>
              <w:t>考虑交通、运距、土地利用现状，基础设施状况等</w:t>
            </w:r>
            <w:r>
              <w:rPr>
                <w:rFonts w:hint="eastAsia" w:cs="Times New Roman"/>
                <w:sz w:val="21"/>
                <w:szCs w:val="21"/>
              </w:rPr>
              <w:t>因素</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项目位于</w:t>
            </w:r>
            <w:r>
              <w:rPr>
                <w:rFonts w:hint="eastAsia" w:cs="Times New Roman"/>
                <w:sz w:val="21"/>
                <w:szCs w:val="21"/>
                <w:lang w:eastAsia="zh-CN"/>
              </w:rPr>
              <w:t>旺苍县</w:t>
            </w:r>
            <w:r>
              <w:rPr>
                <w:rFonts w:hint="default" w:cs="Times New Roman"/>
                <w:sz w:val="21"/>
                <w:szCs w:val="21"/>
              </w:rPr>
              <w:t>生活垃圾填埋场</w:t>
            </w:r>
            <w:r>
              <w:rPr>
                <w:rFonts w:hint="eastAsia" w:cs="Times New Roman"/>
                <w:sz w:val="21"/>
                <w:szCs w:val="21"/>
                <w:lang w:eastAsia="zh-CN"/>
              </w:rPr>
              <w:t>南边</w:t>
            </w:r>
            <w:r>
              <w:rPr>
                <w:rFonts w:hint="eastAsia" w:cs="Times New Roman"/>
                <w:sz w:val="21"/>
                <w:szCs w:val="21"/>
              </w:rPr>
              <w:t>，</w:t>
            </w:r>
            <w:r>
              <w:rPr>
                <w:rFonts w:hint="default" w:cs="Times New Roman"/>
                <w:sz w:val="21"/>
                <w:szCs w:val="21"/>
              </w:rPr>
              <w:t>交通便利</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不</w:t>
            </w:r>
            <w:r>
              <w:rPr>
                <w:rFonts w:hint="default" w:cs="Times New Roman"/>
                <w:sz w:val="21"/>
                <w:szCs w:val="21"/>
              </w:rPr>
              <w:t>应受洪水、潮水或内涝</w:t>
            </w:r>
            <w:r>
              <w:rPr>
                <w:rFonts w:hint="eastAsia" w:cs="Times New Roman"/>
                <w:sz w:val="21"/>
                <w:szCs w:val="21"/>
              </w:rPr>
              <w:t>威胁</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w:t>
            </w:r>
            <w:r>
              <w:rPr>
                <w:rFonts w:hint="default" w:cs="Times New Roman"/>
                <w:sz w:val="21"/>
                <w:szCs w:val="21"/>
              </w:rPr>
              <w:t>选址</w:t>
            </w:r>
            <w:r>
              <w:rPr>
                <w:rFonts w:hint="eastAsia" w:cs="Times New Roman"/>
                <w:sz w:val="21"/>
                <w:szCs w:val="21"/>
              </w:rPr>
              <w:t>不</w:t>
            </w:r>
            <w:r>
              <w:rPr>
                <w:rFonts w:hint="default" w:cs="Times New Roman"/>
                <w:sz w:val="21"/>
                <w:szCs w:val="21"/>
              </w:rPr>
              <w:t>受洪水、潮水或内涝</w:t>
            </w:r>
            <w:r>
              <w:rPr>
                <w:rFonts w:hint="eastAsia" w:cs="Times New Roman"/>
                <w:sz w:val="21"/>
                <w:szCs w:val="21"/>
              </w:rPr>
              <w:t>威胁</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考虑</w:t>
            </w:r>
            <w:r>
              <w:rPr>
                <w:rFonts w:hint="default" w:cs="Times New Roman"/>
                <w:sz w:val="21"/>
                <w:szCs w:val="21"/>
              </w:rPr>
              <w:t>残渣的处置</w:t>
            </w:r>
            <w:r>
              <w:rPr>
                <w:rFonts w:hint="eastAsia" w:cs="Times New Roman"/>
                <w:sz w:val="21"/>
                <w:szCs w:val="21"/>
              </w:rPr>
              <w:t>以及</w:t>
            </w:r>
            <w:r>
              <w:rPr>
                <w:rFonts w:hint="default" w:cs="Times New Roman"/>
                <w:sz w:val="21"/>
                <w:szCs w:val="21"/>
              </w:rPr>
              <w:t>与当地生活垃圾垃圾处理设施的距离</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项目选址位于</w:t>
            </w:r>
            <w:r>
              <w:rPr>
                <w:rFonts w:hint="eastAsia" w:cs="Times New Roman"/>
                <w:sz w:val="21"/>
                <w:szCs w:val="21"/>
                <w:lang w:eastAsia="zh-CN"/>
              </w:rPr>
              <w:t>旺苍县</w:t>
            </w:r>
            <w:r>
              <w:rPr>
                <w:rFonts w:hint="eastAsia" w:cs="Times New Roman"/>
                <w:sz w:val="21"/>
                <w:szCs w:val="21"/>
              </w:rPr>
              <w:t>生活垃圾填埋</w:t>
            </w:r>
            <w:r>
              <w:rPr>
                <w:rFonts w:hint="eastAsia" w:cs="Times New Roman"/>
                <w:sz w:val="21"/>
                <w:szCs w:val="21"/>
                <w:lang w:eastAsia="zh-CN"/>
              </w:rPr>
              <w:t>南侧</w:t>
            </w:r>
            <w:r>
              <w:rPr>
                <w:rFonts w:hint="eastAsia" w:cs="Times New Roman"/>
                <w:sz w:val="21"/>
                <w:szCs w:val="21"/>
              </w:rPr>
              <w:t>，经破碎</w:t>
            </w:r>
            <w:r>
              <w:rPr>
                <w:rFonts w:hint="default" w:cs="Times New Roman"/>
                <w:sz w:val="21"/>
                <w:szCs w:val="21"/>
              </w:rPr>
              <w:t>的医废转运至生活垃圾</w:t>
            </w:r>
            <w:r>
              <w:rPr>
                <w:rFonts w:hint="eastAsia" w:cs="Times New Roman"/>
                <w:sz w:val="21"/>
                <w:szCs w:val="21"/>
                <w:lang w:eastAsia="zh-CN"/>
              </w:rPr>
              <w:t>填埋场填埋处置。</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2" w:type="dxa"/>
            <w:vMerge w:val="continue"/>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p>
        </w:tc>
        <w:tc>
          <w:tcPr>
            <w:tcW w:w="3022"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厂址</w:t>
            </w:r>
            <w:r>
              <w:rPr>
                <w:rFonts w:hint="eastAsia" w:cs="Times New Roman"/>
                <w:sz w:val="21"/>
                <w:szCs w:val="21"/>
                <w:lang w:eastAsia="zh-CN"/>
              </w:rPr>
              <w:t>附近</w:t>
            </w:r>
            <w:r>
              <w:rPr>
                <w:rFonts w:hint="default" w:cs="Times New Roman"/>
                <w:sz w:val="21"/>
                <w:szCs w:val="21"/>
              </w:rPr>
              <w:t>应满足生产、生活的供水水源、污水</w:t>
            </w:r>
            <w:r>
              <w:rPr>
                <w:rFonts w:hint="eastAsia" w:cs="Times New Roman"/>
                <w:sz w:val="21"/>
                <w:szCs w:val="21"/>
              </w:rPr>
              <w:t>排放</w:t>
            </w:r>
            <w:r>
              <w:rPr>
                <w:rFonts w:hint="default" w:cs="Times New Roman"/>
                <w:sz w:val="21"/>
                <w:szCs w:val="21"/>
              </w:rPr>
              <w:t>，电力供应等</w:t>
            </w:r>
          </w:p>
        </w:tc>
        <w:tc>
          <w:tcPr>
            <w:tcW w:w="3311"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sz w:val="21"/>
                <w:szCs w:val="21"/>
                <w:lang w:eastAsia="zh-CN"/>
              </w:rPr>
            </w:pPr>
            <w:r>
              <w:rPr>
                <w:rFonts w:hint="eastAsia" w:cs="Times New Roman"/>
                <w:sz w:val="21"/>
                <w:szCs w:val="21"/>
                <w:lang w:eastAsia="zh-CN"/>
              </w:rPr>
              <w:t>本项目供水、供电、道路交通、废水处理与固废处置，均可利用旺苍县生活垃圾处理厂现有设施设备。。</w:t>
            </w:r>
          </w:p>
        </w:tc>
        <w:tc>
          <w:tcPr>
            <w:tcW w:w="1105" w:type="dxa"/>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rPr>
            </w:pPr>
            <w:r>
              <w:rPr>
                <w:rFonts w:hint="eastAsia" w:cs="Times New Roman"/>
                <w:sz w:val="21"/>
                <w:szCs w:val="21"/>
              </w:rPr>
              <w:t>满足</w:t>
            </w:r>
          </w:p>
        </w:tc>
      </w:tr>
    </w:tbl>
    <w:p>
      <w:pPr>
        <w:topLinePunct/>
        <w:spacing w:line="360" w:lineRule="auto"/>
        <w:ind w:firstLine="480" w:firstLineChars="200"/>
        <w:rPr>
          <w:rFonts w:hint="eastAsia"/>
          <w:bCs/>
          <w:sz w:val="24"/>
          <w:u w:val="none"/>
          <w:lang w:val="en-US" w:eastAsia="zh-CN"/>
        </w:rPr>
      </w:pPr>
      <w:bookmarkStart w:id="34" w:name="_Toc24202336"/>
      <w:r>
        <w:rPr>
          <w:rFonts w:hint="eastAsia"/>
          <w:bCs/>
          <w:sz w:val="24"/>
          <w:u w:val="none"/>
          <w:lang w:val="en-US" w:eastAsia="zh-CN"/>
        </w:rPr>
        <w:t>由上表可知，本项目建设满足《医疗废物微波消毒集中处理工程技术规范（试行）》（HJ/T229-2006）的要求。</w:t>
      </w:r>
    </w:p>
    <w:p>
      <w:pPr>
        <w:topLinePunct/>
        <w:spacing w:line="360" w:lineRule="auto"/>
        <w:ind w:firstLine="482" w:firstLineChars="200"/>
        <w:rPr>
          <w:b/>
          <w:sz w:val="24"/>
          <w:u w:val="none"/>
        </w:rPr>
      </w:pPr>
      <w:r>
        <w:rPr>
          <w:rFonts w:hint="eastAsia"/>
          <w:b/>
          <w:sz w:val="24"/>
          <w:u w:val="none"/>
          <w:lang w:val="en-US" w:eastAsia="zh-CN"/>
        </w:rPr>
        <w:t>2.7.3与周围环境相容性分析</w:t>
      </w:r>
    </w:p>
    <w:p>
      <w:pPr>
        <w:topLinePunct/>
        <w:spacing w:line="360" w:lineRule="auto"/>
        <w:ind w:firstLine="480" w:firstLineChars="200"/>
        <w:rPr>
          <w:rFonts w:hint="default"/>
          <w:bCs/>
          <w:sz w:val="24"/>
          <w:u w:val="none"/>
          <w:lang w:val="en-US" w:eastAsia="zh-CN"/>
        </w:rPr>
      </w:pPr>
      <w:r>
        <w:rPr>
          <w:rFonts w:hint="eastAsia"/>
          <w:bCs/>
          <w:sz w:val="24"/>
          <w:u w:val="none"/>
          <w:lang w:val="en-US" w:eastAsia="zh-CN"/>
        </w:rPr>
        <w:t>根据现场踏勘，本项目拟建于旺苍县东河镇嘉川镇石桥村，北面距规划环城路约180m，东北距县垃圾填埋场180m，南侧距规划居住区直线距离约350米，项目场址所在区域不属于居民聚集居住区、直接与航道想通的地区、地下水补给区、洪泛区、淤泥区。项目选址的标高位于重现期不小于100年一遇的洪水位之上，建设在长远规划中的水库等人工蓄水设施的淹没区和保护区之外。</w:t>
      </w:r>
    </w:p>
    <w:p>
      <w:pPr>
        <w:topLinePunct/>
        <w:spacing w:line="360" w:lineRule="auto"/>
        <w:ind w:firstLine="480" w:firstLineChars="200"/>
        <w:rPr>
          <w:bCs/>
          <w:sz w:val="24"/>
          <w:u w:val="none"/>
        </w:rPr>
      </w:pPr>
      <w:r>
        <w:rPr>
          <w:rFonts w:hint="eastAsia"/>
          <w:bCs/>
          <w:sz w:val="24"/>
          <w:u w:val="none"/>
          <w:lang w:eastAsia="zh-CN"/>
        </w:rPr>
        <w:t>综上所述</w:t>
      </w:r>
      <w:r>
        <w:rPr>
          <w:bCs/>
          <w:sz w:val="24"/>
          <w:u w:val="none"/>
        </w:rPr>
        <w:t>，本项目</w:t>
      </w:r>
      <w:r>
        <w:rPr>
          <w:rFonts w:hint="eastAsia"/>
          <w:bCs/>
          <w:sz w:val="24"/>
          <w:u w:val="none"/>
          <w:lang w:eastAsia="zh-CN"/>
        </w:rPr>
        <w:t>与周边外环境关系相容</w:t>
      </w:r>
      <w:r>
        <w:rPr>
          <w:bCs/>
          <w:sz w:val="24"/>
          <w:u w:val="none"/>
        </w:rPr>
        <w:t>。</w:t>
      </w:r>
    </w:p>
    <w:p>
      <w:pPr>
        <w:topLinePunct/>
        <w:spacing w:line="360" w:lineRule="auto"/>
        <w:ind w:firstLine="482" w:firstLineChars="200"/>
        <w:rPr>
          <w:rFonts w:hint="eastAsia"/>
          <w:b/>
          <w:sz w:val="24"/>
          <w:u w:val="none"/>
          <w:lang w:val="en-US" w:eastAsia="zh-CN"/>
        </w:rPr>
      </w:pPr>
      <w:r>
        <w:rPr>
          <w:rFonts w:hint="eastAsia"/>
          <w:b/>
          <w:sz w:val="24"/>
          <w:u w:val="none"/>
          <w:lang w:val="en-US" w:eastAsia="zh-CN"/>
        </w:rPr>
        <w:t>2.7.4平面布局合理性分析</w:t>
      </w:r>
    </w:p>
    <w:p>
      <w:pPr>
        <w:topLinePunct/>
        <w:spacing w:line="360" w:lineRule="auto"/>
        <w:ind w:firstLine="480" w:firstLineChars="200"/>
        <w:rPr>
          <w:rFonts w:hint="eastAsia"/>
          <w:bCs/>
          <w:sz w:val="24"/>
          <w:u w:val="none"/>
          <w:lang w:val="en-US" w:eastAsia="zh-CN"/>
        </w:rPr>
      </w:pPr>
      <w:bookmarkStart w:id="35" w:name="OLE_LINK5"/>
      <w:r>
        <w:rPr>
          <w:rFonts w:hint="eastAsia"/>
          <w:bCs/>
          <w:sz w:val="24"/>
          <w:u w:val="none"/>
          <w:lang w:val="en-US" w:eastAsia="zh-CN"/>
        </w:rPr>
        <w:t>本项目建设生产区与办公区分开，其中北侧地块为生产区，南侧地块为办公区，两地相距35米，各区布置情况如下：</w:t>
      </w:r>
    </w:p>
    <w:p>
      <w:pPr>
        <w:topLinePunct/>
        <w:spacing w:line="360" w:lineRule="auto"/>
        <w:ind w:firstLine="480" w:firstLineChars="200"/>
        <w:rPr>
          <w:rFonts w:hint="eastAsia"/>
          <w:bCs/>
          <w:sz w:val="24"/>
          <w:u w:val="none"/>
          <w:lang w:val="en-US" w:eastAsia="zh-CN"/>
        </w:rPr>
      </w:pPr>
      <w:r>
        <w:rPr>
          <w:rFonts w:hint="eastAsia"/>
          <w:bCs/>
          <w:sz w:val="24"/>
          <w:u w:val="none"/>
          <w:lang w:val="en-US" w:eastAsia="zh-CN"/>
        </w:rPr>
        <w:t>南侧厂区为办公区，厂区由业务用房、停车场和广场等组成，厂区入口位于东侧，中部为业务用房，业务用房北侧设有停车场方便车辆出入和人员往来办公。</w:t>
      </w:r>
    </w:p>
    <w:p>
      <w:pPr>
        <w:topLinePunct/>
        <w:spacing w:line="360" w:lineRule="auto"/>
        <w:ind w:firstLine="480" w:firstLineChars="200"/>
        <w:rPr>
          <w:rFonts w:hint="eastAsia"/>
          <w:bCs/>
          <w:sz w:val="24"/>
          <w:u w:val="none"/>
          <w:lang w:val="en-US" w:eastAsia="zh-CN"/>
        </w:rPr>
      </w:pPr>
      <w:r>
        <w:rPr>
          <w:rFonts w:hint="eastAsia"/>
          <w:bCs/>
          <w:sz w:val="24"/>
          <w:u w:val="none"/>
          <w:lang w:val="en-US" w:eastAsia="zh-CN"/>
        </w:rPr>
        <w:t>北侧厂区为生产区，厂区入口位于南侧，中部为生产车间，生产车间四周均设置车行道，方便运输车辆出入。生产车间西北部设置为出渣间和洗桶消毒车间，并在车间外西侧设置车辆清洗区，各生产厂房外及车辆清洗区均设置有污水收集沟，可将项目内部生产废水引致厂区西北部的污水处理站处理。污水处理站位于生产厂区西北部地势低洼处，与处置车间相距约17m，便于废水的收集。</w:t>
      </w:r>
    </w:p>
    <w:p>
      <w:pPr>
        <w:topLinePunct/>
        <w:spacing w:line="360" w:lineRule="auto"/>
        <w:ind w:firstLine="480" w:firstLineChars="200"/>
        <w:rPr>
          <w:rFonts w:hint="default"/>
          <w:bCs/>
          <w:sz w:val="24"/>
          <w:u w:val="none"/>
          <w:lang w:val="en-US" w:eastAsia="zh-CN"/>
        </w:rPr>
      </w:pPr>
      <w:r>
        <w:rPr>
          <w:rFonts w:hint="eastAsia"/>
          <w:bCs/>
          <w:sz w:val="24"/>
          <w:u w:val="none"/>
          <w:lang w:val="en-US" w:eastAsia="zh-CN"/>
        </w:rPr>
        <w:t>综上，本项目厂区平面布置满足生产工艺流程和方便生产、办公的要求，能确保工艺和设备之间的良好联系，保证设施安全运行，满足《医疗废物微波消毒集中处理工程技术规范（试行）》（HJ/T229-2006）中4.6总平面布置有关要求。项目详细平面布置情况见附图。</w:t>
      </w:r>
    </w:p>
    <w:bookmarkEnd w:id="34"/>
    <w:bookmarkEnd w:id="35"/>
    <w:p>
      <w:pPr>
        <w:pStyle w:val="2"/>
        <w:topLinePunct/>
        <w:spacing w:before="0" w:after="0" w:line="360" w:lineRule="auto"/>
        <w:rPr>
          <w:rFonts w:hint="eastAsia" w:eastAsia="宋体"/>
          <w:sz w:val="36"/>
          <w:szCs w:val="36"/>
          <w:u w:val="none"/>
          <w:lang w:eastAsia="zh-CN"/>
        </w:rPr>
      </w:pPr>
      <w:bookmarkStart w:id="36" w:name="_Toc15588"/>
      <w:bookmarkStart w:id="37" w:name="_Toc23902"/>
      <w:r>
        <w:rPr>
          <w:sz w:val="36"/>
          <w:szCs w:val="36"/>
          <w:u w:val="none"/>
        </w:rPr>
        <w:t>3、</w:t>
      </w:r>
      <w:bookmarkEnd w:id="36"/>
      <w:r>
        <w:rPr>
          <w:rFonts w:hint="eastAsia"/>
          <w:sz w:val="36"/>
          <w:szCs w:val="36"/>
          <w:u w:val="none"/>
          <w:lang w:eastAsia="zh-CN"/>
        </w:rPr>
        <w:t>建设项目工程分析</w:t>
      </w:r>
      <w:bookmarkEnd w:id="37"/>
    </w:p>
    <w:p>
      <w:pPr>
        <w:pStyle w:val="3"/>
        <w:rPr>
          <w:rFonts w:hint="eastAsia" w:ascii="Times New Roman" w:hAnsi="Times New Roman"/>
          <w:sz w:val="28"/>
          <w:szCs w:val="28"/>
          <w:u w:val="none"/>
          <w:lang w:eastAsia="zh-CN"/>
        </w:rPr>
      </w:pPr>
      <w:bookmarkStart w:id="38" w:name="_Toc2081"/>
      <w:bookmarkStart w:id="39" w:name="_Toc2378"/>
      <w:r>
        <w:rPr>
          <w:rFonts w:ascii="Times New Roman" w:hAnsi="Times New Roman"/>
          <w:sz w:val="28"/>
          <w:szCs w:val="28"/>
          <w:u w:val="none"/>
        </w:rPr>
        <w:t>3.1</w:t>
      </w:r>
      <w:bookmarkEnd w:id="38"/>
      <w:r>
        <w:rPr>
          <w:rFonts w:hint="eastAsia" w:ascii="Times New Roman" w:hAnsi="Times New Roman"/>
          <w:sz w:val="28"/>
          <w:szCs w:val="28"/>
          <w:u w:val="none"/>
          <w:lang w:eastAsia="zh-CN"/>
        </w:rPr>
        <w:t>本项目概况</w:t>
      </w:r>
      <w:bookmarkEnd w:id="39"/>
    </w:p>
    <w:p>
      <w:pPr>
        <w:topLinePunct/>
        <w:snapToGrid w:val="0"/>
        <w:spacing w:line="360" w:lineRule="auto"/>
        <w:ind w:firstLine="482" w:firstLineChars="200"/>
        <w:jc w:val="left"/>
        <w:rPr>
          <w:rFonts w:hint="default"/>
          <w:b/>
          <w:sz w:val="24"/>
          <w:u w:val="none"/>
          <w:lang w:val="en-US" w:eastAsia="zh-CN"/>
        </w:rPr>
      </w:pPr>
      <w:r>
        <w:rPr>
          <w:rFonts w:hint="eastAsia"/>
          <w:b/>
          <w:sz w:val="24"/>
          <w:u w:val="none"/>
          <w:lang w:val="en-US" w:eastAsia="zh-CN"/>
        </w:rPr>
        <w:t>3.1.1本项目基本情况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eastAsia="zh-CN"/>
        </w:rPr>
        <w:t>（</w:t>
      </w:r>
      <w:r>
        <w:rPr>
          <w:rFonts w:hint="eastAsia" w:cs="Times New Roman"/>
          <w:sz w:val="24"/>
          <w:u w:val="none"/>
          <w:lang w:val="en-US" w:eastAsia="zh-CN"/>
        </w:rPr>
        <w:t>1</w:t>
      </w:r>
      <w:r>
        <w:rPr>
          <w:rFonts w:hint="eastAsia" w:cs="Times New Roman"/>
          <w:sz w:val="24"/>
          <w:u w:val="none"/>
          <w:lang w:eastAsia="zh-CN"/>
        </w:rPr>
        <w:t>）项目名称：</w:t>
      </w:r>
      <w:r>
        <w:rPr>
          <w:rFonts w:hint="eastAsia" w:cs="Times New Roman"/>
          <w:sz w:val="24"/>
          <w:u w:val="none"/>
          <w:lang w:val="en-US" w:eastAsia="zh-CN"/>
        </w:rPr>
        <w:t>旺苍县医疗废物处置中心建设项目；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（2）建设性质：新建；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（3）地理位置：旺苍县嘉川镇石桥村；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（4）建设单位：旺苍县卫生健康局；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（5）项目投资：1400万元；</w:t>
      </w:r>
    </w:p>
    <w:p>
      <w:pPr>
        <w:topLinePunct/>
        <w:snapToGrid w:val="0"/>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（6）劳动定员及工作制度：劳动定员20人，年工作365天，2班制，每班8小时，厂区设食宿。</w:t>
      </w:r>
    </w:p>
    <w:p>
      <w:pPr>
        <w:topLinePunct/>
        <w:snapToGrid w:val="0"/>
        <w:spacing w:line="360" w:lineRule="auto"/>
        <w:ind w:firstLine="482" w:firstLineChars="200"/>
        <w:jc w:val="left"/>
        <w:rPr>
          <w:rFonts w:hint="default"/>
          <w:b/>
          <w:sz w:val="24"/>
          <w:u w:val="none"/>
          <w:lang w:val="en-US" w:eastAsia="zh-CN"/>
        </w:rPr>
      </w:pPr>
      <w:r>
        <w:rPr>
          <w:rFonts w:hint="eastAsia"/>
          <w:b/>
          <w:sz w:val="24"/>
          <w:u w:val="none"/>
          <w:lang w:val="en-US" w:eastAsia="zh-CN"/>
        </w:rPr>
        <w:t>3.1.2建设规模及产品方案</w:t>
      </w:r>
    </w:p>
    <w:p>
      <w:pPr>
        <w:pStyle w:val="71"/>
        <w:rPr>
          <w:rFonts w:hint="eastAsia" w:cs="Times New Roman"/>
          <w:sz w:val="24"/>
          <w:u w:val="none"/>
          <w:lang w:val="en-US" w:eastAsia="zh-CN"/>
        </w:rPr>
      </w:pPr>
      <w:r>
        <w:rPr>
          <w:rFonts w:hint="eastAsia" w:cs="Times New Roman"/>
          <w:sz w:val="24"/>
          <w:u w:val="none"/>
          <w:lang w:val="en-US" w:eastAsia="zh-CN"/>
        </w:rPr>
        <w:t>1、建设内容及建设规模</w:t>
      </w:r>
    </w:p>
    <w:p>
      <w:pPr>
        <w:pStyle w:val="71"/>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用微波消毒工艺对医疗废物进行处理，总处理规模为800t/a，总用地面积4012m²，建筑面积962.38m²，其中：处置车间建筑面积515.10m²、办公楼399.48m²、2个门卫值班室总计30.72m²、2个独立设备用房17.08m²及附属配套设施。</w:t>
      </w:r>
    </w:p>
    <w:p>
      <w:pPr>
        <w:pStyle w:val="71"/>
        <w:rPr>
          <w:rFonts w:hint="eastAsia" w:cs="Times New Roman"/>
          <w:sz w:val="24"/>
          <w:u w:val="none"/>
          <w:lang w:val="en-US" w:eastAsia="zh-CN"/>
        </w:rPr>
      </w:pPr>
      <w:r>
        <w:rPr>
          <w:rFonts w:hint="eastAsia" w:cs="Times New Roman"/>
          <w:sz w:val="24"/>
          <w:u w:val="none"/>
          <w:lang w:val="en-US" w:eastAsia="zh-CN"/>
        </w:rPr>
        <w:t>2、产品方案</w:t>
      </w:r>
    </w:p>
    <w:p>
      <w:pPr>
        <w:pStyle w:val="71"/>
        <w:rPr>
          <w:rFonts w:hint="eastAsia" w:cs="Times New Roman"/>
          <w:sz w:val="24"/>
          <w:u w:val="none"/>
          <w:lang w:val="en-US" w:eastAsia="zh-CN"/>
        </w:rPr>
      </w:pPr>
      <w:r>
        <w:rPr>
          <w:rFonts w:hint="eastAsia" w:cs="Times New Roman"/>
          <w:sz w:val="24"/>
          <w:u w:val="none"/>
          <w:lang w:val="en-US" w:eastAsia="zh-CN"/>
        </w:rPr>
        <w:t>本项目产品方案见下表。</w:t>
      </w:r>
    </w:p>
    <w:p>
      <w:pPr>
        <w:pStyle w:val="352"/>
        <w:bidi w:val="0"/>
        <w:rPr>
          <w:rFonts w:hint="eastAsia"/>
          <w:lang w:val="en-US" w:eastAsia="zh-CN"/>
        </w:rPr>
      </w:pPr>
      <w:r>
        <w:rPr>
          <w:rFonts w:hint="eastAsia"/>
          <w:lang w:val="en-US" w:eastAsia="zh-CN"/>
        </w:rPr>
        <w:t>表3-1  项目产品方案一览表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序号</w:t>
            </w:r>
          </w:p>
        </w:tc>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原料名称</w:t>
            </w:r>
          </w:p>
        </w:tc>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年处理能力（t/a）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w:t>
            </w:r>
          </w:p>
        </w:tc>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医疗废物</w:t>
            </w:r>
          </w:p>
        </w:tc>
        <w:tc>
          <w:tcPr>
            <w:tcW w:w="309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800</w:t>
            </w:r>
          </w:p>
        </w:tc>
      </w:tr>
    </w:tbl>
    <w:p>
      <w:pPr>
        <w:pStyle w:val="71"/>
        <w:rPr>
          <w:rFonts w:hint="eastAsia" w:cs="Times New Roman"/>
          <w:sz w:val="24"/>
          <w:u w:val="none"/>
          <w:lang w:val="en-US" w:eastAsia="zh-CN"/>
        </w:rPr>
      </w:pPr>
      <w:r>
        <w:rPr>
          <w:rFonts w:hint="eastAsia" w:cs="Times New Roman"/>
          <w:sz w:val="24"/>
          <w:u w:val="none"/>
          <w:lang w:val="en-US" w:eastAsia="zh-CN"/>
        </w:rPr>
        <w:t>根据卫生部和原国家环保总局颁布的卫医发【2003】287号《医疗废物分类名录》，医疗废物分为感染性废物、病理性废物、损伤性废物、药物性废物以及化学性废物五种。根据《医疗废物微波消毒集中处理工程技术规范（试行）》（HJ/T229-2006），微波消毒法不得处置病理性废物中的可辨认的人体器官、动物尸体、药物性废物及化学性废物。因此，本项目医疗废物处置中心接纳的废物为感染性废物、病理性废物（不包含可辨认的人体器官及动物尸体）以及损伤性废物。</w:t>
      </w:r>
    </w:p>
    <w:p>
      <w:pPr>
        <w:pStyle w:val="71"/>
        <w:rPr>
          <w:rFonts w:hint="eastAsia" w:cs="Times New Roman"/>
          <w:sz w:val="24"/>
          <w:u w:val="none"/>
          <w:lang w:val="en-US" w:eastAsia="zh-CN"/>
        </w:rPr>
      </w:pPr>
      <w:r>
        <w:rPr>
          <w:rFonts w:hint="eastAsia" w:cs="Times New Roman"/>
          <w:sz w:val="24"/>
          <w:u w:val="none"/>
          <w:lang w:val="en-US" w:eastAsia="zh-CN"/>
        </w:rPr>
        <w:t>本项目主要处理对象为旺苍县及辖区内各乡镇产生的医疗废物，医疗废物主要来自废气医疗用品（脱脂棉、纱布、绷带、石膏等）、废医疗用具及仪器（注射器、点滴容器、体温计、针头、胶皮手套、手术刀、剪刀等检查器具）、分析化验用品、废弃药品、废显影液及胶片、手术残物、病人的生活垃圾等。</w:t>
      </w:r>
    </w:p>
    <w:p>
      <w:pPr>
        <w:pStyle w:val="71"/>
        <w:rPr>
          <w:rFonts w:hint="eastAsia"/>
          <w:lang w:val="en-US" w:eastAsia="zh-CN"/>
        </w:rPr>
      </w:pPr>
      <w:r>
        <w:rPr>
          <w:rFonts w:hint="eastAsia"/>
          <w:lang w:val="en-US" w:eastAsia="zh-CN"/>
        </w:rPr>
        <w:t>综上，本项目具体收集处置的医疗废物详见下表。</w:t>
      </w:r>
    </w:p>
    <w:p>
      <w:pPr>
        <w:pStyle w:val="352"/>
        <w:bidi w:val="0"/>
        <w:rPr>
          <w:rFonts w:hint="eastAsia"/>
          <w:lang w:val="en-US" w:eastAsia="zh-CN"/>
        </w:rPr>
      </w:pPr>
      <w:r>
        <w:rPr>
          <w:rFonts w:hint="eastAsia"/>
          <w:lang w:val="en-US" w:eastAsia="zh-CN"/>
        </w:rPr>
        <w:t>表3-2  本项目可收集处置的医疗废物一览表</w:t>
      </w:r>
    </w:p>
    <w:tbl>
      <w:tblPr>
        <w:tblStyle w:val="59"/>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733"/>
        <w:gridCol w:w="4467"/>
        <w:gridCol w:w="71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类别</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特征</w:t>
            </w:r>
          </w:p>
        </w:tc>
        <w:tc>
          <w:tcPr>
            <w:tcW w:w="4467" w:type="dxa"/>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常见组份或者废物名称</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是否收集</w:t>
            </w:r>
          </w:p>
        </w:tc>
        <w:tc>
          <w:tcPr>
            <w:tcW w:w="2114" w:type="dxa"/>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感染性废物</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携带病原微生物具有引发感染性疾病传播危险的医疗废物</w:t>
            </w:r>
          </w:p>
        </w:tc>
        <w:tc>
          <w:tcPr>
            <w:tcW w:w="4467" w:type="dxa"/>
            <w:vAlign w:val="center"/>
          </w:tcPr>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1、被病人血液、体液、排泄物污染的物品，包括：棉球、棉签、引流棉条、纱布及其他各种敷料；一次性使用卫生用品、一次性使用医疗用品及一次性医疗器械；废弃的被服；其他被病人血液、体液、排泄物污染的物品。</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2、医疗机构收治的隔离传染病病人或者疑似传染病病人产生的生活垃圾。</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3、病原体的培养基、标本和菌种、毒种保存液。</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4、各种废弃的医学标本。</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5、废弃的血液、血清。</w:t>
            </w:r>
          </w:p>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6、使用后的一次性使用医疗用品及一次性医疗器械视为感染性废物。</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收集</w:t>
            </w:r>
          </w:p>
        </w:tc>
        <w:tc>
          <w:tcPr>
            <w:tcW w:w="2114" w:type="dxa"/>
            <w:vAlign w:val="center"/>
          </w:tcPr>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本项目处理后最终运至旺苍县垃圾填埋场处理处置。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病理性废物</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诊疗过程中产生的人体废弃物和医学实验动物尸体等</w:t>
            </w:r>
          </w:p>
        </w:tc>
        <w:tc>
          <w:tcPr>
            <w:tcW w:w="4467" w:type="dxa"/>
            <w:vAlign w:val="center"/>
          </w:tcPr>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1、手术及其他诊疗过程中产生的废弃的人体组织、器官等。</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2、医学实验动物的组织、尸体。</w:t>
            </w:r>
          </w:p>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3、病理切片后废弃的人体组织、病理腊块等。</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收集</w:t>
            </w:r>
          </w:p>
        </w:tc>
        <w:tc>
          <w:tcPr>
            <w:tcW w:w="2114" w:type="dxa"/>
            <w:vAlign w:val="center"/>
          </w:tcPr>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可辨认的人体器官及动物尸体送至火葬场处理。其余病理性废物最终送至旺苍县垃圾填埋场处理处置。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11"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损伤性废物</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能够刺伤或者割伤人体的废弃的医用锐器</w:t>
            </w:r>
          </w:p>
        </w:tc>
        <w:tc>
          <w:tcPr>
            <w:tcW w:w="4467" w:type="dxa"/>
            <w:vAlign w:val="center"/>
          </w:tcPr>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1、医用针头、缝合针。</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2、各类医用锐器，包括：解剖刀、手术刀、备皮刀、手术锯等。</w:t>
            </w:r>
          </w:p>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3、载玻片、玻璃试管、玻璃安瓿等</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收集</w:t>
            </w:r>
          </w:p>
        </w:tc>
        <w:tc>
          <w:tcPr>
            <w:tcW w:w="2114" w:type="dxa"/>
            <w:vAlign w:val="center"/>
          </w:tcPr>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default"/>
                <w:b w:val="0"/>
                <w:bCs/>
                <w:lang w:val="en-US" w:eastAsia="zh-CN"/>
              </w:rPr>
              <w:t>本项目处理后最终运至旺苍县垃圾填埋场处理处置。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药物性废物</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药物性废物是指过期、淘汰、编制或者被污染的废弃的药品</w:t>
            </w:r>
          </w:p>
        </w:tc>
        <w:tc>
          <w:tcPr>
            <w:tcW w:w="4467" w:type="dxa"/>
            <w:vAlign w:val="center"/>
          </w:tcPr>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1、废弃的一般性药品，如：抗生素、非处方类药品。</w:t>
            </w:r>
          </w:p>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2、废弃的细胞毒性药物和遗传毒性药物。</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不收集</w:t>
            </w:r>
          </w:p>
        </w:tc>
        <w:tc>
          <w:tcPr>
            <w:tcW w:w="2114" w:type="dxa"/>
            <w:vAlign w:val="center"/>
          </w:tcPr>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委托有相关处理资质的单位收集处置。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化学性废物</w:t>
            </w:r>
          </w:p>
        </w:tc>
        <w:tc>
          <w:tcPr>
            <w:tcW w:w="1733"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化学性废物是指具有毒性、腐蚀性、易燃易爆性的废弃的化学物品。</w:t>
            </w:r>
          </w:p>
        </w:tc>
        <w:tc>
          <w:tcPr>
            <w:tcW w:w="4467" w:type="dxa"/>
            <w:vAlign w:val="center"/>
          </w:tcPr>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1、医学影像室、实验室废弃的化学试剂。</w:t>
            </w:r>
          </w:p>
          <w:p>
            <w:pPr>
              <w:pStyle w:val="352"/>
              <w:keepNext w:val="0"/>
              <w:keepLines w:val="0"/>
              <w:suppressLineNumbers w:val="0"/>
              <w:bidi w:val="0"/>
              <w:spacing w:before="0" w:beforeAutospacing="0" w:after="0" w:afterAutospacing="0"/>
              <w:ind w:left="0" w:right="0"/>
              <w:jc w:val="both"/>
              <w:rPr>
                <w:rFonts w:hint="eastAsia"/>
                <w:b w:val="0"/>
                <w:bCs/>
                <w:lang w:val="en-US" w:eastAsia="zh-CN"/>
              </w:rPr>
            </w:pPr>
            <w:r>
              <w:rPr>
                <w:rFonts w:hint="eastAsia"/>
                <w:b w:val="0"/>
                <w:bCs/>
                <w:lang w:val="en-US" w:eastAsia="zh-CN"/>
              </w:rPr>
              <w:t>2、废弃的过氧乙酸、戊二醛等化学消毒剂。</w:t>
            </w:r>
          </w:p>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eastAsia"/>
                <w:b w:val="0"/>
                <w:bCs/>
                <w:lang w:val="en-US" w:eastAsia="zh-CN"/>
              </w:rPr>
              <w:t>3、废弃的汞血压计、汞温度计。</w:t>
            </w:r>
          </w:p>
        </w:tc>
        <w:tc>
          <w:tcPr>
            <w:tcW w:w="719" w:type="dxa"/>
            <w:vAlign w:val="center"/>
          </w:tcPr>
          <w:p>
            <w:pPr>
              <w:pStyle w:val="352"/>
              <w:keepNext w:val="0"/>
              <w:keepLines w:val="0"/>
              <w:suppressLineNumbers w:val="0"/>
              <w:bidi w:val="0"/>
              <w:spacing w:before="0" w:beforeAutospacing="0" w:after="0" w:afterAutospacing="0"/>
              <w:ind w:left="0" w:right="0"/>
              <w:jc w:val="center"/>
              <w:rPr>
                <w:rFonts w:hint="default"/>
                <w:b w:val="0"/>
                <w:bCs/>
                <w:lang w:val="en-US" w:eastAsia="zh-CN"/>
              </w:rPr>
            </w:pPr>
            <w:r>
              <w:rPr>
                <w:rFonts w:hint="eastAsia"/>
                <w:b w:val="0"/>
                <w:bCs/>
                <w:lang w:val="en-US" w:eastAsia="zh-CN"/>
              </w:rPr>
              <w:t>不收集</w:t>
            </w:r>
          </w:p>
        </w:tc>
        <w:tc>
          <w:tcPr>
            <w:tcW w:w="2114" w:type="dxa"/>
            <w:vAlign w:val="center"/>
          </w:tcPr>
          <w:p>
            <w:pPr>
              <w:pStyle w:val="352"/>
              <w:keepNext w:val="0"/>
              <w:keepLines w:val="0"/>
              <w:suppressLineNumbers w:val="0"/>
              <w:bidi w:val="0"/>
              <w:spacing w:before="0" w:beforeAutospacing="0" w:after="0" w:afterAutospacing="0"/>
              <w:ind w:left="0" w:right="0"/>
              <w:jc w:val="both"/>
              <w:rPr>
                <w:rFonts w:hint="default"/>
                <w:b w:val="0"/>
                <w:bCs/>
                <w:lang w:val="en-US" w:eastAsia="zh-CN"/>
              </w:rPr>
            </w:pPr>
            <w:r>
              <w:rPr>
                <w:rFonts w:hint="default"/>
                <w:b w:val="0"/>
                <w:bCs/>
                <w:lang w:val="en-US" w:eastAsia="zh-CN"/>
              </w:rPr>
              <w:t>委托有相关处理资质的单位收集处置。</w:t>
            </w:r>
          </w:p>
        </w:tc>
      </w:tr>
    </w:tbl>
    <w:p>
      <w:pPr>
        <w:pStyle w:val="71"/>
        <w:rPr>
          <w:rFonts w:hint="eastAsia"/>
          <w:lang w:val="en-US" w:eastAsia="zh-CN"/>
        </w:rPr>
      </w:pPr>
      <w:r>
        <w:rPr>
          <w:rFonts w:hint="eastAsia"/>
          <w:lang w:val="en-US" w:eastAsia="zh-CN"/>
        </w:rPr>
        <w:t>根据有关资料统计和卫生防疫站提供的数据，医疗废弃物组成及其所占比例为：</w:t>
      </w:r>
    </w:p>
    <w:p>
      <w:pPr>
        <w:pStyle w:val="352"/>
        <w:bidi w:val="0"/>
        <w:rPr>
          <w:rFonts w:hint="eastAsia"/>
          <w:lang w:val="en-US" w:eastAsia="zh-CN"/>
        </w:rPr>
      </w:pPr>
      <w:r>
        <w:rPr>
          <w:rFonts w:hint="eastAsia"/>
          <w:lang w:val="en-US" w:eastAsia="zh-CN"/>
        </w:rPr>
        <w:t>表3-3  本项目医疗废物组成成分及占比一览表</w:t>
      </w:r>
    </w:p>
    <w:tbl>
      <w:tblPr>
        <w:tblStyle w:val="59"/>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588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vertAlign w:val="baseline"/>
                <w:lang w:val="en-US" w:eastAsia="zh-CN"/>
              </w:rPr>
            </w:pPr>
            <w:r>
              <w:rPr>
                <w:rFonts w:hint="eastAsia"/>
                <w:vertAlign w:val="baseline"/>
                <w:lang w:val="en-US" w:eastAsia="zh-CN"/>
              </w:rPr>
              <w:t>序号</w:t>
            </w:r>
          </w:p>
        </w:tc>
        <w:tc>
          <w:tcPr>
            <w:tcW w:w="5882" w:type="dxa"/>
          </w:tcPr>
          <w:p>
            <w:pPr>
              <w:pStyle w:val="352"/>
              <w:keepNext w:val="0"/>
              <w:keepLines w:val="0"/>
              <w:suppressLineNumbers w:val="0"/>
              <w:bidi w:val="0"/>
              <w:spacing w:before="0" w:beforeAutospacing="0" w:after="0" w:afterAutospacing="0"/>
              <w:ind w:left="0" w:right="0"/>
              <w:rPr>
                <w:rFonts w:hint="default"/>
                <w:vertAlign w:val="baseline"/>
                <w:lang w:val="en-US" w:eastAsia="zh-CN"/>
              </w:rPr>
            </w:pPr>
            <w:r>
              <w:rPr>
                <w:rFonts w:hint="eastAsia"/>
                <w:vertAlign w:val="baseline"/>
                <w:lang w:val="en-US" w:eastAsia="zh-CN"/>
              </w:rPr>
              <w:t>组成内容</w:t>
            </w:r>
          </w:p>
        </w:tc>
        <w:tc>
          <w:tcPr>
            <w:tcW w:w="1976" w:type="dxa"/>
          </w:tcPr>
          <w:p>
            <w:pPr>
              <w:pStyle w:val="352"/>
              <w:keepNext w:val="0"/>
              <w:keepLines w:val="0"/>
              <w:suppressLineNumbers w:val="0"/>
              <w:bidi w:val="0"/>
              <w:spacing w:before="0" w:beforeAutospacing="0" w:after="0" w:afterAutospacing="0"/>
              <w:ind w:left="0" w:right="0"/>
              <w:rPr>
                <w:rFonts w:hint="default"/>
                <w:vertAlign w:val="baseline"/>
                <w:lang w:val="en-US" w:eastAsia="zh-CN"/>
              </w:rPr>
            </w:pPr>
            <w:r>
              <w:rPr>
                <w:rFonts w:hint="eastAsia"/>
                <w:vertAlign w:val="baseline"/>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1</w:t>
            </w:r>
          </w:p>
        </w:tc>
        <w:tc>
          <w:tcPr>
            <w:tcW w:w="5882" w:type="dxa"/>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一次性注射器、输液器、输血袋等</w:t>
            </w:r>
          </w:p>
        </w:tc>
        <w:tc>
          <w:tcPr>
            <w:tcW w:w="1976"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2</w:t>
            </w:r>
          </w:p>
        </w:tc>
        <w:tc>
          <w:tcPr>
            <w:tcW w:w="5882" w:type="dxa"/>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针头、刀片等金属物品</w:t>
            </w:r>
          </w:p>
        </w:tc>
        <w:tc>
          <w:tcPr>
            <w:tcW w:w="1976"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3</w:t>
            </w:r>
          </w:p>
        </w:tc>
        <w:tc>
          <w:tcPr>
            <w:tcW w:w="5882" w:type="dxa"/>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包、盘、盒、敷料、棉球、手术衣、帽、口罩、手套等</w:t>
            </w:r>
          </w:p>
        </w:tc>
        <w:tc>
          <w:tcPr>
            <w:tcW w:w="1976"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4</w:t>
            </w:r>
          </w:p>
        </w:tc>
        <w:tc>
          <w:tcPr>
            <w:tcW w:w="5882" w:type="dxa"/>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手术摘除的器官、病理组织及节育手术的废弃物等</w:t>
            </w:r>
          </w:p>
        </w:tc>
        <w:tc>
          <w:tcPr>
            <w:tcW w:w="1976"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82"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5</w:t>
            </w:r>
          </w:p>
        </w:tc>
        <w:tc>
          <w:tcPr>
            <w:tcW w:w="5882" w:type="dxa"/>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t>检验室使用的废弃采血针管、传染病患者的生活垃圾</w:t>
            </w:r>
          </w:p>
        </w:tc>
        <w:tc>
          <w:tcPr>
            <w:tcW w:w="1976" w:type="dxa"/>
          </w:tcPr>
          <w:p>
            <w:pPr>
              <w:pStyle w:val="352"/>
              <w:keepNext w:val="0"/>
              <w:keepLines w:val="0"/>
              <w:suppressLineNumbers w:val="0"/>
              <w:bidi w:val="0"/>
              <w:spacing w:before="0" w:beforeAutospacing="0" w:after="0" w:afterAutospacing="0"/>
              <w:ind w:left="0" w:right="0"/>
              <w:rPr>
                <w:rFonts w:hint="default"/>
                <w:b w:val="0"/>
                <w:bCs/>
                <w:vertAlign w:val="baseline"/>
                <w:lang w:val="en-US" w:eastAsia="zh-CN"/>
              </w:rPr>
            </w:pPr>
            <w:r>
              <w:rPr>
                <w:rFonts w:hint="eastAsia"/>
                <w:b w:val="0"/>
                <w:bCs/>
                <w:vertAlign w:val="baseline"/>
                <w:lang w:val="en-US" w:eastAsia="zh-CN"/>
              </w:rPr>
              <w:t>5.85</w:t>
            </w:r>
          </w:p>
        </w:tc>
      </w:tr>
    </w:tbl>
    <w:p>
      <w:pPr>
        <w:pStyle w:val="71"/>
        <w:rPr>
          <w:rFonts w:hint="eastAsia"/>
          <w:lang w:val="en-US" w:eastAsia="zh-CN"/>
        </w:rPr>
      </w:pPr>
      <w:r>
        <w:rPr>
          <w:rFonts w:hint="eastAsia"/>
          <w:lang w:val="en-US" w:eastAsia="zh-CN"/>
        </w:rPr>
        <w:t>根据对有代表性的医疗废弃物的调查、测定，得出医疗废弃物成分、 含水率参见参见下列表：</w:t>
      </w:r>
    </w:p>
    <w:p>
      <w:pPr>
        <w:topLinePunct/>
        <w:adjustRightInd w:val="0"/>
        <w:snapToGrid w:val="0"/>
        <w:spacing w:line="240" w:lineRule="auto"/>
        <w:jc w:val="center"/>
        <w:rPr>
          <w:rFonts w:hint="eastAsia"/>
          <w:b/>
          <w:sz w:val="21"/>
          <w:szCs w:val="21"/>
          <w:u w:val="none"/>
          <w:lang w:val="en-US" w:eastAsia="zh-CN"/>
        </w:rPr>
      </w:pPr>
      <w:r>
        <w:rPr>
          <w:rFonts w:hint="eastAsia"/>
          <w:b/>
          <w:sz w:val="21"/>
          <w:szCs w:val="21"/>
          <w:u w:val="none"/>
          <w:lang w:val="en-US" w:eastAsia="zh-CN"/>
        </w:rPr>
        <w:t>表3-4  医疗废弃物成分百分比含量（%）</w:t>
      </w:r>
    </w:p>
    <w:tbl>
      <w:tblPr>
        <w:tblStyle w:val="58"/>
        <w:tblW w:w="8776" w:type="dxa"/>
        <w:jc w:val="center"/>
        <w:tblLayout w:type="fixed"/>
        <w:tblCellMar>
          <w:top w:w="0" w:type="dxa"/>
          <w:left w:w="108" w:type="dxa"/>
          <w:bottom w:w="0" w:type="dxa"/>
          <w:right w:w="108" w:type="dxa"/>
        </w:tblCellMar>
      </w:tblPr>
      <w:tblGrid>
        <w:gridCol w:w="935"/>
        <w:gridCol w:w="1011"/>
        <w:gridCol w:w="1004"/>
        <w:gridCol w:w="1150"/>
        <w:gridCol w:w="1195"/>
        <w:gridCol w:w="955"/>
        <w:gridCol w:w="1027"/>
        <w:gridCol w:w="1499"/>
      </w:tblGrid>
      <w:tr>
        <w:tblPrEx>
          <w:tblCellMar>
            <w:top w:w="0" w:type="dxa"/>
            <w:left w:w="108" w:type="dxa"/>
            <w:bottom w:w="0" w:type="dxa"/>
            <w:right w:w="108" w:type="dxa"/>
          </w:tblCellMar>
        </w:tblPrEx>
        <w:trPr>
          <w:cantSplit/>
          <w:trHeight w:val="313" w:hRule="atLeast"/>
          <w:jc w:val="center"/>
        </w:trPr>
        <w:tc>
          <w:tcPr>
            <w:tcW w:w="5295" w:type="dxa"/>
            <w:gridSpan w:val="5"/>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有机物</w:t>
            </w:r>
          </w:p>
        </w:tc>
        <w:tc>
          <w:tcPr>
            <w:tcW w:w="1982" w:type="dxa"/>
            <w:gridSpan w:val="2"/>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无机物</w:t>
            </w:r>
          </w:p>
        </w:tc>
        <w:tc>
          <w:tcPr>
            <w:tcW w:w="1499" w:type="dxa"/>
            <w:vMerge w:val="restar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其他</w:t>
            </w:r>
          </w:p>
        </w:tc>
      </w:tr>
      <w:tr>
        <w:tblPrEx>
          <w:tblCellMar>
            <w:top w:w="0" w:type="dxa"/>
            <w:left w:w="108" w:type="dxa"/>
            <w:bottom w:w="0" w:type="dxa"/>
            <w:right w:w="108" w:type="dxa"/>
          </w:tblCellMar>
        </w:tblPrEx>
        <w:trPr>
          <w:cantSplit/>
          <w:trHeight w:val="313" w:hRule="atLeast"/>
          <w:jc w:val="center"/>
        </w:trPr>
        <w:tc>
          <w:tcPr>
            <w:tcW w:w="93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脏器</w:t>
            </w:r>
          </w:p>
        </w:tc>
        <w:tc>
          <w:tcPr>
            <w:tcW w:w="1011"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棉签</w:t>
            </w:r>
          </w:p>
        </w:tc>
        <w:tc>
          <w:tcPr>
            <w:tcW w:w="1004"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纸类</w:t>
            </w:r>
          </w:p>
        </w:tc>
        <w:tc>
          <w:tcPr>
            <w:tcW w:w="1150"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织物</w:t>
            </w:r>
          </w:p>
        </w:tc>
        <w:tc>
          <w:tcPr>
            <w:tcW w:w="119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塑料</w:t>
            </w:r>
          </w:p>
        </w:tc>
        <w:tc>
          <w:tcPr>
            <w:tcW w:w="95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玻璃</w:t>
            </w:r>
          </w:p>
        </w:tc>
        <w:tc>
          <w:tcPr>
            <w:tcW w:w="1027"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金属</w:t>
            </w:r>
          </w:p>
        </w:tc>
        <w:tc>
          <w:tcPr>
            <w:tcW w:w="1499" w:type="dxa"/>
            <w:vMerge w:val="continue"/>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p>
        </w:tc>
      </w:tr>
      <w:tr>
        <w:tblPrEx>
          <w:tblCellMar>
            <w:top w:w="0" w:type="dxa"/>
            <w:left w:w="108" w:type="dxa"/>
            <w:bottom w:w="0" w:type="dxa"/>
            <w:right w:w="108" w:type="dxa"/>
          </w:tblCellMar>
        </w:tblPrEx>
        <w:trPr>
          <w:cantSplit/>
          <w:trHeight w:val="313" w:hRule="atLeast"/>
          <w:jc w:val="center"/>
        </w:trPr>
        <w:tc>
          <w:tcPr>
            <w:tcW w:w="93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0.05</w:t>
            </w:r>
          </w:p>
        </w:tc>
        <w:tc>
          <w:tcPr>
            <w:tcW w:w="1011"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10.55</w:t>
            </w:r>
          </w:p>
        </w:tc>
        <w:tc>
          <w:tcPr>
            <w:tcW w:w="1004"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21.00</w:t>
            </w:r>
          </w:p>
        </w:tc>
        <w:tc>
          <w:tcPr>
            <w:tcW w:w="1150"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11.53</w:t>
            </w:r>
          </w:p>
        </w:tc>
        <w:tc>
          <w:tcPr>
            <w:tcW w:w="119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15.91</w:t>
            </w:r>
          </w:p>
        </w:tc>
        <w:tc>
          <w:tcPr>
            <w:tcW w:w="955"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29.66</w:t>
            </w:r>
          </w:p>
        </w:tc>
        <w:tc>
          <w:tcPr>
            <w:tcW w:w="1027"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2.60</w:t>
            </w:r>
          </w:p>
        </w:tc>
        <w:tc>
          <w:tcPr>
            <w:tcW w:w="1499" w:type="dxa"/>
            <w:vMerge w:val="restar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b w:val="0"/>
                <w:bCs/>
                <w:lang w:val="en-US" w:eastAsia="zh-CN"/>
              </w:rPr>
              <w:t>8.70</w:t>
            </w:r>
          </w:p>
        </w:tc>
      </w:tr>
      <w:tr>
        <w:tblPrEx>
          <w:tblCellMar>
            <w:top w:w="0" w:type="dxa"/>
            <w:left w:w="108" w:type="dxa"/>
            <w:bottom w:w="0" w:type="dxa"/>
            <w:right w:w="108" w:type="dxa"/>
          </w:tblCellMar>
        </w:tblPrEx>
        <w:trPr>
          <w:cantSplit/>
          <w:trHeight w:val="313" w:hRule="atLeast"/>
          <w:jc w:val="center"/>
        </w:trPr>
        <w:tc>
          <w:tcPr>
            <w:tcW w:w="5295" w:type="dxa"/>
            <w:gridSpan w:val="5"/>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59.04</w:t>
            </w:r>
          </w:p>
        </w:tc>
        <w:tc>
          <w:tcPr>
            <w:tcW w:w="1982" w:type="dxa"/>
            <w:gridSpan w:val="2"/>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32.26</w:t>
            </w:r>
          </w:p>
        </w:tc>
        <w:tc>
          <w:tcPr>
            <w:tcW w:w="1499" w:type="dxa"/>
            <w:vMerge w:val="continue"/>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352"/>
              <w:keepNext w:val="0"/>
              <w:keepLines w:val="0"/>
              <w:suppressLineNumbers w:val="0"/>
              <w:bidi w:val="0"/>
              <w:spacing w:before="0" w:beforeAutospacing="0" w:after="0" w:afterAutospacing="0"/>
              <w:ind w:left="0" w:right="0"/>
              <w:rPr>
                <w:rFonts w:hint="default"/>
                <w:lang w:val="en-US" w:eastAsia="zh-CN"/>
              </w:rPr>
            </w:pPr>
          </w:p>
        </w:tc>
      </w:tr>
    </w:tbl>
    <w:p>
      <w:pPr>
        <w:topLinePunct/>
        <w:adjustRightInd w:val="0"/>
        <w:snapToGrid w:val="0"/>
        <w:spacing w:line="240" w:lineRule="auto"/>
        <w:jc w:val="center"/>
        <w:rPr>
          <w:rFonts w:hint="eastAsia"/>
          <w:b/>
          <w:sz w:val="21"/>
          <w:szCs w:val="21"/>
          <w:u w:val="none"/>
          <w:lang w:val="en-US" w:eastAsia="zh-CN"/>
        </w:rPr>
      </w:pPr>
      <w:r>
        <w:rPr>
          <w:rFonts w:hint="eastAsia"/>
          <w:b/>
          <w:sz w:val="21"/>
          <w:szCs w:val="21"/>
          <w:u w:val="none"/>
          <w:lang w:val="en-US" w:eastAsia="zh-CN"/>
        </w:rPr>
        <w:t>表3-5  医疗废物含水率（%）</w:t>
      </w:r>
    </w:p>
    <w:tbl>
      <w:tblPr>
        <w:tblStyle w:val="58"/>
        <w:tblW w:w="8976" w:type="dxa"/>
        <w:jc w:val="center"/>
        <w:tblLayout w:type="fixed"/>
        <w:tblCellMar>
          <w:top w:w="0" w:type="dxa"/>
          <w:left w:w="108" w:type="dxa"/>
          <w:bottom w:w="0" w:type="dxa"/>
          <w:right w:w="108" w:type="dxa"/>
        </w:tblCellMar>
      </w:tblPr>
      <w:tblGrid>
        <w:gridCol w:w="1491"/>
        <w:gridCol w:w="1493"/>
        <w:gridCol w:w="1494"/>
        <w:gridCol w:w="1494"/>
        <w:gridCol w:w="1494"/>
        <w:gridCol w:w="1510"/>
      </w:tblGrid>
      <w:tr>
        <w:tblPrEx>
          <w:tblCellMar>
            <w:top w:w="0" w:type="dxa"/>
            <w:left w:w="108" w:type="dxa"/>
            <w:bottom w:w="0" w:type="dxa"/>
            <w:right w:w="108" w:type="dxa"/>
          </w:tblCellMar>
        </w:tblPrEx>
        <w:trPr>
          <w:jc w:val="center"/>
        </w:trPr>
        <w:tc>
          <w:tcPr>
            <w:tcW w:w="1491"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废纸</w:t>
            </w:r>
          </w:p>
        </w:tc>
        <w:tc>
          <w:tcPr>
            <w:tcW w:w="1493"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棉布</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脏器</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塑料</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木质</w:t>
            </w:r>
          </w:p>
        </w:tc>
        <w:tc>
          <w:tcPr>
            <w:tcW w:w="1510"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平均</w:t>
            </w:r>
          </w:p>
        </w:tc>
      </w:tr>
      <w:tr>
        <w:tblPrEx>
          <w:tblCellMar>
            <w:top w:w="0" w:type="dxa"/>
            <w:left w:w="108" w:type="dxa"/>
            <w:bottom w:w="0" w:type="dxa"/>
            <w:right w:w="108" w:type="dxa"/>
          </w:tblCellMar>
        </w:tblPrEx>
        <w:trPr>
          <w:jc w:val="center"/>
        </w:trPr>
        <w:tc>
          <w:tcPr>
            <w:tcW w:w="1491"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28.51</w:t>
            </w:r>
          </w:p>
        </w:tc>
        <w:tc>
          <w:tcPr>
            <w:tcW w:w="1493"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65.61</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56.91</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20.49</w:t>
            </w:r>
          </w:p>
        </w:tc>
        <w:tc>
          <w:tcPr>
            <w:tcW w:w="1494"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42.69</w:t>
            </w:r>
          </w:p>
        </w:tc>
        <w:tc>
          <w:tcPr>
            <w:tcW w:w="1510" w:type="dxa"/>
            <w:tcBorders>
              <w:top w:val="single" w:color="auto" w:sz="6" w:space="0"/>
              <w:left w:val="single" w:color="auto" w:sz="6" w:space="0"/>
              <w:bottom w:val="single" w:color="auto" w:sz="6" w:space="0"/>
              <w:right w:val="single" w:color="auto" w:sz="6" w:space="0"/>
            </w:tcBorders>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43.84</w:t>
            </w:r>
          </w:p>
        </w:tc>
      </w:tr>
    </w:tbl>
    <w:p>
      <w:pPr>
        <w:topLinePunct/>
        <w:snapToGrid w:val="0"/>
        <w:spacing w:line="360" w:lineRule="auto"/>
        <w:ind w:firstLine="482" w:firstLineChars="200"/>
        <w:jc w:val="left"/>
        <w:rPr>
          <w:rFonts w:hint="eastAsia"/>
          <w:b/>
          <w:sz w:val="24"/>
          <w:u w:val="none"/>
          <w:lang w:val="en-US" w:eastAsia="zh-CN"/>
        </w:rPr>
      </w:pPr>
      <w:r>
        <w:rPr>
          <w:rFonts w:hint="eastAsia"/>
          <w:b/>
          <w:sz w:val="24"/>
          <w:u w:val="none"/>
          <w:lang w:val="en-US" w:eastAsia="zh-CN"/>
        </w:rPr>
        <w:t>3.1.3项目组成情况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本项目由主体工程、公用工程、辅助工程、储运工程、环保工程等组成，本项目组成及主要环境问题详见下表。</w:t>
      </w:r>
    </w:p>
    <w:p>
      <w:pPr>
        <w:topLinePunct/>
        <w:adjustRightInd w:val="0"/>
        <w:snapToGrid w:val="0"/>
        <w:spacing w:line="240" w:lineRule="auto"/>
        <w:jc w:val="center"/>
        <w:rPr>
          <w:rFonts w:hint="eastAsia"/>
          <w:b/>
          <w:sz w:val="21"/>
          <w:szCs w:val="21"/>
          <w:u w:val="none"/>
          <w:lang w:val="en-US" w:eastAsia="zh-CN"/>
        </w:rPr>
      </w:pPr>
      <w:r>
        <w:rPr>
          <w:rFonts w:hint="eastAsia"/>
          <w:b/>
          <w:sz w:val="21"/>
          <w:szCs w:val="21"/>
          <w:u w:val="none"/>
          <w:lang w:val="en-US" w:eastAsia="zh-CN"/>
        </w:rPr>
        <w:t>表3-6  本项目组成及主要环境问题</w:t>
      </w:r>
    </w:p>
    <w:tbl>
      <w:tblPr>
        <w:tblStyle w:val="59"/>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18"/>
        <w:gridCol w:w="5440"/>
        <w:gridCol w:w="1009"/>
        <w:gridCol w:w="103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754" w:type="dxa"/>
            <w:gridSpan w:val="2"/>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val="en-US" w:eastAsia="zh-CN"/>
              </w:rPr>
            </w:pPr>
            <w:r>
              <w:rPr>
                <w:rFonts w:hint="eastAsia" w:ascii="Times New Roman" w:hAnsi="Times New Roman" w:eastAsia="宋体"/>
                <w:b/>
                <w:bCs/>
                <w:u w:val="none"/>
                <w:lang w:val="en-US" w:eastAsia="zh-CN"/>
              </w:rPr>
              <w:t>项目名称</w:t>
            </w:r>
          </w:p>
        </w:tc>
        <w:tc>
          <w:tcPr>
            <w:tcW w:w="5440"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val="en-US" w:eastAsia="zh-CN"/>
              </w:rPr>
            </w:pPr>
            <w:r>
              <w:rPr>
                <w:rFonts w:hint="eastAsia" w:ascii="Times New Roman" w:hAnsi="Times New Roman" w:eastAsia="宋体"/>
                <w:b/>
                <w:bCs/>
                <w:u w:val="none"/>
                <w:lang w:val="en-US" w:eastAsia="zh-CN"/>
              </w:rPr>
              <w:t>主要建设内容</w:t>
            </w:r>
          </w:p>
        </w:tc>
        <w:tc>
          <w:tcPr>
            <w:tcW w:w="2044" w:type="dxa"/>
            <w:gridSpan w:val="3"/>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b/>
                <w:bCs/>
                <w:u w:val="none"/>
                <w:lang w:val="en-US" w:eastAsia="zh-CN"/>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754" w:type="dxa"/>
            <w:gridSpan w:val="2"/>
            <w:vMerge w:val="continue"/>
            <w:vAlign w:val="center"/>
          </w:tcPr>
          <w:p>
            <w:pPr>
              <w:pStyle w:val="352"/>
              <w:keepNext w:val="0"/>
              <w:keepLines w:val="0"/>
              <w:suppressLineNumbers w:val="0"/>
              <w:spacing w:before="0" w:beforeAutospacing="0" w:after="0" w:afterAutospacing="0"/>
              <w:ind w:left="0" w:right="0" w:firstLine="0"/>
              <w:rPr>
                <w:rFonts w:hint="default"/>
              </w:rPr>
            </w:pPr>
          </w:p>
        </w:tc>
        <w:tc>
          <w:tcPr>
            <w:tcW w:w="5440" w:type="dxa"/>
            <w:vMerge w:val="continue"/>
            <w:vAlign w:val="center"/>
          </w:tcPr>
          <w:p>
            <w:pPr>
              <w:pStyle w:val="352"/>
              <w:keepNext w:val="0"/>
              <w:keepLines w:val="0"/>
              <w:suppressLineNumbers w:val="0"/>
              <w:spacing w:before="0" w:beforeAutospacing="0" w:after="0" w:afterAutospacing="0"/>
              <w:ind w:left="0" w:right="0" w:firstLine="0"/>
              <w:rPr>
                <w:rFonts w:hint="default"/>
              </w:rPr>
            </w:pPr>
          </w:p>
        </w:tc>
        <w:tc>
          <w:tcPr>
            <w:tcW w:w="1009"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b/>
                <w:bCs/>
                <w:u w:val="none"/>
                <w:lang w:val="en-US" w:eastAsia="zh-CN"/>
              </w:rPr>
              <w:t>施工期</w:t>
            </w:r>
          </w:p>
        </w:tc>
        <w:tc>
          <w:tcPr>
            <w:tcW w:w="103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b/>
                <w:bCs/>
                <w:u w:val="none"/>
                <w:lang w:val="en-US" w:eastAsia="zh-CN"/>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ascii="Times New Roman" w:hAnsi="Times New Roman" w:eastAsia="宋体"/>
                <w:b w:val="0"/>
                <w:bCs/>
                <w:u w:val="none"/>
                <w:lang w:val="en-US" w:eastAsia="zh-CN"/>
              </w:rPr>
              <w:t>主体工程</w:t>
            </w:r>
          </w:p>
        </w:tc>
        <w:tc>
          <w:tcPr>
            <w:tcW w:w="1218"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医疗废物处置车间</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建筑面积515.10m²，建筑高度7.8m，1F框架结构，防火等级为二级，位于整个厂区的中部，主要包括控制室、医疗废物处理间、更衣室、淋浴间、消毒间、电机房、危废暂存间、冷库、废物场地、上料区、废物箱清洗区及暂存区等</w:t>
            </w:r>
            <w:r>
              <w:rPr>
                <w:rFonts w:hint="eastAsia" w:ascii="Times New Roman" w:hAnsi="Times New Roman" w:eastAsia="宋体"/>
                <w:b w:val="0"/>
                <w:bCs/>
                <w:u w:val="none"/>
                <w:lang w:val="en-US" w:eastAsia="zh-CN"/>
              </w:rPr>
              <w:t>。</w:t>
            </w:r>
          </w:p>
        </w:tc>
        <w:tc>
          <w:tcPr>
            <w:tcW w:w="1009"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废水、扬尘、噪声、建渣、局部水土流失等。</w:t>
            </w: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废气、废水、固废、噪声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储运</w:t>
            </w:r>
            <w:r>
              <w:rPr>
                <w:rFonts w:hint="eastAsia" w:ascii="Times New Roman" w:hAnsi="Times New Roman" w:eastAsia="宋体"/>
                <w:b w:val="0"/>
                <w:bCs/>
                <w:u w:val="none"/>
                <w:lang w:val="en-US" w:eastAsia="zh-CN"/>
              </w:rPr>
              <w:t>工程</w:t>
            </w:r>
          </w:p>
        </w:tc>
        <w:tc>
          <w:tcPr>
            <w:tcW w:w="1218"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收集、运输系统</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每日或每2日至少取医疗机构收集一次，收集时由运送人员对医疗机构分类医疗废物进行包装、标识检查，查验无误后盛装于周转箱。周转箱为高密度聚乙烯材质，全厂配备120个周转箱。医疗废物收集后使用明显医疗废物标识专用车辆转运，转运车辆采用密闭厢式货车，单台载重1.5t，全厂配备5台转运车辆。</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卸料、贮存系统</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由医疗废物受料计量、卸料、贮存库、场内运送等设施构成。医疗废物贮存库设置与主厂房内，具有冷藏功能，建筑面积50m²，冷藏温度在3~7℃。未启动制冷时，可作为暂存库使用。日常医疗废物日收日处理，当未处理完成时，启动制冷设备冷藏贮存。</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废气、废水、噪声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消毒清洗系统</w:t>
            </w:r>
          </w:p>
        </w:tc>
        <w:tc>
          <w:tcPr>
            <w:tcW w:w="5440" w:type="dxa"/>
            <w:vAlign w:val="center"/>
          </w:tcPr>
          <w:p>
            <w:pPr>
              <w:pStyle w:val="352"/>
              <w:keepNext w:val="0"/>
              <w:keepLines w:val="0"/>
              <w:suppressLineNumbers w:val="0"/>
              <w:spacing w:before="0" w:beforeAutospacing="0" w:after="0" w:afterAutospacing="0"/>
              <w:ind w:left="0" w:leftChars="0" w:right="0" w:rightChars="0" w:firstLine="0" w:firstLineChars="0"/>
              <w:jc w:val="left"/>
              <w:rPr>
                <w:rFonts w:hint="eastAsia"/>
                <w:b w:val="0"/>
                <w:bCs/>
                <w:u w:val="none"/>
                <w:lang w:val="en-US" w:eastAsia="zh-CN"/>
              </w:rPr>
            </w:pPr>
            <w:r>
              <w:rPr>
                <w:rFonts w:hint="eastAsia"/>
                <w:b w:val="0"/>
                <w:bCs/>
                <w:u w:val="none"/>
                <w:lang w:val="en-US" w:eastAsia="zh-CN"/>
              </w:rPr>
              <w:t>设在主厂房内，清洗区建筑面积24m²，消毒间建筑面积7m²，用于周转箱的消毒清洗。</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车辆清洗间</w:t>
            </w:r>
          </w:p>
        </w:tc>
        <w:tc>
          <w:tcPr>
            <w:tcW w:w="5440" w:type="dxa"/>
            <w:vAlign w:val="center"/>
          </w:tcPr>
          <w:p>
            <w:pPr>
              <w:pStyle w:val="352"/>
              <w:keepNext w:val="0"/>
              <w:keepLines w:val="0"/>
              <w:suppressLineNumbers w:val="0"/>
              <w:spacing w:before="0" w:beforeAutospacing="0" w:after="0" w:afterAutospacing="0"/>
              <w:ind w:left="0" w:leftChars="0" w:right="0" w:rightChars="0" w:firstLine="0" w:firstLineChars="0"/>
              <w:jc w:val="left"/>
              <w:rPr>
                <w:rFonts w:hint="default"/>
                <w:b w:val="0"/>
                <w:bCs/>
                <w:u w:val="none"/>
                <w:lang w:val="en-US" w:eastAsia="zh-CN"/>
              </w:rPr>
            </w:pPr>
            <w:r>
              <w:rPr>
                <w:rFonts w:hint="eastAsia"/>
                <w:b w:val="0"/>
                <w:bCs/>
                <w:u w:val="none"/>
                <w:lang w:val="en-US" w:eastAsia="zh-CN"/>
              </w:rPr>
              <w:t>设置在主厂房内，建筑面积32m²。</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公用</w:t>
            </w:r>
            <w:r>
              <w:rPr>
                <w:rFonts w:hint="eastAsia" w:ascii="Times New Roman" w:hAnsi="Times New Roman" w:eastAsia="宋体"/>
                <w:b w:val="0"/>
                <w:bCs/>
                <w:u w:val="none"/>
                <w:lang w:val="en-US" w:eastAsia="zh-CN"/>
              </w:rPr>
              <w:t>工程</w:t>
            </w:r>
          </w:p>
        </w:tc>
        <w:tc>
          <w:tcPr>
            <w:tcW w:w="1218"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ascii="Times New Roman" w:hAnsi="Times New Roman" w:eastAsia="宋体"/>
                <w:b w:val="0"/>
                <w:bCs/>
                <w:u w:val="none"/>
                <w:lang w:val="en-US" w:eastAsia="zh-CN"/>
              </w:rPr>
              <w:t>供配电</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由当地市政电网供给，厂区设配电站。</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供排水</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eastAsia"/>
                <w:b w:val="0"/>
                <w:bCs/>
                <w:color w:val="auto"/>
                <w:u w:val="none"/>
                <w:lang w:val="en-US" w:eastAsia="zh-CN"/>
              </w:rPr>
            </w:pPr>
            <w:r>
              <w:rPr>
                <w:rFonts w:hint="eastAsia"/>
                <w:b w:val="0"/>
                <w:bCs/>
                <w:color w:val="auto"/>
                <w:u w:val="none"/>
                <w:lang w:val="en-US" w:eastAsia="zh-CN"/>
              </w:rPr>
              <w:t>给水：生产、生活、消防用水从嘉川镇供水管网引入DN150给水管道并在各项目地块内呈环状布置。</w:t>
            </w:r>
          </w:p>
          <w:p>
            <w:pPr>
              <w:pStyle w:val="352"/>
              <w:keepNext w:val="0"/>
              <w:keepLines w:val="0"/>
              <w:suppressLineNumbers w:val="0"/>
              <w:spacing w:before="0" w:beforeAutospacing="0" w:after="0" w:afterAutospacing="0"/>
              <w:ind w:left="0" w:right="0" w:firstLine="0"/>
              <w:jc w:val="left"/>
              <w:rPr>
                <w:rFonts w:hint="eastAsia"/>
                <w:b w:val="0"/>
                <w:bCs/>
                <w:color w:val="auto"/>
                <w:u w:val="none"/>
                <w:lang w:val="en-US" w:eastAsia="zh-CN"/>
              </w:rPr>
            </w:pPr>
            <w:r>
              <w:rPr>
                <w:rFonts w:hint="eastAsia"/>
                <w:b w:val="0"/>
                <w:bCs/>
                <w:color w:val="auto"/>
                <w:u w:val="none"/>
                <w:lang w:val="en-US" w:eastAsia="zh-CN"/>
              </w:rPr>
              <w:t>排水：项目厂内实行雨污分流制，厂区初期雨水进入污水处理站处理达标后回用做清洗用水；生产废水、生活污水、初期雨水统一收集后经地埋式污水处理站处理达标后回用做车辆、周转箱、地面清洗用水，当项目回用不完时，由密闭罐车运输至旺苍县污水处理厂处理达标后排放，不外排至灌溉沟渠。</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color w:val="auto"/>
                <w:u w:val="none"/>
                <w:lang w:val="en-US" w:eastAsia="zh-CN"/>
              </w:rPr>
            </w:pPr>
            <w:r>
              <w:rPr>
                <w:rFonts w:hint="eastAsia"/>
                <w:b w:val="0"/>
                <w:bCs/>
                <w:color w:val="auto"/>
                <w:u w:val="none"/>
                <w:lang w:val="en-US" w:eastAsia="zh-CN"/>
              </w:rPr>
              <w:t>供气</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eastAsia"/>
                <w:b w:val="0"/>
                <w:bCs/>
                <w:color w:val="auto"/>
                <w:u w:val="none"/>
                <w:lang w:val="en-US" w:eastAsia="zh-CN"/>
              </w:rPr>
            </w:pPr>
            <w:r>
              <w:rPr>
                <w:rFonts w:hint="eastAsia"/>
                <w:b w:val="0"/>
                <w:bCs/>
                <w:color w:val="auto"/>
                <w:u w:val="none"/>
                <w:lang w:val="en-US" w:eastAsia="zh-CN"/>
              </w:rPr>
              <w:t>本项目食堂采用天然气加热。</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辅助</w:t>
            </w:r>
            <w:r>
              <w:rPr>
                <w:rFonts w:hint="eastAsia" w:ascii="Times New Roman" w:hAnsi="Times New Roman" w:eastAsia="宋体"/>
                <w:b w:val="0"/>
                <w:bCs/>
                <w:u w:val="none"/>
                <w:lang w:val="en-US" w:eastAsia="zh-CN"/>
              </w:rPr>
              <w:t>工程</w:t>
            </w:r>
          </w:p>
        </w:tc>
        <w:tc>
          <w:tcPr>
            <w:tcW w:w="121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u w:val="none"/>
                <w:lang w:val="en-US" w:eastAsia="zh-CN"/>
              </w:rPr>
              <w:t>综合</w:t>
            </w:r>
            <w:r>
              <w:rPr>
                <w:rFonts w:hint="eastAsia" w:ascii="Times New Roman" w:hAnsi="Times New Roman" w:eastAsia="宋体"/>
                <w:b w:val="0"/>
                <w:bCs/>
                <w:u w:val="none"/>
                <w:lang w:val="en-US" w:eastAsia="zh-CN"/>
              </w:rPr>
              <w:t>办公楼</w:t>
            </w:r>
          </w:p>
        </w:tc>
        <w:tc>
          <w:tcPr>
            <w:tcW w:w="5440" w:type="dxa"/>
            <w:vAlign w:val="center"/>
          </w:tcPr>
          <w:p>
            <w:pPr>
              <w:pStyle w:val="352"/>
              <w:keepNext w:val="0"/>
              <w:keepLines w:val="0"/>
              <w:suppressLineNumbers w:val="0"/>
              <w:spacing w:before="0" w:beforeAutospacing="0" w:after="0" w:afterAutospacing="0"/>
              <w:ind w:left="0" w:leftChars="0" w:right="0" w:rightChars="0" w:firstLine="0" w:firstLineChars="0"/>
              <w:jc w:val="left"/>
              <w:rPr>
                <w:rFonts w:hint="eastAsia" w:ascii="Times New Roman" w:hAnsi="Times New Roman" w:eastAsia="宋体"/>
                <w:b w:val="0"/>
                <w:bCs/>
                <w:u w:val="none"/>
                <w:lang w:val="en-US" w:eastAsia="zh-CN"/>
              </w:rPr>
            </w:pPr>
            <w:r>
              <w:rPr>
                <w:rFonts w:hint="eastAsia"/>
                <w:b w:val="0"/>
                <w:bCs/>
                <w:u w:val="none"/>
                <w:lang w:val="en-US" w:eastAsia="zh-CN"/>
              </w:rPr>
              <w:t>办公楼位于南部管理区中部，1栋，建筑面积399.48m²，建筑高度7.35m，2F框架结构</w:t>
            </w:r>
            <w:r>
              <w:rPr>
                <w:rFonts w:hint="eastAsia" w:ascii="Times New Roman" w:hAnsi="Times New Roman" w:eastAsia="宋体"/>
                <w:b w:val="0"/>
                <w:bCs/>
                <w:u w:val="none"/>
                <w:lang w:val="en-US" w:eastAsia="zh-CN"/>
              </w:rPr>
              <w:t>。</w:t>
            </w:r>
            <w:r>
              <w:rPr>
                <w:rFonts w:hint="eastAsia"/>
                <w:b w:val="0"/>
                <w:bCs/>
                <w:u w:val="none"/>
                <w:lang w:val="en-US" w:eastAsia="zh-CN"/>
              </w:rPr>
              <w:t>设有办公室、宿舍、会议室以及食堂等。</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u w:val="none"/>
                <w:lang w:val="en-US" w:eastAsia="zh-CN"/>
              </w:rPr>
              <w:t>门卫室</w:t>
            </w:r>
          </w:p>
        </w:tc>
        <w:tc>
          <w:tcPr>
            <w:tcW w:w="5440" w:type="dxa"/>
            <w:vAlign w:val="center"/>
          </w:tcPr>
          <w:p>
            <w:pPr>
              <w:pStyle w:val="352"/>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b w:val="0"/>
                <w:bCs/>
                <w:u w:val="none"/>
                <w:lang w:val="en-US" w:eastAsia="zh-CN"/>
              </w:rPr>
            </w:pPr>
            <w:r>
              <w:rPr>
                <w:rFonts w:hint="eastAsia"/>
                <w:b w:val="0"/>
                <w:bCs/>
                <w:u w:val="none"/>
                <w:lang w:val="en-US" w:eastAsia="zh-CN"/>
              </w:rPr>
              <w:t>2个厂区各设1个门卫室，1F砖混结构，建筑面积30.72m²/个。</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停车场</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办公区车位6个，厂区4个车位。</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7" w:hRule="atLeast"/>
          <w:jc w:val="center"/>
        </w:trPr>
        <w:tc>
          <w:tcPr>
            <w:tcW w:w="536"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 xml:space="preserve"> </w:t>
            </w:r>
            <w:r>
              <w:rPr>
                <w:rFonts w:hint="eastAsia" w:ascii="Times New Roman" w:hAnsi="Times New Roman" w:eastAsia="宋体"/>
                <w:b w:val="0"/>
                <w:bCs/>
                <w:u w:val="none"/>
                <w:lang w:val="en-US" w:eastAsia="zh-CN"/>
              </w:rPr>
              <w:t>环保设施</w:t>
            </w: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废气</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eastAsia" w:ascii="Times New Roman" w:hAnsi="Times New Roman" w:eastAsia="宋体"/>
                <w:b w:val="0"/>
                <w:bCs/>
                <w:u w:val="none"/>
                <w:lang w:val="en-US" w:eastAsia="zh-CN"/>
              </w:rPr>
            </w:pPr>
            <w:r>
              <w:rPr>
                <w:rFonts w:hint="eastAsia"/>
                <w:b w:val="0"/>
                <w:bCs/>
                <w:u w:val="none"/>
                <w:lang w:val="en-US" w:eastAsia="zh-CN"/>
              </w:rPr>
              <w:t>微博消毒处理废气经密闭罩收集后，进入“方形旋流塔+两级过滤除菌装置+UV光氧催化装置+活性炭吸附装置”废气处理系统处理后通过15m高排气筒排放</w:t>
            </w:r>
            <w:r>
              <w:rPr>
                <w:rFonts w:hint="eastAsia" w:ascii="Times New Roman" w:hAnsi="Times New Roman" w:eastAsia="宋体"/>
                <w:b w:val="0"/>
                <w:bCs/>
                <w:u w:val="none"/>
                <w:lang w:val="en-US" w:eastAsia="zh-CN"/>
              </w:rPr>
              <w:t>。</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废水</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项目新建污水处理站1座用于处理项目运营期间产生的废水，污水处理站设计处理工艺为“调节池+MBR膜生物反应器+微滤+消毒”，设计处理规模为10m³/d。</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污泥、臭气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噪声</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eastAsia" w:ascii="Times New Roman" w:hAnsi="Times New Roman" w:eastAsia="宋体"/>
                <w:b w:val="0"/>
                <w:bCs/>
                <w:u w:val="none"/>
                <w:lang w:val="en-US" w:eastAsia="zh-CN"/>
              </w:rPr>
            </w:pPr>
            <w:r>
              <w:rPr>
                <w:rFonts w:hint="eastAsia"/>
                <w:b w:val="0"/>
                <w:bCs/>
                <w:u w:val="none"/>
                <w:lang w:val="en-US" w:eastAsia="zh-CN"/>
              </w:rPr>
              <w:t>厂房隔声、绿化吸声、风机消声、减振等措施</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固废</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eastAsia" w:ascii="Times New Roman" w:hAnsi="Times New Roman" w:eastAsia="宋体"/>
                <w:b w:val="0"/>
                <w:bCs/>
                <w:u w:val="none"/>
                <w:lang w:val="en-US" w:eastAsia="zh-CN"/>
              </w:rPr>
            </w:pPr>
            <w:r>
              <w:rPr>
                <w:rFonts w:hint="eastAsia"/>
                <w:b w:val="0"/>
                <w:bCs/>
                <w:u w:val="none"/>
                <w:lang w:val="en-US" w:eastAsia="zh-CN"/>
              </w:rPr>
              <w:t>生活垃圾：设置100L塑料垃圾收集桶4个</w:t>
            </w:r>
            <w:r>
              <w:rPr>
                <w:rFonts w:hint="eastAsia" w:ascii="Times New Roman" w:hAnsi="Times New Roman" w:eastAsia="宋体"/>
                <w:b w:val="0"/>
                <w:bCs/>
                <w:u w:val="none"/>
                <w:lang w:val="en-US" w:eastAsia="zh-CN"/>
              </w:rPr>
              <w:t>。</w:t>
            </w:r>
          </w:p>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一般工业固废：设置一般工业固废暂存间1座，建筑面积20m²。</w:t>
            </w:r>
          </w:p>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u w:val="none"/>
                <w:lang w:val="en-US" w:eastAsia="zh-CN"/>
              </w:rPr>
              <w:t>危险废物：设危废暂存间一间，面积10m²，底部及墙裙1m高左右做重点防渗处理。</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536"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218"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风险防范</w:t>
            </w:r>
          </w:p>
        </w:tc>
        <w:tc>
          <w:tcPr>
            <w:tcW w:w="5440" w:type="dxa"/>
            <w:vAlign w:val="center"/>
          </w:tcPr>
          <w:p>
            <w:pPr>
              <w:pStyle w:val="352"/>
              <w:keepNext w:val="0"/>
              <w:keepLines w:val="0"/>
              <w:suppressLineNumbers w:val="0"/>
              <w:spacing w:before="0" w:beforeAutospacing="0" w:after="0" w:afterAutospacing="0"/>
              <w:ind w:left="0" w:right="0" w:firstLine="0"/>
              <w:jc w:val="left"/>
              <w:rPr>
                <w:rFonts w:hint="default" w:ascii="Times New Roman" w:hAnsi="Times New Roman" w:eastAsia="宋体"/>
                <w:b w:val="0"/>
                <w:bCs/>
                <w:u w:val="none"/>
                <w:lang w:val="en-US" w:eastAsia="zh-CN"/>
              </w:rPr>
            </w:pPr>
            <w:r>
              <w:rPr>
                <w:rFonts w:hint="eastAsia"/>
                <w:b w:val="0"/>
                <w:bCs/>
                <w:color w:val="auto"/>
                <w:u w:val="none"/>
                <w:lang w:val="en-US" w:eastAsia="zh-CN"/>
              </w:rPr>
              <w:t>新建事故水池（20m³）和初期雨水池（50m³）各一座。</w:t>
            </w:r>
          </w:p>
        </w:tc>
        <w:tc>
          <w:tcPr>
            <w:tcW w:w="1009"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034"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w:t>
            </w:r>
          </w:p>
        </w:tc>
      </w:tr>
    </w:tbl>
    <w:p>
      <w:pPr>
        <w:topLinePunct/>
        <w:snapToGrid w:val="0"/>
        <w:spacing w:line="360" w:lineRule="auto"/>
        <w:ind w:firstLine="482" w:firstLineChars="200"/>
        <w:jc w:val="left"/>
        <w:rPr>
          <w:rFonts w:hint="default"/>
          <w:b/>
          <w:sz w:val="24"/>
          <w:u w:val="none"/>
          <w:lang w:val="en-US" w:eastAsia="zh-CN"/>
        </w:rPr>
      </w:pPr>
      <w:bookmarkStart w:id="40" w:name="_Toc16522"/>
      <w:r>
        <w:rPr>
          <w:rFonts w:hint="eastAsia" w:ascii="Times New Roman" w:eastAsia="宋体"/>
          <w:b/>
          <w:sz w:val="24"/>
          <w:u w:val="none"/>
          <w:lang w:val="en-US" w:eastAsia="zh-CN"/>
        </w:rPr>
        <w:t>3.1.</w:t>
      </w:r>
      <w:r>
        <w:rPr>
          <w:rFonts w:hint="eastAsia"/>
          <w:b/>
          <w:sz w:val="24"/>
          <w:u w:val="none"/>
          <w:lang w:val="en-US" w:eastAsia="zh-CN"/>
        </w:rPr>
        <w:t>4项目设备清单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sz w:val="24"/>
          <w:u w:val="none"/>
          <w:lang w:val="en-US" w:eastAsia="zh-CN"/>
        </w:rPr>
      </w:pPr>
      <w:r>
        <w:rPr>
          <w:rFonts w:hint="eastAsia" w:cs="Times New Roman"/>
          <w:sz w:val="24"/>
          <w:u w:val="none"/>
          <w:lang w:val="en-US" w:eastAsia="zh-CN"/>
        </w:rPr>
        <w:t>本项目主要生产设备情况详见下表：</w:t>
      </w:r>
    </w:p>
    <w:p>
      <w:pPr>
        <w:pStyle w:val="352"/>
        <w:rPr>
          <w:rFonts w:hint="eastAsia"/>
          <w:b/>
          <w:bCs/>
          <w:u w:val="none"/>
          <w:lang w:eastAsia="zh-CN"/>
        </w:rPr>
      </w:pPr>
      <w:r>
        <w:rPr>
          <w:b/>
          <w:bCs/>
          <w:u w:val="none"/>
        </w:rPr>
        <w:t>表3</w:t>
      </w:r>
      <w:r>
        <w:rPr>
          <w:rFonts w:hint="eastAsia"/>
          <w:b/>
          <w:bCs/>
          <w:u w:val="none"/>
        </w:rPr>
        <w:t>-</w:t>
      </w:r>
      <w:r>
        <w:rPr>
          <w:rFonts w:hint="eastAsia"/>
          <w:b/>
          <w:bCs/>
          <w:u w:val="none"/>
          <w:lang w:val="en-US" w:eastAsia="zh-CN"/>
        </w:rPr>
        <w:t>7</w:t>
      </w:r>
      <w:r>
        <w:rPr>
          <w:b/>
          <w:bCs/>
          <w:u w:val="none"/>
        </w:rPr>
        <w:t xml:space="preserve">  </w:t>
      </w:r>
      <w:r>
        <w:rPr>
          <w:rFonts w:hint="eastAsia"/>
          <w:b/>
          <w:bCs/>
          <w:u w:val="none"/>
          <w:lang w:eastAsia="zh-CN"/>
        </w:rPr>
        <w:t>项目主要生产设备一览表</w:t>
      </w:r>
    </w:p>
    <w:tbl>
      <w:tblPr>
        <w:tblStyle w:val="58"/>
        <w:tblW w:w="87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4"/>
        <w:gridCol w:w="2362"/>
        <w:gridCol w:w="628"/>
        <w:gridCol w:w="1124"/>
        <w:gridCol w:w="37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 w:hRule="atLeast"/>
          <w:jc w:val="center"/>
        </w:trPr>
        <w:tc>
          <w:tcPr>
            <w:tcW w:w="964" w:type="dxa"/>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序号</w:t>
            </w:r>
          </w:p>
        </w:tc>
        <w:tc>
          <w:tcPr>
            <w:tcW w:w="2362" w:type="dxa"/>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设备名称</w:t>
            </w:r>
          </w:p>
        </w:tc>
        <w:tc>
          <w:tcPr>
            <w:tcW w:w="628" w:type="dxa"/>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单位</w:t>
            </w:r>
          </w:p>
        </w:tc>
        <w:tc>
          <w:tcPr>
            <w:tcW w:w="1124" w:type="dxa"/>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数量</w:t>
            </w:r>
          </w:p>
        </w:tc>
        <w:tc>
          <w:tcPr>
            <w:tcW w:w="3702" w:type="dxa"/>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规格型号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b w:val="0"/>
                <w:bCs w:val="0"/>
                <w:u w:val="none"/>
                <w:lang w:eastAsia="zh-CN"/>
              </w:rPr>
            </w:pPr>
            <w:r>
              <w:rPr>
                <w:rFonts w:hint="eastAsia"/>
                <w:b/>
                <w:bCs/>
                <w:u w:val="none"/>
                <w:lang w:eastAsia="zh-CN"/>
              </w:rPr>
              <w:t>一、收运系统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周转箱</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个</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120</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100L，长*宽*高=600×500×400mm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医疗废物转运车</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5</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栽重量为1.5t（4开1备）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3</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手推车</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辆</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处理场废渣的清运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b w:val="0"/>
                <w:bCs w:val="0"/>
                <w:u w:val="none"/>
                <w:lang w:eastAsia="zh-CN"/>
              </w:rPr>
            </w:pPr>
            <w:r>
              <w:rPr>
                <w:rFonts w:hint="eastAsia"/>
                <w:b/>
                <w:bCs/>
                <w:u w:val="none"/>
                <w:lang w:eastAsia="zh-CN"/>
              </w:rPr>
              <w:t>二、计量系统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电子秤</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计算机</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b w:val="0"/>
                <w:bCs w:val="0"/>
                <w:u w:val="none"/>
                <w:lang w:eastAsia="zh-CN"/>
              </w:rPr>
            </w:pPr>
            <w:r>
              <w:rPr>
                <w:rFonts w:hint="eastAsia"/>
                <w:b/>
                <w:bCs/>
                <w:u w:val="none"/>
                <w:lang w:eastAsia="zh-CN"/>
              </w:rPr>
              <w:t>三、冷藏库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压缩冷凝系统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全封闭压缩机组</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制冷量为5W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吊顶蒸发</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1.3</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电脑控制箱</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1.4</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油分离器</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1.5</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冷盘管蒸发器</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冷盘管传热面积130m2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1.6</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汽液分离器</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个</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1.7</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电磁阀</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1.8</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过滤器</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个</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1.9</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热力膨胀阀</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风幕</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3</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轴流风机</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4</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排风扇</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2</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四、医疗废物微波消毒系统设备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上料系统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破碎系统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3</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微波消毒系统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4</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出料系统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5</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蒸汽供给系统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6</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出料系统</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螺旋输送机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五、辅助生产设施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val="en-US"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周转箱自动清洗机</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台</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高压喷淋清洗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0" w:type="dxa"/>
            <w:gridSpan w:val="5"/>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六、环保设施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val="en-US" w:eastAsia="zh-CN"/>
              </w:rPr>
              <w:t>1</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污水处理站</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座</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eastAsia="zh-CN"/>
              </w:rPr>
              <w:t>处理能力</w:t>
            </w:r>
            <w:r>
              <w:rPr>
                <w:rFonts w:hint="eastAsia"/>
                <w:b w:val="0"/>
                <w:bCs w:val="0"/>
                <w:u w:val="none"/>
                <w:lang w:val="en-US" w:eastAsia="zh-CN"/>
              </w:rPr>
              <w:t>10m³/d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2</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微波消毒废气治理设施</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eastAsia="zh-CN"/>
              </w:rPr>
              <w:t>方形旋流塔</w:t>
            </w:r>
            <w:r>
              <w:rPr>
                <w:rFonts w:hint="eastAsia"/>
                <w:b w:val="0"/>
                <w:bCs w:val="0"/>
                <w:u w:val="none"/>
                <w:lang w:val="en-US" w:eastAsia="zh-CN"/>
              </w:rPr>
              <w:t>+两级过滤除菌装置+UV+活性炭吸附装置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3</w:t>
            </w:r>
          </w:p>
        </w:tc>
        <w:tc>
          <w:tcPr>
            <w:tcW w:w="236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食堂油烟净化器</w:t>
            </w:r>
          </w:p>
        </w:tc>
        <w:tc>
          <w:tcPr>
            <w:tcW w:w="6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r>
              <w:rPr>
                <w:rFonts w:hint="eastAsia"/>
                <w:b w:val="0"/>
                <w:bCs w:val="0"/>
                <w:u w:val="none"/>
                <w:lang w:eastAsia="zh-CN"/>
              </w:rPr>
              <w:t>套</w:t>
            </w:r>
          </w:p>
        </w:tc>
        <w:tc>
          <w:tcPr>
            <w:tcW w:w="112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b w:val="0"/>
                <w:bCs w:val="0"/>
                <w:u w:val="none"/>
                <w:lang w:val="en-US" w:eastAsia="zh-CN"/>
              </w:rPr>
            </w:pPr>
            <w:r>
              <w:rPr>
                <w:rFonts w:hint="eastAsia"/>
                <w:b w:val="0"/>
                <w:bCs w:val="0"/>
                <w:u w:val="none"/>
                <w:lang w:val="en-US" w:eastAsia="zh-CN"/>
              </w:rPr>
              <w:t>1</w:t>
            </w:r>
          </w:p>
        </w:tc>
        <w:tc>
          <w:tcPr>
            <w:tcW w:w="370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b w:val="0"/>
                <w:bCs w:val="0"/>
                <w:u w:val="none"/>
                <w:lang w:eastAsia="zh-CN"/>
              </w:rPr>
            </w:pPr>
          </w:p>
        </w:tc>
      </w:tr>
    </w:tbl>
    <w:p>
      <w:pPr>
        <w:topLinePunct/>
        <w:snapToGrid w:val="0"/>
        <w:spacing w:line="360" w:lineRule="auto"/>
        <w:ind w:firstLine="482" w:firstLineChars="200"/>
        <w:jc w:val="left"/>
        <w:rPr>
          <w:rFonts w:hint="eastAsia"/>
          <w:b/>
          <w:sz w:val="24"/>
          <w:u w:val="none"/>
          <w:lang w:val="en-US" w:eastAsia="zh-CN"/>
        </w:rPr>
      </w:pPr>
      <w:r>
        <w:rPr>
          <w:rFonts w:hint="eastAsia"/>
          <w:b/>
          <w:sz w:val="24"/>
          <w:u w:val="none"/>
          <w:lang w:val="en-US" w:eastAsia="zh-CN"/>
        </w:rPr>
        <w:t>3.1.5项目主要原辅材料用量及能源、动力消耗</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项目主要原辅材料、燃料动力用量和来源详见下表。</w:t>
      </w:r>
    </w:p>
    <w:p>
      <w:pPr>
        <w:pStyle w:val="352"/>
        <w:rPr>
          <w:rFonts w:hint="eastAsia"/>
          <w:b/>
          <w:bCs/>
          <w:u w:val="none"/>
          <w:lang w:val="en-US" w:eastAsia="zh-CN"/>
        </w:rPr>
      </w:pPr>
      <w:r>
        <w:rPr>
          <w:rFonts w:hint="eastAsia"/>
          <w:b/>
          <w:bCs/>
          <w:u w:val="none"/>
          <w:lang w:val="en-US" w:eastAsia="zh-CN"/>
        </w:rPr>
        <w:t>表3-8 老厂主要原辅材料及能耗表</w:t>
      </w:r>
    </w:p>
    <w:tbl>
      <w:tblPr>
        <w:tblStyle w:val="59"/>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68"/>
        <w:gridCol w:w="2070"/>
        <w:gridCol w:w="1980"/>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类别</w:t>
            </w:r>
          </w:p>
        </w:tc>
        <w:tc>
          <w:tcPr>
            <w:tcW w:w="13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名称</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b/>
                <w:bCs/>
                <w:u w:val="none"/>
                <w:lang w:val="en-US" w:eastAsia="zh-CN"/>
              </w:rPr>
              <w:t>单位</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b/>
                <w:bCs/>
                <w:u w:val="none"/>
                <w:lang w:val="en-US" w:eastAsia="zh-CN"/>
              </w:rPr>
              <w:t>年耗量</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eastAsia"/>
                <w:b/>
                <w:bCs/>
                <w:u w:val="none"/>
                <w:lang w:val="en-US" w:eastAsia="zh-CN"/>
              </w:rPr>
            </w:pPr>
            <w:r>
              <w:rPr>
                <w:rFonts w:hint="eastAsia"/>
                <w:b/>
                <w:bCs/>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原辅料</w:t>
            </w:r>
          </w:p>
        </w:tc>
        <w:tc>
          <w:tcPr>
            <w:tcW w:w="13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医疗废物</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val="0"/>
                <w:bCs/>
                <w:u w:val="none"/>
                <w:lang w:val="en-US" w:eastAsia="zh-CN"/>
              </w:rPr>
            </w:pPr>
            <w:r>
              <w:rPr>
                <w:rFonts w:hint="default" w:ascii="Times New Roman" w:hAnsi="Times New Roman" w:cs="Times New Roman"/>
                <w:b w:val="0"/>
                <w:bCs/>
                <w:u w:val="none"/>
                <w:lang w:val="en-US" w:eastAsia="zh-CN"/>
              </w:rPr>
              <w:t>t/a</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val="0"/>
                <w:bCs/>
                <w:u w:val="none"/>
                <w:lang w:val="en-US" w:eastAsia="zh-CN"/>
              </w:rPr>
            </w:pPr>
            <w:r>
              <w:rPr>
                <w:rFonts w:hint="default" w:ascii="Times New Roman" w:hAnsi="Times New Roman" w:cs="Times New Roman"/>
                <w:b w:val="0"/>
                <w:bCs/>
                <w:u w:val="none"/>
                <w:lang w:val="en-US" w:eastAsia="zh-CN"/>
              </w:rPr>
              <w:t>800</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368"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84消毒液</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val="0"/>
                <w:bCs/>
                <w:u w:val="none"/>
                <w:lang w:val="en-US" w:eastAsia="zh-CN"/>
              </w:rPr>
            </w:pPr>
            <w:r>
              <w:rPr>
                <w:rFonts w:hint="default" w:ascii="Times New Roman" w:hAnsi="Times New Roman" w:cs="Times New Roman"/>
                <w:b w:val="0"/>
                <w:bCs/>
                <w:u w:val="none"/>
                <w:lang w:val="en-US" w:eastAsia="zh-CN"/>
              </w:rPr>
              <w:t>L</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val="0"/>
                <w:bCs/>
                <w:u w:val="none"/>
                <w:lang w:val="en-US" w:eastAsia="zh-CN"/>
              </w:rPr>
            </w:pPr>
            <w:r>
              <w:rPr>
                <w:rFonts w:hint="eastAsia" w:cs="Times New Roman"/>
                <w:b w:val="0"/>
                <w:bCs/>
                <w:u w:val="none"/>
                <w:lang w:val="en-US" w:eastAsia="zh-CN"/>
              </w:rPr>
              <w:t>2</w:t>
            </w:r>
            <w:r>
              <w:rPr>
                <w:rFonts w:hint="default" w:ascii="Times New Roman" w:hAnsi="Times New Roman" w:cs="Times New Roman"/>
                <w:b w:val="0"/>
                <w:bCs/>
                <w:u w:val="none"/>
                <w:lang w:val="en-US" w:eastAsia="zh-CN"/>
              </w:rPr>
              <w:t>×10</w:t>
            </w:r>
            <w:r>
              <w:rPr>
                <w:rFonts w:hint="default" w:ascii="Times New Roman" w:hAnsi="Times New Roman" w:cs="Times New Roman"/>
                <w:b w:val="0"/>
                <w:bCs/>
                <w:u w:val="none"/>
                <w:vertAlign w:val="superscript"/>
                <w:lang w:val="en-US" w:eastAsia="zh-CN"/>
              </w:rPr>
              <w:t>3</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default"/>
                <w:b w:val="0"/>
                <w:bCs/>
                <w:u w:val="none"/>
                <w:lang w:val="en-US" w:eastAsia="zh-CN"/>
              </w:rPr>
            </w:pPr>
            <w:r>
              <w:rPr>
                <w:rFonts w:hint="eastAsia"/>
                <w:b w:val="0"/>
                <w:bCs/>
                <w:u w:val="none"/>
                <w:lang w:val="en-US" w:eastAsia="zh-CN"/>
              </w:rPr>
              <w:t>有效氯含量5%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能源</w:t>
            </w:r>
          </w:p>
        </w:tc>
        <w:tc>
          <w:tcPr>
            <w:tcW w:w="13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水</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b w:val="0"/>
                <w:bCs/>
                <w:color w:val="auto"/>
                <w:u w:val="none"/>
                <w:lang w:val="en-US" w:eastAsia="zh-CN"/>
              </w:rPr>
              <w:t>万m³</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color w:val="auto"/>
                <w:u w:val="none"/>
                <w:lang w:val="en-US" w:eastAsia="zh-CN"/>
              </w:rPr>
            </w:pPr>
            <w:r>
              <w:rPr>
                <w:rFonts w:hint="eastAsia"/>
                <w:b w:val="0"/>
                <w:bCs/>
                <w:color w:val="auto"/>
                <w:u w:val="none"/>
                <w:lang w:val="en-US" w:eastAsia="zh-CN"/>
              </w:rPr>
              <w:t>0.17</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3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天然气</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b w:val="0"/>
                <w:bCs/>
                <w:color w:val="auto"/>
                <w:u w:val="none"/>
                <w:lang w:val="en-US" w:eastAsia="zh-CN"/>
              </w:rPr>
              <w:t>1</w:t>
            </w:r>
            <w:r>
              <w:rPr>
                <w:rFonts w:hint="eastAsia" w:ascii="Times New Roman" w:hAnsi="Times New Roman" w:eastAsia="宋体"/>
                <w:b w:val="0"/>
                <w:bCs/>
                <w:color w:val="auto"/>
                <w:u w:val="none"/>
                <w:lang w:val="en-US" w:eastAsia="zh-CN"/>
              </w:rPr>
              <w:t>万m³</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烘干使用</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13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电</w:t>
            </w:r>
          </w:p>
        </w:tc>
        <w:tc>
          <w:tcPr>
            <w:tcW w:w="207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万kw·h</w:t>
            </w:r>
          </w:p>
        </w:tc>
        <w:tc>
          <w:tcPr>
            <w:tcW w:w="1980"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color w:val="auto"/>
                <w:u w:val="none"/>
                <w:lang w:val="en-US" w:eastAsia="zh-CN"/>
              </w:rPr>
            </w:pPr>
            <w:r>
              <w:rPr>
                <w:rFonts w:hint="eastAsia" w:ascii="Times New Roman" w:hAnsi="Times New Roman" w:eastAsia="宋体"/>
                <w:b w:val="0"/>
                <w:bCs/>
                <w:color w:val="auto"/>
                <w:u w:val="none"/>
                <w:lang w:val="en-US" w:eastAsia="zh-CN"/>
              </w:rPr>
              <w:t>17.54</w:t>
            </w:r>
          </w:p>
        </w:tc>
        <w:tc>
          <w:tcPr>
            <w:tcW w:w="296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当地电网供给</w:t>
            </w:r>
          </w:p>
        </w:tc>
      </w:tr>
    </w:tbl>
    <w:p>
      <w:pPr>
        <w:topLinePunct/>
        <w:snapToGrid w:val="0"/>
        <w:spacing w:line="360" w:lineRule="auto"/>
        <w:ind w:firstLine="482" w:firstLineChars="200"/>
        <w:jc w:val="left"/>
        <w:rPr>
          <w:rFonts w:hint="eastAsia"/>
          <w:b/>
          <w:sz w:val="24"/>
          <w:u w:val="none"/>
          <w:lang w:val="en-US" w:eastAsia="zh-CN"/>
        </w:rPr>
      </w:pPr>
      <w:r>
        <w:rPr>
          <w:rFonts w:hint="eastAsia"/>
          <w:b/>
          <w:sz w:val="24"/>
          <w:u w:val="none"/>
          <w:lang w:val="en-US" w:eastAsia="zh-CN"/>
        </w:rPr>
        <w:t>3.1.6项目公用工程及辅助工程</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1、给水工程</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由市政引入DN150给水管道并在各项目地块内呈环状布置，2路给水管道在消防水表后采用DN150的给水管形成环网，当其中一条进水管发生故障时，其它进水管应仍能保证消防水量，且环管的交汇点设一定的阀门组。另外，给水管进基地时应设置倒流防止器以防止市政水源受到回流污染。</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本项目用水系统主要包括职工生活用水、生产用水、道路及绿化浇洒用水。</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2、排水工程</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项目采用雨污分流排水体制，生活污水、清洗消毒水和粪便水采用管道密闭收集，集中排入污水处理系统，生活污水和生产废水何用一根污水管道；生活污水经化粪池处理后由污水管道排入污水处理站的调节池；转运车和周转箱的冲洗消毒水和地坪冲洗废水，经厂内截排水沟收集后排入污水管道，流入污水处理站的调节池；初期雨水经雨水管道用管道切换后，也进入污水处理站的调节池。后期雨水为清净下水，可直接排放。</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项目生产废水、生活污水和初期雨水经污水处理站处理达到《城市污水再生利用——城市杂用水水质》（GB/T18920-2002）中水质标准后，回用于厂区消毒液调配、道路喷洒、绿化等，当项目回用不完时，由密闭罐车运输至旺苍县污水处理厂处理达标后排放，不外排至灌溉沟渠。</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3、供电系统</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项目用电由当地电网供电，项目大部分负荷属于三级负荷，本工程用电以一路10kv电源供给。厂内设置一台200kv独立箱式变压器，在主厂房附近加上低压配电室，负责向全厂供电，低压配电室采用单母线分段加母联的接线方式。</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4、储运系统</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本工程配有5辆载重1.5t的医疗废物转运车、120个周转箱和50m²的冷藏库，用于医疗废物的收集、转运和贮存。</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5、消防设计</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（1）消火栓系统</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本工程室内外消火栓用水量均为20L/s，室外消火栓系统采用低压制，与给水系统公用环网，根据实际情况在厂区给水环网上增设室外消火栓，以满足消防车开赴现场取水加压灭火的要求。</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室内消火栓系统呈环网布置，消火栓应设置在走道等公共区域，应满足建筑内任意一点均有2股水柱同时到达，消火栓栓口距地面1.1m，每个消火栓箱内应设起泵按钮。</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（2）消防蓄水</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厂区内设消防水池，供本工程火灾发生时一次的消防用水量，在屋面设有效容积为18m³的屋顶消防水箱，供该建筑火灾初期的消防用水。</w:t>
      </w:r>
    </w:p>
    <w:p>
      <w:pPr>
        <w:topLinePunct/>
        <w:snapToGrid w:val="0"/>
        <w:spacing w:line="360" w:lineRule="auto"/>
        <w:ind w:firstLine="480" w:firstLineChars="200"/>
        <w:jc w:val="left"/>
        <w:rPr>
          <w:rFonts w:hint="default"/>
          <w:b w:val="0"/>
          <w:bCs/>
          <w:sz w:val="24"/>
          <w:u w:val="none"/>
          <w:lang w:val="en-US" w:eastAsia="zh-CN"/>
        </w:rPr>
      </w:pPr>
      <w:r>
        <w:rPr>
          <w:rFonts w:hint="eastAsia"/>
          <w:b w:val="0"/>
          <w:bCs/>
          <w:sz w:val="24"/>
          <w:u w:val="none"/>
          <w:lang w:val="en-US" w:eastAsia="zh-CN"/>
        </w:rPr>
        <w:t>（3）灭火器配置</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根据《建筑设计防火规范》，微波消毒处理厂房的生产类别属于戊类，建筑耐火等级不低于二级；储存库生产类别属于丙类，建筑耐火等级不低于二级。</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在车间的主控室、配电室、厂房办公室的主要通道按规范要求设置手提式磷酸铵盐干粉灭火器，高低压室采用推车式灭火器。</w:t>
      </w:r>
    </w:p>
    <w:p>
      <w:pPr>
        <w:topLinePunct/>
        <w:snapToGrid w:val="0"/>
        <w:spacing w:line="360" w:lineRule="auto"/>
        <w:ind w:firstLine="482" w:firstLineChars="200"/>
        <w:jc w:val="left"/>
        <w:rPr>
          <w:rFonts w:hint="eastAsia"/>
          <w:b/>
          <w:sz w:val="24"/>
          <w:u w:val="none"/>
          <w:lang w:val="en-US" w:eastAsia="zh-CN"/>
        </w:rPr>
      </w:pPr>
      <w:r>
        <w:rPr>
          <w:rFonts w:hint="eastAsia"/>
          <w:b/>
          <w:sz w:val="24"/>
          <w:u w:val="none"/>
          <w:lang w:val="en-US" w:eastAsia="zh-CN"/>
        </w:rPr>
        <w:t>3.1.7依托工程概况</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本项目医疗废物经杀菌处理后可作为普通生活垃圾进入垃圾填埋场进行填埋，因此，本项目处置后的医疗废物经生活垃圾专用车运输至旺苍县城市生活垃圾填埋场填埋处理。</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旺苍县城市生活垃圾处理厂位于旺苍县嘉川镇石龙村小偃沟，与本项目紧邻。该厂占地面积140亩，填埋场库区面积53898.32m²，垃圾填埋场库容110万m³，日处理能力150t/d。该厂于2012年4月建成投入使用，根据该厂验收调查报告，该厂基础库区基础处理与防渗处理系统、地表水及地下水导排系统、垃圾坝、渗滤液导流系统、渗滤液处理系统、填埋气体导排系统及监控设施等目前运行状况良好。</w:t>
      </w:r>
    </w:p>
    <w:p>
      <w:pPr>
        <w:topLinePunct/>
        <w:snapToGrid w:val="0"/>
        <w:spacing w:line="360" w:lineRule="auto"/>
        <w:ind w:firstLine="480" w:firstLineChars="200"/>
        <w:jc w:val="left"/>
        <w:rPr>
          <w:rFonts w:hint="eastAsia"/>
          <w:b w:val="0"/>
          <w:bCs/>
          <w:sz w:val="24"/>
          <w:u w:val="none"/>
          <w:lang w:val="en-US" w:eastAsia="zh-CN"/>
        </w:rPr>
      </w:pPr>
      <w:r>
        <w:rPr>
          <w:rFonts w:hint="eastAsia"/>
          <w:b w:val="0"/>
          <w:bCs/>
          <w:sz w:val="24"/>
          <w:u w:val="none"/>
          <w:lang w:val="en-US" w:eastAsia="zh-CN"/>
        </w:rPr>
        <w:t>本项目消毒处理后的残渣委托垃圾专用车运输至旺苍县城市生活垃圾填埋场填埋处置，本项目日最高产生残渣约2.0t，仅占垃圾填埋场处理规模的1.33%，垃圾填埋场尚有足够的库容容纳本项目的废物；另外，垃圾填埋场设计服务期限未14年，目前尚在服务期限内。</w:t>
      </w:r>
    </w:p>
    <w:p>
      <w:pPr>
        <w:topLinePunct/>
        <w:snapToGrid w:val="0"/>
        <w:spacing w:line="360" w:lineRule="auto"/>
        <w:ind w:firstLine="480" w:firstLineChars="200"/>
        <w:jc w:val="left"/>
        <w:rPr>
          <w:rFonts w:hint="default"/>
          <w:b/>
          <w:bCs w:val="0"/>
          <w:sz w:val="24"/>
          <w:u w:val="none"/>
          <w:lang w:val="en-US" w:eastAsia="zh-CN"/>
        </w:rPr>
      </w:pPr>
      <w:r>
        <w:rPr>
          <w:rFonts w:hint="eastAsia"/>
          <w:b w:val="0"/>
          <w:bCs/>
          <w:sz w:val="24"/>
          <w:u w:val="none"/>
          <w:lang w:val="en-US" w:eastAsia="zh-CN"/>
        </w:rPr>
        <w:t>因此，本项目消毒处理后的残渣最终依托垃圾填埋场填埋处置可行。</w:t>
      </w:r>
      <w:r>
        <w:rPr>
          <w:rFonts w:hint="eastAsia"/>
          <w:b/>
          <w:bCs w:val="0"/>
          <w:sz w:val="24"/>
          <w:u w:val="none"/>
          <w:lang w:val="en-US" w:eastAsia="zh-CN"/>
        </w:rPr>
        <w:t>在此，环评要求，待区域垃圾焚烧发电厂建成以后，本项目消毒处理后的残渣送垃圾焚烧发电厂处理处置。</w:t>
      </w:r>
    </w:p>
    <w:p>
      <w:pPr>
        <w:topLinePunct/>
        <w:snapToGrid w:val="0"/>
        <w:spacing w:line="360" w:lineRule="auto"/>
        <w:ind w:firstLine="482" w:firstLineChars="200"/>
        <w:jc w:val="left"/>
        <w:rPr>
          <w:rFonts w:hint="eastAsia"/>
          <w:b/>
          <w:sz w:val="24"/>
          <w:u w:val="none"/>
          <w:lang w:val="en-US" w:eastAsia="zh-CN"/>
        </w:rPr>
      </w:pPr>
      <w:r>
        <w:rPr>
          <w:rFonts w:hint="eastAsia"/>
          <w:b/>
          <w:sz w:val="24"/>
          <w:u w:val="none"/>
          <w:lang w:val="en-US" w:eastAsia="zh-CN"/>
        </w:rPr>
        <w:t>3.1.8劳动定员及工作制度</w:t>
      </w:r>
    </w:p>
    <w:p>
      <w:pPr>
        <w:pStyle w:val="71"/>
        <w:rPr>
          <w:rFonts w:hint="eastAsia"/>
          <w:b w:val="0"/>
          <w:bCs/>
          <w:u w:val="none"/>
          <w:lang w:val="en-US" w:eastAsia="zh-CN"/>
        </w:rPr>
      </w:pPr>
      <w:r>
        <w:rPr>
          <w:rFonts w:hint="eastAsia"/>
          <w:b w:val="0"/>
          <w:bCs/>
          <w:u w:val="none"/>
          <w:lang w:val="en-US" w:eastAsia="zh-CN"/>
        </w:rPr>
        <w:t>本项目劳动定员20人，年工作365天，2班制，每班8小时，年工作5840h，厂区设食宿。</w:t>
      </w:r>
    </w:p>
    <w:bookmarkEnd w:id="40"/>
    <w:p>
      <w:pPr>
        <w:topLinePunct/>
        <w:spacing w:line="360" w:lineRule="auto"/>
        <w:rPr>
          <w:b/>
          <w:sz w:val="24"/>
          <w:u w:val="none"/>
        </w:rPr>
      </w:pPr>
      <w:bookmarkStart w:id="41" w:name="_Toc15103"/>
      <w:r>
        <w:rPr>
          <w:rFonts w:hint="eastAsia"/>
          <w:b/>
          <w:sz w:val="24"/>
          <w:u w:val="none"/>
          <w:lang w:val="en-US" w:eastAsia="zh-CN"/>
        </w:rPr>
        <w:t>3</w:t>
      </w:r>
      <w:r>
        <w:rPr>
          <w:b/>
          <w:sz w:val="24"/>
          <w:u w:val="none"/>
        </w:rPr>
        <w:t>.</w:t>
      </w:r>
      <w:r>
        <w:rPr>
          <w:rFonts w:hint="eastAsia"/>
          <w:b/>
          <w:sz w:val="24"/>
          <w:u w:val="none"/>
          <w:lang w:val="en-US" w:eastAsia="zh-CN"/>
        </w:rPr>
        <w:t>1</w:t>
      </w:r>
      <w:r>
        <w:rPr>
          <w:b/>
          <w:sz w:val="24"/>
          <w:u w:val="none"/>
        </w:rPr>
        <w:t>.</w:t>
      </w:r>
      <w:r>
        <w:rPr>
          <w:rFonts w:hint="eastAsia"/>
          <w:b/>
          <w:sz w:val="24"/>
          <w:u w:val="none"/>
          <w:lang w:val="en-US" w:eastAsia="zh-CN"/>
        </w:rPr>
        <w:t>9</w:t>
      </w:r>
      <w:r>
        <w:rPr>
          <w:rFonts w:hint="eastAsia"/>
          <w:b/>
          <w:sz w:val="24"/>
          <w:u w:val="none"/>
          <w:lang w:eastAsia="zh-CN"/>
        </w:rPr>
        <w:t>总</w:t>
      </w:r>
      <w:r>
        <w:rPr>
          <w:b/>
          <w:sz w:val="24"/>
          <w:u w:val="none"/>
        </w:rPr>
        <w:t>平面布置及合理性分析</w:t>
      </w:r>
    </w:p>
    <w:p>
      <w:pPr>
        <w:topLinePunct/>
        <w:spacing w:line="360" w:lineRule="auto"/>
        <w:ind w:firstLine="480" w:firstLineChars="200"/>
        <w:rPr>
          <w:rFonts w:hint="eastAsia"/>
          <w:sz w:val="24"/>
          <w:u w:val="none"/>
          <w:lang w:val="en-US" w:eastAsia="zh-CN"/>
        </w:rPr>
      </w:pPr>
      <w:r>
        <w:rPr>
          <w:rFonts w:hint="eastAsia"/>
          <w:sz w:val="24"/>
          <w:u w:val="none"/>
          <w:lang w:val="en-US" w:eastAsia="zh-CN"/>
        </w:rPr>
        <w:t>厂区总平面布置的合理性有如下几个方面：</w:t>
      </w:r>
    </w:p>
    <w:p>
      <w:pPr>
        <w:topLinePunct/>
        <w:spacing w:line="360" w:lineRule="auto"/>
        <w:ind w:firstLine="480" w:firstLineChars="200"/>
        <w:rPr>
          <w:rFonts w:hint="eastAsia"/>
          <w:sz w:val="24"/>
          <w:u w:val="none"/>
          <w:lang w:val="en-US" w:eastAsia="zh-CN"/>
        </w:rPr>
      </w:pPr>
      <w:r>
        <w:rPr>
          <w:rFonts w:hint="eastAsia"/>
          <w:sz w:val="24"/>
          <w:u w:val="none"/>
          <w:lang w:val="en-US" w:eastAsia="zh-CN"/>
        </w:rPr>
        <w:t>首先，本项目产区布置以微波消毒处理系统为主体进行布置，其他各项设施安装依医疗废物处理流程合理安排，确保了相关设备联系良好，充分发挥功能，保证了设施安全运行。</w:t>
      </w:r>
    </w:p>
    <w:p>
      <w:pPr>
        <w:topLinePunct/>
        <w:spacing w:line="360" w:lineRule="auto"/>
        <w:ind w:firstLine="480" w:firstLineChars="200"/>
        <w:rPr>
          <w:rFonts w:hint="eastAsia"/>
          <w:sz w:val="24"/>
          <w:u w:val="none"/>
          <w:lang w:val="en-US" w:eastAsia="zh-CN"/>
        </w:rPr>
      </w:pPr>
      <w:r>
        <w:rPr>
          <w:rFonts w:hint="eastAsia"/>
          <w:sz w:val="24"/>
          <w:u w:val="none"/>
          <w:lang w:val="en-US" w:eastAsia="zh-CN"/>
        </w:rPr>
        <w:t>其次，医疗废物物流出入口、接收、贮存和转运设施、周转箱的清洗消毒设施、处理场所位于北区的生产厂区内，而项目生活办公区位于南区的厂区内，两个厂区边界约30m，即生产与办公生活区进行了隔离，有效杜绝生产对办公生活的影响。</w:t>
      </w:r>
    </w:p>
    <w:p>
      <w:pPr>
        <w:topLinePunct/>
        <w:spacing w:line="360" w:lineRule="auto"/>
        <w:ind w:firstLine="480" w:firstLineChars="200"/>
        <w:rPr>
          <w:rFonts w:hint="eastAsia"/>
          <w:sz w:val="24"/>
          <w:u w:val="none"/>
          <w:lang w:val="en-US" w:eastAsia="zh-CN"/>
        </w:rPr>
      </w:pPr>
      <w:r>
        <w:rPr>
          <w:rFonts w:hint="eastAsia"/>
          <w:sz w:val="24"/>
          <w:u w:val="none"/>
          <w:lang w:val="en-US" w:eastAsia="zh-CN"/>
        </w:rPr>
        <w:t>最后，本项目的车辆消毒设施位于出料单位附近，并与医疗废物转运工具、生产工具的清洗消毒设施合并建设，以便对卸料后的车辆进行及时消毒，防止有传染性物质扩散，车辆消毒在达到作用时间后用水清洗，避免了车辆等金属物品北残留的消毒剂腐蚀。</w:t>
      </w:r>
    </w:p>
    <w:p>
      <w:pPr>
        <w:topLinePunct/>
        <w:spacing w:line="360" w:lineRule="auto"/>
        <w:ind w:firstLine="480" w:firstLineChars="200"/>
        <w:rPr>
          <w:rFonts w:hint="default"/>
          <w:sz w:val="24"/>
          <w:u w:val="none"/>
          <w:lang w:val="en-US" w:eastAsia="zh-CN"/>
        </w:rPr>
      </w:pPr>
      <w:r>
        <w:rPr>
          <w:rFonts w:hint="eastAsia"/>
          <w:sz w:val="24"/>
          <w:u w:val="none"/>
          <w:lang w:val="en-US" w:eastAsia="zh-CN"/>
        </w:rPr>
        <w:t>综上所述，从环境角度而言，项目总平面布置较为合理。</w:t>
      </w:r>
    </w:p>
    <w:p>
      <w:pPr>
        <w:pStyle w:val="3"/>
        <w:rPr>
          <w:rFonts w:hint="eastAsia" w:ascii="Times New Roman" w:hAnsi="Times New Roman"/>
          <w:sz w:val="28"/>
          <w:szCs w:val="28"/>
          <w:u w:val="none"/>
          <w:lang w:eastAsia="zh-CN"/>
        </w:rPr>
      </w:pPr>
      <w:bookmarkStart w:id="42" w:name="_Toc21267"/>
      <w:r>
        <w:rPr>
          <w:rFonts w:hint="eastAsia" w:ascii="Times New Roman" w:hAnsi="Times New Roman"/>
          <w:sz w:val="28"/>
          <w:szCs w:val="28"/>
          <w:u w:val="none"/>
          <w:lang w:val="en-US" w:eastAsia="zh-CN"/>
        </w:rPr>
        <w:t>3</w:t>
      </w:r>
      <w:r>
        <w:rPr>
          <w:rFonts w:hint="eastAsia" w:ascii="Times New Roman" w:hAnsi="Times New Roman"/>
          <w:sz w:val="28"/>
          <w:szCs w:val="28"/>
          <w:u w:val="none"/>
          <w:lang w:eastAsia="zh-CN"/>
        </w:rPr>
        <w:t>.</w:t>
      </w:r>
      <w:bookmarkEnd w:id="41"/>
      <w:r>
        <w:rPr>
          <w:rFonts w:hint="eastAsia" w:ascii="Times New Roman" w:hAnsi="Times New Roman"/>
          <w:sz w:val="28"/>
          <w:szCs w:val="28"/>
          <w:u w:val="none"/>
          <w:lang w:val="en-US" w:eastAsia="zh-CN"/>
        </w:rPr>
        <w:t>2</w:t>
      </w:r>
      <w:r>
        <w:rPr>
          <w:rFonts w:hint="eastAsia" w:ascii="Times New Roman" w:hAnsi="Times New Roman"/>
          <w:sz w:val="28"/>
          <w:szCs w:val="28"/>
          <w:u w:val="none"/>
          <w:lang w:eastAsia="zh-CN"/>
        </w:rPr>
        <w:t>工艺流程及产污环节</w:t>
      </w:r>
      <w:bookmarkEnd w:id="42"/>
    </w:p>
    <w:p>
      <w:pPr>
        <w:topLinePunct/>
        <w:spacing w:line="360" w:lineRule="auto"/>
        <w:rPr>
          <w:rFonts w:hint="eastAsia"/>
          <w:b/>
          <w:sz w:val="24"/>
          <w:u w:val="none"/>
          <w:lang w:val="en-US" w:eastAsia="zh-CN"/>
        </w:rPr>
      </w:pPr>
      <w:r>
        <w:rPr>
          <w:rFonts w:hint="eastAsia"/>
          <w:b/>
          <w:sz w:val="24"/>
          <w:u w:val="none"/>
          <w:lang w:val="en-US" w:eastAsia="zh-CN"/>
        </w:rPr>
        <w:t>3.2.1项目施工期工艺流程及产污节点</w:t>
      </w:r>
    </w:p>
    <w:p>
      <w:pPr>
        <w:topLinePunct/>
        <w:spacing w:line="360" w:lineRule="auto"/>
        <w:ind w:firstLine="480" w:firstLineChars="200"/>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t>本项目施工期工艺流程及产污节点详见下图。</w:t>
      </w:r>
    </w:p>
    <w:p>
      <w:pPr>
        <w:pStyle w:val="352"/>
        <w:rPr>
          <w:rFonts w:hint="eastAsia"/>
          <w:b/>
          <w:bCs/>
          <w:u w:val="none"/>
          <w:lang w:val="en-US" w:eastAsia="zh-CN"/>
        </w:rPr>
      </w:pPr>
      <w:r>
        <w:rPr>
          <w:rFonts w:hint="eastAsia"/>
          <w:b/>
          <w:bCs/>
          <w:u w:val="none"/>
          <w:lang w:val="en-US" w:eastAsia="zh-CN"/>
        </w:rPr>
        <w:object>
          <v:shape id="_x0000_i1025" o:spt="75" type="#_x0000_t75" style="height:215.55pt;width:453.2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pStyle w:val="352"/>
        <w:rPr>
          <w:rFonts w:hint="default"/>
          <w:b/>
          <w:bCs/>
          <w:u w:val="none"/>
          <w:lang w:val="en-US" w:eastAsia="zh-CN"/>
        </w:rPr>
      </w:pPr>
      <w:r>
        <w:rPr>
          <w:rFonts w:hint="eastAsia"/>
          <w:b/>
          <w:bCs/>
          <w:u w:val="none"/>
          <w:lang w:val="en-US" w:eastAsia="zh-CN"/>
        </w:rPr>
        <w:t>图3-1  本项目施工期工艺流程及产污节点图</w:t>
      </w:r>
    </w:p>
    <w:p>
      <w:pPr>
        <w:topLinePunct/>
        <w:spacing w:line="360" w:lineRule="auto"/>
        <w:rPr>
          <w:rFonts w:hint="eastAsia"/>
          <w:b/>
          <w:sz w:val="24"/>
          <w:u w:val="none"/>
          <w:lang w:val="en-US" w:eastAsia="zh-CN"/>
        </w:rPr>
      </w:pPr>
      <w:r>
        <w:rPr>
          <w:rFonts w:hint="eastAsia"/>
          <w:b/>
          <w:sz w:val="24"/>
          <w:u w:val="none"/>
          <w:lang w:val="en-US" w:eastAsia="zh-CN"/>
        </w:rPr>
        <w:t>3.2.2项目施工期污染源分析</w:t>
      </w:r>
    </w:p>
    <w:p>
      <w:pPr>
        <w:topLinePunct/>
        <w:spacing w:line="360" w:lineRule="auto"/>
        <w:jc w:val="left"/>
        <w:rPr>
          <w:rStyle w:val="177"/>
          <w:rFonts w:hint="eastAsia" w:cs="Times New Roman"/>
          <w:b/>
          <w:bCs/>
          <w:sz w:val="24"/>
          <w:szCs w:val="24"/>
          <w:u w:val="none"/>
          <w:lang w:val="en-US" w:eastAsia="zh-CN"/>
        </w:rPr>
      </w:pPr>
      <w:r>
        <w:rPr>
          <w:rStyle w:val="177"/>
          <w:rFonts w:hint="eastAsia" w:cs="Times New Roman"/>
          <w:b/>
          <w:bCs/>
          <w:sz w:val="24"/>
          <w:szCs w:val="24"/>
          <w:u w:val="none"/>
          <w:lang w:val="en-US" w:eastAsia="zh-CN"/>
        </w:rPr>
        <w:t>1、施工期大气污染物及治理措施</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t>本工程建设过程中，大气污染源主要为施工扬尘、施工运载车辆及汽车尾气、装修废气等，各污染源产生源强及治理措施如下：</w:t>
      </w:r>
    </w:p>
    <w:p>
      <w:pPr>
        <w:topLinePunct/>
        <w:spacing w:line="360" w:lineRule="auto"/>
        <w:jc w:val="left"/>
        <w:rPr>
          <w:rStyle w:val="177"/>
          <w:rFonts w:hint="eastAsia" w:cs="Times New Roman"/>
          <w:b/>
          <w:bCs/>
          <w:sz w:val="24"/>
          <w:szCs w:val="24"/>
          <w:u w:val="none"/>
          <w:lang w:val="en-US" w:eastAsia="zh-CN"/>
        </w:rPr>
      </w:pPr>
      <w:r>
        <w:rPr>
          <w:rStyle w:val="177"/>
          <w:rFonts w:hint="eastAsia" w:cs="Times New Roman"/>
          <w:b/>
          <w:bCs/>
          <w:sz w:val="24"/>
          <w:szCs w:val="24"/>
          <w:u w:val="none"/>
          <w:lang w:val="en-US" w:eastAsia="zh-CN"/>
        </w:rPr>
        <w:t>（1）施工扬尘</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t>项目施工期施工扬尘主要来自基础工程场地平整、基础开挖、汽车运输等产生过程中。经类比分析，施工场地扬尘浓度平均值约为5.0mg/m³。因此，在施工过程中，施工单位必须严格按照《四川省人民政府办公厅关于加强灰霾污染防治的通知》（川办发【2013】32号）、《四川省大气污染防治行动计划实施细则》（川府发【2014】4号）及《四川省灰霾污染防治实施方案》的有关扬尘防治的规定进行治理，尽量减少扬尘对环境的影响程度。</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t>针对施工洋诚的治理，本项目施工期应采取施工扬尘治理措施如下：</w:t>
      </w:r>
    </w:p>
    <w:p>
      <w:pPr>
        <w:topLinePunct/>
        <w:spacing w:line="360" w:lineRule="auto"/>
        <w:jc w:val="left"/>
        <w:rPr>
          <w:rStyle w:val="177"/>
          <w:rFonts w:hint="eastAsia"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1 \* GB3 \* MERGEFORMAT </w:instrText>
      </w:r>
      <w:r>
        <w:rPr>
          <w:rStyle w:val="177"/>
          <w:rFonts w:hint="default" w:cs="Times New Roman"/>
          <w:sz w:val="24"/>
          <w:szCs w:val="24"/>
          <w:u w:val="none"/>
          <w:lang w:val="en-US" w:eastAsia="zh-CN"/>
        </w:rPr>
        <w:fldChar w:fldCharType="separate"/>
      </w:r>
      <w:r>
        <w:t>①</w:t>
      </w:r>
      <w:r>
        <w:rPr>
          <w:rStyle w:val="177"/>
          <w:rFonts w:hint="default" w:cs="Times New Roman"/>
          <w:sz w:val="24"/>
          <w:szCs w:val="24"/>
          <w:u w:val="none"/>
          <w:lang w:val="en-US" w:eastAsia="zh-CN"/>
        </w:rPr>
        <w:fldChar w:fldCharType="end"/>
      </w:r>
      <w:r>
        <w:rPr>
          <w:rStyle w:val="177"/>
          <w:rFonts w:hint="eastAsia" w:cs="Times New Roman"/>
          <w:sz w:val="24"/>
          <w:szCs w:val="24"/>
          <w:u w:val="none"/>
          <w:lang w:val="en-US" w:eastAsia="zh-CN"/>
        </w:rPr>
        <w:t>打围施工，施工场地设置硬纸板才隔离围挡，围挡结构安全可靠，高度不应低于2.5m，外侧设置0.20m高的护角条形基础，围墙或围挡应做到标准化、景观化；</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fldChar w:fldCharType="begin"/>
      </w:r>
      <w:r>
        <w:rPr>
          <w:rStyle w:val="177"/>
          <w:rFonts w:hint="eastAsia" w:cs="Times New Roman"/>
          <w:sz w:val="24"/>
          <w:szCs w:val="24"/>
          <w:u w:val="none"/>
          <w:lang w:val="en-US" w:eastAsia="zh-CN"/>
        </w:rPr>
        <w:instrText xml:space="preserve"> = 2 \* GB3 \* MERGEFORMAT </w:instrText>
      </w:r>
      <w:r>
        <w:rPr>
          <w:rStyle w:val="177"/>
          <w:rFonts w:hint="eastAsia" w:cs="Times New Roman"/>
          <w:sz w:val="24"/>
          <w:szCs w:val="24"/>
          <w:u w:val="none"/>
          <w:lang w:val="en-US" w:eastAsia="zh-CN"/>
        </w:rPr>
        <w:fldChar w:fldCharType="separate"/>
      </w:r>
      <w:r>
        <w:rPr>
          <w:rStyle w:val="177"/>
          <w:rFonts w:hint="eastAsia" w:cs="Times New Roman"/>
          <w:sz w:val="24"/>
          <w:szCs w:val="24"/>
          <w:u w:val="none"/>
          <w:lang w:val="en-US" w:eastAsia="zh-CN"/>
        </w:rPr>
        <w:t>②</w:t>
      </w:r>
      <w:r>
        <w:rPr>
          <w:rStyle w:val="177"/>
          <w:rFonts w:hint="eastAsia" w:cs="Times New Roman"/>
          <w:sz w:val="24"/>
          <w:szCs w:val="24"/>
          <w:u w:val="none"/>
          <w:lang w:val="en-US" w:eastAsia="zh-CN"/>
        </w:rPr>
        <w:fldChar w:fldCharType="end"/>
      </w:r>
      <w:r>
        <w:rPr>
          <w:rStyle w:val="177"/>
          <w:rFonts w:hint="eastAsia" w:cs="Times New Roman"/>
          <w:sz w:val="24"/>
          <w:szCs w:val="24"/>
          <w:u w:val="none"/>
          <w:lang w:val="en-US" w:eastAsia="zh-CN"/>
        </w:rPr>
        <w:t>实施湿法作业，围挡墙上端设置喷雾装置，施工场地干燥时适当喷水加湿，同时，对运输路面及场地实施洒水降尘。建筑施工风速四级以上时，应暂停开挖，要加大洒水抑尘的力度。</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fldChar w:fldCharType="begin"/>
      </w:r>
      <w:r>
        <w:rPr>
          <w:rStyle w:val="177"/>
          <w:rFonts w:hint="eastAsia" w:cs="Times New Roman"/>
          <w:sz w:val="24"/>
          <w:szCs w:val="24"/>
          <w:u w:val="none"/>
          <w:lang w:val="en-US" w:eastAsia="zh-CN"/>
        </w:rPr>
        <w:instrText xml:space="preserve"> = 3 \* GB3 \* MERGEFORMAT </w:instrText>
      </w:r>
      <w:r>
        <w:rPr>
          <w:rStyle w:val="177"/>
          <w:rFonts w:hint="eastAsia" w:cs="Times New Roman"/>
          <w:sz w:val="24"/>
          <w:szCs w:val="24"/>
          <w:u w:val="none"/>
          <w:lang w:val="en-US" w:eastAsia="zh-CN"/>
        </w:rPr>
        <w:fldChar w:fldCharType="separate"/>
      </w:r>
      <w:r>
        <w:rPr>
          <w:rStyle w:val="177"/>
          <w:rFonts w:hint="eastAsia" w:cs="Times New Roman"/>
          <w:sz w:val="24"/>
          <w:szCs w:val="24"/>
          <w:u w:val="none"/>
          <w:lang w:val="en-US" w:eastAsia="zh-CN"/>
        </w:rPr>
        <w:t>③</w:t>
      </w:r>
      <w:r>
        <w:rPr>
          <w:rStyle w:val="177"/>
          <w:rFonts w:hint="eastAsia" w:cs="Times New Roman"/>
          <w:sz w:val="24"/>
          <w:szCs w:val="24"/>
          <w:u w:val="none"/>
          <w:lang w:val="en-US" w:eastAsia="zh-CN"/>
        </w:rPr>
        <w:fldChar w:fldCharType="end"/>
      </w:r>
      <w:r>
        <w:rPr>
          <w:rStyle w:val="177"/>
          <w:rFonts w:hint="eastAsia" w:cs="Times New Roman"/>
          <w:sz w:val="24"/>
          <w:szCs w:val="24"/>
          <w:u w:val="none"/>
          <w:lang w:val="en-US" w:eastAsia="zh-CN"/>
        </w:rPr>
        <w:t>设置冲洗设备设施。对运输车辆进行严格清洗，严禁带土上路，避免对交通道路造成扬尘污染。</w:t>
      </w:r>
    </w:p>
    <w:p>
      <w:pPr>
        <w:topLinePunct/>
        <w:spacing w:line="360" w:lineRule="auto"/>
        <w:jc w:val="left"/>
        <w:rPr>
          <w:rStyle w:val="177"/>
          <w:rFonts w:hint="eastAsia" w:cs="Times New Roman"/>
          <w:sz w:val="24"/>
          <w:szCs w:val="24"/>
          <w:u w:val="none"/>
          <w:lang w:val="en-US" w:eastAsia="zh-CN"/>
        </w:rPr>
      </w:pPr>
      <w:r>
        <w:rPr>
          <w:rStyle w:val="177"/>
          <w:rFonts w:hint="eastAsia" w:cs="Times New Roman"/>
          <w:sz w:val="24"/>
          <w:szCs w:val="24"/>
          <w:u w:val="none"/>
          <w:lang w:val="en-US" w:eastAsia="zh-CN"/>
        </w:rPr>
        <w:fldChar w:fldCharType="begin"/>
      </w:r>
      <w:r>
        <w:rPr>
          <w:rStyle w:val="177"/>
          <w:rFonts w:hint="eastAsia" w:cs="Times New Roman"/>
          <w:sz w:val="24"/>
          <w:szCs w:val="24"/>
          <w:u w:val="none"/>
          <w:lang w:val="en-US" w:eastAsia="zh-CN"/>
        </w:rPr>
        <w:instrText xml:space="preserve"> = 4 \* GB3 \* MERGEFORMAT </w:instrText>
      </w:r>
      <w:r>
        <w:rPr>
          <w:rStyle w:val="177"/>
          <w:rFonts w:hint="eastAsia" w:cs="Times New Roman"/>
          <w:sz w:val="24"/>
          <w:szCs w:val="24"/>
          <w:u w:val="none"/>
          <w:lang w:val="en-US" w:eastAsia="zh-CN"/>
        </w:rPr>
        <w:fldChar w:fldCharType="separate"/>
      </w:r>
      <w:r>
        <w:rPr>
          <w:rStyle w:val="177"/>
          <w:rFonts w:hint="eastAsia" w:cs="Times New Roman"/>
          <w:sz w:val="24"/>
          <w:szCs w:val="24"/>
          <w:u w:val="none"/>
          <w:lang w:val="en-US" w:eastAsia="zh-CN"/>
        </w:rPr>
        <w:t>④</w:t>
      </w:r>
      <w:r>
        <w:rPr>
          <w:rStyle w:val="177"/>
          <w:rFonts w:hint="eastAsia" w:cs="Times New Roman"/>
          <w:sz w:val="24"/>
          <w:szCs w:val="24"/>
          <w:u w:val="none"/>
          <w:lang w:val="en-US" w:eastAsia="zh-CN"/>
        </w:rPr>
        <w:fldChar w:fldCharType="end"/>
      </w:r>
      <w:r>
        <w:rPr>
          <w:rStyle w:val="177"/>
          <w:rFonts w:hint="eastAsia" w:cs="Times New Roman"/>
          <w:sz w:val="24"/>
          <w:szCs w:val="24"/>
          <w:u w:val="none"/>
          <w:lang w:val="en-US" w:eastAsia="zh-CN"/>
        </w:rPr>
        <w:t>使用商品混凝土，不进行混凝土现场搅拌。</w:t>
      </w:r>
    </w:p>
    <w:p>
      <w:pPr>
        <w:topLinePunct/>
        <w:spacing w:line="360" w:lineRule="auto"/>
        <w:jc w:val="left"/>
        <w:rPr>
          <w:rStyle w:val="177"/>
          <w:rFonts w:hint="default" w:cs="Times New Roman"/>
          <w:sz w:val="24"/>
          <w:szCs w:val="24"/>
          <w:u w:val="none"/>
          <w:lang w:val="en-US" w:eastAsia="zh-CN"/>
        </w:rPr>
      </w:pPr>
      <w:r>
        <w:rPr>
          <w:rStyle w:val="177"/>
          <w:rFonts w:hint="eastAsia" w:cs="Times New Roman"/>
          <w:sz w:val="24"/>
          <w:szCs w:val="24"/>
          <w:u w:val="none"/>
          <w:lang w:val="en-US" w:eastAsia="zh-CN"/>
        </w:rPr>
        <w:fldChar w:fldCharType="begin"/>
      </w:r>
      <w:r>
        <w:rPr>
          <w:rStyle w:val="177"/>
          <w:rFonts w:hint="eastAsia" w:cs="Times New Roman"/>
          <w:sz w:val="24"/>
          <w:szCs w:val="24"/>
          <w:u w:val="none"/>
          <w:lang w:val="en-US" w:eastAsia="zh-CN"/>
        </w:rPr>
        <w:instrText xml:space="preserve"> = 5 \* GB3 \* MERGEFORMAT </w:instrText>
      </w:r>
      <w:r>
        <w:rPr>
          <w:rStyle w:val="177"/>
          <w:rFonts w:hint="eastAsia" w:cs="Times New Roman"/>
          <w:sz w:val="24"/>
          <w:szCs w:val="24"/>
          <w:u w:val="none"/>
          <w:lang w:val="en-US" w:eastAsia="zh-CN"/>
        </w:rPr>
        <w:fldChar w:fldCharType="separate"/>
      </w:r>
      <w:r>
        <w:rPr>
          <w:rStyle w:val="177"/>
          <w:rFonts w:hint="eastAsia" w:cs="Times New Roman"/>
          <w:sz w:val="24"/>
          <w:szCs w:val="24"/>
          <w:u w:val="none"/>
          <w:lang w:val="en-US" w:eastAsia="zh-CN"/>
        </w:rPr>
        <w:t>⑤</w:t>
      </w:r>
      <w:r>
        <w:rPr>
          <w:rStyle w:val="177"/>
          <w:rFonts w:hint="eastAsia" w:cs="Times New Roman"/>
          <w:sz w:val="24"/>
          <w:szCs w:val="24"/>
          <w:u w:val="none"/>
          <w:lang w:val="en-US" w:eastAsia="zh-CN"/>
        </w:rPr>
        <w:fldChar w:fldCharType="end"/>
      </w:r>
      <w:r>
        <w:rPr>
          <w:rStyle w:val="177"/>
          <w:rFonts w:hint="default" w:cs="Times New Roman"/>
          <w:sz w:val="24"/>
          <w:szCs w:val="24"/>
          <w:u w:val="none"/>
          <w:lang w:val="en-US" w:eastAsia="zh-CN"/>
        </w:rPr>
        <w:t>为了尽量抑制扬尘产生，需定时洒水和清扫。如果在施工期间对车辆行驶的路面实施只洒水不清扫，可使扬尘量减少70%～70%，若清扫后洒水，抑尘效率能达90%以上。</w:t>
      </w:r>
    </w:p>
    <w:p>
      <w:pPr>
        <w:topLinePunct/>
        <w:spacing w:line="360" w:lineRule="auto"/>
        <w:jc w:val="left"/>
        <w:rPr>
          <w:rStyle w:val="177"/>
          <w:rFonts w:hint="default"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6 \* GB3 \* MERGEFORMAT </w:instrText>
      </w:r>
      <w:r>
        <w:rPr>
          <w:rStyle w:val="177"/>
          <w:rFonts w:hint="default" w:cs="Times New Roman"/>
          <w:sz w:val="24"/>
          <w:szCs w:val="24"/>
          <w:u w:val="none"/>
          <w:lang w:val="en-US" w:eastAsia="zh-CN"/>
        </w:rPr>
        <w:fldChar w:fldCharType="separate"/>
      </w:r>
      <w:r>
        <w:rPr>
          <w:rStyle w:val="177"/>
          <w:rFonts w:hint="default" w:cs="Times New Roman"/>
          <w:sz w:val="24"/>
          <w:szCs w:val="24"/>
          <w:u w:val="none"/>
          <w:lang w:val="en-US" w:eastAsia="zh-CN"/>
        </w:rPr>
        <w:t>⑥</w:t>
      </w:r>
      <w:r>
        <w:rPr>
          <w:rStyle w:val="177"/>
          <w:rFonts w:hint="default" w:cs="Times New Roman"/>
          <w:sz w:val="24"/>
          <w:szCs w:val="24"/>
          <w:u w:val="none"/>
          <w:lang w:val="en-US" w:eastAsia="zh-CN"/>
        </w:rPr>
        <w:fldChar w:fldCharType="end"/>
      </w:r>
      <w:r>
        <w:rPr>
          <w:rStyle w:val="177"/>
          <w:rFonts w:hint="default" w:cs="Times New Roman"/>
          <w:sz w:val="24"/>
          <w:szCs w:val="24"/>
          <w:u w:val="none"/>
          <w:lang w:val="en-US" w:eastAsia="zh-CN"/>
        </w:rPr>
        <w:t>不准运渣车辆超载、冒载。运渣车辆，车箱遮盖严密后方可运出场外，严禁撒落。</w:t>
      </w:r>
    </w:p>
    <w:p>
      <w:pPr>
        <w:topLinePunct/>
        <w:spacing w:line="360" w:lineRule="auto"/>
        <w:jc w:val="left"/>
        <w:rPr>
          <w:rStyle w:val="177"/>
          <w:rFonts w:hint="default"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7 \* GB3 \* MERGEFORMAT </w:instrText>
      </w:r>
      <w:r>
        <w:rPr>
          <w:rStyle w:val="177"/>
          <w:rFonts w:hint="default" w:cs="Times New Roman"/>
          <w:sz w:val="24"/>
          <w:szCs w:val="24"/>
          <w:u w:val="none"/>
          <w:lang w:val="en-US" w:eastAsia="zh-CN"/>
        </w:rPr>
        <w:fldChar w:fldCharType="separate"/>
      </w:r>
      <w:r>
        <w:rPr>
          <w:rStyle w:val="177"/>
          <w:rFonts w:hint="default" w:cs="Times New Roman"/>
          <w:sz w:val="24"/>
          <w:szCs w:val="24"/>
          <w:u w:val="none"/>
          <w:lang w:val="en-US" w:eastAsia="zh-CN"/>
        </w:rPr>
        <w:t>⑦</w:t>
      </w:r>
      <w:r>
        <w:rPr>
          <w:rStyle w:val="177"/>
          <w:rFonts w:hint="default" w:cs="Times New Roman"/>
          <w:sz w:val="24"/>
          <w:szCs w:val="24"/>
          <w:u w:val="none"/>
          <w:lang w:val="en-US" w:eastAsia="zh-CN"/>
        </w:rPr>
        <w:fldChar w:fldCharType="end"/>
      </w:r>
      <w:r>
        <w:rPr>
          <w:rStyle w:val="177"/>
          <w:rFonts w:hint="default" w:cs="Times New Roman"/>
          <w:sz w:val="24"/>
          <w:szCs w:val="24"/>
          <w:u w:val="none"/>
          <w:lang w:val="en-US" w:eastAsia="zh-CN"/>
        </w:rPr>
        <w:t>文明施工，不准高空抛撒建渣。</w:t>
      </w:r>
    </w:p>
    <w:p>
      <w:pPr>
        <w:topLinePunct/>
        <w:spacing w:line="360" w:lineRule="auto"/>
        <w:jc w:val="left"/>
        <w:rPr>
          <w:rStyle w:val="177"/>
          <w:rFonts w:hint="default"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8 \* GB3 \* MERGEFORMAT </w:instrText>
      </w:r>
      <w:r>
        <w:rPr>
          <w:rStyle w:val="177"/>
          <w:rFonts w:hint="default" w:cs="Times New Roman"/>
          <w:sz w:val="24"/>
          <w:szCs w:val="24"/>
          <w:u w:val="none"/>
          <w:lang w:val="en-US" w:eastAsia="zh-CN"/>
        </w:rPr>
        <w:fldChar w:fldCharType="separate"/>
      </w:r>
      <w:r>
        <w:rPr>
          <w:rStyle w:val="177"/>
          <w:rFonts w:hint="default" w:cs="Times New Roman"/>
          <w:sz w:val="24"/>
          <w:szCs w:val="24"/>
          <w:u w:val="none"/>
          <w:lang w:val="en-US" w:eastAsia="zh-CN"/>
        </w:rPr>
        <w:t>⑧</w:t>
      </w:r>
      <w:r>
        <w:rPr>
          <w:rStyle w:val="177"/>
          <w:rFonts w:hint="default" w:cs="Times New Roman"/>
          <w:sz w:val="24"/>
          <w:szCs w:val="24"/>
          <w:u w:val="none"/>
          <w:lang w:val="en-US" w:eastAsia="zh-CN"/>
        </w:rPr>
        <w:fldChar w:fldCharType="end"/>
      </w:r>
      <w:r>
        <w:rPr>
          <w:rStyle w:val="177"/>
          <w:rFonts w:hint="default" w:cs="Times New Roman"/>
          <w:sz w:val="24"/>
          <w:szCs w:val="24"/>
          <w:u w:val="none"/>
          <w:lang w:val="en-US" w:eastAsia="zh-CN"/>
        </w:rPr>
        <w:t>不准场地积水，若出现场地积水现象，及时抽水排水，并平整路面。</w:t>
      </w:r>
    </w:p>
    <w:p>
      <w:pPr>
        <w:topLinePunct/>
        <w:spacing w:line="360" w:lineRule="auto"/>
        <w:jc w:val="left"/>
        <w:rPr>
          <w:rStyle w:val="177"/>
          <w:rFonts w:hint="default"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9 \* GB3 \* MERGEFORMAT </w:instrText>
      </w:r>
      <w:r>
        <w:rPr>
          <w:rStyle w:val="177"/>
          <w:rFonts w:hint="default" w:cs="Times New Roman"/>
          <w:sz w:val="24"/>
          <w:szCs w:val="24"/>
          <w:u w:val="none"/>
          <w:lang w:val="en-US" w:eastAsia="zh-CN"/>
        </w:rPr>
        <w:fldChar w:fldCharType="separate"/>
      </w:r>
      <w:r>
        <w:rPr>
          <w:rStyle w:val="177"/>
          <w:rFonts w:hint="default" w:cs="Times New Roman"/>
          <w:sz w:val="24"/>
          <w:szCs w:val="24"/>
          <w:u w:val="none"/>
          <w:lang w:val="en-US" w:eastAsia="zh-CN"/>
        </w:rPr>
        <w:t>⑨</w:t>
      </w:r>
      <w:r>
        <w:rPr>
          <w:rStyle w:val="177"/>
          <w:rFonts w:hint="default" w:cs="Times New Roman"/>
          <w:sz w:val="24"/>
          <w:szCs w:val="24"/>
          <w:u w:val="none"/>
          <w:lang w:val="en-US" w:eastAsia="zh-CN"/>
        </w:rPr>
        <w:fldChar w:fldCharType="end"/>
      </w:r>
      <w:r>
        <w:rPr>
          <w:rStyle w:val="177"/>
          <w:rFonts w:hint="default" w:cs="Times New Roman"/>
          <w:sz w:val="24"/>
          <w:szCs w:val="24"/>
          <w:u w:val="none"/>
          <w:lang w:val="en-US" w:eastAsia="zh-CN"/>
        </w:rPr>
        <w:t>施工料具应当按照施工现场平面布置图确定的位置存放，所有土堆、料堆必须全部覆盖；要采取袋装、密闭、洒水等防尘措施；严禁在车行道行堆放施工弃土。</w:t>
      </w:r>
    </w:p>
    <w:p>
      <w:pPr>
        <w:topLinePunct/>
        <w:spacing w:line="360" w:lineRule="auto"/>
        <w:jc w:val="left"/>
        <w:rPr>
          <w:rStyle w:val="177"/>
          <w:rFonts w:hint="default" w:cs="Times New Roman"/>
          <w:sz w:val="24"/>
          <w:szCs w:val="24"/>
          <w:u w:val="none"/>
          <w:lang w:val="en-US" w:eastAsia="zh-CN"/>
        </w:rPr>
      </w:pPr>
      <w:r>
        <w:rPr>
          <w:rStyle w:val="177"/>
          <w:rFonts w:hint="default" w:cs="Times New Roman"/>
          <w:sz w:val="24"/>
          <w:szCs w:val="24"/>
          <w:u w:val="none"/>
          <w:lang w:val="en-US" w:eastAsia="zh-CN"/>
        </w:rPr>
        <w:fldChar w:fldCharType="begin"/>
      </w:r>
      <w:r>
        <w:rPr>
          <w:rStyle w:val="177"/>
          <w:rFonts w:hint="default" w:cs="Times New Roman"/>
          <w:sz w:val="24"/>
          <w:szCs w:val="24"/>
          <w:u w:val="none"/>
          <w:lang w:val="en-US" w:eastAsia="zh-CN"/>
        </w:rPr>
        <w:instrText xml:space="preserve"> = 10 \* GB3 \* MERGEFORMAT </w:instrText>
      </w:r>
      <w:r>
        <w:rPr>
          <w:rStyle w:val="177"/>
          <w:rFonts w:hint="default" w:cs="Times New Roman"/>
          <w:sz w:val="24"/>
          <w:szCs w:val="24"/>
          <w:u w:val="none"/>
          <w:lang w:val="en-US" w:eastAsia="zh-CN"/>
        </w:rPr>
        <w:fldChar w:fldCharType="separate"/>
      </w:r>
      <w:r>
        <w:rPr>
          <w:rStyle w:val="177"/>
          <w:rFonts w:hint="default" w:cs="Times New Roman"/>
          <w:sz w:val="24"/>
          <w:szCs w:val="24"/>
          <w:u w:val="none"/>
          <w:lang w:val="en-US" w:eastAsia="zh-CN"/>
        </w:rPr>
        <w:t>⑩</w:t>
      </w:r>
      <w:r>
        <w:rPr>
          <w:rStyle w:val="177"/>
          <w:rFonts w:hint="default" w:cs="Times New Roman"/>
          <w:sz w:val="24"/>
          <w:szCs w:val="24"/>
          <w:u w:val="none"/>
          <w:lang w:val="en-US" w:eastAsia="zh-CN"/>
        </w:rPr>
        <w:fldChar w:fldCharType="end"/>
      </w:r>
      <w:r>
        <w:rPr>
          <w:rStyle w:val="177"/>
          <w:rFonts w:hint="default" w:cs="Times New Roman"/>
          <w:sz w:val="24"/>
          <w:szCs w:val="24"/>
          <w:u w:val="none"/>
          <w:lang w:val="en-US" w:eastAsia="zh-CN"/>
        </w:rPr>
        <w:t>不准现场焚烧废弃物。项目生活垃圾由市政环卫清运系统清运，所有垃圾分类存放，统一清运，不得在现在焚烧。</w:t>
      </w:r>
    </w:p>
    <w:p>
      <w:pPr>
        <w:topLinePunct/>
        <w:spacing w:line="360" w:lineRule="auto"/>
        <w:jc w:val="left"/>
        <w:rPr>
          <w:rStyle w:val="177"/>
          <w:rFonts w:hint="default" w:cs="Times New Roman"/>
          <w:b/>
          <w:bCs/>
          <w:sz w:val="24"/>
          <w:szCs w:val="24"/>
          <w:u w:val="none"/>
          <w:lang w:val="en-US" w:eastAsia="zh-CN"/>
        </w:rPr>
      </w:pPr>
      <w:r>
        <w:rPr>
          <w:rStyle w:val="177"/>
          <w:rFonts w:hint="eastAsia" w:cs="Times New Roman"/>
          <w:b/>
          <w:bCs/>
          <w:sz w:val="24"/>
          <w:szCs w:val="24"/>
          <w:u w:val="none"/>
          <w:lang w:val="en-US" w:eastAsia="zh-CN"/>
        </w:rPr>
        <w:t>综上，评价认为项目在施工期严格采取上述防治措施后，扬尘浓度可得到有效控制，能够实现达标排放。</w:t>
      </w:r>
    </w:p>
    <w:p>
      <w:pPr>
        <w:topLinePunct/>
        <w:spacing w:line="360" w:lineRule="auto"/>
        <w:rPr>
          <w:rFonts w:hint="eastAsia"/>
          <w:b/>
          <w:sz w:val="24"/>
          <w:u w:val="none"/>
          <w:lang w:val="en-US" w:eastAsia="zh-CN"/>
        </w:rPr>
      </w:pPr>
      <w:r>
        <w:rPr>
          <w:rFonts w:hint="eastAsia"/>
          <w:b/>
          <w:sz w:val="24"/>
          <w:u w:val="none"/>
          <w:lang w:val="en-US" w:eastAsia="zh-CN"/>
        </w:rPr>
        <w:t>（2）施工机械及运输车辆尾气</w:t>
      </w:r>
    </w:p>
    <w:p>
      <w:pPr>
        <w:topLinePunct/>
        <w:spacing w:line="360" w:lineRule="auto"/>
        <w:rPr>
          <w:rFonts w:hint="eastAsia"/>
          <w:b w:val="0"/>
          <w:bCs/>
          <w:sz w:val="24"/>
          <w:u w:val="none"/>
          <w:lang w:val="en-US" w:eastAsia="zh-CN"/>
        </w:rPr>
      </w:pPr>
      <w:r>
        <w:rPr>
          <w:rFonts w:hint="eastAsia"/>
          <w:b w:val="0"/>
          <w:bCs/>
          <w:sz w:val="24"/>
          <w:u w:val="none"/>
          <w:lang w:val="en-US" w:eastAsia="zh-CN"/>
        </w:rPr>
        <w:t>施工期间，使用机动车运送原材料、设备和建筑机械设备的运转，均会排放一定量的CO、NOx以及未完全燃烧的HC等，其特点是排放量小，且属间断性无组织排放。</w:t>
      </w:r>
    </w:p>
    <w:p>
      <w:pPr>
        <w:topLinePunct/>
        <w:spacing w:line="360" w:lineRule="auto"/>
        <w:rPr>
          <w:rFonts w:hint="eastAsia"/>
          <w:b w:val="0"/>
          <w:bCs/>
          <w:sz w:val="24"/>
          <w:u w:val="none"/>
          <w:lang w:val="en-US" w:eastAsia="zh-CN"/>
        </w:rPr>
      </w:pPr>
      <w:r>
        <w:rPr>
          <w:rFonts w:hint="eastAsia"/>
          <w:b w:val="0"/>
          <w:bCs/>
          <w:sz w:val="24"/>
          <w:u w:val="none"/>
          <w:lang w:val="en-US" w:eastAsia="zh-CN"/>
        </w:rPr>
        <w:t>针对上述废气排放特点，建设单位应采取如下措施降低运输车辆及汽车尾气对周围环境的影响：</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1 \* GB3 \* MERGEFORMAT </w:instrText>
      </w:r>
      <w:r>
        <w:rPr>
          <w:rFonts w:hint="eastAsia"/>
          <w:b w:val="0"/>
          <w:bCs/>
          <w:sz w:val="24"/>
          <w:u w:val="none"/>
          <w:lang w:val="en-US" w:eastAsia="zh-CN"/>
        </w:rPr>
        <w:fldChar w:fldCharType="separate"/>
      </w:r>
      <w:r>
        <w:rPr>
          <w:rFonts w:hint="eastAsia"/>
          <w:b w:val="0"/>
          <w:bCs/>
          <w:sz w:val="24"/>
          <w:u w:val="none"/>
          <w:lang w:val="en-US" w:eastAsia="zh-CN"/>
        </w:rPr>
        <w:t>①</w:t>
      </w:r>
      <w:r>
        <w:rPr>
          <w:rFonts w:hint="eastAsia"/>
          <w:b w:val="0"/>
          <w:bCs/>
          <w:sz w:val="24"/>
          <w:u w:val="none"/>
          <w:lang w:val="en-US" w:eastAsia="zh-CN"/>
        </w:rPr>
        <w:fldChar w:fldCharType="end"/>
      </w:r>
      <w:r>
        <w:rPr>
          <w:rFonts w:hint="eastAsia"/>
          <w:b w:val="0"/>
          <w:bCs/>
          <w:sz w:val="24"/>
          <w:u w:val="none"/>
          <w:lang w:val="en-US" w:eastAsia="zh-CN"/>
        </w:rPr>
        <w:t>施工机械合理布局，保障施工场地开阔，扩散条件良好。</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2 \* GB3 \* MERGEFORMAT </w:instrText>
      </w:r>
      <w:r>
        <w:rPr>
          <w:rFonts w:hint="eastAsia"/>
          <w:b w:val="0"/>
          <w:bCs/>
          <w:sz w:val="24"/>
          <w:u w:val="none"/>
          <w:lang w:val="en-US" w:eastAsia="zh-CN"/>
        </w:rPr>
        <w:fldChar w:fldCharType="separate"/>
      </w:r>
      <w:r>
        <w:rPr>
          <w:rFonts w:hint="eastAsia"/>
          <w:b w:val="0"/>
          <w:bCs/>
          <w:sz w:val="24"/>
          <w:u w:val="none"/>
          <w:lang w:val="en-US" w:eastAsia="zh-CN"/>
        </w:rPr>
        <w:t>②</w:t>
      </w:r>
      <w:r>
        <w:rPr>
          <w:rFonts w:hint="eastAsia"/>
          <w:b w:val="0"/>
          <w:bCs/>
          <w:sz w:val="24"/>
          <w:u w:val="none"/>
          <w:lang w:val="en-US" w:eastAsia="zh-CN"/>
        </w:rPr>
        <w:fldChar w:fldCharType="end"/>
      </w:r>
      <w:r>
        <w:rPr>
          <w:rFonts w:hint="eastAsia"/>
          <w:b w:val="0"/>
          <w:bCs/>
          <w:sz w:val="24"/>
          <w:u w:val="none"/>
          <w:lang w:val="en-US" w:eastAsia="zh-CN"/>
        </w:rPr>
        <w:t>在施工期应定期对施工设备进行维护，使其能够正常的运行，提高设备原料的利用率。</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3 \* GB3 \* MERGEFORMAT </w:instrText>
      </w:r>
      <w:r>
        <w:rPr>
          <w:rFonts w:hint="eastAsia"/>
          <w:b w:val="0"/>
          <w:bCs/>
          <w:sz w:val="24"/>
          <w:u w:val="none"/>
          <w:lang w:val="en-US" w:eastAsia="zh-CN"/>
        </w:rPr>
        <w:fldChar w:fldCharType="separate"/>
      </w:r>
      <w:r>
        <w:rPr>
          <w:rFonts w:hint="eastAsia"/>
          <w:b w:val="0"/>
          <w:bCs/>
          <w:sz w:val="24"/>
          <w:u w:val="none"/>
          <w:lang w:val="en-US" w:eastAsia="zh-CN"/>
        </w:rPr>
        <w:t>③</w:t>
      </w:r>
      <w:r>
        <w:rPr>
          <w:rFonts w:hint="eastAsia"/>
          <w:b w:val="0"/>
          <w:bCs/>
          <w:sz w:val="24"/>
          <w:u w:val="none"/>
          <w:lang w:val="en-US" w:eastAsia="zh-CN"/>
        </w:rPr>
        <w:fldChar w:fldCharType="end"/>
      </w:r>
      <w:r>
        <w:rPr>
          <w:rFonts w:hint="eastAsia"/>
          <w:b w:val="0"/>
          <w:bCs/>
          <w:sz w:val="24"/>
          <w:u w:val="none"/>
          <w:lang w:val="en-US" w:eastAsia="zh-CN"/>
        </w:rPr>
        <w:t>优化运输组织，提高运输效率，降低柴油货车空驶率。</w:t>
      </w:r>
    </w:p>
    <w:p>
      <w:pPr>
        <w:topLinePunct/>
        <w:spacing w:line="360" w:lineRule="auto"/>
        <w:rPr>
          <w:rFonts w:hint="eastAsia"/>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4 \* GB3 \* MERGEFORMAT </w:instrText>
      </w:r>
      <w:r>
        <w:rPr>
          <w:rFonts w:hint="default"/>
          <w:b w:val="0"/>
          <w:bCs/>
          <w:sz w:val="24"/>
          <w:u w:val="none"/>
          <w:lang w:val="en-US" w:eastAsia="zh-CN"/>
        </w:rPr>
        <w:fldChar w:fldCharType="separate"/>
      </w:r>
      <w:r>
        <w:rPr>
          <w:rFonts w:hint="default"/>
          <w:b w:val="0"/>
          <w:bCs/>
          <w:sz w:val="24"/>
          <w:u w:val="none"/>
          <w:lang w:val="en-US" w:eastAsia="zh-CN"/>
        </w:rPr>
        <w:t>④</w:t>
      </w:r>
      <w:r>
        <w:rPr>
          <w:rFonts w:hint="default"/>
          <w:b w:val="0"/>
          <w:bCs/>
          <w:sz w:val="24"/>
          <w:u w:val="none"/>
          <w:lang w:val="en-US" w:eastAsia="zh-CN"/>
        </w:rPr>
        <w:fldChar w:fldCharType="end"/>
      </w:r>
      <w:r>
        <w:rPr>
          <w:rFonts w:hint="eastAsia"/>
          <w:b w:val="0"/>
          <w:bCs/>
          <w:sz w:val="24"/>
          <w:u w:val="none"/>
          <w:lang w:val="en-US" w:eastAsia="zh-CN"/>
        </w:rPr>
        <w:t>尽可能多的使用新能源和清洁能源机械或汽车，降低燃油废气的排放量。</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5 \* GB3 \* MERGEFORMAT </w:instrText>
      </w:r>
      <w:r>
        <w:rPr>
          <w:rFonts w:hint="default"/>
          <w:b w:val="0"/>
          <w:bCs/>
          <w:sz w:val="24"/>
          <w:u w:val="none"/>
          <w:lang w:val="en-US" w:eastAsia="zh-CN"/>
        </w:rPr>
        <w:fldChar w:fldCharType="separate"/>
      </w:r>
      <w:r>
        <w:rPr>
          <w:rFonts w:hint="default"/>
          <w:b w:val="0"/>
          <w:bCs/>
          <w:sz w:val="24"/>
          <w:u w:val="none"/>
          <w:lang w:val="en-US" w:eastAsia="zh-CN"/>
        </w:rPr>
        <w:t>⑤</w:t>
      </w:r>
      <w:r>
        <w:rPr>
          <w:rFonts w:hint="default"/>
          <w:b w:val="0"/>
          <w:bCs/>
          <w:sz w:val="24"/>
          <w:u w:val="none"/>
          <w:lang w:val="en-US" w:eastAsia="zh-CN"/>
        </w:rPr>
        <w:fldChar w:fldCharType="end"/>
      </w:r>
      <w:r>
        <w:rPr>
          <w:rFonts w:hint="eastAsia"/>
          <w:b w:val="0"/>
          <w:bCs/>
          <w:sz w:val="24"/>
          <w:u w:val="none"/>
          <w:lang w:val="en-US" w:eastAsia="zh-CN"/>
        </w:rPr>
        <w:t>严禁使用不达标车辆、老旧淘汰车辆和未在规定期限内维修并复检合格的车辆，所用柴油运输车辆需配套SCR系统，以降低氮氧化物的排放量。</w:t>
      </w:r>
    </w:p>
    <w:p>
      <w:pPr>
        <w:topLinePunct/>
        <w:spacing w:line="360" w:lineRule="auto"/>
        <w:jc w:val="left"/>
        <w:rPr>
          <w:rStyle w:val="177"/>
          <w:rFonts w:hint="default" w:cs="Times New Roman"/>
          <w:b/>
          <w:bCs/>
          <w:sz w:val="24"/>
          <w:szCs w:val="24"/>
          <w:u w:val="none"/>
          <w:lang w:val="en-US" w:eastAsia="zh-CN"/>
        </w:rPr>
      </w:pPr>
      <w:r>
        <w:rPr>
          <w:rStyle w:val="177"/>
          <w:rFonts w:hint="eastAsia" w:cs="Times New Roman"/>
          <w:b/>
          <w:bCs/>
          <w:sz w:val="24"/>
          <w:szCs w:val="24"/>
          <w:u w:val="none"/>
          <w:lang w:val="en-US" w:eastAsia="zh-CN"/>
        </w:rPr>
        <w:t>综上，评价认为项目在施工期严格采取上述防治措施后，机械及运输车辆尾气浓度可得到有效控制，能够实现达标排放。</w:t>
      </w:r>
    </w:p>
    <w:p>
      <w:pPr>
        <w:topLinePunct/>
        <w:spacing w:line="360" w:lineRule="auto"/>
        <w:rPr>
          <w:rFonts w:hint="eastAsia"/>
          <w:b/>
          <w:bCs w:val="0"/>
          <w:sz w:val="24"/>
          <w:u w:val="none"/>
          <w:lang w:val="en-US" w:eastAsia="zh-CN"/>
        </w:rPr>
      </w:pPr>
      <w:r>
        <w:rPr>
          <w:rFonts w:hint="eastAsia"/>
          <w:b/>
          <w:bCs w:val="0"/>
          <w:sz w:val="24"/>
          <w:u w:val="none"/>
          <w:lang w:val="en-US" w:eastAsia="zh-CN"/>
        </w:rPr>
        <w:t>（3）装修废气</w:t>
      </w:r>
    </w:p>
    <w:p>
      <w:pPr>
        <w:topLinePunct/>
        <w:spacing w:line="360" w:lineRule="auto"/>
        <w:rPr>
          <w:rFonts w:hint="eastAsia"/>
          <w:b w:val="0"/>
          <w:bCs/>
          <w:sz w:val="24"/>
          <w:u w:val="none"/>
          <w:lang w:val="en-US" w:eastAsia="zh-CN"/>
        </w:rPr>
      </w:pPr>
      <w:r>
        <w:rPr>
          <w:rFonts w:hint="eastAsia"/>
          <w:b w:val="0"/>
          <w:bCs/>
          <w:sz w:val="24"/>
          <w:u w:val="none"/>
          <w:lang w:val="en-US" w:eastAsia="zh-CN"/>
        </w:rPr>
        <w:t>本项目装修材料使用少，产生的装修废气量较小，主要为装修阶段产生的挥发性有机废气，污染物质主要为甲醛、苯、甲苯、二甲苯和其他VOCs。</w:t>
      </w:r>
    </w:p>
    <w:p>
      <w:pPr>
        <w:topLinePunct/>
        <w:spacing w:line="360" w:lineRule="auto"/>
        <w:rPr>
          <w:rFonts w:hint="eastAsia"/>
          <w:b w:val="0"/>
          <w:bCs/>
          <w:sz w:val="24"/>
          <w:u w:val="none"/>
          <w:lang w:val="en-US" w:eastAsia="zh-CN"/>
        </w:rPr>
      </w:pPr>
      <w:r>
        <w:rPr>
          <w:rFonts w:hint="eastAsia"/>
          <w:b w:val="0"/>
          <w:bCs/>
          <w:sz w:val="24"/>
          <w:u w:val="none"/>
          <w:lang w:val="en-US" w:eastAsia="zh-CN"/>
        </w:rPr>
        <w:t>针对装修废气的治理，建设单位应采取如下治理措施：</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1 \* GB3 \* MERGEFORMAT </w:instrText>
      </w:r>
      <w:r>
        <w:rPr>
          <w:rFonts w:hint="default"/>
          <w:b w:val="0"/>
          <w:bCs/>
          <w:sz w:val="24"/>
          <w:u w:val="none"/>
          <w:lang w:val="en-US" w:eastAsia="zh-CN"/>
        </w:rPr>
        <w:fldChar w:fldCharType="separate"/>
      </w:r>
      <w:r>
        <w:rPr>
          <w:rFonts w:hint="default"/>
          <w:b w:val="0"/>
          <w:bCs/>
          <w:sz w:val="24"/>
          <w:u w:val="none"/>
          <w:lang w:val="en-US" w:eastAsia="zh-CN"/>
        </w:rPr>
        <w:t>①</w:t>
      </w:r>
      <w:r>
        <w:rPr>
          <w:rFonts w:hint="default"/>
          <w:b w:val="0"/>
          <w:bCs/>
          <w:sz w:val="24"/>
          <w:u w:val="none"/>
          <w:lang w:val="en-US" w:eastAsia="zh-CN"/>
        </w:rPr>
        <w:fldChar w:fldCharType="end"/>
      </w:r>
      <w:r>
        <w:rPr>
          <w:rFonts w:hint="eastAsia"/>
          <w:b w:val="0"/>
          <w:bCs/>
          <w:sz w:val="24"/>
          <w:u w:val="none"/>
          <w:lang w:val="en-US" w:eastAsia="zh-CN"/>
        </w:rPr>
        <w:t>采用质量好，符合国家有关部门检验合格，含有毒有害物质少的油漆和涂料产品，尽可能多的采用水性涂料</w:t>
      </w:r>
      <w:r>
        <w:rPr>
          <w:rFonts w:hint="default"/>
          <w:b w:val="0"/>
          <w:bCs/>
          <w:sz w:val="24"/>
          <w:u w:val="none"/>
          <w:lang w:val="en-US" w:eastAsia="zh-CN"/>
        </w:rPr>
        <w:t>。</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2 \* GB3 \* MERGEFORMAT </w:instrText>
      </w:r>
      <w:r>
        <w:rPr>
          <w:rFonts w:hint="default"/>
          <w:b w:val="0"/>
          <w:bCs/>
          <w:sz w:val="24"/>
          <w:u w:val="none"/>
          <w:lang w:val="en-US" w:eastAsia="zh-CN"/>
        </w:rPr>
        <w:fldChar w:fldCharType="separate"/>
      </w:r>
      <w:r>
        <w:rPr>
          <w:rFonts w:hint="default"/>
          <w:b w:val="0"/>
          <w:bCs/>
          <w:sz w:val="24"/>
          <w:u w:val="none"/>
          <w:lang w:val="en-US" w:eastAsia="zh-CN"/>
        </w:rPr>
        <w:t>②</w:t>
      </w:r>
      <w:r>
        <w:rPr>
          <w:rFonts w:hint="default"/>
          <w:b w:val="0"/>
          <w:bCs/>
          <w:sz w:val="24"/>
          <w:u w:val="none"/>
          <w:lang w:val="en-US" w:eastAsia="zh-CN"/>
        </w:rPr>
        <w:fldChar w:fldCharType="end"/>
      </w:r>
      <w:r>
        <w:rPr>
          <w:rFonts w:hint="eastAsia"/>
          <w:b w:val="0"/>
          <w:bCs/>
          <w:sz w:val="24"/>
          <w:u w:val="none"/>
          <w:lang w:val="en-US" w:eastAsia="zh-CN"/>
        </w:rPr>
        <w:t>加强施工管理，最大限度地防止跑、冒、滴、漏现象发生，减少原材料浪费带来的废气排放</w:t>
      </w:r>
      <w:r>
        <w:rPr>
          <w:rFonts w:hint="default"/>
          <w:b w:val="0"/>
          <w:bCs/>
          <w:sz w:val="24"/>
          <w:u w:val="none"/>
          <w:lang w:val="en-US" w:eastAsia="zh-CN"/>
        </w:rPr>
        <w:t>。</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3 \* GB3 \* MERGEFORMAT </w:instrText>
      </w:r>
      <w:r>
        <w:rPr>
          <w:rFonts w:hint="default"/>
          <w:b w:val="0"/>
          <w:bCs/>
          <w:sz w:val="24"/>
          <w:u w:val="none"/>
          <w:lang w:val="en-US" w:eastAsia="zh-CN"/>
        </w:rPr>
        <w:fldChar w:fldCharType="separate"/>
      </w:r>
      <w:r>
        <w:rPr>
          <w:rFonts w:hint="default"/>
          <w:b w:val="0"/>
          <w:bCs/>
          <w:sz w:val="24"/>
          <w:u w:val="none"/>
          <w:lang w:val="en-US" w:eastAsia="zh-CN"/>
        </w:rPr>
        <w:t>③</w:t>
      </w:r>
      <w:r>
        <w:rPr>
          <w:rFonts w:hint="default"/>
          <w:b w:val="0"/>
          <w:bCs/>
          <w:sz w:val="24"/>
          <w:u w:val="none"/>
          <w:lang w:val="en-US" w:eastAsia="zh-CN"/>
        </w:rPr>
        <w:fldChar w:fldCharType="end"/>
      </w:r>
      <w:r>
        <w:rPr>
          <w:rFonts w:hint="eastAsia"/>
          <w:b w:val="0"/>
          <w:bCs/>
          <w:sz w:val="24"/>
          <w:u w:val="none"/>
          <w:lang w:val="en-US" w:eastAsia="zh-CN"/>
        </w:rPr>
        <w:t>施工作业场所加强通风，保证空气流通，降低污染物浓度</w:t>
      </w:r>
      <w:r>
        <w:rPr>
          <w:rFonts w:hint="default"/>
          <w:b w:val="0"/>
          <w:bCs/>
          <w:sz w:val="24"/>
          <w:u w:val="none"/>
          <w:lang w:val="en-US" w:eastAsia="zh-CN"/>
        </w:rPr>
        <w:t>。</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4 \* GB3 \* MERGEFORMAT </w:instrText>
      </w:r>
      <w:r>
        <w:rPr>
          <w:rFonts w:hint="default"/>
          <w:b w:val="0"/>
          <w:bCs/>
          <w:sz w:val="24"/>
          <w:u w:val="none"/>
          <w:lang w:val="en-US" w:eastAsia="zh-CN"/>
        </w:rPr>
        <w:fldChar w:fldCharType="separate"/>
      </w:r>
      <w:r>
        <w:rPr>
          <w:rFonts w:hint="default"/>
          <w:b w:val="0"/>
          <w:bCs/>
          <w:sz w:val="24"/>
          <w:u w:val="none"/>
          <w:lang w:val="en-US" w:eastAsia="zh-CN"/>
        </w:rPr>
        <w:t>④</w:t>
      </w:r>
      <w:r>
        <w:rPr>
          <w:rFonts w:hint="default"/>
          <w:b w:val="0"/>
          <w:bCs/>
          <w:sz w:val="24"/>
          <w:u w:val="none"/>
          <w:lang w:val="en-US" w:eastAsia="zh-CN"/>
        </w:rPr>
        <w:fldChar w:fldCharType="end"/>
      </w:r>
      <w:r>
        <w:rPr>
          <w:rFonts w:hint="eastAsia"/>
          <w:b w:val="0"/>
          <w:bCs/>
          <w:sz w:val="24"/>
          <w:u w:val="none"/>
          <w:lang w:val="en-US" w:eastAsia="zh-CN"/>
        </w:rPr>
        <w:t>施工作业人员佩戴防毒面罩和口罩，保证作业人员的身体健康</w:t>
      </w:r>
      <w:r>
        <w:rPr>
          <w:rFonts w:hint="default"/>
          <w:b w:val="0"/>
          <w:bCs/>
          <w:sz w:val="24"/>
          <w:u w:val="none"/>
          <w:lang w:val="en-US" w:eastAsia="zh-CN"/>
        </w:rPr>
        <w:t>。</w:t>
      </w:r>
    </w:p>
    <w:p>
      <w:pPr>
        <w:topLinePunct/>
        <w:spacing w:line="360" w:lineRule="auto"/>
        <w:jc w:val="left"/>
        <w:rPr>
          <w:rStyle w:val="177"/>
          <w:rFonts w:hint="default" w:cs="Times New Roman"/>
          <w:b/>
          <w:bCs/>
          <w:sz w:val="24"/>
          <w:szCs w:val="24"/>
          <w:u w:val="none"/>
          <w:lang w:val="en-US" w:eastAsia="zh-CN"/>
        </w:rPr>
      </w:pPr>
      <w:r>
        <w:rPr>
          <w:rStyle w:val="177"/>
          <w:rFonts w:hint="eastAsia" w:cs="Times New Roman"/>
          <w:b/>
          <w:bCs/>
          <w:sz w:val="24"/>
          <w:szCs w:val="24"/>
          <w:u w:val="none"/>
          <w:lang w:val="en-US" w:eastAsia="zh-CN"/>
        </w:rPr>
        <w:t>综上，评价认为项目在施工期严格采取上述防治措施后，装修废气浓度可得到有效控制，能够实现达标排放。</w:t>
      </w:r>
    </w:p>
    <w:p>
      <w:pPr>
        <w:topLinePunct/>
        <w:spacing w:line="360" w:lineRule="auto"/>
        <w:jc w:val="left"/>
        <w:rPr>
          <w:rStyle w:val="177"/>
          <w:rFonts w:hint="default" w:cs="Times New Roman"/>
          <w:b/>
          <w:bCs/>
          <w:sz w:val="24"/>
          <w:szCs w:val="24"/>
          <w:u w:val="none"/>
          <w:lang w:val="en-US" w:eastAsia="zh-CN"/>
        </w:rPr>
      </w:pPr>
      <w:r>
        <w:rPr>
          <w:rStyle w:val="177"/>
          <w:rFonts w:hint="eastAsia" w:cs="Times New Roman"/>
          <w:b/>
          <w:bCs/>
          <w:sz w:val="24"/>
          <w:szCs w:val="24"/>
          <w:u w:val="none"/>
          <w:lang w:val="en-US" w:eastAsia="zh-CN"/>
        </w:rPr>
        <w:t>2、施工期废水污染物及治理措施</w:t>
      </w:r>
    </w:p>
    <w:p>
      <w:pPr>
        <w:topLinePunct/>
        <w:spacing w:line="360" w:lineRule="auto"/>
        <w:rPr>
          <w:rFonts w:hint="eastAsia"/>
          <w:b w:val="0"/>
          <w:bCs/>
          <w:sz w:val="24"/>
          <w:u w:val="none"/>
          <w:lang w:val="en-US" w:eastAsia="zh-CN"/>
        </w:rPr>
      </w:pPr>
      <w:r>
        <w:rPr>
          <w:rFonts w:hint="eastAsia"/>
          <w:b w:val="0"/>
          <w:bCs/>
          <w:sz w:val="24"/>
          <w:u w:val="none"/>
          <w:lang w:val="en-US" w:eastAsia="zh-CN"/>
        </w:rPr>
        <w:t>项目施工期间废水污染源主要来自于施工期混凝土养护废水、车辆冲洗废水、砂石料冲洗废水等施工废水和施工人员生活污水，其产生源强及治理措施如下：</w:t>
      </w:r>
    </w:p>
    <w:p>
      <w:pPr>
        <w:topLinePunct/>
        <w:spacing w:line="360" w:lineRule="auto"/>
        <w:rPr>
          <w:rFonts w:hint="eastAsia"/>
          <w:b/>
          <w:bCs w:val="0"/>
          <w:sz w:val="24"/>
          <w:u w:val="none"/>
          <w:lang w:val="en-US" w:eastAsia="zh-CN"/>
        </w:rPr>
      </w:pPr>
      <w:r>
        <w:rPr>
          <w:rFonts w:hint="eastAsia"/>
          <w:b/>
          <w:bCs w:val="0"/>
          <w:sz w:val="24"/>
          <w:u w:val="none"/>
          <w:lang w:val="en-US" w:eastAsia="zh-CN"/>
        </w:rPr>
        <w:t>（1）施工废水</w:t>
      </w:r>
    </w:p>
    <w:p>
      <w:pPr>
        <w:topLinePunct/>
        <w:spacing w:line="360" w:lineRule="auto"/>
        <w:rPr>
          <w:rFonts w:hint="eastAsia"/>
          <w:b w:val="0"/>
          <w:bCs/>
          <w:sz w:val="24"/>
          <w:u w:val="none"/>
          <w:lang w:val="en-US" w:eastAsia="zh-CN"/>
        </w:rPr>
      </w:pPr>
      <w:r>
        <w:rPr>
          <w:rFonts w:hint="eastAsia"/>
          <w:b w:val="0"/>
          <w:bCs/>
          <w:sz w:val="24"/>
          <w:u w:val="none"/>
          <w:lang w:val="en-US" w:eastAsia="zh-CN"/>
        </w:rPr>
        <w:t>施工废水包括施工期混凝土废水、泄漏的工作用水以及混凝土养护废水和施工过程建筑材料遇暴雨冲刷进入水体的废水以及进出车辆冲洗车轮的废水。经过类比分析可知，施工过程中的生产废水中的主要污染物为pH、SS、COD等，污水中COD浓度值最高约400mg/L、SS1000mg/L。</w:t>
      </w:r>
    </w:p>
    <w:p>
      <w:pPr>
        <w:topLinePunct/>
        <w:spacing w:line="360" w:lineRule="auto"/>
        <w:rPr>
          <w:rFonts w:hint="eastAsia"/>
          <w:b w:val="0"/>
          <w:bCs/>
          <w:sz w:val="24"/>
          <w:u w:val="none"/>
          <w:lang w:val="en-US" w:eastAsia="zh-CN"/>
        </w:rPr>
      </w:pPr>
      <w:r>
        <w:rPr>
          <w:rFonts w:hint="eastAsia"/>
          <w:b w:val="0"/>
          <w:bCs/>
          <w:sz w:val="24"/>
          <w:u w:val="none"/>
          <w:lang w:val="en-US" w:eastAsia="zh-CN"/>
        </w:rPr>
        <w:t>本项目产生的施工废水如果放置措施不当，容易造成水环境污染。建设单位针对对施工废水应设置相应处理设施进行处理后重复利用，针对不同废水应采取不同的防治措施，具体如下：</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1 \* GB3 \* MERGEFORMAT </w:instrText>
      </w:r>
      <w:r>
        <w:rPr>
          <w:rFonts w:hint="default"/>
          <w:b w:val="0"/>
          <w:bCs/>
          <w:sz w:val="24"/>
          <w:u w:val="none"/>
          <w:lang w:val="en-US" w:eastAsia="zh-CN"/>
        </w:rPr>
        <w:fldChar w:fldCharType="separate"/>
      </w:r>
      <w:r>
        <w:rPr>
          <w:rFonts w:hint="default"/>
          <w:b w:val="0"/>
          <w:bCs/>
          <w:sz w:val="24"/>
          <w:u w:val="none"/>
          <w:lang w:val="en-US" w:eastAsia="zh-CN"/>
        </w:rPr>
        <w:t>①</w:t>
      </w:r>
      <w:r>
        <w:rPr>
          <w:rFonts w:hint="default"/>
          <w:b w:val="0"/>
          <w:bCs/>
          <w:sz w:val="24"/>
          <w:u w:val="none"/>
          <w:lang w:val="en-US" w:eastAsia="zh-CN"/>
        </w:rPr>
        <w:fldChar w:fldCharType="end"/>
      </w:r>
      <w:r>
        <w:rPr>
          <w:rFonts w:hint="eastAsia"/>
          <w:b w:val="0"/>
          <w:bCs/>
          <w:sz w:val="24"/>
          <w:u w:val="none"/>
          <w:lang w:val="en-US" w:eastAsia="zh-CN"/>
        </w:rPr>
        <w:t>砂石料冲洗废水。其悬浮物含量大，应建截排水沟和沉淀池进行收集沉淀处理，沉淀后上清液用于工地洒水降尘。泄漏水泥砂浆及时清理，运浆容器和搅拌用具集中放置并且及时清洗，冲洗水引入沉淀池沉淀后重复利用</w:t>
      </w:r>
      <w:r>
        <w:rPr>
          <w:rFonts w:hint="default"/>
          <w:b w:val="0"/>
          <w:bCs/>
          <w:sz w:val="24"/>
          <w:u w:val="none"/>
          <w:lang w:val="en-US" w:eastAsia="zh-CN"/>
        </w:rPr>
        <w:t>。</w:t>
      </w:r>
    </w:p>
    <w:p>
      <w:pPr>
        <w:topLinePunct/>
        <w:spacing w:line="360" w:lineRule="auto"/>
        <w:rPr>
          <w:rFonts w:hint="eastAsia"/>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2 \* GB3 \* MERGEFORMAT </w:instrText>
      </w:r>
      <w:r>
        <w:rPr>
          <w:rFonts w:hint="default"/>
          <w:b w:val="0"/>
          <w:bCs/>
          <w:sz w:val="24"/>
          <w:u w:val="none"/>
          <w:lang w:val="en-US" w:eastAsia="zh-CN"/>
        </w:rPr>
        <w:fldChar w:fldCharType="separate"/>
      </w:r>
      <w:r>
        <w:rPr>
          <w:rFonts w:hint="default"/>
          <w:b w:val="0"/>
          <w:bCs/>
          <w:sz w:val="24"/>
          <w:u w:val="none"/>
          <w:lang w:val="en-US" w:eastAsia="zh-CN"/>
        </w:rPr>
        <w:t>②</w:t>
      </w:r>
      <w:r>
        <w:rPr>
          <w:rFonts w:hint="default"/>
          <w:b w:val="0"/>
          <w:bCs/>
          <w:sz w:val="24"/>
          <w:u w:val="none"/>
          <w:lang w:val="en-US" w:eastAsia="zh-CN"/>
        </w:rPr>
        <w:fldChar w:fldCharType="end"/>
      </w:r>
      <w:r>
        <w:rPr>
          <w:rFonts w:hint="eastAsia"/>
          <w:b w:val="0"/>
          <w:bCs/>
          <w:sz w:val="24"/>
          <w:u w:val="none"/>
          <w:lang w:val="en-US" w:eastAsia="zh-CN"/>
        </w:rPr>
        <w:t>混凝土养护废水</w:t>
      </w:r>
      <w:r>
        <w:rPr>
          <w:rFonts w:hint="default"/>
          <w:b w:val="0"/>
          <w:bCs/>
          <w:sz w:val="24"/>
          <w:u w:val="none"/>
          <w:lang w:val="en-US" w:eastAsia="zh-CN"/>
        </w:rPr>
        <w:t>。</w:t>
      </w:r>
      <w:r>
        <w:rPr>
          <w:rFonts w:hint="eastAsia"/>
          <w:b w:val="0"/>
          <w:bCs/>
          <w:sz w:val="24"/>
          <w:u w:val="none"/>
          <w:lang w:val="en-US" w:eastAsia="zh-CN"/>
        </w:rPr>
        <w:t>混凝土养护用塑料薄膜覆盖在混凝土表面，使混凝土与空气隔离封闭混凝土中水分不再蒸发外逸，水泥依靠混凝土中水分完成水化作用，其余多余废水经沉淀池沉淀处理后上清液回用于工地洒水降尘。</w:t>
      </w:r>
    </w:p>
    <w:p>
      <w:pPr>
        <w:topLinePunct/>
        <w:spacing w:line="360" w:lineRule="auto"/>
        <w:rPr>
          <w:rFonts w:hint="eastAsia"/>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3 \* GB3 \* MERGEFORMAT </w:instrText>
      </w:r>
      <w:r>
        <w:rPr>
          <w:rFonts w:hint="default"/>
          <w:b w:val="0"/>
          <w:bCs/>
          <w:sz w:val="24"/>
          <w:u w:val="none"/>
          <w:lang w:val="en-US" w:eastAsia="zh-CN"/>
        </w:rPr>
        <w:fldChar w:fldCharType="separate"/>
      </w:r>
      <w:r>
        <w:rPr>
          <w:rFonts w:hint="default"/>
          <w:b w:val="0"/>
          <w:bCs/>
          <w:sz w:val="24"/>
          <w:u w:val="none"/>
          <w:lang w:val="en-US" w:eastAsia="zh-CN"/>
        </w:rPr>
        <w:t>③</w:t>
      </w:r>
      <w:r>
        <w:rPr>
          <w:rFonts w:hint="default"/>
          <w:b w:val="0"/>
          <w:bCs/>
          <w:sz w:val="24"/>
          <w:u w:val="none"/>
          <w:lang w:val="en-US" w:eastAsia="zh-CN"/>
        </w:rPr>
        <w:fldChar w:fldCharType="end"/>
      </w:r>
      <w:r>
        <w:rPr>
          <w:rFonts w:hint="eastAsia"/>
          <w:b w:val="0"/>
          <w:bCs/>
          <w:sz w:val="24"/>
          <w:u w:val="none"/>
          <w:lang w:val="en-US" w:eastAsia="zh-CN"/>
        </w:rPr>
        <w:t>机械和车辆冲洗废水</w:t>
      </w:r>
      <w:r>
        <w:rPr>
          <w:rFonts w:hint="default"/>
          <w:b w:val="0"/>
          <w:bCs/>
          <w:sz w:val="24"/>
          <w:u w:val="none"/>
          <w:lang w:val="en-US" w:eastAsia="zh-CN"/>
        </w:rPr>
        <w:t>。</w:t>
      </w:r>
      <w:r>
        <w:rPr>
          <w:rFonts w:hint="eastAsia"/>
          <w:b w:val="0"/>
          <w:bCs/>
          <w:sz w:val="24"/>
          <w:u w:val="none"/>
          <w:lang w:val="en-US" w:eastAsia="zh-CN"/>
        </w:rPr>
        <w:t>本项目施工机械和车辆到附近专门修理店进行清洗和修理，不在项目区进行清洗及修理，项目区仅对进出车辆的轮毂进行冲洗，防治运输车辆带土出厂。因此，本项目不产生机械和车辆维修时的含油清洗废水，机械和车辆轮毂冲洗废水引入沉淀池沉淀处理后上清液回用于工地洒水降尘。</w:t>
      </w:r>
    </w:p>
    <w:p>
      <w:pPr>
        <w:topLinePunct/>
        <w:spacing w:line="360" w:lineRule="auto"/>
        <w:rPr>
          <w:rFonts w:hint="default"/>
          <w:b/>
          <w:bCs w:val="0"/>
          <w:sz w:val="24"/>
          <w:u w:val="none"/>
          <w:lang w:val="en-US" w:eastAsia="zh-CN"/>
        </w:rPr>
      </w:pPr>
      <w:r>
        <w:rPr>
          <w:rFonts w:hint="eastAsia"/>
          <w:b/>
          <w:bCs w:val="0"/>
          <w:sz w:val="24"/>
          <w:u w:val="none"/>
          <w:lang w:val="en-US" w:eastAsia="zh-CN"/>
        </w:rPr>
        <w:t>（2）生活污水</w:t>
      </w:r>
    </w:p>
    <w:p>
      <w:pPr>
        <w:topLinePunct/>
        <w:spacing w:line="360" w:lineRule="auto"/>
        <w:rPr>
          <w:rFonts w:hint="eastAsia"/>
          <w:b w:val="0"/>
          <w:bCs/>
          <w:sz w:val="24"/>
          <w:u w:val="none"/>
          <w:lang w:val="en-US" w:eastAsia="zh-CN"/>
        </w:rPr>
      </w:pPr>
      <w:r>
        <w:rPr>
          <w:rFonts w:hint="eastAsia"/>
          <w:b w:val="0"/>
          <w:bCs/>
          <w:sz w:val="24"/>
          <w:u w:val="none"/>
          <w:lang w:val="en-US" w:eastAsia="zh-CN"/>
        </w:rPr>
        <w:t>工程施工高峰期民工数为60人左右，均不在项目区食宿，生活用水按50L/人·天计算，则用水量为3m³/d，产污系数以0.85计，污水产生量为2.55m³/d。</w:t>
      </w:r>
    </w:p>
    <w:p>
      <w:pPr>
        <w:topLinePunct/>
        <w:spacing w:line="360" w:lineRule="auto"/>
        <w:rPr>
          <w:rFonts w:hint="eastAsia"/>
          <w:b w:val="0"/>
          <w:bCs/>
          <w:sz w:val="24"/>
          <w:u w:val="none"/>
          <w:lang w:val="en-US" w:eastAsia="zh-CN"/>
        </w:rPr>
      </w:pPr>
      <w:r>
        <w:rPr>
          <w:rFonts w:hint="eastAsia"/>
          <w:b w:val="0"/>
          <w:bCs/>
          <w:sz w:val="24"/>
          <w:u w:val="none"/>
          <w:lang w:val="en-US" w:eastAsia="zh-CN"/>
        </w:rPr>
        <w:t>项目生活污水经旱厕收集后处理后用于周边林草地灌溉，不外排。</w:t>
      </w:r>
    </w:p>
    <w:p>
      <w:pPr>
        <w:topLinePunct/>
        <w:spacing w:line="360" w:lineRule="auto"/>
        <w:rPr>
          <w:rStyle w:val="177"/>
          <w:rFonts w:hint="eastAsia" w:cs="Times New Roman"/>
          <w:b/>
          <w:bCs/>
          <w:sz w:val="24"/>
          <w:szCs w:val="24"/>
          <w:u w:val="none"/>
          <w:lang w:val="en-US" w:eastAsia="zh-CN"/>
        </w:rPr>
      </w:pPr>
      <w:r>
        <w:rPr>
          <w:rFonts w:hint="eastAsia"/>
          <w:b/>
          <w:bCs w:val="0"/>
          <w:sz w:val="24"/>
          <w:u w:val="none"/>
          <w:lang w:val="en-US" w:eastAsia="zh-CN"/>
        </w:rPr>
        <w:t>综上，</w:t>
      </w:r>
      <w:r>
        <w:rPr>
          <w:rStyle w:val="177"/>
          <w:rFonts w:hint="eastAsia" w:cs="Times New Roman"/>
          <w:b/>
          <w:bCs w:val="0"/>
          <w:sz w:val="24"/>
          <w:szCs w:val="24"/>
          <w:u w:val="none"/>
          <w:lang w:val="en-US" w:eastAsia="zh-CN"/>
        </w:rPr>
        <w:t>评</w:t>
      </w:r>
      <w:r>
        <w:rPr>
          <w:rStyle w:val="177"/>
          <w:rFonts w:hint="eastAsia" w:cs="Times New Roman"/>
          <w:b/>
          <w:bCs/>
          <w:sz w:val="24"/>
          <w:szCs w:val="24"/>
          <w:u w:val="none"/>
          <w:lang w:val="en-US" w:eastAsia="zh-CN"/>
        </w:rPr>
        <w:t>价认为项目在施工期严格采取上述防治措施后，项目施工废水可得到有效控制，不会造成周围水体的污染。</w:t>
      </w:r>
    </w:p>
    <w:p>
      <w:pPr>
        <w:topLinePunct/>
        <w:spacing w:line="360" w:lineRule="auto"/>
        <w:rPr>
          <w:rStyle w:val="177"/>
          <w:rFonts w:hint="eastAsia" w:cs="Times New Roman"/>
          <w:b/>
          <w:bCs/>
          <w:sz w:val="24"/>
          <w:szCs w:val="24"/>
          <w:u w:val="none"/>
          <w:lang w:val="en-US" w:eastAsia="zh-CN"/>
        </w:rPr>
      </w:pPr>
      <w:r>
        <w:rPr>
          <w:rStyle w:val="177"/>
          <w:rFonts w:hint="eastAsia" w:cs="Times New Roman"/>
          <w:b/>
          <w:bCs/>
          <w:sz w:val="24"/>
          <w:szCs w:val="24"/>
          <w:u w:val="none"/>
          <w:lang w:val="en-US" w:eastAsia="zh-CN"/>
        </w:rPr>
        <w:t>3、施工期噪声污染物及治理措施</w:t>
      </w:r>
    </w:p>
    <w:p>
      <w:pPr>
        <w:topLinePunct/>
        <w:spacing w:line="360" w:lineRule="auto"/>
        <w:rPr>
          <w:rStyle w:val="177"/>
          <w:rFonts w:hint="default" w:cs="Times New Roman"/>
          <w:b w:val="0"/>
          <w:bCs w:val="0"/>
          <w:sz w:val="24"/>
          <w:szCs w:val="24"/>
          <w:u w:val="none"/>
          <w:lang w:val="en-US" w:eastAsia="zh-CN"/>
        </w:rPr>
      </w:pPr>
      <w:r>
        <w:rPr>
          <w:rStyle w:val="177"/>
          <w:rFonts w:hint="eastAsia" w:cs="Times New Roman"/>
          <w:b w:val="0"/>
          <w:bCs w:val="0"/>
          <w:sz w:val="24"/>
          <w:szCs w:val="24"/>
          <w:u w:val="none"/>
          <w:lang w:val="en-US" w:eastAsia="zh-CN"/>
        </w:rPr>
        <w:t>施工期的噪声主要是施工现场的各类机械噪声、施工作业噪声以及物料运输造成的交通噪声。施工期噪声污染源主要是施工机械和运输车辆，单体声级一般在75dB（A）以上，其中声级最大的是混凝土泵，距声源5m处声压级达88dB（A），施工设备的运转将影响施工场地周围声环境的质量，施工阶段的主要噪声源及其声级详见下表</w:t>
      </w:r>
    </w:p>
    <w:p>
      <w:pPr>
        <w:pStyle w:val="352"/>
        <w:rPr>
          <w:rFonts w:hint="eastAsia"/>
          <w:b/>
          <w:bCs/>
          <w:u w:val="none"/>
          <w:lang w:val="en-US" w:eastAsia="zh-CN"/>
        </w:rPr>
      </w:pPr>
      <w:r>
        <w:rPr>
          <w:rFonts w:hint="eastAsia"/>
          <w:b/>
          <w:bCs/>
          <w:u w:val="none"/>
          <w:lang w:val="en-US" w:eastAsia="zh-CN"/>
        </w:rPr>
        <w:t>表3-9  施工机械噪声   单位：dB（A）</w:t>
      </w:r>
    </w:p>
    <w:tbl>
      <w:tblPr>
        <w:tblStyle w:val="59"/>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施工设备</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声级dB（A）（5m处）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装载机</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推土机</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挖掘机</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混凝土运输搅拌车</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混凝土泵</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55"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电锯</w:t>
            </w:r>
          </w:p>
        </w:tc>
        <w:tc>
          <w:tcPr>
            <w:tcW w:w="482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85</w:t>
            </w:r>
          </w:p>
        </w:tc>
      </w:tr>
    </w:tbl>
    <w:p>
      <w:pPr>
        <w:pStyle w:val="352"/>
        <w:rPr>
          <w:rFonts w:hint="eastAsia"/>
          <w:b/>
          <w:bCs/>
          <w:u w:val="none"/>
          <w:lang w:val="en-US" w:eastAsia="zh-CN"/>
        </w:rPr>
      </w:pPr>
      <w:r>
        <w:rPr>
          <w:rFonts w:hint="eastAsia"/>
          <w:b/>
          <w:bCs/>
          <w:u w:val="none"/>
          <w:lang w:val="en-US" w:eastAsia="zh-CN"/>
        </w:rPr>
        <w:t>表3-10  交通运输车辆声级     单位：dB（A）</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运输内容</w:t>
            </w:r>
          </w:p>
        </w:tc>
        <w:tc>
          <w:tcPr>
            <w:tcW w:w="3096"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车辆类型</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基础开挖、水泥砂浆搅拌等</w:t>
            </w:r>
          </w:p>
        </w:tc>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夯实机</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土石方运输</w:t>
            </w:r>
          </w:p>
        </w:tc>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大型载重车、装载机</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钢筋、混凝土</w:t>
            </w:r>
          </w:p>
        </w:tc>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混凝土罐车、载重车</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各种装修材料及必要的设备</w:t>
            </w:r>
          </w:p>
        </w:tc>
        <w:tc>
          <w:tcPr>
            <w:tcW w:w="309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轻型载重车</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75</w:t>
            </w:r>
          </w:p>
        </w:tc>
      </w:tr>
    </w:tbl>
    <w:p>
      <w:pPr>
        <w:topLinePunct/>
        <w:spacing w:line="360" w:lineRule="auto"/>
        <w:rPr>
          <w:rFonts w:hint="eastAsia"/>
          <w:b w:val="0"/>
          <w:bCs/>
          <w:sz w:val="24"/>
          <w:u w:val="none"/>
          <w:lang w:val="en-US" w:eastAsia="zh-CN"/>
        </w:rPr>
      </w:pPr>
      <w:r>
        <w:rPr>
          <w:rFonts w:hint="eastAsia"/>
          <w:b w:val="0"/>
          <w:bCs/>
          <w:sz w:val="24"/>
          <w:u w:val="none"/>
          <w:lang w:val="en-US" w:eastAsia="zh-CN"/>
        </w:rPr>
        <w:t>为降低施工噪声的影响，建设单位应采取如下措施：</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1 \* GB3 \* MERGEFORMAT </w:instrText>
      </w:r>
      <w:r>
        <w:rPr>
          <w:rFonts w:hint="eastAsia"/>
          <w:b w:val="0"/>
          <w:bCs/>
          <w:sz w:val="24"/>
          <w:u w:val="none"/>
          <w:lang w:val="en-US" w:eastAsia="zh-CN"/>
        </w:rPr>
        <w:fldChar w:fldCharType="separate"/>
      </w:r>
      <w:r>
        <w:rPr>
          <w:rFonts w:hint="eastAsia"/>
          <w:b w:val="0"/>
          <w:bCs/>
          <w:sz w:val="24"/>
          <w:u w:val="none"/>
          <w:lang w:val="en-US" w:eastAsia="zh-CN"/>
        </w:rPr>
        <w:t>①</w:t>
      </w:r>
      <w:r>
        <w:rPr>
          <w:rFonts w:hint="eastAsia"/>
          <w:b w:val="0"/>
          <w:bCs/>
          <w:sz w:val="24"/>
          <w:u w:val="none"/>
          <w:lang w:val="en-US" w:eastAsia="zh-CN"/>
        </w:rPr>
        <w:fldChar w:fldCharType="end"/>
      </w:r>
      <w:r>
        <w:rPr>
          <w:rFonts w:hint="eastAsia"/>
          <w:b w:val="0"/>
          <w:bCs/>
          <w:sz w:val="24"/>
          <w:u w:val="none"/>
          <w:lang w:val="en-US" w:eastAsia="zh-CN"/>
        </w:rPr>
        <w:t>尽量采用低噪声设备。</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2 \* GB3 \* MERGEFORMAT </w:instrText>
      </w:r>
      <w:r>
        <w:rPr>
          <w:rFonts w:hint="eastAsia"/>
          <w:b w:val="0"/>
          <w:bCs/>
          <w:sz w:val="24"/>
          <w:u w:val="none"/>
          <w:lang w:val="en-US" w:eastAsia="zh-CN"/>
        </w:rPr>
        <w:fldChar w:fldCharType="separate"/>
      </w:r>
      <w:r>
        <w:rPr>
          <w:rFonts w:hint="eastAsia"/>
          <w:b w:val="0"/>
          <w:bCs/>
          <w:sz w:val="24"/>
          <w:u w:val="none"/>
          <w:lang w:val="en-US" w:eastAsia="zh-CN"/>
        </w:rPr>
        <w:t>②</w:t>
      </w:r>
      <w:r>
        <w:rPr>
          <w:rFonts w:hint="eastAsia"/>
          <w:b w:val="0"/>
          <w:bCs/>
          <w:sz w:val="24"/>
          <w:u w:val="none"/>
          <w:lang w:val="en-US" w:eastAsia="zh-CN"/>
        </w:rPr>
        <w:fldChar w:fldCharType="end"/>
      </w:r>
      <w:r>
        <w:rPr>
          <w:rFonts w:hint="eastAsia"/>
          <w:b w:val="0"/>
          <w:bCs/>
          <w:sz w:val="24"/>
          <w:u w:val="none"/>
          <w:lang w:val="en-US" w:eastAsia="zh-CN"/>
        </w:rPr>
        <w:t>优化施工方案，合理设计施工总平面图，将木工房、钢筋加工间等大部分产生高噪声的作业点合理的布置在项目区西北面空地，远离周边居民，以有效利用施工场区的距离衰减作用减少对项目区外居民的影响。</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3 \* GB3 \* MERGEFORMAT </w:instrText>
      </w:r>
      <w:r>
        <w:rPr>
          <w:rFonts w:hint="eastAsia"/>
          <w:b w:val="0"/>
          <w:bCs/>
          <w:sz w:val="24"/>
          <w:u w:val="none"/>
          <w:lang w:val="en-US" w:eastAsia="zh-CN"/>
        </w:rPr>
        <w:fldChar w:fldCharType="separate"/>
      </w:r>
      <w:r>
        <w:rPr>
          <w:rFonts w:hint="eastAsia"/>
          <w:b w:val="0"/>
          <w:bCs/>
          <w:sz w:val="24"/>
          <w:u w:val="none"/>
          <w:lang w:val="en-US" w:eastAsia="zh-CN"/>
        </w:rPr>
        <w:t>③</w:t>
      </w:r>
      <w:r>
        <w:rPr>
          <w:rFonts w:hint="eastAsia"/>
          <w:b w:val="0"/>
          <w:bCs/>
          <w:sz w:val="24"/>
          <w:u w:val="none"/>
          <w:lang w:val="en-US" w:eastAsia="zh-CN"/>
        </w:rPr>
        <w:fldChar w:fldCharType="end"/>
      </w:r>
      <w:r>
        <w:rPr>
          <w:rFonts w:hint="eastAsia"/>
          <w:b w:val="0"/>
          <w:bCs/>
          <w:sz w:val="24"/>
          <w:u w:val="none"/>
          <w:lang w:val="en-US" w:eastAsia="zh-CN"/>
        </w:rPr>
        <w:t>材料运输等汽车进场安排专人指挥，场内禁止运输车辆鸣笛。</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4 \* GB3 \* MERGEFORMAT </w:instrText>
      </w:r>
      <w:r>
        <w:rPr>
          <w:rFonts w:hint="eastAsia"/>
          <w:b w:val="0"/>
          <w:bCs/>
          <w:sz w:val="24"/>
          <w:u w:val="none"/>
          <w:lang w:val="en-US" w:eastAsia="zh-CN"/>
        </w:rPr>
        <w:fldChar w:fldCharType="separate"/>
      </w:r>
      <w:r>
        <w:rPr>
          <w:rFonts w:hint="eastAsia"/>
          <w:b w:val="0"/>
          <w:bCs/>
          <w:sz w:val="24"/>
          <w:u w:val="none"/>
          <w:lang w:val="en-US" w:eastAsia="zh-CN"/>
        </w:rPr>
        <w:t>④</w:t>
      </w:r>
      <w:r>
        <w:rPr>
          <w:rFonts w:hint="eastAsia"/>
          <w:b w:val="0"/>
          <w:bCs/>
          <w:sz w:val="24"/>
          <w:u w:val="none"/>
          <w:lang w:val="en-US" w:eastAsia="zh-CN"/>
        </w:rPr>
        <w:fldChar w:fldCharType="end"/>
      </w:r>
      <w:r>
        <w:rPr>
          <w:rFonts w:hint="eastAsia"/>
          <w:b w:val="0"/>
          <w:bCs/>
          <w:sz w:val="24"/>
          <w:u w:val="none"/>
          <w:lang w:val="en-US" w:eastAsia="zh-CN"/>
        </w:rPr>
        <w:t>合理安排施工时间，将倾倒卵石料等强噪声作业尽量安排在白天进行；装卸、搬运钢管、模板等严禁抛掷。</w:t>
      </w:r>
    </w:p>
    <w:p>
      <w:pPr>
        <w:topLinePunct/>
        <w:spacing w:line="360" w:lineRule="auto"/>
        <w:rPr>
          <w:rFonts w:hint="default"/>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5 \* GB3 \* MERGEFORMAT </w:instrText>
      </w:r>
      <w:r>
        <w:rPr>
          <w:rFonts w:hint="eastAsia"/>
          <w:b w:val="0"/>
          <w:bCs/>
          <w:sz w:val="24"/>
          <w:u w:val="none"/>
          <w:lang w:val="en-US" w:eastAsia="zh-CN"/>
        </w:rPr>
        <w:fldChar w:fldCharType="separate"/>
      </w:r>
      <w:r>
        <w:rPr>
          <w:rFonts w:hint="eastAsia"/>
          <w:b w:val="0"/>
          <w:bCs/>
          <w:sz w:val="24"/>
          <w:u w:val="none"/>
          <w:lang w:val="en-US" w:eastAsia="zh-CN"/>
        </w:rPr>
        <w:t>⑤</w:t>
      </w:r>
      <w:r>
        <w:rPr>
          <w:rFonts w:hint="eastAsia"/>
          <w:b w:val="0"/>
          <w:bCs/>
          <w:sz w:val="24"/>
          <w:u w:val="none"/>
          <w:lang w:val="en-US" w:eastAsia="zh-CN"/>
        </w:rPr>
        <w:fldChar w:fldCharType="end"/>
      </w:r>
      <w:r>
        <w:rPr>
          <w:rFonts w:hint="eastAsia"/>
          <w:b w:val="0"/>
          <w:bCs/>
          <w:sz w:val="24"/>
          <w:u w:val="none"/>
          <w:lang w:val="en-US" w:eastAsia="zh-CN"/>
        </w:rPr>
        <w:t>机械设备主要有装载车和运输车辆产生的噪声，噪声值在75-95dB（A）之间。因此，必须严格控制作业时间，夜间22:00~早06:00及中午12:00~14:00禁止施工。</w:t>
      </w:r>
    </w:p>
    <w:p>
      <w:pPr>
        <w:topLinePunct/>
        <w:spacing w:line="360" w:lineRule="auto"/>
        <w:rPr>
          <w:rFonts w:hint="eastAsia"/>
          <w:b/>
          <w:bCs w:val="0"/>
          <w:sz w:val="24"/>
          <w:u w:val="none"/>
          <w:lang w:val="en-US" w:eastAsia="zh-CN"/>
        </w:rPr>
      </w:pPr>
      <w:r>
        <w:rPr>
          <w:rFonts w:hint="eastAsia"/>
          <w:b/>
          <w:bCs w:val="0"/>
          <w:sz w:val="24"/>
          <w:u w:val="none"/>
          <w:lang w:val="en-US" w:eastAsia="zh-CN"/>
        </w:rPr>
        <w:t>综上，评价认为项目在施工期严格采取上述防治措施后，项目施工噪声可得到有效控制，实现达标排放。</w:t>
      </w:r>
    </w:p>
    <w:p>
      <w:pPr>
        <w:topLinePunct/>
        <w:spacing w:line="360" w:lineRule="auto"/>
        <w:rPr>
          <w:rFonts w:hint="eastAsia"/>
          <w:b/>
          <w:bCs w:val="0"/>
          <w:sz w:val="24"/>
          <w:u w:val="none"/>
          <w:lang w:val="en-US" w:eastAsia="zh-CN"/>
        </w:rPr>
      </w:pPr>
      <w:r>
        <w:rPr>
          <w:rFonts w:hint="eastAsia"/>
          <w:b/>
          <w:bCs w:val="0"/>
          <w:sz w:val="24"/>
          <w:u w:val="none"/>
          <w:lang w:val="en-US" w:eastAsia="zh-CN"/>
        </w:rPr>
        <w:t>4、施工期固废污染物及治理措施</w:t>
      </w:r>
    </w:p>
    <w:p>
      <w:pPr>
        <w:topLinePunct/>
        <w:spacing w:line="360" w:lineRule="auto"/>
        <w:rPr>
          <w:rFonts w:hint="eastAsia"/>
          <w:b w:val="0"/>
          <w:bCs/>
          <w:sz w:val="24"/>
          <w:u w:val="none"/>
          <w:lang w:val="en-US" w:eastAsia="zh-CN"/>
        </w:rPr>
      </w:pPr>
      <w:r>
        <w:rPr>
          <w:rFonts w:hint="eastAsia"/>
          <w:b w:val="0"/>
          <w:bCs/>
          <w:sz w:val="24"/>
          <w:u w:val="none"/>
          <w:lang w:val="en-US" w:eastAsia="zh-CN"/>
        </w:rPr>
        <w:t>施工过程中固体废物主要为施工人员的生活垃圾、建筑垃圾及弃土石方，各类固废产生及处置情况如下：</w:t>
      </w:r>
    </w:p>
    <w:p>
      <w:pPr>
        <w:topLinePunct/>
        <w:spacing w:line="360" w:lineRule="auto"/>
        <w:rPr>
          <w:rFonts w:hint="eastAsia"/>
          <w:b/>
          <w:bCs w:val="0"/>
          <w:sz w:val="24"/>
          <w:u w:val="none"/>
          <w:lang w:val="en-US" w:eastAsia="zh-CN"/>
        </w:rPr>
      </w:pPr>
      <w:r>
        <w:rPr>
          <w:rFonts w:hint="eastAsia"/>
          <w:b/>
          <w:bCs w:val="0"/>
          <w:sz w:val="24"/>
          <w:u w:val="none"/>
          <w:lang w:val="en-US" w:eastAsia="zh-CN"/>
        </w:rPr>
        <w:t>（1）生活垃圾</w:t>
      </w:r>
    </w:p>
    <w:p>
      <w:pPr>
        <w:topLinePunct/>
        <w:spacing w:line="360" w:lineRule="auto"/>
        <w:rPr>
          <w:rFonts w:hint="eastAsia"/>
          <w:b w:val="0"/>
          <w:bCs/>
          <w:sz w:val="24"/>
          <w:u w:val="none"/>
          <w:lang w:val="en-US" w:eastAsia="zh-CN"/>
        </w:rPr>
      </w:pPr>
      <w:r>
        <w:rPr>
          <w:rFonts w:hint="eastAsia"/>
          <w:b w:val="0"/>
          <w:bCs/>
          <w:sz w:val="24"/>
          <w:u w:val="none"/>
          <w:lang w:val="en-US" w:eastAsia="zh-CN"/>
        </w:rPr>
        <w:t>根据《第一次全国污染源普查城镇生活源产排污系数手册》数据，生活垃圾产生量以1kg/人·d计，本项目施工人员50人，生活垃圾产生量为0.05t/d，施工期3个月，每个月以20天计，则施工期生活垃圾总产生量为3.0t。</w:t>
      </w:r>
    </w:p>
    <w:p>
      <w:pPr>
        <w:topLinePunct/>
        <w:spacing w:line="360" w:lineRule="auto"/>
        <w:rPr>
          <w:rFonts w:hint="eastAsia"/>
          <w:b/>
          <w:bCs w:val="0"/>
          <w:sz w:val="24"/>
          <w:u w:val="none"/>
          <w:lang w:val="en-US" w:eastAsia="zh-CN"/>
        </w:rPr>
      </w:pPr>
      <w:r>
        <w:rPr>
          <w:rFonts w:hint="eastAsia"/>
          <w:b/>
          <w:bCs w:val="0"/>
          <w:sz w:val="24"/>
          <w:u w:val="none"/>
          <w:lang w:val="en-US" w:eastAsia="zh-CN"/>
        </w:rPr>
        <w:t>（2）建筑垃圾</w:t>
      </w:r>
    </w:p>
    <w:p>
      <w:pPr>
        <w:topLinePunct/>
        <w:spacing w:line="360" w:lineRule="auto"/>
        <w:rPr>
          <w:rFonts w:hint="eastAsia"/>
          <w:b w:val="0"/>
          <w:bCs/>
          <w:sz w:val="24"/>
          <w:u w:val="none"/>
          <w:lang w:val="en-US" w:eastAsia="zh-CN"/>
        </w:rPr>
      </w:pPr>
      <w:r>
        <w:rPr>
          <w:rFonts w:hint="eastAsia"/>
          <w:b w:val="0"/>
          <w:bCs/>
          <w:sz w:val="24"/>
          <w:u w:val="none"/>
          <w:lang w:val="en-US" w:eastAsia="zh-CN"/>
        </w:rPr>
        <w:t>项目施工过程中会产生建筑垃圾，纸品、各种砂石、砖头碎料、钢筋头等，根据有关资料，建筑垃圾产生系数为15-30kg/m²，本项目建筑垃圾产生系数取20kg/m²，现本项目施工期总建筑面积为2700m²，则建筑垃圾产生量为54t。</w:t>
      </w:r>
    </w:p>
    <w:p>
      <w:pPr>
        <w:topLinePunct/>
        <w:spacing w:line="360" w:lineRule="auto"/>
        <w:rPr>
          <w:rFonts w:hint="eastAsia"/>
          <w:b/>
          <w:bCs w:val="0"/>
          <w:sz w:val="24"/>
          <w:u w:val="none"/>
          <w:lang w:val="en-US" w:eastAsia="zh-CN"/>
        </w:rPr>
      </w:pPr>
      <w:r>
        <w:rPr>
          <w:rFonts w:hint="eastAsia"/>
          <w:b/>
          <w:bCs w:val="0"/>
          <w:sz w:val="24"/>
          <w:u w:val="none"/>
          <w:lang w:val="en-US" w:eastAsia="zh-CN"/>
        </w:rPr>
        <w:t>（3）弃土石方</w:t>
      </w:r>
    </w:p>
    <w:p>
      <w:pPr>
        <w:topLinePunct/>
        <w:spacing w:line="360" w:lineRule="auto"/>
        <w:rPr>
          <w:rFonts w:hint="eastAsia"/>
          <w:b w:val="0"/>
          <w:bCs/>
          <w:sz w:val="24"/>
          <w:u w:val="none"/>
          <w:lang w:val="en-US" w:eastAsia="zh-CN"/>
        </w:rPr>
      </w:pPr>
      <w:r>
        <w:rPr>
          <w:rFonts w:hint="eastAsia"/>
          <w:b w:val="0"/>
          <w:bCs/>
          <w:sz w:val="24"/>
          <w:u w:val="none"/>
          <w:lang w:val="en-US" w:eastAsia="zh-CN"/>
        </w:rPr>
        <w:t>项目用地较为平整，土石方主要产生于给排水管网及基础开挖过程中，且项目所在区域内无淤泥。土石方产生量较小，主要用于场地的后期绿化及道路铺设，剩下少部分用于调整场地标高，无多余土石方产生。项目施工期土石方量估算详见下表。</w:t>
      </w:r>
    </w:p>
    <w:p>
      <w:pPr>
        <w:pStyle w:val="352"/>
        <w:rPr>
          <w:rFonts w:hint="eastAsia"/>
          <w:b/>
          <w:bCs/>
          <w:u w:val="none"/>
          <w:lang w:val="en-US" w:eastAsia="zh-CN"/>
        </w:rPr>
      </w:pPr>
      <w:r>
        <w:rPr>
          <w:rFonts w:hint="eastAsia"/>
          <w:b/>
          <w:bCs/>
          <w:u w:val="none"/>
          <w:lang w:val="en-US" w:eastAsia="zh-CN"/>
        </w:rPr>
        <w:t>表3-11  土石方量估算表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484"/>
        <w:gridCol w:w="1616"/>
        <w:gridCol w:w="2600"/>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序号</w:t>
            </w:r>
          </w:p>
        </w:tc>
        <w:tc>
          <w:tcPr>
            <w:tcW w:w="3100" w:type="dxa"/>
            <w:gridSpan w:val="2"/>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工程项目</w:t>
            </w:r>
          </w:p>
        </w:tc>
        <w:tc>
          <w:tcPr>
            <w:tcW w:w="260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单位</w:t>
            </w:r>
          </w:p>
        </w:tc>
        <w:tc>
          <w:tcPr>
            <w:tcW w:w="259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w:t>
            </w:r>
          </w:p>
        </w:tc>
        <w:tc>
          <w:tcPr>
            <w:tcW w:w="1484"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挖方</w:t>
            </w: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总数</w:t>
            </w:r>
          </w:p>
        </w:tc>
        <w:tc>
          <w:tcPr>
            <w:tcW w:w="2600"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m³</w:t>
            </w: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w:t>
            </w: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土方</w:t>
            </w:r>
          </w:p>
        </w:tc>
        <w:tc>
          <w:tcPr>
            <w:tcW w:w="260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w:t>
            </w: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石方</w:t>
            </w:r>
          </w:p>
        </w:tc>
        <w:tc>
          <w:tcPr>
            <w:tcW w:w="260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w:t>
            </w:r>
          </w:p>
        </w:tc>
        <w:tc>
          <w:tcPr>
            <w:tcW w:w="1484"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填方</w:t>
            </w: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总数</w:t>
            </w:r>
          </w:p>
        </w:tc>
        <w:tc>
          <w:tcPr>
            <w:tcW w:w="260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5</w:t>
            </w: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土方</w:t>
            </w:r>
          </w:p>
        </w:tc>
        <w:tc>
          <w:tcPr>
            <w:tcW w:w="260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w:t>
            </w: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石方</w:t>
            </w:r>
          </w:p>
        </w:tc>
        <w:tc>
          <w:tcPr>
            <w:tcW w:w="260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59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7</w:t>
            </w:r>
          </w:p>
        </w:tc>
        <w:tc>
          <w:tcPr>
            <w:tcW w:w="148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利用方</w:t>
            </w:r>
          </w:p>
        </w:tc>
        <w:tc>
          <w:tcPr>
            <w:tcW w:w="1616"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土石方</w:t>
            </w:r>
          </w:p>
        </w:tc>
        <w:tc>
          <w:tcPr>
            <w:tcW w:w="2600"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p>
        </w:tc>
        <w:tc>
          <w:tcPr>
            <w:tcW w:w="259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8</w:t>
            </w:r>
          </w:p>
        </w:tc>
        <w:tc>
          <w:tcPr>
            <w:tcW w:w="148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弃方</w:t>
            </w:r>
          </w:p>
        </w:tc>
        <w:tc>
          <w:tcPr>
            <w:tcW w:w="1616"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土石方</w:t>
            </w:r>
          </w:p>
        </w:tc>
        <w:tc>
          <w:tcPr>
            <w:tcW w:w="2600"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p>
        </w:tc>
        <w:tc>
          <w:tcPr>
            <w:tcW w:w="2594"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al="0"/>
                <w:u w:val="none"/>
                <w:vertAlign w:val="baseline"/>
                <w:lang w:val="en-US" w:eastAsia="zh-CN"/>
              </w:rPr>
            </w:pPr>
            <w:r>
              <w:rPr>
                <w:rFonts w:hint="eastAsia"/>
                <w:b w:val="0"/>
                <w:bCs w:val="0"/>
                <w:u w:val="none"/>
                <w:vertAlign w:val="baseline"/>
                <w:lang w:val="en-US" w:eastAsia="zh-CN"/>
              </w:rPr>
              <w:t>0</w:t>
            </w:r>
          </w:p>
        </w:tc>
      </w:tr>
    </w:tbl>
    <w:p>
      <w:pPr>
        <w:topLinePunct/>
        <w:spacing w:line="360" w:lineRule="auto"/>
        <w:rPr>
          <w:rFonts w:hint="eastAsia"/>
          <w:b w:val="0"/>
          <w:bCs/>
          <w:sz w:val="24"/>
          <w:u w:val="none"/>
          <w:lang w:val="en-US" w:eastAsia="zh-CN"/>
        </w:rPr>
      </w:pPr>
      <w:r>
        <w:rPr>
          <w:rFonts w:hint="eastAsia"/>
          <w:b w:val="0"/>
          <w:bCs/>
          <w:sz w:val="24"/>
          <w:u w:val="none"/>
          <w:lang w:val="en-US" w:eastAsia="zh-CN"/>
        </w:rPr>
        <w:t>针对上述固废的处理处置，建设单位应采取如下措施：</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1 \* GB3 \* MERGEFORMAT </w:instrText>
      </w:r>
      <w:r>
        <w:rPr>
          <w:rFonts w:hint="eastAsia"/>
          <w:b w:val="0"/>
          <w:bCs/>
          <w:sz w:val="24"/>
          <w:u w:val="none"/>
          <w:lang w:val="en-US" w:eastAsia="zh-CN"/>
        </w:rPr>
        <w:fldChar w:fldCharType="separate"/>
      </w:r>
      <w:r>
        <w:rPr>
          <w:rFonts w:hint="eastAsia"/>
          <w:b w:val="0"/>
          <w:bCs/>
          <w:sz w:val="24"/>
          <w:u w:val="none"/>
          <w:lang w:val="en-US" w:eastAsia="zh-CN"/>
        </w:rPr>
        <w:t>①</w:t>
      </w:r>
      <w:r>
        <w:rPr>
          <w:rFonts w:hint="eastAsia"/>
          <w:b w:val="0"/>
          <w:bCs/>
          <w:sz w:val="24"/>
          <w:u w:val="none"/>
          <w:lang w:val="en-US" w:eastAsia="zh-CN"/>
        </w:rPr>
        <w:fldChar w:fldCharType="end"/>
      </w:r>
      <w:r>
        <w:rPr>
          <w:rFonts w:hint="eastAsia"/>
          <w:b w:val="0"/>
          <w:bCs/>
          <w:sz w:val="24"/>
          <w:u w:val="none"/>
          <w:lang w:val="en-US" w:eastAsia="zh-CN"/>
        </w:rPr>
        <w:t>生活垃圾，施工人员生活垃圾经过垃圾袋收集后，由环卫部门定期外运至旺苍县城市生活垃圾垃圾填埋场填埋处置。生活垃圾应及时清理，避免长时间堆放产生恶臭，引来蚊蝇等。</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2 \* GB3 \* MERGEFORMAT </w:instrText>
      </w:r>
      <w:r>
        <w:rPr>
          <w:rFonts w:hint="eastAsia"/>
          <w:b w:val="0"/>
          <w:bCs/>
          <w:sz w:val="24"/>
          <w:u w:val="none"/>
          <w:lang w:val="en-US" w:eastAsia="zh-CN"/>
        </w:rPr>
        <w:fldChar w:fldCharType="separate"/>
      </w:r>
      <w:r>
        <w:rPr>
          <w:rFonts w:hint="eastAsia"/>
          <w:b w:val="0"/>
          <w:bCs/>
          <w:sz w:val="24"/>
          <w:u w:val="none"/>
          <w:lang w:val="en-US" w:eastAsia="zh-CN"/>
        </w:rPr>
        <w:t>②</w:t>
      </w:r>
      <w:r>
        <w:rPr>
          <w:rFonts w:hint="eastAsia"/>
          <w:b w:val="0"/>
          <w:bCs/>
          <w:sz w:val="24"/>
          <w:u w:val="none"/>
          <w:lang w:val="en-US" w:eastAsia="zh-CN"/>
        </w:rPr>
        <w:fldChar w:fldCharType="end"/>
      </w:r>
      <w:r>
        <w:rPr>
          <w:rFonts w:hint="eastAsia"/>
          <w:b w:val="0"/>
          <w:bCs/>
          <w:sz w:val="24"/>
          <w:u w:val="none"/>
          <w:lang w:val="en-US" w:eastAsia="zh-CN"/>
        </w:rPr>
        <w:t>施工过程中会产生建筑垃圾，若处置不当，将对环境造成影响。经调查，施工现场拟设置建筑废弃物临时堆场（树立标志牌）。建筑垃圾临时堆场应进行防雨、防渗处理；施工生产的废料首先应考虑废料的回收利用，对钢筋、木材等下角料可分类回收，交废品回收站处理；不能回收的建筑垃圾，如混凝土废料、砖石废料等应集中堆放定时清运至指定场所堆放。</w:t>
      </w:r>
    </w:p>
    <w:p>
      <w:pPr>
        <w:topLinePunct/>
        <w:spacing w:line="360" w:lineRule="auto"/>
        <w:rPr>
          <w:rFonts w:hint="eastAsia"/>
          <w:b/>
          <w:bCs w:val="0"/>
          <w:sz w:val="24"/>
          <w:u w:val="none"/>
          <w:lang w:val="en-US" w:eastAsia="zh-CN"/>
        </w:rPr>
      </w:pPr>
      <w:r>
        <w:rPr>
          <w:rFonts w:hint="eastAsia"/>
          <w:b/>
          <w:bCs w:val="0"/>
          <w:sz w:val="24"/>
          <w:u w:val="none"/>
          <w:lang w:val="en-US" w:eastAsia="zh-CN"/>
        </w:rPr>
        <w:t>环评要求：为确保废弃物处置措施落实，建设单位在与建筑垃圾清运公司签订清运合同时，应要求清运公司提供废弃物去向的证明材料，严禁随意倾倒、填埋，造成二次污染。</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3 \* GB3 \* MERGEFORMAT </w:instrText>
      </w:r>
      <w:r>
        <w:rPr>
          <w:rFonts w:hint="eastAsia"/>
          <w:b w:val="0"/>
          <w:bCs/>
          <w:sz w:val="24"/>
          <w:u w:val="none"/>
          <w:lang w:val="en-US" w:eastAsia="zh-CN"/>
        </w:rPr>
        <w:fldChar w:fldCharType="separate"/>
      </w:r>
      <w:r>
        <w:rPr>
          <w:rFonts w:hint="eastAsia"/>
          <w:b w:val="0"/>
          <w:bCs/>
          <w:sz w:val="24"/>
          <w:u w:val="none"/>
          <w:lang w:val="en-US" w:eastAsia="zh-CN"/>
        </w:rPr>
        <w:t>③</w:t>
      </w:r>
      <w:r>
        <w:rPr>
          <w:rFonts w:hint="eastAsia"/>
          <w:b w:val="0"/>
          <w:bCs/>
          <w:sz w:val="24"/>
          <w:u w:val="none"/>
          <w:lang w:val="en-US" w:eastAsia="zh-CN"/>
        </w:rPr>
        <w:fldChar w:fldCharType="end"/>
      </w:r>
      <w:r>
        <w:rPr>
          <w:rFonts w:hint="eastAsia"/>
          <w:b w:val="0"/>
          <w:bCs/>
          <w:sz w:val="24"/>
          <w:u w:val="none"/>
          <w:lang w:val="en-US" w:eastAsia="zh-CN"/>
        </w:rPr>
        <w:t>土石方，本项目挖填方平衡，不会产生弃方。建设单位在开挖土石方时，项目在堆放场地周围设置排水沟及沉淀池，尽量减少在雨季的开挖作业规模，最大程度减少了堆放土形成水土流失现象。</w:t>
      </w:r>
    </w:p>
    <w:p>
      <w:pPr>
        <w:topLinePunct/>
        <w:spacing w:line="360" w:lineRule="auto"/>
        <w:rPr>
          <w:rFonts w:hint="eastAsia"/>
          <w:b/>
          <w:bCs w:val="0"/>
          <w:sz w:val="24"/>
          <w:u w:val="none"/>
          <w:lang w:val="en-US" w:eastAsia="zh-CN"/>
        </w:rPr>
      </w:pPr>
      <w:r>
        <w:rPr>
          <w:rFonts w:hint="eastAsia"/>
          <w:b/>
          <w:bCs w:val="0"/>
          <w:sz w:val="24"/>
          <w:u w:val="none"/>
          <w:lang w:val="en-US" w:eastAsia="zh-CN"/>
        </w:rPr>
        <w:t>综上，评价认为项目在施工期严格采取上述防治措施后，项目施工固废可得到有效处置，不会造成二次污染。</w:t>
      </w:r>
    </w:p>
    <w:p>
      <w:pPr>
        <w:topLinePunct/>
        <w:spacing w:line="360" w:lineRule="auto"/>
        <w:rPr>
          <w:rFonts w:hint="eastAsia"/>
          <w:b/>
          <w:bCs w:val="0"/>
          <w:sz w:val="24"/>
          <w:u w:val="none"/>
          <w:lang w:val="en-US" w:eastAsia="zh-CN"/>
        </w:rPr>
      </w:pPr>
      <w:r>
        <w:rPr>
          <w:rFonts w:hint="eastAsia"/>
          <w:b/>
          <w:bCs w:val="0"/>
          <w:sz w:val="24"/>
          <w:u w:val="none"/>
          <w:lang w:val="en-US" w:eastAsia="zh-CN"/>
        </w:rPr>
        <w:t>5、施工期生态环境及水土流失防治</w:t>
      </w:r>
    </w:p>
    <w:p>
      <w:pPr>
        <w:topLinePunct/>
        <w:spacing w:line="360" w:lineRule="auto"/>
        <w:rPr>
          <w:rFonts w:hint="eastAsia"/>
          <w:b w:val="0"/>
          <w:bCs/>
          <w:sz w:val="24"/>
          <w:u w:val="none"/>
          <w:lang w:val="en-US" w:eastAsia="zh-CN"/>
        </w:rPr>
      </w:pPr>
      <w:r>
        <w:rPr>
          <w:rFonts w:hint="eastAsia"/>
          <w:b w:val="0"/>
          <w:bCs/>
          <w:sz w:val="24"/>
          <w:u w:val="none"/>
          <w:lang w:val="en-US" w:eastAsia="zh-CN"/>
        </w:rPr>
        <w:t>项目所在区域内土地平整，土石方产生量较小，主要用于场地的后期绿化及道路铺设，剩下少部分用于调整场地标高，无多余土石方产生。为防止由于雨水冲刷挖方影响周边环境，建设单位应采取以下措施：</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1 \* GB3 \* MERGEFORMAT </w:instrText>
      </w:r>
      <w:r>
        <w:rPr>
          <w:rFonts w:hint="default"/>
          <w:b w:val="0"/>
          <w:bCs/>
          <w:sz w:val="24"/>
          <w:u w:val="none"/>
          <w:lang w:val="en-US" w:eastAsia="zh-CN"/>
        </w:rPr>
        <w:fldChar w:fldCharType="separate"/>
      </w:r>
      <w:r>
        <w:rPr>
          <w:rFonts w:hint="default"/>
          <w:b w:val="0"/>
          <w:bCs/>
          <w:sz w:val="24"/>
          <w:u w:val="none"/>
          <w:lang w:val="en-US" w:eastAsia="zh-CN"/>
        </w:rPr>
        <w:t>①</w:t>
      </w:r>
      <w:r>
        <w:rPr>
          <w:rFonts w:hint="default"/>
          <w:b w:val="0"/>
          <w:bCs/>
          <w:sz w:val="24"/>
          <w:u w:val="none"/>
          <w:lang w:val="en-US" w:eastAsia="zh-CN"/>
        </w:rPr>
        <w:fldChar w:fldCharType="end"/>
      </w:r>
      <w:r>
        <w:rPr>
          <w:rFonts w:hint="eastAsia"/>
          <w:b w:val="0"/>
          <w:bCs/>
          <w:sz w:val="24"/>
          <w:u w:val="none"/>
          <w:lang w:val="en-US" w:eastAsia="zh-CN"/>
        </w:rPr>
        <w:t>建设单位在动工前建设拦土堤工程，在整体上形成完整的挡土墙体系</w:t>
      </w:r>
      <w:r>
        <w:rPr>
          <w:rFonts w:hint="default"/>
          <w:b w:val="0"/>
          <w:bCs/>
          <w:sz w:val="24"/>
          <w:u w:val="none"/>
          <w:lang w:val="en-US" w:eastAsia="zh-CN"/>
        </w:rPr>
        <w:t>。</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2 \* GB3 \* MERGEFORMAT </w:instrText>
      </w:r>
      <w:r>
        <w:rPr>
          <w:rFonts w:hint="default"/>
          <w:b w:val="0"/>
          <w:bCs/>
          <w:sz w:val="24"/>
          <w:u w:val="none"/>
          <w:lang w:val="en-US" w:eastAsia="zh-CN"/>
        </w:rPr>
        <w:fldChar w:fldCharType="separate"/>
      </w:r>
      <w:r>
        <w:rPr>
          <w:rFonts w:hint="default"/>
          <w:b w:val="0"/>
          <w:bCs/>
          <w:sz w:val="24"/>
          <w:u w:val="none"/>
          <w:lang w:val="en-US" w:eastAsia="zh-CN"/>
        </w:rPr>
        <w:t>②</w:t>
      </w:r>
      <w:r>
        <w:rPr>
          <w:rFonts w:hint="default"/>
          <w:b w:val="0"/>
          <w:bCs/>
          <w:sz w:val="24"/>
          <w:u w:val="none"/>
          <w:lang w:val="en-US" w:eastAsia="zh-CN"/>
        </w:rPr>
        <w:fldChar w:fldCharType="end"/>
      </w:r>
      <w:r>
        <w:rPr>
          <w:rFonts w:hint="eastAsia"/>
          <w:b w:val="0"/>
          <w:bCs/>
          <w:sz w:val="24"/>
          <w:u w:val="none"/>
          <w:lang w:val="en-US" w:eastAsia="zh-CN"/>
        </w:rPr>
        <w:t>在场区以及道路施工场地，做到土料随填随压，不留松土</w:t>
      </w:r>
      <w:r>
        <w:rPr>
          <w:rFonts w:hint="default"/>
          <w:b w:val="0"/>
          <w:bCs/>
          <w:sz w:val="24"/>
          <w:u w:val="none"/>
          <w:lang w:val="en-US" w:eastAsia="zh-CN"/>
        </w:rPr>
        <w:t>。</w:t>
      </w:r>
      <w:r>
        <w:rPr>
          <w:rFonts w:hint="eastAsia"/>
          <w:b w:val="0"/>
          <w:bCs/>
          <w:sz w:val="24"/>
          <w:u w:val="none"/>
          <w:lang w:val="en-US" w:eastAsia="zh-CN"/>
        </w:rPr>
        <w:t>同时，开挖边沟，边坡充分利用石块铺砌，填土作业集中进行，并避开暴雨期。</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3 \* GB3 \* MERGEFORMAT </w:instrText>
      </w:r>
      <w:r>
        <w:rPr>
          <w:rFonts w:hint="default"/>
          <w:b w:val="0"/>
          <w:bCs/>
          <w:sz w:val="24"/>
          <w:u w:val="none"/>
          <w:lang w:val="en-US" w:eastAsia="zh-CN"/>
        </w:rPr>
        <w:fldChar w:fldCharType="separate"/>
      </w:r>
      <w:r>
        <w:rPr>
          <w:rFonts w:hint="default"/>
          <w:b w:val="0"/>
          <w:bCs/>
          <w:sz w:val="24"/>
          <w:u w:val="none"/>
          <w:lang w:val="en-US" w:eastAsia="zh-CN"/>
        </w:rPr>
        <w:t>③</w:t>
      </w:r>
      <w:r>
        <w:rPr>
          <w:rFonts w:hint="default"/>
          <w:b w:val="0"/>
          <w:bCs/>
          <w:sz w:val="24"/>
          <w:u w:val="none"/>
          <w:lang w:val="en-US" w:eastAsia="zh-CN"/>
        </w:rPr>
        <w:fldChar w:fldCharType="end"/>
      </w:r>
      <w:r>
        <w:rPr>
          <w:rFonts w:hint="eastAsia"/>
          <w:b w:val="0"/>
          <w:bCs/>
          <w:sz w:val="24"/>
          <w:u w:val="none"/>
          <w:lang w:val="en-US" w:eastAsia="zh-CN"/>
        </w:rPr>
        <w:t>在堆挖填土工程完成后，完成建设和绿化之前的裸露期，采用透水的高强PVC编织袋，用角铁或木桩将纺织袋固置于汇流线相切的方向上，带高50cm，从而有效地阻止泥沙随径流地初始流动，控制施工期水土流失</w:t>
      </w:r>
      <w:r>
        <w:rPr>
          <w:rFonts w:hint="default"/>
          <w:b w:val="0"/>
          <w:bCs/>
          <w:sz w:val="24"/>
          <w:u w:val="none"/>
          <w:lang w:val="en-US" w:eastAsia="zh-CN"/>
        </w:rPr>
        <w:t>。</w:t>
      </w:r>
    </w:p>
    <w:p>
      <w:pPr>
        <w:topLinePunct/>
        <w:spacing w:line="360" w:lineRule="auto"/>
        <w:rPr>
          <w:rFonts w:hint="eastAsia"/>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4 \* GB3 \* MERGEFORMAT </w:instrText>
      </w:r>
      <w:r>
        <w:rPr>
          <w:rFonts w:hint="default"/>
          <w:b w:val="0"/>
          <w:bCs/>
          <w:sz w:val="24"/>
          <w:u w:val="none"/>
          <w:lang w:val="en-US" w:eastAsia="zh-CN"/>
        </w:rPr>
        <w:fldChar w:fldCharType="separate"/>
      </w:r>
      <w:r>
        <w:rPr>
          <w:rFonts w:hint="default"/>
          <w:b w:val="0"/>
          <w:bCs/>
          <w:sz w:val="24"/>
          <w:u w:val="none"/>
          <w:lang w:val="en-US" w:eastAsia="zh-CN"/>
        </w:rPr>
        <w:t>④</w:t>
      </w:r>
      <w:r>
        <w:rPr>
          <w:rFonts w:hint="default"/>
          <w:b w:val="0"/>
          <w:bCs/>
          <w:sz w:val="24"/>
          <w:u w:val="none"/>
          <w:lang w:val="en-US" w:eastAsia="zh-CN"/>
        </w:rPr>
        <w:fldChar w:fldCharType="end"/>
      </w:r>
      <w:r>
        <w:rPr>
          <w:rFonts w:hint="eastAsia"/>
          <w:b w:val="0"/>
          <w:bCs/>
          <w:sz w:val="24"/>
          <w:u w:val="none"/>
          <w:lang w:val="en-US" w:eastAsia="zh-CN"/>
        </w:rPr>
        <w:t>在施工中，合理安排了施工计划、施工程序，协调各个施工步骤，雨季中最大限度减少了开挖面，同时土料随挖、随运，减少了堆土裸土的暴露时间，避免降雨的直接冲刷</w:t>
      </w:r>
      <w:r>
        <w:rPr>
          <w:rFonts w:hint="default"/>
          <w:b w:val="0"/>
          <w:bCs/>
          <w:sz w:val="24"/>
          <w:u w:val="none"/>
          <w:lang w:val="en-US" w:eastAsia="zh-CN"/>
        </w:rPr>
        <w:t>。</w:t>
      </w:r>
      <w:r>
        <w:rPr>
          <w:rFonts w:hint="eastAsia"/>
          <w:b w:val="0"/>
          <w:bCs/>
          <w:sz w:val="24"/>
          <w:u w:val="none"/>
          <w:lang w:val="en-US" w:eastAsia="zh-CN"/>
        </w:rPr>
        <w:t>在暴雨期，采取应急措施，用覆盖物覆盖新开挖的陡坡，防止冲刷和崩塌。</w:t>
      </w:r>
    </w:p>
    <w:p>
      <w:pPr>
        <w:topLinePunct/>
        <w:spacing w:line="360" w:lineRule="auto"/>
        <w:rPr>
          <w:rFonts w:hint="default"/>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5 \* GB3 \* MERGEFORMAT </w:instrText>
      </w:r>
      <w:r>
        <w:rPr>
          <w:rFonts w:hint="default"/>
          <w:b w:val="0"/>
          <w:bCs/>
          <w:sz w:val="24"/>
          <w:u w:val="none"/>
          <w:lang w:val="en-US" w:eastAsia="zh-CN"/>
        </w:rPr>
        <w:fldChar w:fldCharType="separate"/>
      </w:r>
      <w:r>
        <w:rPr>
          <w:rFonts w:hint="default"/>
          <w:b w:val="0"/>
          <w:bCs/>
          <w:sz w:val="24"/>
          <w:u w:val="none"/>
          <w:lang w:val="en-US" w:eastAsia="zh-CN"/>
        </w:rPr>
        <w:t>⑤</w:t>
      </w:r>
      <w:r>
        <w:rPr>
          <w:rFonts w:hint="default"/>
          <w:b w:val="0"/>
          <w:bCs/>
          <w:sz w:val="24"/>
          <w:u w:val="none"/>
          <w:lang w:val="en-US" w:eastAsia="zh-CN"/>
        </w:rPr>
        <w:fldChar w:fldCharType="end"/>
      </w:r>
      <w:r>
        <w:rPr>
          <w:rFonts w:hint="eastAsia"/>
          <w:b w:val="0"/>
          <w:bCs/>
          <w:sz w:val="24"/>
          <w:u w:val="none"/>
          <w:lang w:val="en-US" w:eastAsia="zh-CN"/>
        </w:rPr>
        <w:t>各期建成以后，及时恢复被扰乱的地域，重新组织未利用的小块土地，种植人工植被，如花园或绿地；管理部门应组织人员对场内荒地的地块栽种人工植被，减少自然的水土流失</w:t>
      </w:r>
      <w:r>
        <w:rPr>
          <w:rFonts w:hint="default"/>
          <w:b w:val="0"/>
          <w:bCs/>
          <w:sz w:val="24"/>
          <w:u w:val="none"/>
          <w:lang w:val="en-US" w:eastAsia="zh-CN"/>
        </w:rPr>
        <w:t>。</w:t>
      </w:r>
    </w:p>
    <w:p>
      <w:pPr>
        <w:topLinePunct/>
        <w:spacing w:line="360" w:lineRule="auto"/>
        <w:rPr>
          <w:rFonts w:hint="default"/>
          <w:b/>
          <w:bCs w:val="0"/>
          <w:sz w:val="24"/>
          <w:u w:val="none"/>
          <w:lang w:val="en-US" w:eastAsia="zh-CN"/>
        </w:rPr>
      </w:pPr>
      <w:r>
        <w:rPr>
          <w:rFonts w:hint="eastAsia"/>
          <w:b/>
          <w:bCs w:val="0"/>
          <w:sz w:val="24"/>
          <w:u w:val="none"/>
          <w:lang w:val="en-US" w:eastAsia="zh-CN"/>
        </w:rPr>
        <w:t>综上，评价认为项目在施工期严格采取上述防治措施后，可有效防止水土流失，降低施工期间对周围生态环境的影响。</w:t>
      </w:r>
    </w:p>
    <w:p>
      <w:pPr>
        <w:topLinePunct/>
        <w:spacing w:line="360" w:lineRule="auto"/>
        <w:rPr>
          <w:rFonts w:hint="eastAsia"/>
          <w:b/>
          <w:sz w:val="24"/>
          <w:u w:val="none"/>
          <w:lang w:val="en-US" w:eastAsia="zh-CN"/>
        </w:rPr>
      </w:pPr>
      <w:r>
        <w:rPr>
          <w:rFonts w:hint="eastAsia"/>
          <w:b/>
          <w:sz w:val="24"/>
          <w:u w:val="none"/>
          <w:lang w:val="en-US" w:eastAsia="zh-CN"/>
        </w:rPr>
        <w:t>3.2.3项目营运期工艺流程及产污节点</w:t>
      </w:r>
    </w:p>
    <w:p>
      <w:pPr>
        <w:topLinePunct/>
        <w:snapToGrid w:val="0"/>
        <w:spacing w:line="360" w:lineRule="auto"/>
        <w:ind w:firstLine="482" w:firstLineChars="200"/>
        <w:jc w:val="left"/>
        <w:rPr>
          <w:rFonts w:hint="eastAsia" w:ascii="Times New Roman" w:eastAsia="宋体"/>
          <w:b/>
          <w:bCs w:val="0"/>
          <w:sz w:val="24"/>
          <w:u w:val="none"/>
          <w:lang w:val="en-US" w:eastAsia="zh-CN"/>
        </w:rPr>
      </w:pPr>
      <w:r>
        <w:rPr>
          <w:rFonts w:hint="eastAsia"/>
          <w:b/>
          <w:bCs w:val="0"/>
          <w:sz w:val="24"/>
          <w:u w:val="none"/>
          <w:lang w:val="en-US" w:eastAsia="zh-CN"/>
        </w:rPr>
        <w:t>一</w:t>
      </w:r>
      <w:r>
        <w:rPr>
          <w:rFonts w:hint="eastAsia" w:ascii="Times New Roman" w:eastAsia="宋体"/>
          <w:b/>
          <w:bCs w:val="0"/>
          <w:sz w:val="24"/>
          <w:u w:val="none"/>
          <w:lang w:val="en-US" w:eastAsia="zh-CN"/>
        </w:rPr>
        <w:t>、医疗废物处理工艺选择</w:t>
      </w:r>
    </w:p>
    <w:p>
      <w:pPr>
        <w:topLinePunct/>
        <w:snapToGrid w:val="0"/>
        <w:spacing w:line="360" w:lineRule="auto"/>
        <w:ind w:firstLine="480" w:firstLineChars="200"/>
        <w:jc w:val="left"/>
        <w:rPr>
          <w:rFonts w:hint="eastAsia"/>
          <w:b w:val="0"/>
          <w:bCs/>
          <w:sz w:val="24"/>
          <w:u w:val="none"/>
          <w:lang w:val="en-US" w:eastAsia="zh-CN"/>
        </w:rPr>
      </w:pPr>
      <w:r>
        <w:rPr>
          <w:rFonts w:hint="eastAsia" w:ascii="Times New Roman" w:eastAsia="宋体"/>
          <w:b w:val="0"/>
          <w:bCs/>
          <w:sz w:val="24"/>
          <w:u w:val="none"/>
          <w:lang w:val="en-US" w:eastAsia="zh-CN"/>
        </w:rPr>
        <w:t>目前</w:t>
      </w:r>
      <w:r>
        <w:rPr>
          <w:rFonts w:hint="eastAsia"/>
          <w:b w:val="0"/>
          <w:bCs/>
          <w:sz w:val="24"/>
          <w:u w:val="none"/>
          <w:lang w:val="en-US" w:eastAsia="zh-CN"/>
        </w:rPr>
        <w:t>，医疗废物的处理方法主要包括高温焚烧法、高温蒸汽灭菌法、干式碱性消毒法（化学消毒法）、微波灭菌法等。为选择合适的医疗废物处理工艺，对技术规范推荐的几种主流处理工艺各项指标逐一对比，详见下表。</w:t>
      </w:r>
    </w:p>
    <w:p>
      <w:pPr>
        <w:pStyle w:val="352"/>
        <w:rPr>
          <w:rFonts w:hint="eastAsia"/>
          <w:b/>
          <w:bCs/>
          <w:u w:val="none"/>
          <w:lang w:val="en-US" w:eastAsia="zh-CN"/>
        </w:rPr>
      </w:pPr>
      <w:r>
        <w:rPr>
          <w:rFonts w:hint="eastAsia"/>
          <w:b/>
          <w:bCs/>
          <w:u w:val="none"/>
          <w:lang w:val="en-US" w:eastAsia="zh-CN"/>
        </w:rPr>
        <w:t>表3-12  医疗废物集中处置工艺必选</w:t>
      </w:r>
    </w:p>
    <w:tbl>
      <w:tblPr>
        <w:tblStyle w:val="59"/>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983"/>
        <w:gridCol w:w="1650"/>
        <w:gridCol w:w="1650"/>
        <w:gridCol w:w="1650"/>
        <w:gridCol w:w="165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50" w:type="dxa"/>
            <w:gridSpan w:val="2"/>
            <w:vMerge w:val="restart"/>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比较指标</w:t>
            </w:r>
          </w:p>
        </w:tc>
        <w:tc>
          <w:tcPr>
            <w:tcW w:w="4950" w:type="dxa"/>
            <w:gridSpan w:val="3"/>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非焚烧处置法</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焚烧处置法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50" w:type="dxa"/>
            <w:gridSpan w:val="2"/>
            <w:vMerge w:val="continue"/>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p>
        </w:tc>
        <w:tc>
          <w:tcPr>
            <w:tcW w:w="165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高温蒸汽灭菌法</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微波消毒法</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化学消毒法</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热解焚烧</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回转炉焚烧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作用原理</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利用水蒸气释放的潜热对病菌灭火，实现医疗废物消毒</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利用微波振动水分子产生的热量对病菌灭活，实现医疗废物消毒</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利用化学消毒剂对病菌灭活，实现医疗废物消毒</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利用高温热处理，使医疗废物中有机物氧化分解实现无害化和减量化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7"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适用医疗废物类别</w:t>
            </w:r>
          </w:p>
        </w:tc>
        <w:tc>
          <w:tcPr>
            <w:tcW w:w="9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感染性废物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9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病理性废物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r>
              <w:rPr>
                <w:rFonts w:hint="eastAsia"/>
                <w:b w:val="0"/>
                <w:bCs w:val="0"/>
                <w:u w:val="none"/>
                <w:vertAlign w:val="baseline"/>
                <w:lang w:val="en-US" w:eastAsia="zh-CN"/>
              </w:rPr>
              <w:t>（人体器官和传染性的动物尸体除外）</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√（人体器官和传染性的动物尸体除外）</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9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损伤性废物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9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药物性废物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9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化学性废物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适用处理规模</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10t以下</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10t以下</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10t以下</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5~10t</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10t以</w:t>
            </w:r>
            <w:r>
              <w:rPr>
                <w:rFonts w:hint="eastAsia"/>
                <w:b w:val="0"/>
                <w:bCs w:val="0"/>
                <w:u w:val="none"/>
                <w:vertAlign w:val="baseli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技术可靠性</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满足灭菌要求</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满足灭菌要求</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满足灭菌要求</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满足焚毁减量、灭菌要求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技术成熟度</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国产设备已成熟</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主要依靠进口设备</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主要依靠进口设备</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热解焚烧国产设备已成熟；回转窑焚烧国产设备基本成熟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设备要求</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密闭、保温、耐高温高压</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密闭、耐高温、电磁防护</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负压操作、耐腐蚀</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耐高温、耐腐蚀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作业方式</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间歇作业</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连续作业</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间歇作业</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连续/间歇作业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操作要求</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操作难度一般；劳动强度较大</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操作难度一般，劳动强度较大</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操作难度一般，劳动强度较小</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热解焚烧操作难度一般；回转窑焚烧操作难度较大，劳动强度大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占地面积</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相对较小</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相对较小</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相对较小</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相对较大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主要污染物</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VOCs、恶臭</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VOCs、微波辐射</w:t>
            </w:r>
          </w:p>
        </w:tc>
        <w:tc>
          <w:tcPr>
            <w:tcW w:w="165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VOCs、废弃消毒剂</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酸性气体、重金属、二噁英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技术优点</w:t>
            </w:r>
          </w:p>
        </w:tc>
        <w:tc>
          <w:tcPr>
            <w:tcW w:w="4950" w:type="dxa"/>
            <w:gridSpan w:val="3"/>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运行费用低、适应性强、二次污染少、不产生二噁英等污染物、易于操作管理、运行效果稳定</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处置效果好、适应性强、处理量大、燃烧完全、运行效果稳定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技术缺点</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冷凝液和锅炉废气需要处理；处理后体积和重量变化不大</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废物先破碎后处理增加安全风险</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易产生消毒剂的二次污染；废物的减量化效果不大</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运行费用较高、节能效果较差，产生二噁英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人员配置</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少</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少</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较多</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运行成本</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低</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低</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较高</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运行维护</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很低</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较低</w:t>
            </w:r>
          </w:p>
        </w:tc>
        <w:tc>
          <w:tcPr>
            <w:tcW w:w="165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低</w:t>
            </w:r>
          </w:p>
        </w:tc>
        <w:tc>
          <w:tcPr>
            <w:tcW w:w="3300"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较高</w:t>
            </w:r>
          </w:p>
        </w:tc>
      </w:tr>
    </w:tbl>
    <w:p>
      <w:pPr>
        <w:topLinePunct/>
        <w:snapToGrid w:val="0"/>
        <w:spacing w:line="360" w:lineRule="auto"/>
        <w:jc w:val="left"/>
        <w:rPr>
          <w:rFonts w:hint="eastAsia"/>
          <w:b w:val="0"/>
          <w:bCs/>
          <w:sz w:val="24"/>
          <w:u w:val="none"/>
          <w:lang w:val="en-US" w:eastAsia="zh-CN"/>
        </w:rPr>
      </w:pPr>
      <w:r>
        <w:rPr>
          <w:rFonts w:hint="eastAsia"/>
          <w:b w:val="0"/>
          <w:bCs/>
          <w:sz w:val="24"/>
          <w:u w:val="none"/>
          <w:lang w:val="en-US" w:eastAsia="zh-CN"/>
        </w:rPr>
        <w:t>拟建项目设计处理规模小于5t/d，处置规模相对较小。根据《危险废物和医疗废物处置设施建设项目复核大纲》的要求：单台处理能力在10t/d以上的焚烧炉应优先采用回转窑焚烧炉，鼓励采用连续热解焚烧炉；小于10t/d，优先采用高温蒸汽、微波灭菌、连续热解焚烧炉等工艺，严禁采用单燃烧室焚烧炉和炉排炉；积极发展和鼓励其他新技术的开发和示范建设。</w:t>
      </w:r>
    </w:p>
    <w:p>
      <w:pPr>
        <w:topLinePunct/>
        <w:snapToGrid w:val="0"/>
        <w:spacing w:line="360" w:lineRule="auto"/>
        <w:jc w:val="left"/>
        <w:rPr>
          <w:rFonts w:hint="eastAsia"/>
          <w:b w:val="0"/>
          <w:bCs/>
          <w:sz w:val="24"/>
          <w:u w:val="none"/>
          <w:lang w:val="en-US" w:eastAsia="zh-CN"/>
        </w:rPr>
      </w:pPr>
      <w:r>
        <w:rPr>
          <w:rFonts w:hint="eastAsia"/>
          <w:b w:val="0"/>
          <w:bCs/>
          <w:sz w:val="24"/>
          <w:u w:val="none"/>
          <w:lang w:val="en-US" w:eastAsia="zh-CN"/>
        </w:rPr>
        <w:t>从医疗废物处理无害化、减量化效果分析，非焚烧处置法中三种处理工艺其原理均为灭菌消毒，而微波灭菌法废物的减容率约60%~65%，其余两种废物的减量化不大。</w:t>
      </w:r>
    </w:p>
    <w:p>
      <w:pPr>
        <w:topLinePunct/>
        <w:snapToGrid w:val="0"/>
        <w:spacing w:line="360" w:lineRule="auto"/>
        <w:jc w:val="left"/>
        <w:rPr>
          <w:rFonts w:hint="eastAsia"/>
          <w:b w:val="0"/>
          <w:bCs/>
          <w:sz w:val="24"/>
          <w:u w:val="none"/>
          <w:lang w:val="en-US" w:eastAsia="zh-CN"/>
        </w:rPr>
      </w:pPr>
      <w:r>
        <w:rPr>
          <w:rFonts w:hint="eastAsia"/>
          <w:b w:val="0"/>
          <w:bCs/>
          <w:sz w:val="24"/>
          <w:u w:val="none"/>
          <w:lang w:val="en-US" w:eastAsia="zh-CN"/>
        </w:rPr>
        <w:t>从技术可靠性、成熟度分析，非焚烧处置法三种方法均能满足灭菌要求，从环境污染防治分析，微波消毒处理产生的环境影响危害较小，污染物易于控制处理。</w:t>
      </w:r>
    </w:p>
    <w:p>
      <w:pPr>
        <w:topLinePunct/>
        <w:snapToGrid w:val="0"/>
        <w:spacing w:line="360" w:lineRule="auto"/>
        <w:jc w:val="left"/>
        <w:rPr>
          <w:rFonts w:hint="default"/>
          <w:b w:val="0"/>
          <w:bCs/>
          <w:sz w:val="24"/>
          <w:u w:val="none"/>
          <w:lang w:val="en-US" w:eastAsia="zh-CN"/>
        </w:rPr>
      </w:pPr>
      <w:r>
        <w:rPr>
          <w:rFonts w:hint="eastAsia"/>
          <w:b w:val="0"/>
          <w:bCs/>
          <w:sz w:val="24"/>
          <w:u w:val="none"/>
          <w:lang w:val="en-US" w:eastAsia="zh-CN"/>
        </w:rPr>
        <w:t>通过综合必选，拟建项目采用微波消毒处理作为无害化处理技术方案。</w:t>
      </w:r>
    </w:p>
    <w:p>
      <w:pPr>
        <w:topLinePunct/>
        <w:snapToGrid w:val="0"/>
        <w:spacing w:line="360" w:lineRule="auto"/>
        <w:ind w:firstLine="482" w:firstLineChars="200"/>
        <w:jc w:val="left"/>
        <w:rPr>
          <w:rFonts w:hint="eastAsia"/>
          <w:b/>
          <w:bCs w:val="0"/>
          <w:sz w:val="24"/>
          <w:u w:val="none"/>
          <w:lang w:val="en-US" w:eastAsia="zh-CN"/>
        </w:rPr>
      </w:pPr>
      <w:r>
        <w:rPr>
          <w:rFonts w:hint="eastAsia"/>
          <w:b/>
          <w:bCs w:val="0"/>
          <w:sz w:val="24"/>
          <w:u w:val="none"/>
          <w:lang w:val="en-US" w:eastAsia="zh-CN"/>
        </w:rPr>
        <w:t>二、</w:t>
      </w:r>
      <w:r>
        <w:rPr>
          <w:rFonts w:hint="eastAsia" w:ascii="Times New Roman" w:eastAsia="宋体"/>
          <w:b/>
          <w:bCs w:val="0"/>
          <w:sz w:val="24"/>
          <w:u w:val="none"/>
          <w:lang w:val="en-US" w:eastAsia="zh-CN"/>
        </w:rPr>
        <w:t>微波消毒机理</w:t>
      </w:r>
    </w:p>
    <w:p>
      <w:pPr>
        <w:topLinePunct/>
        <w:snapToGrid w:val="0"/>
        <w:spacing w:line="360" w:lineRule="auto"/>
        <w:ind w:firstLine="480" w:firstLineChars="200"/>
        <w:jc w:val="left"/>
        <w:rPr>
          <w:rFonts w:hint="eastAsia"/>
          <w:b w:val="0"/>
          <w:bCs/>
          <w:sz w:val="24"/>
          <w:u w:val="none"/>
          <w:lang w:val="en-US" w:eastAsia="zh-CN"/>
        </w:rPr>
      </w:pPr>
      <w:r>
        <w:rPr>
          <w:rFonts w:hint="eastAsia" w:ascii="Times New Roman" w:eastAsia="宋体"/>
          <w:b w:val="0"/>
          <w:bCs/>
          <w:sz w:val="24"/>
          <w:u w:val="none"/>
          <w:lang w:val="en-US" w:eastAsia="zh-CN"/>
        </w:rPr>
        <w:t>微波是波长1~1000mm的电磁波，频率在数百兆赫至3000MHz之间，用于消毒的微波频率一般为（2450±50）MHz与（915±25）MHz两种。本项目微波消毒设备频率为2450MHz。</w:t>
      </w:r>
    </w:p>
    <w:p>
      <w:pPr>
        <w:topLinePunct/>
        <w:snapToGrid w:val="0"/>
        <w:spacing w:line="360" w:lineRule="auto"/>
        <w:ind w:firstLine="480" w:firstLineChars="200"/>
        <w:jc w:val="left"/>
        <w:rPr>
          <w:rFonts w:hint="eastAsia"/>
          <w:b w:val="0"/>
          <w:bCs/>
          <w:sz w:val="24"/>
          <w:u w:val="none"/>
          <w:lang w:val="en-US" w:eastAsia="zh-CN"/>
        </w:rPr>
      </w:pPr>
      <w:r>
        <w:rPr>
          <w:rFonts w:hint="eastAsia" w:ascii="Times New Roman" w:eastAsia="宋体"/>
          <w:b w:val="0"/>
          <w:bCs/>
          <w:sz w:val="24"/>
          <w:u w:val="none"/>
          <w:lang w:val="en-US" w:eastAsia="zh-CN"/>
        </w:rPr>
        <w:t>微波在介质中通过时被介质吸收而产生热，该类介质被称为微波的吸收介质，如水就是微波的强吸收介质之一；而当微波能在介质中通过不易被介质吸收时，该类介质为微波的良导体，在这种介质中产生的热效应很低。热能的产生是通过物质分子以每秒几十亿次振动，摩擦而产生热量，从而达到高热消毒的作用，同时微波还具有电磁场效应，量子效应，超电导作用等影响微生物生长与代谢。一般含水的物质对微波有明显的吸收作用，升温迅速，消毒效果好。微波的消毒机理目前尚无定论，一般认为有以下几种可能：</w:t>
      </w:r>
    </w:p>
    <w:p>
      <w:pPr>
        <w:topLinePunct/>
        <w:snapToGrid w:val="0"/>
        <w:spacing w:line="360" w:lineRule="auto"/>
        <w:ind w:firstLine="482" w:firstLineChars="200"/>
        <w:jc w:val="left"/>
        <w:rPr>
          <w:rFonts w:hint="eastAsia"/>
          <w:b/>
          <w:bCs w:val="0"/>
          <w:sz w:val="24"/>
          <w:u w:val="none"/>
          <w:lang w:val="en-US" w:eastAsia="zh-CN"/>
        </w:rPr>
      </w:pPr>
      <w:r>
        <w:rPr>
          <w:rFonts w:hint="eastAsia" w:ascii="Times New Roman" w:eastAsia="宋体"/>
          <w:b/>
          <w:bCs w:val="0"/>
          <w:sz w:val="24"/>
          <w:u w:val="none"/>
          <w:lang w:val="en-US" w:eastAsia="zh-CN"/>
        </w:rPr>
        <w:t>热效应</w:t>
      </w:r>
    </w:p>
    <w:p>
      <w:pPr>
        <w:topLinePunct/>
        <w:snapToGrid w:val="0"/>
        <w:spacing w:line="360" w:lineRule="auto"/>
        <w:ind w:firstLine="480" w:firstLineChars="200"/>
        <w:jc w:val="left"/>
        <w:rPr>
          <w:rFonts w:hint="default"/>
          <w:b w:val="0"/>
          <w:bCs/>
          <w:sz w:val="24"/>
          <w:u w:val="none"/>
          <w:lang w:val="en-US" w:eastAsia="zh-CN"/>
        </w:rPr>
      </w:pPr>
      <w:r>
        <w:rPr>
          <w:rFonts w:hint="eastAsia"/>
          <w:b w:val="0"/>
          <w:bCs/>
          <w:sz w:val="24"/>
          <w:u w:val="none"/>
          <w:lang w:val="en-US" w:eastAsia="zh-CN"/>
        </w:rPr>
        <w:t>微波照射热效应的产生是由分子内部激烈运动所致，极性物质（如水）的分子两端分别带有正负电，形成偶极矩，此种分子成为偶极子。当置于电场中时，偶极子即沿外加电场的方向排列，在高频电场中，物质内偶极子的高速运动引起分子相互摩擦，从而使温度迅速升高。因此，微波加热与其他加热方式不同，不是使热从外到内传热，微波加热时产热均匀，微波能达到的地方，吸收介质均能吸收微波并很快将微波转化为热能，使微生物死亡。</w:t>
      </w:r>
    </w:p>
    <w:p>
      <w:pPr>
        <w:topLinePunct/>
        <w:spacing w:line="360" w:lineRule="auto"/>
        <w:rPr>
          <w:rFonts w:hint="eastAsia"/>
          <w:b/>
          <w:sz w:val="24"/>
          <w:u w:val="none"/>
          <w:lang w:val="en-US" w:eastAsia="zh-CN"/>
        </w:rPr>
      </w:pPr>
      <w:r>
        <w:rPr>
          <w:rFonts w:hint="eastAsia"/>
          <w:b/>
          <w:sz w:val="24"/>
          <w:u w:val="none"/>
          <w:lang w:val="en-US" w:eastAsia="zh-CN"/>
        </w:rPr>
        <w:t>非热效应</w:t>
      </w:r>
    </w:p>
    <w:p>
      <w:pPr>
        <w:topLinePunct/>
        <w:spacing w:line="360" w:lineRule="auto"/>
        <w:rPr>
          <w:rFonts w:hint="eastAsia"/>
          <w:b w:val="0"/>
          <w:bCs/>
          <w:sz w:val="24"/>
          <w:u w:val="none"/>
          <w:lang w:val="en-US" w:eastAsia="zh-CN"/>
        </w:rPr>
      </w:pPr>
      <w:r>
        <w:rPr>
          <w:rFonts w:hint="eastAsia"/>
          <w:b w:val="0"/>
          <w:bCs/>
          <w:sz w:val="24"/>
          <w:u w:val="none"/>
          <w:lang w:val="en-US" w:eastAsia="zh-CN"/>
        </w:rPr>
        <w:t>微波的振荡改变了细胞胶体的电动势，改变细胞膜的通透性，因而影响细胞及组织器官的某些功能；微波照射后，由于细胞核内物质吸收微波能量的系数不同，致使细胞核物质受热不均匀，影响细胞的遗传与生殖；谐振吸收，微博中的频率较接近于有机分子的固有振荡频率，当细胞受到微波照射时，细胞中的蛋白质特别是以氨基酸、肽等成分可选择性地吸收微波的能量，改变了分子结构或个别部分的结构，破坏生物酶的活性，因而影响细胞的生化反应，影响微生物的生长代谢。</w:t>
      </w:r>
    </w:p>
    <w:p>
      <w:pPr>
        <w:topLinePunct/>
        <w:spacing w:line="360" w:lineRule="auto"/>
        <w:rPr>
          <w:rFonts w:hint="eastAsia"/>
          <w:b/>
          <w:bCs w:val="0"/>
          <w:sz w:val="24"/>
          <w:u w:val="none"/>
          <w:lang w:val="en-US" w:eastAsia="zh-CN"/>
        </w:rPr>
      </w:pPr>
      <w:r>
        <w:rPr>
          <w:rFonts w:hint="eastAsia"/>
          <w:b/>
          <w:bCs w:val="0"/>
          <w:sz w:val="24"/>
          <w:u w:val="none"/>
          <w:lang w:val="en-US" w:eastAsia="zh-CN"/>
        </w:rPr>
        <w:t>综合效应</w:t>
      </w:r>
    </w:p>
    <w:p>
      <w:pPr>
        <w:topLinePunct/>
        <w:spacing w:line="360" w:lineRule="auto"/>
        <w:rPr>
          <w:rFonts w:hint="eastAsia"/>
          <w:b w:val="0"/>
          <w:bCs/>
          <w:sz w:val="24"/>
          <w:u w:val="none"/>
          <w:lang w:val="en-US" w:eastAsia="zh-CN"/>
        </w:rPr>
      </w:pPr>
      <w:r>
        <w:rPr>
          <w:rFonts w:hint="eastAsia"/>
          <w:b w:val="0"/>
          <w:bCs/>
          <w:sz w:val="24"/>
          <w:u w:val="none"/>
          <w:lang w:val="en-US" w:eastAsia="zh-CN"/>
        </w:rPr>
        <w:t>经过分析研究结果发现，单纯热效应或非热效应都不能解释微波的消毒特性，微波快速广谱的消毒作用是复杂的综合因素作用的结果。认为只存在热效应或非热效应应观点的差异主要是各自实验方法都存在一定的不足。正确认识微波消毒机理，应从如下几方面解释：</w:t>
      </w:r>
    </w:p>
    <w:p>
      <w:pPr>
        <w:topLinePunct/>
        <w:spacing w:line="360" w:lineRule="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fldChar w:fldCharType="begin"/>
      </w:r>
      <w:r>
        <w:rPr>
          <w:rFonts w:hint="default" w:ascii="Times New Roman" w:hAnsi="Times New Roman" w:cs="Times New Roman"/>
          <w:b w:val="0"/>
          <w:bCs/>
          <w:sz w:val="24"/>
          <w:u w:val="none"/>
          <w:lang w:val="en-US" w:eastAsia="zh-CN"/>
        </w:rPr>
        <w:instrText xml:space="preserve"> = 1 \* GB3 \* MERGEFORMAT </w:instrText>
      </w:r>
      <w:r>
        <w:rPr>
          <w:rFonts w:hint="default" w:ascii="Times New Roman" w:hAnsi="Times New Roman" w:cs="Times New Roman"/>
          <w:b w:val="0"/>
          <w:bCs/>
          <w:sz w:val="24"/>
          <w:u w:val="none"/>
          <w:lang w:val="en-US" w:eastAsia="zh-CN"/>
        </w:rPr>
        <w:fldChar w:fldCharType="separate"/>
      </w:r>
      <w:r>
        <w:t>①</w:t>
      </w:r>
      <w:r>
        <w:rPr>
          <w:rFonts w:hint="default" w:ascii="Times New Roman" w:hAnsi="Times New Roman" w:cs="Times New Roman"/>
          <w:b w:val="0"/>
          <w:bCs/>
          <w:sz w:val="24"/>
          <w:u w:val="none"/>
          <w:lang w:val="en-US" w:eastAsia="zh-CN"/>
        </w:rPr>
        <w:fldChar w:fldCharType="end"/>
      </w:r>
      <w:r>
        <w:rPr>
          <w:rFonts w:hint="default" w:ascii="Times New Roman" w:hAnsi="Times New Roman" w:cs="Times New Roman"/>
          <w:b w:val="0"/>
          <w:bCs/>
          <w:sz w:val="24"/>
          <w:u w:val="none"/>
          <w:lang w:val="en-US" w:eastAsia="zh-CN"/>
        </w:rPr>
        <w:t>微波快速穿透作用和直接使分子内部摩擦产热显示出良好的热效应作用，消毒废物采用防热扩散密封包装有助于包内热量积累充分发挥热效应。</w:t>
      </w:r>
    </w:p>
    <w:p>
      <w:pPr>
        <w:topLinePunct/>
        <w:spacing w:line="360" w:lineRule="auto"/>
        <w:rPr>
          <w:rFonts w:hint="eastAsia"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fldChar w:fldCharType="begin"/>
      </w:r>
      <w:r>
        <w:rPr>
          <w:rFonts w:hint="default" w:ascii="Times New Roman" w:hAnsi="Times New Roman" w:cs="Times New Roman"/>
          <w:b w:val="0"/>
          <w:bCs/>
          <w:sz w:val="24"/>
          <w:u w:val="none"/>
          <w:lang w:val="en-US" w:eastAsia="zh-CN"/>
        </w:rPr>
        <w:instrText xml:space="preserve"> = 2 \* GB3 \* MERGEFORMAT </w:instrText>
      </w:r>
      <w:r>
        <w:rPr>
          <w:rFonts w:hint="default" w:ascii="Times New Roman" w:hAnsi="Times New Roman" w:cs="Times New Roman"/>
          <w:b w:val="0"/>
          <w:bCs/>
          <w:sz w:val="24"/>
          <w:u w:val="none"/>
          <w:lang w:val="en-US" w:eastAsia="zh-CN"/>
        </w:rPr>
        <w:fldChar w:fldCharType="separate"/>
      </w:r>
      <w:r>
        <w:t>②</w:t>
      </w:r>
      <w:r>
        <w:rPr>
          <w:rFonts w:hint="default" w:ascii="Times New Roman" w:hAnsi="Times New Roman" w:cs="Times New Roman"/>
          <w:b w:val="0"/>
          <w:bCs/>
          <w:sz w:val="24"/>
          <w:u w:val="none"/>
          <w:lang w:val="en-US" w:eastAsia="zh-CN"/>
        </w:rPr>
        <w:fldChar w:fldCharType="end"/>
      </w:r>
      <w:r>
        <w:rPr>
          <w:rFonts w:hint="default" w:ascii="Times New Roman" w:hAnsi="Times New Roman" w:cs="Times New Roman"/>
          <w:b w:val="0"/>
          <w:bCs/>
          <w:sz w:val="24"/>
          <w:u w:val="none"/>
          <w:lang w:val="en-US" w:eastAsia="zh-CN"/>
        </w:rPr>
        <w:t>微波的场效应，</w:t>
      </w:r>
      <w:r>
        <w:rPr>
          <w:rFonts w:hint="eastAsia" w:ascii="Times New Roman" w:hAnsi="Times New Roman" w:cs="Times New Roman"/>
          <w:b w:val="0"/>
          <w:bCs/>
          <w:sz w:val="24"/>
          <w:u w:val="none"/>
          <w:lang w:val="en-US" w:eastAsia="zh-CN"/>
        </w:rPr>
        <w:t>生物体处于微波场中时，细胞受到冲击和震荡，破坏细胞外层结构，使细胞通透性增加，破坏了细胞内外物质平衡，电镜下可见到细胞肿胀，进而出现细胞质崩解融合致细胞死亡。</w:t>
      </w:r>
    </w:p>
    <w:p>
      <w:pPr>
        <w:topLinePunct/>
        <w:spacing w:line="360" w:lineRule="auto"/>
        <w:rPr>
          <w:rFonts w:hint="eastAsia"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fldChar w:fldCharType="begin"/>
      </w:r>
      <w:r>
        <w:rPr>
          <w:rFonts w:hint="default" w:ascii="Times New Roman" w:hAnsi="Times New Roman" w:cs="Times New Roman"/>
          <w:b w:val="0"/>
          <w:bCs/>
          <w:sz w:val="24"/>
          <w:u w:val="none"/>
          <w:lang w:val="en-US" w:eastAsia="zh-CN"/>
        </w:rPr>
        <w:instrText xml:space="preserve"> = 3 \* GB3 \* MERGEFORMAT </w:instrText>
      </w:r>
      <w:r>
        <w:rPr>
          <w:rFonts w:hint="default" w:ascii="Times New Roman" w:hAnsi="Times New Roman" w:cs="Times New Roman"/>
          <w:b w:val="0"/>
          <w:bCs/>
          <w:sz w:val="24"/>
          <w:u w:val="none"/>
          <w:lang w:val="en-US" w:eastAsia="zh-CN"/>
        </w:rPr>
        <w:fldChar w:fldCharType="separate"/>
      </w:r>
      <w:r>
        <w:t>③</w:t>
      </w:r>
      <w:r>
        <w:rPr>
          <w:rFonts w:hint="default" w:ascii="Times New Roman" w:hAnsi="Times New Roman" w:cs="Times New Roman"/>
          <w:b w:val="0"/>
          <w:bCs/>
          <w:sz w:val="24"/>
          <w:u w:val="none"/>
          <w:lang w:val="en-US" w:eastAsia="zh-CN"/>
        </w:rPr>
        <w:fldChar w:fldCharType="end"/>
      </w:r>
      <w:r>
        <w:rPr>
          <w:rFonts w:hint="eastAsia" w:ascii="Times New Roman" w:hAnsi="Times New Roman" w:cs="Times New Roman"/>
          <w:b w:val="0"/>
          <w:bCs/>
          <w:sz w:val="24"/>
          <w:u w:val="none"/>
          <w:lang w:val="en-US" w:eastAsia="zh-CN"/>
        </w:rPr>
        <w:t>量子效应，微波场中量子效应波主要是激发水分子产生过氧化氢和其他自由基，形成细胞毒作用。这种作用可使细胞内各种蛋白、酶、核酸等受到破坏。另外，光子可以增加分子动能，促进热反应。</w:t>
      </w:r>
    </w:p>
    <w:p>
      <w:pPr>
        <w:topLinePunct/>
        <w:spacing w:line="360" w:lineRule="auto"/>
        <w:rPr>
          <w:rFonts w:hint="eastAsia"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fldChar w:fldCharType="begin"/>
      </w:r>
      <w:r>
        <w:rPr>
          <w:rFonts w:hint="default" w:ascii="Times New Roman" w:hAnsi="Times New Roman" w:cs="Times New Roman"/>
          <w:b w:val="0"/>
          <w:bCs/>
          <w:sz w:val="24"/>
          <w:u w:val="none"/>
          <w:lang w:val="en-US" w:eastAsia="zh-CN"/>
        </w:rPr>
        <w:instrText xml:space="preserve"> = 4 \* GB3 \* MERGEFORMAT </w:instrText>
      </w:r>
      <w:r>
        <w:rPr>
          <w:rFonts w:hint="default" w:ascii="Times New Roman" w:hAnsi="Times New Roman" w:cs="Times New Roman"/>
          <w:b w:val="0"/>
          <w:bCs/>
          <w:sz w:val="24"/>
          <w:u w:val="none"/>
          <w:lang w:val="en-US" w:eastAsia="zh-CN"/>
        </w:rPr>
        <w:fldChar w:fldCharType="separate"/>
      </w:r>
      <w:r>
        <w:t>④</w:t>
      </w:r>
      <w:r>
        <w:rPr>
          <w:rFonts w:hint="default" w:ascii="Times New Roman" w:hAnsi="Times New Roman" w:cs="Times New Roman"/>
          <w:b w:val="0"/>
          <w:bCs/>
          <w:sz w:val="24"/>
          <w:u w:val="none"/>
          <w:lang w:val="en-US" w:eastAsia="zh-CN"/>
        </w:rPr>
        <w:fldChar w:fldCharType="end"/>
      </w:r>
      <w:r>
        <w:rPr>
          <w:rFonts w:hint="eastAsia" w:ascii="Times New Roman" w:hAnsi="Times New Roman" w:cs="Times New Roman"/>
          <w:b w:val="0"/>
          <w:bCs/>
          <w:sz w:val="24"/>
          <w:u w:val="none"/>
          <w:lang w:val="en-US" w:eastAsia="zh-CN"/>
        </w:rPr>
        <w:t>微波以外的因素，在充分保证微波能量和作用时间的条件下，消毒废物包装，合适的含水量，负载量以及废物的性质等都是改变微波消毒效果的重要因素。</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综上所述，微波消毒是以热效应为主，非热效应为辅，通过多种效应共同作用的结果。</w:t>
      </w:r>
    </w:p>
    <w:p>
      <w:pPr>
        <w:topLinePunct/>
        <w:spacing w:line="360" w:lineRule="auto"/>
        <w:rPr>
          <w:rFonts w:hint="eastAsia" w:ascii="Times New Roman" w:hAnsi="Times New Roman" w:cs="Times New Roman"/>
          <w:b/>
          <w:bCs w:val="0"/>
          <w:sz w:val="24"/>
          <w:u w:val="none"/>
          <w:lang w:val="en-US" w:eastAsia="zh-CN"/>
        </w:rPr>
      </w:pPr>
      <w:r>
        <w:rPr>
          <w:rFonts w:hint="eastAsia" w:ascii="Times New Roman" w:hAnsi="Times New Roman" w:cs="Times New Roman"/>
          <w:b/>
          <w:bCs w:val="0"/>
          <w:sz w:val="24"/>
          <w:u w:val="none"/>
          <w:lang w:val="en-US" w:eastAsia="zh-CN"/>
        </w:rPr>
        <w:t>三、影响因素</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影响微波消毒效果的因素有：医疗废物的性质，含水率、温度、医疗废物量等。</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（1）医疗废物性质</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各种不同医疗废物对微波的吸收能力有所不同，传染性废物、病理性废物对微波的吸收效果好。损伤幸福废物不吸收微波，而反射微波。如果将损伤性废物用布包装后放在含水或水蒸气环境中，借水分子吸收微波，使温度升高，也可达消毒要求。损伤性废物与病理性废物和传染性废物混合破碎后加湿，和湿毛巾包裹金属具有同样效果，可见微波也可以批量处理损伤性医疗废物。由于微波的热效应会使药物性废物和化学性废物产生不同的化学变化，释放复杂的有毒有害物质。因此，微波消毒不适于处理药物性废物和化学性废物。</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（2）含水率</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水是最好的吸收微波材料，吸收微波是微波消毒的必要条件，所以待处理的医疗废物的含水率对消毒效果影响明显。含水率影响具有三层意义：</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不含水分的材料难以用微波消毒，这已被大量试验研究证明。细菌芽孢经过脱水处理后微波照射很难讲其杀灭。处于干燥状态的大肠杆菌比液体中的细菌芽孢对微波抗力还强。</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含水率可因微波输出功率大小和照射时间长短而具有最佳不同范围。</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含湿量过高使消毒效果下降。一般情况下，在其他条件不变时，含湿量过大后即负载量过大，使能量分布密度降低，从而使微波消毒效果降低。</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因此，医疗废物中含水量的大小与微波消毒处理效果具有密切的关系。</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（3）温度</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医疗废物的温度对消毒作用有影响，温度低，达到消毒温度所需热量多，因而消耗微波能量高，照射时间长。</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（4）医疗废物量</w:t>
      </w:r>
    </w:p>
    <w:p>
      <w:pPr>
        <w:topLinePunct/>
        <w:spacing w:line="360" w:lineRule="auto"/>
        <w:rPr>
          <w:rFonts w:hint="eastAsia" w:ascii="Times New Roman" w:hAnsi="Times New Roman" w:cs="Times New Roman"/>
          <w:b w:val="0"/>
          <w:bCs/>
          <w:sz w:val="24"/>
          <w:u w:val="none"/>
          <w:lang w:val="en-US" w:eastAsia="zh-CN"/>
        </w:rPr>
      </w:pPr>
      <w:r>
        <w:rPr>
          <w:rFonts w:hint="eastAsia" w:ascii="Times New Roman" w:hAnsi="Times New Roman" w:cs="Times New Roman"/>
          <w:b w:val="0"/>
          <w:bCs/>
          <w:sz w:val="24"/>
          <w:u w:val="none"/>
          <w:lang w:val="en-US" w:eastAsia="zh-CN"/>
        </w:rPr>
        <w:t>医疗废物量与消毒效果的关系主要取决于微波对废物的穿透深度，穿透深度的含义是：电场强度或者功率减少到表面处的36.8%的距离。需要对医疗废物进行消毒时，其医疗废物的厚度一般不应大于微波对医疗废物的穿透深度。在厚度适当的条件下，消毒处理的废物越多，需要照射时间长，才能达到消毒要求。</w:t>
      </w:r>
    </w:p>
    <w:p>
      <w:pPr>
        <w:topLinePunct/>
        <w:spacing w:line="360" w:lineRule="auto"/>
        <w:rPr>
          <w:rFonts w:hint="eastAsia" w:ascii="Times New Roman" w:hAnsi="Times New Roman" w:cs="Times New Roman"/>
          <w:b/>
          <w:bCs w:val="0"/>
          <w:sz w:val="24"/>
          <w:u w:val="none"/>
          <w:lang w:val="en-US" w:eastAsia="zh-CN"/>
        </w:rPr>
      </w:pPr>
      <w:r>
        <w:rPr>
          <w:rFonts w:hint="eastAsia" w:ascii="Times New Roman" w:hAnsi="Times New Roman" w:cs="Times New Roman"/>
          <w:b/>
          <w:bCs w:val="0"/>
          <w:sz w:val="24"/>
          <w:u w:val="none"/>
          <w:lang w:val="en-US" w:eastAsia="zh-CN"/>
        </w:rPr>
        <w:t>四、本项目处理工艺流程</w:t>
      </w:r>
    </w:p>
    <w:p>
      <w:pPr>
        <w:topLinePunct/>
        <w:spacing w:line="360" w:lineRule="auto"/>
        <w:rPr>
          <w:rFonts w:hint="eastAsia" w:cs="Times New Roman"/>
          <w:b w:val="0"/>
          <w:bCs/>
          <w:sz w:val="24"/>
          <w:u w:val="none"/>
          <w:lang w:val="en-US" w:eastAsia="zh-CN"/>
        </w:rPr>
      </w:pPr>
      <w:r>
        <w:rPr>
          <w:rFonts w:hint="eastAsia" w:ascii="Times New Roman" w:hAnsi="Times New Roman" w:cs="Times New Roman"/>
          <w:b w:val="0"/>
          <w:bCs/>
          <w:sz w:val="24"/>
          <w:u w:val="none"/>
          <w:lang w:val="en-US" w:eastAsia="zh-CN"/>
        </w:rPr>
        <w:t>本项目医疗废物采用微波消毒处理技术，医疗废物</w:t>
      </w:r>
      <w:r>
        <w:rPr>
          <w:rFonts w:hint="eastAsia" w:cs="Times New Roman"/>
          <w:b w:val="0"/>
          <w:bCs/>
          <w:sz w:val="24"/>
          <w:u w:val="none"/>
          <w:lang w:val="en-US" w:eastAsia="zh-CN"/>
        </w:rPr>
        <w:t>总体</w:t>
      </w:r>
      <w:r>
        <w:rPr>
          <w:rFonts w:hint="eastAsia" w:ascii="Times New Roman" w:hAnsi="Times New Roman" w:cs="Times New Roman"/>
          <w:b w:val="0"/>
          <w:bCs/>
          <w:sz w:val="24"/>
          <w:u w:val="none"/>
          <w:lang w:val="en-US" w:eastAsia="zh-CN"/>
        </w:rPr>
        <w:t>处置流程</w:t>
      </w:r>
      <w:r>
        <w:rPr>
          <w:rFonts w:hint="eastAsia" w:cs="Times New Roman"/>
          <w:b w:val="0"/>
          <w:bCs/>
          <w:sz w:val="24"/>
          <w:u w:val="none"/>
          <w:lang w:val="en-US" w:eastAsia="zh-CN"/>
        </w:rPr>
        <w:t>详见下图：</w:t>
      </w:r>
    </w:p>
    <w:p>
      <w:pPr>
        <w:pStyle w:val="352"/>
        <w:rPr>
          <w:rFonts w:hint="eastAsia"/>
          <w:b/>
          <w:bCs/>
          <w:u w:val="none"/>
          <w:lang w:val="en-US" w:eastAsia="zh-CN"/>
        </w:rPr>
      </w:pPr>
      <w:r>
        <w:rPr>
          <w:rFonts w:hint="eastAsia"/>
          <w:b/>
          <w:bCs/>
          <w:u w:val="none"/>
          <w:lang w:val="en-US" w:eastAsia="zh-CN"/>
        </w:rPr>
        <w:object>
          <v:shape id="_x0000_i1026" o:spt="75" type="#_x0000_t75" style="height:32.65pt;width:453.4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pStyle w:val="352"/>
        <w:rPr>
          <w:rFonts w:hint="default"/>
          <w:b/>
          <w:bCs/>
          <w:u w:val="none"/>
          <w:lang w:val="en-US" w:eastAsia="zh-CN"/>
        </w:rPr>
      </w:pPr>
      <w:r>
        <w:rPr>
          <w:rFonts w:hint="eastAsia"/>
          <w:b/>
          <w:bCs/>
          <w:u w:val="none"/>
          <w:lang w:val="en-US" w:eastAsia="zh-CN"/>
        </w:rPr>
        <w:t>图3-2  本项目医废总体处置流程示意图</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如图所示，本项目总体处置流程包括医疗废物收集、运输、厂区暂存库（兼冷藏库）、微波消毒、残渣填埋等，各处置环节要求如下：</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1、医疗废物收集</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卫生机构应当根据《医疗废物分类目录》（卫生部和国家环保总局发布2003第287号）对医疗废物实施分类收集和管理，各类医疗废物不得混合收集。病理性废物、化学性废物以及药物性废物应单独收集。各医疗废物产生机构设置固定的医疗废物暂存室，每日进行定时消毒，医疗废物暂存室必须有可靠的防雨、防晒、防渗漏、防蛀咬及消毒等手段，必须有醒目的危险警告标志，要有专人管理，避免无关人员误入；要便于医疗废物的收取和转运车辆的通行。</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专用包装袋和利器盒由各医疗机构准备，周转箱和转运车辆统一由本医疗废物集中处理中心配置，本工程收集的医疗废物由专用医疗废物转运车从各医疗机构收集，本项目医疗废物运输车辆设置为：特制的医疗废物封闭运输车，对各医疗机构产生的医疗废物每天清运一次。医疗废物装卸尽可能采用机械作业，将周转箱整齐地装入车内，尽量减少人工操作；另外设置专用手推车2台，负责处理场废渣的清运。</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在各医疗机构，医疗废物必须妥善分类，将不宜用或不适用于微波消毒处理的病理性人体器官、药物性和化学性废物分出来，用红色袋盛装，人体器官送火葬场火化处理，药物性和化学性废物定期收集后送危险废物集中处理中心处置；将能够处理的废物全部采用专用包装袋、利器盒等包装，包装袋采用黄色，封好袋、盒口后装入容重为20kg的医疗废物周转箱（尺寸为600×500×400mm）内，整个过程中要求医疗废物不暴露、不与外界接触。专用运输车定时定点收集各医疗机构医疗废物后运往本医疗废物集中处理中心。</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从各医疗点装车前，用手持式条码扫描仪扫描条码，输入信息；送空箱时，同样扫描条码输入信息，每天将收集的信息输入厂内的中控室存档。医疗废物运送人员在接收医疗废物时，检查医疗卫生机构是否按规定进行包装、标识，并盛装于周转箱内，不得打开包装袋取出医疗废物。对包装破损、包装外表污染或未盛装于周转箱内的医疗废物，医疗废物运送人员应当要求医疗机构重新包装、标识，并盛装于周转箱内。拒不按规定对废物进行包装的，运送人员有权拒绝运送，并向当地环保部门报告。</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参照有关规定，本工程采用专门定做的专用容器进行医疗废物收集，包括包装袋、利器盒、周转箱。包装袋、利器盒为一次性的，由医疗机构购买，本项目提供周转箱，颜色全部为黄色，</w:t>
      </w:r>
      <w:r>
        <w:rPr>
          <w:rFonts w:hint="eastAsia" w:ascii="宋体" w:hAnsi="宋体" w:eastAsia="宋体" w:cs="宋体"/>
          <w:b w:val="0"/>
          <w:bCs/>
          <w:sz w:val="24"/>
          <w:u w:val="none"/>
          <w:lang w:val="en-US" w:eastAsia="zh-CN"/>
        </w:rPr>
        <w:t>并标设醒目的“医疗废物”标志</w:t>
      </w:r>
      <w:r>
        <w:rPr>
          <w:rFonts w:hint="default" w:cs="Times New Roman"/>
          <w:b w:val="0"/>
          <w:bCs/>
          <w:sz w:val="24"/>
          <w:u w:val="none"/>
          <w:lang w:val="en-US" w:eastAsia="zh-CN"/>
        </w:rPr>
        <w:t>，专用容器及其标识应满足《医疗废物专用包装袋、容器标准和警示标识规定（环发[2003]188号）的要求。专用容器中包装袋和利器盒为一次性使用，直接和医疗废物一起送入微波消毒装置中消毒处理；周转箱重复使用，每次卸出医疗废物后进行严格的清洗消毒处理后再使用，发现质量有问题的周转箱将不允许使用，和医疗废物一起进行灭菌毁形处理。</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2、医疗废物运输</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医疗废物的运输，是指将医疗废物从各医疗机构内医疗废物暂时贮存地点收集运输到医疗废物集中处理中心的过程，主要包括：运输车辆和收运方案的确定。</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（1）</w:t>
      </w:r>
      <w:r>
        <w:rPr>
          <w:rFonts w:hint="default" w:cs="Times New Roman"/>
          <w:b w:val="0"/>
          <w:bCs/>
          <w:sz w:val="24"/>
          <w:u w:val="none"/>
          <w:lang w:val="en-US" w:eastAsia="zh-CN"/>
        </w:rPr>
        <w:t>运输车辆</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本项目医疗废物的收运采取公路运输。医疗废物的运输属于特殊行业，建设单位组建有专业运输车队，按照国家和当地有关医疗废物转运的规定进行运输。</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运输车采购向专业生产厂定购，即委托厂家严格按照《医疗废物转运车技术要求》（GB19217-2003）进行定做，并按照《保温车、冷藏车技术条件及试验方法》（QC/T 449-2010）的规定进行出厂检验，包括气密性、隔热性、防渗性、排水性能等。</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1 \* GB3 \* MERGEFORMAT </w:instrText>
      </w:r>
      <w:r>
        <w:rPr>
          <w:rFonts w:hint="default" w:cs="Times New Roman"/>
          <w:b w:val="0"/>
          <w:bCs/>
          <w:sz w:val="24"/>
          <w:u w:val="none"/>
          <w:lang w:val="en-US" w:eastAsia="zh-CN"/>
        </w:rPr>
        <w:fldChar w:fldCharType="separate"/>
      </w:r>
      <w:r>
        <w:t>①</w:t>
      </w:r>
      <w:r>
        <w:rPr>
          <w:rFonts w:hint="default" w:cs="Times New Roman"/>
          <w:b w:val="0"/>
          <w:bCs/>
          <w:sz w:val="24"/>
          <w:u w:val="none"/>
          <w:lang w:val="en-US" w:eastAsia="zh-CN"/>
        </w:rPr>
        <w:fldChar w:fldCharType="end"/>
      </w:r>
      <w:r>
        <w:rPr>
          <w:rFonts w:hint="default" w:cs="Times New Roman"/>
          <w:b w:val="0"/>
          <w:bCs/>
          <w:sz w:val="24"/>
          <w:u w:val="none"/>
          <w:lang w:val="en-US" w:eastAsia="zh-CN"/>
        </w:rPr>
        <w:t>整车：驾驶室应与货厢完全隔开，以保证驾驶人员的安全；</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2 \* GB3 \* MERGEFORMAT </w:instrText>
      </w:r>
      <w:r>
        <w:rPr>
          <w:rFonts w:hint="default" w:cs="Times New Roman"/>
          <w:b w:val="0"/>
          <w:bCs/>
          <w:sz w:val="24"/>
          <w:u w:val="none"/>
          <w:lang w:val="en-US" w:eastAsia="zh-CN"/>
        </w:rPr>
        <w:fldChar w:fldCharType="separate"/>
      </w:r>
      <w:r>
        <w:t>②</w:t>
      </w:r>
      <w:r>
        <w:rPr>
          <w:rFonts w:hint="default" w:cs="Times New Roman"/>
          <w:b w:val="0"/>
          <w:bCs/>
          <w:sz w:val="24"/>
          <w:u w:val="none"/>
          <w:lang w:val="en-US" w:eastAsia="zh-CN"/>
        </w:rPr>
        <w:fldChar w:fldCharType="end"/>
      </w:r>
      <w:r>
        <w:rPr>
          <w:rFonts w:hint="default" w:cs="Times New Roman"/>
          <w:b w:val="0"/>
          <w:bCs/>
          <w:sz w:val="24"/>
          <w:u w:val="none"/>
          <w:lang w:val="en-US" w:eastAsia="zh-CN"/>
        </w:rPr>
        <w:t>附属设备：车辆应配备专用的箱子，放置因意外发生事故后防止污染扩散的用品：a消毒器械及消毒剂；b收集工具及包装袋；c人员卫生防护用品等。</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3 \* GB3 \* MERGEFORMAT </w:instrText>
      </w:r>
      <w:r>
        <w:rPr>
          <w:rFonts w:hint="default" w:cs="Times New Roman"/>
          <w:b w:val="0"/>
          <w:bCs/>
          <w:sz w:val="24"/>
          <w:u w:val="none"/>
          <w:lang w:val="en-US" w:eastAsia="zh-CN"/>
        </w:rPr>
        <w:fldChar w:fldCharType="separate"/>
      </w:r>
      <w:r>
        <w:t>③</w:t>
      </w:r>
      <w:r>
        <w:rPr>
          <w:rFonts w:hint="default" w:cs="Times New Roman"/>
          <w:b w:val="0"/>
          <w:bCs/>
          <w:sz w:val="24"/>
          <w:u w:val="none"/>
          <w:lang w:val="en-US" w:eastAsia="zh-CN"/>
        </w:rPr>
        <w:fldChar w:fldCharType="end"/>
      </w:r>
      <w:r>
        <w:rPr>
          <w:rFonts w:hint="default" w:cs="Times New Roman"/>
          <w:b w:val="0"/>
          <w:bCs/>
          <w:sz w:val="24"/>
          <w:u w:val="none"/>
          <w:lang w:val="en-US" w:eastAsia="zh-CN"/>
        </w:rPr>
        <w:t>车厢：医疗废物转运车车厢容积可按照医疗废物装载比重160kg/m</w:t>
      </w:r>
      <w:r>
        <w:rPr>
          <w:rFonts w:hint="default" w:cs="Times New Roman"/>
          <w:b w:val="0"/>
          <w:bCs/>
          <w:sz w:val="24"/>
          <w:u w:val="none"/>
          <w:vertAlign w:val="superscript"/>
          <w:lang w:val="en-US" w:eastAsia="zh-CN"/>
        </w:rPr>
        <w:t>3</w:t>
      </w:r>
      <w:r>
        <w:rPr>
          <w:rFonts w:hint="default" w:cs="Times New Roman"/>
          <w:b w:val="0"/>
          <w:bCs/>
          <w:sz w:val="24"/>
          <w:u w:val="none"/>
          <w:lang w:val="en-US" w:eastAsia="zh-CN"/>
        </w:rPr>
        <w:t>设计，并要求满载后车厢容积留有1/4的空间不装载，以利于内部空气循环，便于消毒和冷藏降温。车厢内设置固定装置，以保证非满载车辆紧急启动、停车或事故情况下，周转箱不会翻转。</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4 \* GB3 \* MERGEFORMAT </w:instrText>
      </w:r>
      <w:r>
        <w:rPr>
          <w:rFonts w:hint="default" w:cs="Times New Roman"/>
          <w:b w:val="0"/>
          <w:bCs/>
          <w:sz w:val="24"/>
          <w:u w:val="none"/>
          <w:lang w:val="en-US" w:eastAsia="zh-CN"/>
        </w:rPr>
        <w:fldChar w:fldCharType="separate"/>
      </w:r>
      <w:r>
        <w:t>④</w:t>
      </w:r>
      <w:r>
        <w:rPr>
          <w:rFonts w:hint="default" w:cs="Times New Roman"/>
          <w:b w:val="0"/>
          <w:bCs/>
          <w:sz w:val="24"/>
          <w:u w:val="none"/>
          <w:lang w:val="en-US" w:eastAsia="zh-CN"/>
        </w:rPr>
        <w:fldChar w:fldCharType="end"/>
      </w:r>
      <w:r>
        <w:rPr>
          <w:rFonts w:hint="default" w:cs="Times New Roman"/>
          <w:b w:val="0"/>
          <w:bCs/>
          <w:sz w:val="24"/>
          <w:u w:val="none"/>
          <w:lang w:val="en-US" w:eastAsia="zh-CN"/>
        </w:rPr>
        <w:t>应当按照最大允许装载质量和医疗废物装载比重160kg/m</w:t>
      </w:r>
      <w:r>
        <w:rPr>
          <w:rFonts w:hint="default" w:cs="Times New Roman"/>
          <w:b w:val="0"/>
          <w:bCs/>
          <w:sz w:val="24"/>
          <w:u w:val="none"/>
          <w:vertAlign w:val="superscript"/>
          <w:lang w:val="en-US" w:eastAsia="zh-CN"/>
        </w:rPr>
        <w:t>3</w:t>
      </w:r>
      <w:r>
        <w:rPr>
          <w:rFonts w:hint="default" w:cs="Times New Roman"/>
          <w:b w:val="0"/>
          <w:bCs/>
          <w:sz w:val="24"/>
          <w:u w:val="none"/>
          <w:lang w:val="en-US" w:eastAsia="zh-CN"/>
        </w:rPr>
        <w:t>计算限制装载线高度，并在车厢侧壁予以标识。</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5 \* GB3 \* MERGEFORMAT </w:instrText>
      </w:r>
      <w:r>
        <w:rPr>
          <w:rFonts w:hint="default" w:cs="Times New Roman"/>
          <w:b w:val="0"/>
          <w:bCs/>
          <w:sz w:val="24"/>
          <w:u w:val="none"/>
          <w:lang w:val="en-US" w:eastAsia="zh-CN"/>
        </w:rPr>
        <w:fldChar w:fldCharType="separate"/>
      </w:r>
      <w:r>
        <w:t>⑤</w:t>
      </w:r>
      <w:r>
        <w:rPr>
          <w:rFonts w:hint="default" w:cs="Times New Roman"/>
          <w:b w:val="0"/>
          <w:bCs/>
          <w:sz w:val="24"/>
          <w:u w:val="none"/>
          <w:lang w:val="en-US" w:eastAsia="zh-CN"/>
        </w:rPr>
        <w:fldChar w:fldCharType="end"/>
      </w:r>
      <w:r>
        <w:rPr>
          <w:rFonts w:hint="default" w:cs="Times New Roman"/>
          <w:b w:val="0"/>
          <w:bCs/>
          <w:sz w:val="24"/>
          <w:u w:val="none"/>
          <w:lang w:val="en-US" w:eastAsia="zh-CN"/>
        </w:rPr>
        <w:t>车厢内部表面，应采用防水、耐腐蚀、便于消毒和清洗的材料，表面平整，具有一定强度，车厢底部周边及转角应圆滑，不留死角；车厢的密封材料同样应耐腐蚀。</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6 \* GB3 \* MERGEFORMAT </w:instrText>
      </w:r>
      <w:r>
        <w:rPr>
          <w:rFonts w:hint="default" w:cs="Times New Roman"/>
          <w:b w:val="0"/>
          <w:bCs/>
          <w:sz w:val="24"/>
          <w:u w:val="none"/>
          <w:lang w:val="en-US" w:eastAsia="zh-CN"/>
        </w:rPr>
        <w:fldChar w:fldCharType="separate"/>
      </w:r>
      <w:r>
        <w:t>⑥</w:t>
      </w:r>
      <w:r>
        <w:rPr>
          <w:rFonts w:hint="default" w:cs="Times New Roman"/>
          <w:b w:val="0"/>
          <w:bCs/>
          <w:sz w:val="24"/>
          <w:u w:val="none"/>
          <w:lang w:val="en-US" w:eastAsia="zh-CN"/>
        </w:rPr>
        <w:fldChar w:fldCharType="end"/>
      </w:r>
      <w:r>
        <w:rPr>
          <w:rFonts w:hint="default" w:cs="Times New Roman"/>
          <w:b w:val="0"/>
          <w:bCs/>
          <w:sz w:val="24"/>
          <w:u w:val="none"/>
          <w:lang w:val="en-US" w:eastAsia="zh-CN"/>
        </w:rPr>
        <w:t>车厢应经防渗处理，在装载货物时，即使车厢内部有液体，也不会渗漏外部环境中。</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7 \* GB3 \* MERGEFORMAT </w:instrText>
      </w:r>
      <w:r>
        <w:rPr>
          <w:rFonts w:hint="default" w:cs="Times New Roman"/>
          <w:b w:val="0"/>
          <w:bCs/>
          <w:sz w:val="24"/>
          <w:u w:val="none"/>
          <w:lang w:val="en-US" w:eastAsia="zh-CN"/>
        </w:rPr>
        <w:fldChar w:fldCharType="separate"/>
      </w:r>
      <w:r>
        <w:t>⑦</w:t>
      </w:r>
      <w:r>
        <w:rPr>
          <w:rFonts w:hint="default" w:cs="Times New Roman"/>
          <w:b w:val="0"/>
          <w:bCs/>
          <w:sz w:val="24"/>
          <w:u w:val="none"/>
          <w:lang w:val="en-US" w:eastAsia="zh-CN"/>
        </w:rPr>
        <w:fldChar w:fldCharType="end"/>
      </w:r>
      <w:r>
        <w:rPr>
          <w:rFonts w:hint="default" w:cs="Times New Roman"/>
          <w:b w:val="0"/>
          <w:bCs/>
          <w:sz w:val="24"/>
          <w:u w:val="none"/>
          <w:lang w:val="en-US" w:eastAsia="zh-CN"/>
        </w:rPr>
        <w:t>车厢底部应设置具有良好气密性的排水孔，在清洗车厢内部时，能够有效收集和排出污水，不可使清洗污水直接漫流到外部环境中；正常运输使用时应具有良好气密性。</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fldChar w:fldCharType="begin"/>
      </w:r>
      <w:r>
        <w:rPr>
          <w:rFonts w:hint="default" w:cs="Times New Roman"/>
          <w:b w:val="0"/>
          <w:bCs/>
          <w:sz w:val="24"/>
          <w:u w:val="none"/>
          <w:lang w:val="en-US" w:eastAsia="zh-CN"/>
        </w:rPr>
        <w:instrText xml:space="preserve"> = 8 \* GB3 \* MERGEFORMAT </w:instrText>
      </w:r>
      <w:r>
        <w:rPr>
          <w:rFonts w:hint="default" w:cs="Times New Roman"/>
          <w:b w:val="0"/>
          <w:bCs/>
          <w:sz w:val="24"/>
          <w:u w:val="none"/>
          <w:lang w:val="en-US" w:eastAsia="zh-CN"/>
        </w:rPr>
        <w:fldChar w:fldCharType="separate"/>
      </w:r>
      <w:r>
        <w:t>⑧</w:t>
      </w:r>
      <w:r>
        <w:rPr>
          <w:rFonts w:hint="default" w:cs="Times New Roman"/>
          <w:b w:val="0"/>
          <w:bCs/>
          <w:sz w:val="24"/>
          <w:u w:val="none"/>
          <w:lang w:val="en-US" w:eastAsia="zh-CN"/>
        </w:rPr>
        <w:fldChar w:fldCharType="end"/>
      </w:r>
      <w:r>
        <w:rPr>
          <w:rFonts w:hint="default" w:cs="Times New Roman"/>
          <w:b w:val="0"/>
          <w:bCs/>
          <w:sz w:val="24"/>
          <w:u w:val="none"/>
          <w:lang w:val="en-US" w:eastAsia="zh-CN"/>
        </w:rPr>
        <w:t>医疗废物转运车应在明显部位固定产品标牌。标牌应符合GB/T 18411-2001的规定。医疗废物转运车应在车辆的前部、后部及车厢两侧喷涂警示性标志；驾驶室两侧应标明医疗废物处置转运单位名称；在驾驶室醒目位置注明仅用于医疗废物转运车的警示说明。</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转运人员需严格按照收集人员的同等要求穿戴相应的防护衣具；转运车辆配备有应急消毒用具以防备运输过程中可能发生的废物泄漏事故，如适当的容器、消毒剂、粒状吸收剂、刷子、拖布等，车上还备有急救药箱。所有使用过的物品均按医疗废物进行收集和处理。</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（2）</w:t>
      </w:r>
      <w:r>
        <w:rPr>
          <w:rFonts w:hint="default" w:cs="Times New Roman"/>
          <w:b w:val="0"/>
          <w:bCs/>
          <w:sz w:val="24"/>
          <w:u w:val="none"/>
          <w:lang w:val="en-US" w:eastAsia="zh-CN"/>
        </w:rPr>
        <w:t>车辆台数</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根据处理中心的设计规模、周转箱的容积以及收运实际运距计算，本项目</w:t>
      </w:r>
      <w:r>
        <w:rPr>
          <w:rFonts w:hint="eastAsia" w:cs="Times New Roman"/>
          <w:b w:val="0"/>
          <w:bCs/>
          <w:sz w:val="24"/>
          <w:u w:val="none"/>
          <w:lang w:val="en-US" w:eastAsia="zh-CN"/>
        </w:rPr>
        <w:t>总计</w:t>
      </w:r>
      <w:r>
        <w:rPr>
          <w:rFonts w:hint="default" w:cs="Times New Roman"/>
          <w:b w:val="0"/>
          <w:bCs/>
          <w:sz w:val="24"/>
          <w:u w:val="none"/>
          <w:lang w:val="en-US" w:eastAsia="zh-CN"/>
        </w:rPr>
        <w:t>配备</w:t>
      </w:r>
      <w:r>
        <w:rPr>
          <w:rFonts w:hint="eastAsia" w:cs="Times New Roman"/>
          <w:b w:val="0"/>
          <w:bCs/>
          <w:sz w:val="24"/>
          <w:u w:val="none"/>
          <w:lang w:val="en-US" w:eastAsia="zh-CN"/>
        </w:rPr>
        <w:t>5</w:t>
      </w:r>
      <w:r>
        <w:rPr>
          <w:rFonts w:hint="default" w:cs="Times New Roman"/>
          <w:b w:val="0"/>
          <w:bCs/>
          <w:sz w:val="24"/>
          <w:u w:val="none"/>
          <w:lang w:val="en-US" w:eastAsia="zh-CN"/>
        </w:rPr>
        <w:t>台</w:t>
      </w:r>
      <w:r>
        <w:rPr>
          <w:rFonts w:hint="eastAsia" w:cs="Times New Roman"/>
          <w:b w:val="0"/>
          <w:bCs/>
          <w:sz w:val="24"/>
          <w:u w:val="none"/>
          <w:lang w:val="en-US" w:eastAsia="zh-CN"/>
        </w:rPr>
        <w:t>（4用1备）</w:t>
      </w:r>
      <w:r>
        <w:rPr>
          <w:rFonts w:hint="default" w:cs="Times New Roman"/>
          <w:b w:val="0"/>
          <w:bCs/>
          <w:sz w:val="24"/>
          <w:u w:val="none"/>
          <w:lang w:val="en-US" w:eastAsia="zh-CN"/>
        </w:rPr>
        <w:t>医疗废物运输车，</w:t>
      </w:r>
      <w:r>
        <w:rPr>
          <w:rFonts w:hint="eastAsia" w:cs="Times New Roman"/>
          <w:b w:val="0"/>
          <w:bCs/>
          <w:sz w:val="24"/>
          <w:u w:val="none"/>
          <w:lang w:val="en-US" w:eastAsia="zh-CN"/>
        </w:rPr>
        <w:t>单台运输车</w:t>
      </w:r>
      <w:r>
        <w:rPr>
          <w:rFonts w:hint="default" w:cs="Times New Roman"/>
          <w:b w:val="0"/>
          <w:bCs/>
          <w:sz w:val="24"/>
          <w:u w:val="none"/>
          <w:lang w:val="en-US" w:eastAsia="zh-CN"/>
        </w:rPr>
        <w:t>载重量为1.5吨。</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（3）</w:t>
      </w:r>
      <w:r>
        <w:rPr>
          <w:rFonts w:hint="default" w:cs="Times New Roman"/>
          <w:b w:val="0"/>
          <w:bCs/>
          <w:sz w:val="24"/>
          <w:u w:val="none"/>
          <w:lang w:val="en-US" w:eastAsia="zh-CN"/>
        </w:rPr>
        <w:t>收运频次</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为了做到对医疗废物的日产日清，收运频次确定为1次/天。对于有住院病床的医疗卫生机构，每天派车上门收集，日产日清；对于无住院病床的医疗卫生机构，如门诊部、诊所等，至少两天收集一次医疗废物。</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（4）</w:t>
      </w:r>
      <w:r>
        <w:rPr>
          <w:rFonts w:hint="default" w:cs="Times New Roman"/>
          <w:b w:val="0"/>
          <w:bCs/>
          <w:sz w:val="24"/>
          <w:u w:val="none"/>
          <w:lang w:val="en-US" w:eastAsia="zh-CN"/>
        </w:rPr>
        <w:t>运输路线</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运输过程中应尽量避开人群密集区（如主要街道或商业区附近)）和人群出没频繁时段（如上下班时间），并选择最短的运输路线，以最大限度的减小意外事故带来的环境污染和病毒感染。根据医疗废物产生的特点以及医疗废物日产日清的原则，应采用晚间收集。</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3、厂区暂存</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由各个医疗机构收运的医疗废物运至处理中心在处理厂入口处经地磅称量后，医疗废物转运车按规定线路进入暂存库（兼冷藏库）将周转箱卸下，如不能立即进行微波消毒处理，则将医疗废物冷藏贮存。</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（1）贮存技术要求</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由于医疗废物的有毒有害性，不宜长时间的储存，因此，运至本处理中心后，尽可能做到当日进当日处置。在处置设施需要检修或出现紧急事故时，医疗废物进行冷藏贮存，根据《医疗废物集中焚烧处置工程建设技术要求（试行）》（环发【2004】15号），医疗废物贮存温度≥5℃时，不得超过24小时；在5℃以下冷藏不得超过72小时。冷藏温度确定为0～4℃。</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本项目医疗废物贮存库具有冷藏功能、冷藏库未启动制冷时，可作暂存库。医疗废物暂存库采用全封闭、微负压设计，设有通风措施，为了防止冷库中传染性气体的污染，抽出的空气送入微波消毒单元过滤灭菌装置进行处理。</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暂存库地面和1m高的墙裙做防渗处理，地面具有良好的排水性能，易于清洁和消毒，产生的清洗消毒废水采用暗沟、管直接排入厂内污水处理站集中处理；贮存设施并设置事故排风扇。暂存库门、窗附近设醒目的危险警告标志，避免无关人员误入，窗上安装通风过滤网，防止小动物钻入。</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周转箱的码垛留足够的空间便于周转箱的回取和冷气的循环。使用过的周转箱经消毒、清洗后送往单独的净周转箱暂存车间存放。消毒清洗后的车辆去收集医疗废物时，必须到净周转箱暂存车间将洁净的周转箱装车。在医疗废物交接时，将洁净的周转箱交接医疗机构，作为医疗机构下次收集医疗废物的容器。</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（2）制冷方式</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冷藏库采用室内组合式冷库，由专业厂家进行设计和安装。选用结构紧凑，占地面积较小的风冷压缩冷凝机组1台，制冷量5KW，蒸发温度-5℃，制冷剂为R22，蒸发器采用冷盘管。</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（3）冷藏库土建结构要求</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fldChar w:fldCharType="begin"/>
      </w:r>
      <w:r>
        <w:rPr>
          <w:rFonts w:hint="eastAsia" w:cs="Times New Roman"/>
          <w:b w:val="0"/>
          <w:bCs/>
          <w:sz w:val="24"/>
          <w:u w:val="none"/>
          <w:lang w:val="en-US" w:eastAsia="zh-CN"/>
        </w:rPr>
        <w:instrText xml:space="preserve"> = 1 \* GB3 \* MERGEFORMAT </w:instrText>
      </w:r>
      <w:r>
        <w:rPr>
          <w:rFonts w:hint="eastAsia" w:cs="Times New Roman"/>
          <w:b w:val="0"/>
          <w:bCs/>
          <w:sz w:val="24"/>
          <w:u w:val="none"/>
          <w:lang w:val="en-US" w:eastAsia="zh-CN"/>
        </w:rPr>
        <w:fldChar w:fldCharType="separate"/>
      </w:r>
      <w:r>
        <w:t>①</w:t>
      </w:r>
      <w:r>
        <w:rPr>
          <w:rFonts w:hint="eastAsia" w:cs="Times New Roman"/>
          <w:b w:val="0"/>
          <w:bCs/>
          <w:sz w:val="24"/>
          <w:u w:val="none"/>
          <w:lang w:val="en-US" w:eastAsia="zh-CN"/>
        </w:rPr>
        <w:fldChar w:fldCharType="end"/>
      </w:r>
      <w:r>
        <w:rPr>
          <w:rFonts w:hint="eastAsia" w:cs="Times New Roman"/>
          <w:b w:val="0"/>
          <w:bCs/>
          <w:sz w:val="24"/>
          <w:u w:val="none"/>
          <w:lang w:val="en-US" w:eastAsia="zh-CN"/>
        </w:rPr>
        <w:t>冷藏库体积</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本工程暂存库和冷库共用，当制冷设施不启用时，作为暂存库使用；当制冷设施启用时，作为冷库使用。按照要求，暂存库温度≥5℃时，医疗废物在其中只能存贮1天；当温度＜5℃时，医疗废物在其中只能存贮3天。</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冷藏库数量：1间，100平方米（其中冲洗面积20平方米），容积300立方米；设计库温：0-5摄氏度，进货温度：常温，预冷量：不大于15吨/批次；进出货月台：常温。</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fldChar w:fldCharType="begin"/>
      </w:r>
      <w:r>
        <w:rPr>
          <w:rFonts w:hint="eastAsia" w:cs="Times New Roman"/>
          <w:b w:val="0"/>
          <w:bCs/>
          <w:sz w:val="24"/>
          <w:u w:val="none"/>
          <w:lang w:val="en-US" w:eastAsia="zh-CN"/>
        </w:rPr>
        <w:instrText xml:space="preserve"> = 2 \* GB3 \* MERGEFORMAT </w:instrText>
      </w:r>
      <w:r>
        <w:rPr>
          <w:rFonts w:hint="eastAsia" w:cs="Times New Roman"/>
          <w:b w:val="0"/>
          <w:bCs/>
          <w:sz w:val="24"/>
          <w:u w:val="none"/>
          <w:lang w:val="en-US" w:eastAsia="zh-CN"/>
        </w:rPr>
        <w:fldChar w:fldCharType="separate"/>
      </w:r>
      <w:r>
        <w:t>②</w:t>
      </w:r>
      <w:r>
        <w:rPr>
          <w:rFonts w:hint="eastAsia" w:cs="Times New Roman"/>
          <w:b w:val="0"/>
          <w:bCs/>
          <w:sz w:val="24"/>
          <w:u w:val="none"/>
          <w:lang w:val="en-US" w:eastAsia="zh-CN"/>
        </w:rPr>
        <w:fldChar w:fldCharType="end"/>
      </w:r>
      <w:r>
        <w:rPr>
          <w:rFonts w:hint="eastAsia" w:cs="Times New Roman"/>
          <w:b w:val="0"/>
          <w:bCs/>
          <w:sz w:val="24"/>
          <w:u w:val="none"/>
          <w:lang w:val="en-US" w:eastAsia="zh-CN"/>
        </w:rPr>
        <w:t>冷藏库体绝热要求</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为减少外界热量侵入，冷藏库外围建筑须有绝热材料，才能保证冷藏效果和降低冷负荷。冷藏库拟用双层砖墙，内芯为硬质聚氨脂隔热保温板，密度控制在42kg/m</w:t>
      </w:r>
      <w:r>
        <w:rPr>
          <w:rFonts w:hint="eastAsia" w:cs="Times New Roman"/>
          <w:b w:val="0"/>
          <w:bCs/>
          <w:sz w:val="24"/>
          <w:u w:val="none"/>
          <w:vertAlign w:val="superscript"/>
          <w:lang w:val="en-US" w:eastAsia="zh-CN"/>
        </w:rPr>
        <w:t>3</w:t>
      </w:r>
      <w:r>
        <w:rPr>
          <w:rFonts w:hint="eastAsia" w:cs="Times New Roman"/>
          <w:b w:val="0"/>
          <w:bCs/>
          <w:sz w:val="24"/>
          <w:u w:val="none"/>
          <w:lang w:val="en-US" w:eastAsia="zh-CN"/>
        </w:rPr>
        <w:t>左右，导热系数小于0.027W/m·k。绝热层应有足够的厚度和连续性。用板状绝热材料时，须分层错位铺设，并须在外墙内侧涂上沥青及油粘，防绝热层受潮；墙壁外侧敷防潮水泥沙浆抹面层；外墙周边地平填深度0.5m宽的煤渣。</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fldChar w:fldCharType="begin"/>
      </w:r>
      <w:r>
        <w:rPr>
          <w:rFonts w:hint="eastAsia" w:cs="Times New Roman"/>
          <w:b w:val="0"/>
          <w:bCs/>
          <w:sz w:val="24"/>
          <w:u w:val="none"/>
          <w:lang w:val="en-US" w:eastAsia="zh-CN"/>
        </w:rPr>
        <w:instrText xml:space="preserve"> = 3 \* GB3 \* MERGEFORMAT </w:instrText>
      </w:r>
      <w:r>
        <w:rPr>
          <w:rFonts w:hint="eastAsia" w:cs="Times New Roman"/>
          <w:b w:val="0"/>
          <w:bCs/>
          <w:sz w:val="24"/>
          <w:u w:val="none"/>
          <w:lang w:val="en-US" w:eastAsia="zh-CN"/>
        </w:rPr>
        <w:fldChar w:fldCharType="separate"/>
      </w:r>
      <w:r>
        <w:t>③</w:t>
      </w:r>
      <w:r>
        <w:rPr>
          <w:rFonts w:hint="eastAsia" w:cs="Times New Roman"/>
          <w:b w:val="0"/>
          <w:bCs/>
          <w:sz w:val="24"/>
          <w:u w:val="none"/>
          <w:lang w:val="en-US" w:eastAsia="zh-CN"/>
        </w:rPr>
        <w:fldChar w:fldCharType="end"/>
      </w:r>
      <w:r>
        <w:rPr>
          <w:rFonts w:hint="eastAsia" w:cs="Times New Roman"/>
          <w:b w:val="0"/>
          <w:bCs/>
          <w:sz w:val="24"/>
          <w:u w:val="none"/>
          <w:lang w:val="en-US" w:eastAsia="zh-CN"/>
        </w:rPr>
        <w:t>冷藏库门和风幕的设置</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冷藏库门为手动平移门，门洞尺寸：2500×3000mm；材质：双面镀塑彩钢板；开启方式：平移；数量：1扇。</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为防止外界热风侵入和库内含毒空气外流，须装风幕，风幕装在库门外热空气一侧。在库门开启时，用鼓风机使空气以一定的角度（喷射角a=15°～20°）强制循环，在门洞正面造成一股匀速类似于屏障的扁平风幕，用来隔绝或减少库内外冷热空气的对流交换，减少库内耗冷量。</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fldChar w:fldCharType="begin"/>
      </w:r>
      <w:r>
        <w:rPr>
          <w:rFonts w:hint="eastAsia" w:cs="Times New Roman"/>
          <w:b w:val="0"/>
          <w:bCs/>
          <w:sz w:val="24"/>
          <w:u w:val="none"/>
          <w:lang w:val="en-US" w:eastAsia="zh-CN"/>
        </w:rPr>
        <w:instrText xml:space="preserve"> = 4 \* GB3 \* MERGEFORMAT </w:instrText>
      </w:r>
      <w:r>
        <w:rPr>
          <w:rFonts w:hint="eastAsia" w:cs="Times New Roman"/>
          <w:b w:val="0"/>
          <w:bCs/>
          <w:sz w:val="24"/>
          <w:u w:val="none"/>
          <w:lang w:val="en-US" w:eastAsia="zh-CN"/>
        </w:rPr>
        <w:fldChar w:fldCharType="separate"/>
      </w:r>
      <w:r>
        <w:t>④</w:t>
      </w:r>
      <w:r>
        <w:rPr>
          <w:rFonts w:hint="eastAsia" w:cs="Times New Roman"/>
          <w:b w:val="0"/>
          <w:bCs/>
          <w:sz w:val="24"/>
          <w:u w:val="none"/>
          <w:lang w:val="en-US" w:eastAsia="zh-CN"/>
        </w:rPr>
        <w:fldChar w:fldCharType="end"/>
      </w:r>
      <w:r>
        <w:rPr>
          <w:rFonts w:hint="eastAsia" w:cs="Times New Roman"/>
          <w:b w:val="0"/>
          <w:bCs/>
          <w:sz w:val="24"/>
          <w:u w:val="none"/>
          <w:lang w:val="en-US" w:eastAsia="zh-CN"/>
        </w:rPr>
        <w:t>冷藏库基础防渗</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防渗层至少1m厚黏土层（渗透系数≤10</w:t>
      </w:r>
      <w:r>
        <w:rPr>
          <w:rFonts w:hint="eastAsia" w:cs="Times New Roman"/>
          <w:b w:val="0"/>
          <w:bCs/>
          <w:sz w:val="24"/>
          <w:u w:val="none"/>
          <w:vertAlign w:val="superscript"/>
          <w:lang w:val="en-US" w:eastAsia="zh-CN"/>
        </w:rPr>
        <w:t>-7</w:t>
      </w:r>
      <w:r>
        <w:rPr>
          <w:rFonts w:hint="eastAsia" w:cs="Times New Roman"/>
          <w:b w:val="0"/>
          <w:bCs/>
          <w:sz w:val="24"/>
          <w:u w:val="none"/>
          <w:lang w:val="en-US" w:eastAsia="zh-CN"/>
        </w:rPr>
        <w:t>cm/s），或2mm厚高密度聚乙烯，或至少2mm厚的其他人工材料，渗透系数≤10</w:t>
      </w:r>
      <w:r>
        <w:rPr>
          <w:rFonts w:hint="eastAsia" w:cs="Times New Roman"/>
          <w:b w:val="0"/>
          <w:bCs/>
          <w:sz w:val="24"/>
          <w:u w:val="none"/>
          <w:vertAlign w:val="superscript"/>
          <w:lang w:val="en-US" w:eastAsia="zh-CN"/>
        </w:rPr>
        <w:t>-10</w:t>
      </w:r>
      <w:r>
        <w:rPr>
          <w:rFonts w:hint="eastAsia" w:cs="Times New Roman"/>
          <w:b w:val="0"/>
          <w:bCs/>
          <w:sz w:val="24"/>
          <w:u w:val="none"/>
          <w:lang w:val="en-US" w:eastAsia="zh-CN"/>
        </w:rPr>
        <w:t>cm/s。地面和室内四壁进行防渗处理，地面有良好的排水性能，易清洗消毒，清洗消毒废水集中排到库外污水处理站，同时必须采取防渗漏、防鼠、防鸟、防蚊蝇、防蟑螂、防盗等措施。</w:t>
      </w:r>
    </w:p>
    <w:p>
      <w:pPr>
        <w:topLinePunct/>
        <w:spacing w:line="360" w:lineRule="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fldChar w:fldCharType="begin"/>
      </w:r>
      <w:r>
        <w:rPr>
          <w:rFonts w:hint="default" w:ascii="Times New Roman" w:hAnsi="Times New Roman" w:cs="Times New Roman"/>
          <w:b w:val="0"/>
          <w:bCs/>
          <w:sz w:val="24"/>
          <w:u w:val="none"/>
          <w:lang w:val="en-US" w:eastAsia="zh-CN"/>
        </w:rPr>
        <w:instrText xml:space="preserve"> = 5 \* GB3 \* MERGEFORMAT </w:instrText>
      </w:r>
      <w:r>
        <w:rPr>
          <w:rFonts w:hint="default" w:ascii="Times New Roman" w:hAnsi="Times New Roman" w:cs="Times New Roman"/>
          <w:b w:val="0"/>
          <w:bCs/>
          <w:sz w:val="24"/>
          <w:u w:val="none"/>
          <w:lang w:val="en-US" w:eastAsia="zh-CN"/>
        </w:rPr>
        <w:fldChar w:fldCharType="separate"/>
      </w:r>
      <w:r>
        <w:rPr>
          <w:rFonts w:hint="default" w:ascii="Times New Roman" w:hAnsi="Times New Roman" w:cs="Times New Roman"/>
        </w:rPr>
        <w:t>⑤</w:t>
      </w:r>
      <w:r>
        <w:rPr>
          <w:rFonts w:hint="default" w:ascii="Times New Roman" w:hAnsi="Times New Roman" w:cs="Times New Roman"/>
          <w:b w:val="0"/>
          <w:bCs/>
          <w:sz w:val="24"/>
          <w:u w:val="none"/>
          <w:lang w:val="en-US" w:eastAsia="zh-CN"/>
        </w:rPr>
        <w:fldChar w:fldCharType="end"/>
      </w:r>
      <w:r>
        <w:rPr>
          <w:rFonts w:hint="default" w:ascii="Times New Roman" w:hAnsi="Times New Roman" w:cs="Times New Roman"/>
          <w:b w:val="0"/>
          <w:bCs/>
          <w:sz w:val="24"/>
          <w:u w:val="none"/>
          <w:lang w:val="en-US" w:eastAsia="zh-CN"/>
        </w:rPr>
        <w:t>冷媒系统流程</w:t>
      </w:r>
    </w:p>
    <w:p>
      <w:pPr>
        <w:topLinePunct/>
        <w:spacing w:line="360" w:lineRule="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整个制冷系统主要由风冷压缩冷凝机组、油分离器、冷盘管蒸发器、汽液分离器、电磁阀、过滤器、热力膨胀阀、电控柜等构成。</w:t>
      </w:r>
    </w:p>
    <w:p>
      <w:pPr>
        <w:topLinePunct/>
        <w:spacing w:line="360" w:lineRule="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冷媒系统工作流程如下：由蒸发器出来的低温低压（湿）蒸汽，经汽液分离器后进入压缩机，由压缩机压缩成高温高压气体，排入油分离器；由高效油分离器分油后进入冷凝器中，被冷凝器中空气带走热量，高温高压的氟里昂蒸汽被冷凝成过冷液体，再经过滤器、电磁阀进入热力膨胀阀被节流减压后、变为低温低压（湿）蒸汽并进入蒸发器，在蒸发器中不断地蒸发、吸收热量使库内的温度降低，蒸发器中工质不断循环、不断带走库内的热量，使得库内温度维持在4℃。排出的气体经过高效过滤器，将所有细菌和芽孢截留下来并彻底将其灭活，切断病菌向外扩散的途径。冷媒系统主要参数：蒸发温度-5℃，冷凝温度42℃。</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4、微波消毒处理</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医疗废物微波杀菌设备是一种利用微波和饱和蒸汽的双重作用杀菌的设备，它利用蒸汽的热量、微波的热效应和微波的生物效应共同作用杀灭细菌。微波杀菌的生物效应是微波杀菌的独特效果。</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根据本工程设计规模，</w:t>
      </w:r>
      <w:r>
        <w:rPr>
          <w:rFonts w:hint="eastAsia" w:cs="Times New Roman"/>
          <w:b w:val="0"/>
          <w:bCs/>
          <w:sz w:val="24"/>
          <w:u w:val="none"/>
          <w:lang w:val="en-US" w:eastAsia="zh-CN"/>
        </w:rPr>
        <w:t>项目拟</w:t>
      </w:r>
      <w:r>
        <w:rPr>
          <w:rFonts w:hint="default" w:cs="Times New Roman"/>
          <w:b w:val="0"/>
          <w:bCs/>
          <w:sz w:val="24"/>
          <w:u w:val="none"/>
          <w:lang w:val="en-US" w:eastAsia="zh-CN"/>
        </w:rPr>
        <w:t>选用成套医疗废物微波处理系统1套。</w:t>
      </w:r>
      <w:r>
        <w:rPr>
          <w:rFonts w:hint="eastAsia" w:cs="Times New Roman"/>
          <w:b w:val="0"/>
          <w:bCs/>
          <w:sz w:val="24"/>
          <w:u w:val="none"/>
          <w:lang w:val="en-US" w:eastAsia="zh-CN"/>
        </w:rPr>
        <w:t>拟选用</w:t>
      </w:r>
      <w:r>
        <w:rPr>
          <w:rFonts w:hint="default" w:cs="Times New Roman"/>
          <w:b w:val="0"/>
          <w:bCs/>
          <w:sz w:val="24"/>
          <w:u w:val="none"/>
          <w:lang w:val="en-US" w:eastAsia="zh-CN"/>
        </w:rPr>
        <w:t>医废微波处理系统采用液压提升、物料粉碎、微波消毒、螺旋排料的全自动处理系统。处理量为500kg/h，杀菌率为99.99%。工艺流程为：置于医废周转箱内的医疗废物经医疗废物转运车运到医疗废物处理中心，卸至医疗废物暂存间，经上料系统将医疗废物投入微波处理设备的料斗里进行破碎，粒径小于5cm的医疗废物通过筛网进入转动料斗，之后进入微波消毒管道，同时蒸汽发生器向微波消毒管道内注入130℃蒸汽预热及加温，之后开启微波发生器，对医疗废物进行45分钟、95℃～99℃的微波杀菌、消毒，杀菌完成后的医疗废物通过出料系统排出</w:t>
      </w:r>
      <w:r>
        <w:rPr>
          <w:rFonts w:hint="eastAsia" w:cs="Times New Roman"/>
          <w:b w:val="0"/>
          <w:bCs/>
          <w:sz w:val="24"/>
          <w:u w:val="none"/>
          <w:lang w:val="en-US" w:eastAsia="zh-CN"/>
        </w:rPr>
        <w:t>，</w:t>
      </w:r>
      <w:r>
        <w:rPr>
          <w:rFonts w:hint="default" w:cs="Times New Roman"/>
          <w:b w:val="0"/>
          <w:bCs/>
          <w:sz w:val="24"/>
          <w:u w:val="none"/>
          <w:lang w:val="en-US" w:eastAsia="zh-CN"/>
        </w:rPr>
        <w:t>运至项目地附近的生活垃圾填埋场。</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微波消毒处理系统示范装置和</w:t>
      </w:r>
      <w:r>
        <w:rPr>
          <w:rFonts w:hint="eastAsia" w:cs="Times New Roman"/>
          <w:b w:val="0"/>
          <w:bCs/>
          <w:sz w:val="24"/>
          <w:u w:val="none"/>
          <w:lang w:val="en-US" w:eastAsia="zh-CN"/>
        </w:rPr>
        <w:t>结构</w:t>
      </w:r>
      <w:r>
        <w:rPr>
          <w:rFonts w:hint="default" w:cs="Times New Roman"/>
          <w:b w:val="0"/>
          <w:bCs/>
          <w:sz w:val="24"/>
          <w:u w:val="none"/>
          <w:lang w:val="en-US" w:eastAsia="zh-CN"/>
        </w:rPr>
        <w:t>示意图</w:t>
      </w:r>
      <w:r>
        <w:rPr>
          <w:rFonts w:hint="eastAsia" w:cs="Times New Roman"/>
          <w:b w:val="0"/>
          <w:bCs/>
          <w:sz w:val="24"/>
          <w:u w:val="none"/>
          <w:lang w:val="en-US" w:eastAsia="zh-CN"/>
        </w:rPr>
        <w:t>详</w:t>
      </w:r>
      <w:r>
        <w:rPr>
          <w:rFonts w:hint="default" w:cs="Times New Roman"/>
          <w:b w:val="0"/>
          <w:bCs/>
          <w:sz w:val="24"/>
          <w:u w:val="none"/>
          <w:lang w:val="en-US" w:eastAsia="zh-CN"/>
        </w:rPr>
        <w:t>见</w:t>
      </w:r>
      <w:r>
        <w:rPr>
          <w:rFonts w:hint="eastAsia" w:cs="Times New Roman"/>
          <w:b w:val="0"/>
          <w:bCs/>
          <w:sz w:val="24"/>
          <w:u w:val="none"/>
          <w:lang w:val="en-US" w:eastAsia="zh-CN"/>
        </w:rPr>
        <w:t>下图</w:t>
      </w:r>
      <w:r>
        <w:rPr>
          <w:rFonts w:hint="default" w:cs="Times New Roman"/>
          <w:b w:val="0"/>
          <w:bCs/>
          <w:sz w:val="24"/>
          <w:u w:val="none"/>
          <w:lang w:val="en-US" w:eastAsia="zh-CN"/>
        </w:rPr>
        <w:t>。</w:t>
      </w:r>
    </w:p>
    <w:tbl>
      <w:tblPr>
        <w:tblStyle w:val="5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52"/>
              <w:keepNext w:val="0"/>
              <w:keepLines w:val="0"/>
              <w:suppressLineNumbers w:val="0"/>
              <w:spacing w:before="0" w:beforeAutospacing="0" w:after="0" w:afterAutospacing="0"/>
              <w:ind w:left="0" w:right="0"/>
              <w:rPr>
                <w:rFonts w:hint="eastAsia"/>
                <w:b/>
                <w:bCs/>
                <w:u w:val="none"/>
                <w:vertAlign w:val="baseline"/>
                <w:lang w:val="en-US" w:eastAsia="zh-CN"/>
              </w:rPr>
            </w:pPr>
            <w:r>
              <w:rPr>
                <w:rFonts w:hint="eastAsia"/>
                <w:b/>
                <w:bCs/>
                <w:u w:val="none"/>
                <w:vertAlign w:val="baseline"/>
                <w:lang w:val="en-US" w:eastAsia="zh-CN"/>
              </w:rPr>
              <w:drawing>
                <wp:inline distT="0" distB="0" distL="114300" distR="114300">
                  <wp:extent cx="5752465" cy="3796030"/>
                  <wp:effectExtent l="0" t="0" r="635" b="13970"/>
                  <wp:docPr id="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pic:cNvPicPr>
                            <a:picLocks noChangeAspect="1"/>
                          </pic:cNvPicPr>
                        </pic:nvPicPr>
                        <pic:blipFill>
                          <a:blip r:embed="rId15"/>
                          <a:stretch>
                            <a:fillRect/>
                          </a:stretch>
                        </pic:blipFill>
                        <pic:spPr>
                          <a:xfrm>
                            <a:off x="0" y="0"/>
                            <a:ext cx="5752465" cy="3796030"/>
                          </a:xfrm>
                          <a:prstGeom prst="rect">
                            <a:avLst/>
                          </a:prstGeom>
                          <a:noFill/>
                          <a:ln>
                            <a:noFill/>
                          </a:ln>
                        </pic:spPr>
                      </pic:pic>
                    </a:graphicData>
                  </a:graphic>
                </wp:inline>
              </w:drawing>
            </w:r>
          </w:p>
        </w:tc>
      </w:tr>
    </w:tbl>
    <w:p>
      <w:pPr>
        <w:pStyle w:val="352"/>
        <w:rPr>
          <w:rFonts w:hint="eastAsia"/>
          <w:b/>
          <w:bCs/>
          <w:u w:val="none"/>
          <w:lang w:val="en-US" w:eastAsia="zh-CN"/>
        </w:rPr>
      </w:pPr>
      <w:r>
        <w:rPr>
          <w:rFonts w:hint="eastAsia"/>
          <w:b/>
          <w:bCs/>
          <w:u w:val="none"/>
          <w:lang w:val="en-US" w:eastAsia="zh-CN"/>
        </w:rPr>
        <w:t>图3-3  微波消毒处理系统示范装置图</w:t>
      </w:r>
    </w:p>
    <w:tbl>
      <w:tblPr>
        <w:tblStyle w:val="5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52"/>
              <w:keepNext w:val="0"/>
              <w:keepLines w:val="0"/>
              <w:suppressLineNumbers w:val="0"/>
              <w:spacing w:before="0" w:beforeAutospacing="0" w:after="0" w:afterAutospacing="0"/>
              <w:ind w:left="0" w:right="0"/>
              <w:rPr>
                <w:rFonts w:hint="default"/>
                <w:b/>
                <w:bCs/>
                <w:u w:val="none"/>
                <w:vertAlign w:val="baseline"/>
                <w:lang w:val="en-US" w:eastAsia="zh-CN"/>
              </w:rPr>
            </w:pPr>
            <w:r>
              <w:rPr>
                <w:rFonts w:hint="default"/>
                <w:b/>
                <w:bCs/>
                <w:u w:val="none"/>
                <w:vertAlign w:val="baseline"/>
                <w:lang w:val="en-US" w:eastAsia="zh-CN"/>
              </w:rPr>
              <w:drawing>
                <wp:inline distT="0" distB="0" distL="114300" distR="114300">
                  <wp:extent cx="5486400" cy="2806700"/>
                  <wp:effectExtent l="0" t="0" r="0" b="12700"/>
                  <wp:docPr id="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6"/>
                          <pic:cNvPicPr>
                            <a:picLocks noChangeAspect="1"/>
                          </pic:cNvPicPr>
                        </pic:nvPicPr>
                        <pic:blipFill>
                          <a:blip r:embed="rId16"/>
                          <a:stretch>
                            <a:fillRect/>
                          </a:stretch>
                        </pic:blipFill>
                        <pic:spPr>
                          <a:xfrm rot="21600000">
                            <a:off x="0" y="0"/>
                            <a:ext cx="5486400" cy="2806700"/>
                          </a:xfrm>
                          <a:prstGeom prst="rect">
                            <a:avLst/>
                          </a:prstGeom>
                          <a:noFill/>
                          <a:ln>
                            <a:noFill/>
                          </a:ln>
                        </pic:spPr>
                      </pic:pic>
                    </a:graphicData>
                  </a:graphic>
                </wp:inline>
              </w:drawing>
            </w:r>
          </w:p>
        </w:tc>
      </w:tr>
    </w:tbl>
    <w:p>
      <w:pPr>
        <w:pStyle w:val="352"/>
        <w:rPr>
          <w:rFonts w:hint="default"/>
          <w:b/>
          <w:bCs/>
          <w:u w:val="none"/>
          <w:lang w:val="en-US" w:eastAsia="zh-CN"/>
        </w:rPr>
      </w:pPr>
      <w:r>
        <w:rPr>
          <w:rFonts w:hint="eastAsia"/>
          <w:b/>
          <w:bCs/>
          <w:u w:val="none"/>
          <w:lang w:val="en-US" w:eastAsia="zh-CN"/>
        </w:rPr>
        <w:t>图3-4  微波消毒处理系统结构示意图</w:t>
      </w:r>
    </w:p>
    <w:p>
      <w:pPr>
        <w:topLinePunct/>
        <w:spacing w:line="360" w:lineRule="auto"/>
        <w:rPr>
          <w:rFonts w:hint="eastAsia" w:cs="Times New Roman"/>
          <w:b w:val="0"/>
          <w:bCs/>
          <w:sz w:val="24"/>
          <w:u w:val="none"/>
          <w:lang w:val="en-US" w:eastAsia="zh-CN"/>
        </w:rPr>
      </w:pPr>
      <w:r>
        <w:rPr>
          <w:rFonts w:hint="eastAsia" w:cs="Times New Roman"/>
          <w:b w:val="0"/>
          <w:bCs/>
          <w:sz w:val="24"/>
          <w:u w:val="none"/>
          <w:lang w:val="en-US" w:eastAsia="zh-CN"/>
        </w:rPr>
        <w:t>如上图所示，</w:t>
      </w:r>
      <w:r>
        <w:rPr>
          <w:rFonts w:hint="default" w:cs="Times New Roman"/>
          <w:b w:val="0"/>
          <w:bCs/>
          <w:sz w:val="24"/>
          <w:u w:val="none"/>
          <w:lang w:val="en-US" w:eastAsia="zh-CN"/>
        </w:rPr>
        <w:t>本项目安装的微波消毒处理系统主要由上料系统、破碎系统、微波消毒系统、出料系统、蒸汽供给系统、废气处理系统、自动控制系统、报警和应急处理安全装置八个子系统组成</w:t>
      </w:r>
      <w:r>
        <w:rPr>
          <w:rFonts w:hint="eastAsia" w:cs="Times New Roman"/>
          <w:b w:val="0"/>
          <w:bCs/>
          <w:sz w:val="24"/>
          <w:u w:val="none"/>
          <w:lang w:val="en-US" w:eastAsia="zh-CN"/>
        </w:rPr>
        <w:t>，具体工艺流程及产污环节详见下图。</w:t>
      </w:r>
    </w:p>
    <w:p>
      <w:pPr>
        <w:pStyle w:val="352"/>
        <w:rPr>
          <w:rFonts w:hint="eastAsia"/>
          <w:b/>
          <w:bCs/>
          <w:u w:val="none"/>
          <w:lang w:val="en-US" w:eastAsia="zh-CN"/>
        </w:rPr>
        <w:sectPr>
          <w:headerReference r:id="rId3" w:type="default"/>
          <w:footerReference r:id="rId4" w:type="default"/>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pStyle w:val="352"/>
        <w:rPr>
          <w:rFonts w:hint="eastAsia"/>
          <w:b/>
          <w:bCs/>
          <w:u w:val="none"/>
          <w:lang w:val="en-US" w:eastAsia="zh-CN"/>
        </w:rPr>
      </w:pPr>
      <w:r>
        <w:rPr>
          <w:rFonts w:hint="eastAsia"/>
          <w:b/>
          <w:bCs/>
          <w:u w:val="none"/>
          <w:lang w:val="en-US" w:eastAsia="zh-CN"/>
        </w:rPr>
        <w:object>
          <v:shape id="_x0000_i1027" o:spt="75" type="#_x0000_t75" style="height:401.25pt;width:662.05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pPr>
        <w:pStyle w:val="352"/>
        <w:rPr>
          <w:rFonts w:hint="default"/>
          <w:b/>
          <w:bCs/>
          <w:u w:val="none"/>
          <w:lang w:val="en-US" w:eastAsia="zh-CN"/>
        </w:rPr>
      </w:pPr>
      <w:r>
        <w:rPr>
          <w:rFonts w:hint="eastAsia"/>
          <w:b/>
          <w:bCs/>
          <w:u w:val="none"/>
          <w:lang w:val="en-US" w:eastAsia="zh-CN"/>
        </w:rPr>
        <w:t>图3-5  微波消毒工艺流程及产排污环节图</w:t>
      </w:r>
    </w:p>
    <w:p>
      <w:pPr>
        <w:topLinePunct/>
        <w:spacing w:line="360" w:lineRule="auto"/>
        <w:rPr>
          <w:rFonts w:hint="default" w:cs="Times New Roman"/>
          <w:b w:val="0"/>
          <w:bCs/>
          <w:sz w:val="24"/>
          <w:u w:val="none"/>
          <w:lang w:val="en-US" w:eastAsia="zh-CN"/>
        </w:rPr>
        <w:sectPr>
          <w:pgSz w:w="16838" w:h="11906" w:orient="landscape"/>
          <w:pgMar w:top="1417" w:right="1797" w:bottom="1417" w:left="1797" w:header="851" w:footer="992" w:gutter="0"/>
          <w:pgBorders>
            <w:top w:val="none" w:sz="0" w:space="0"/>
            <w:left w:val="none" w:sz="0" w:space="0"/>
            <w:bottom w:val="none" w:sz="0" w:space="0"/>
            <w:right w:val="none" w:sz="0" w:space="0"/>
          </w:pgBorders>
          <w:cols w:space="0" w:num="1"/>
          <w:rtlGutter w:val="0"/>
          <w:docGrid w:linePitch="0" w:charSpace="0"/>
        </w:sectPr>
      </w:pPr>
    </w:p>
    <w:p>
      <w:pPr>
        <w:topLinePunct/>
        <w:spacing w:line="360" w:lineRule="auto"/>
        <w:rPr>
          <w:rFonts w:hint="default" w:cs="Times New Roman"/>
          <w:b/>
          <w:bCs w:val="0"/>
          <w:sz w:val="24"/>
          <w:u w:val="none"/>
          <w:lang w:val="en-US" w:eastAsia="zh-CN"/>
        </w:rPr>
      </w:pPr>
      <w:r>
        <w:rPr>
          <w:rFonts w:hint="eastAsia" w:cs="Times New Roman"/>
          <w:b/>
          <w:bCs w:val="0"/>
          <w:sz w:val="24"/>
          <w:u w:val="none"/>
          <w:lang w:val="en-US" w:eastAsia="zh-CN"/>
        </w:rPr>
        <w:t>根据微波消毒系统组成单元及上述工艺流程图，</w:t>
      </w:r>
      <w:r>
        <w:rPr>
          <w:rFonts w:hint="default" w:cs="Times New Roman"/>
          <w:b/>
          <w:bCs w:val="0"/>
          <w:sz w:val="24"/>
          <w:u w:val="none"/>
          <w:lang w:val="en-US" w:eastAsia="zh-CN"/>
        </w:rPr>
        <w:t>各</w:t>
      </w:r>
      <w:r>
        <w:rPr>
          <w:rFonts w:hint="eastAsia" w:cs="Times New Roman"/>
          <w:b/>
          <w:bCs w:val="0"/>
          <w:sz w:val="24"/>
          <w:u w:val="none"/>
          <w:lang w:val="en-US" w:eastAsia="zh-CN"/>
        </w:rPr>
        <w:t>工序</w:t>
      </w:r>
      <w:r>
        <w:rPr>
          <w:rFonts w:hint="default" w:cs="Times New Roman"/>
          <w:b/>
          <w:bCs w:val="0"/>
          <w:sz w:val="24"/>
          <w:u w:val="none"/>
          <w:lang w:val="en-US" w:eastAsia="zh-CN"/>
        </w:rPr>
        <w:t>简要说明如下：</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（1）</w:t>
      </w:r>
      <w:r>
        <w:rPr>
          <w:rFonts w:hint="default" w:cs="Times New Roman"/>
          <w:b w:val="0"/>
          <w:bCs/>
          <w:sz w:val="24"/>
          <w:u w:val="none"/>
          <w:lang w:val="en-US" w:eastAsia="zh-CN"/>
        </w:rPr>
        <w:t>上料系统</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上料系统用来将医疗废物装入储存料斗中。上料系统包括</w:t>
      </w:r>
      <w:r>
        <w:rPr>
          <w:rFonts w:hint="eastAsia" w:cs="Times New Roman"/>
          <w:b w:val="0"/>
          <w:bCs/>
          <w:sz w:val="24"/>
          <w:u w:val="none"/>
          <w:lang w:val="en-US" w:eastAsia="zh-CN"/>
        </w:rPr>
        <w:t>传送带、</w:t>
      </w:r>
      <w:r>
        <w:rPr>
          <w:rFonts w:hint="default" w:cs="Times New Roman"/>
          <w:b w:val="0"/>
          <w:bCs/>
          <w:sz w:val="24"/>
          <w:u w:val="none"/>
          <w:lang w:val="en-US" w:eastAsia="zh-CN"/>
        </w:rPr>
        <w:t>升降装置和一个可密封的储存料斗，微波消毒设备通过可挂载装有医疗废物的垃圾转运箱升降装置给储存料斗装载物料，当存储料斗开启时，料斗内启动负压保护，防止气味与蒸汽扩散至工作环境，然后升降装置将医疗废物倒入料斗内，储存料斗再关闭翻盖密封。</w:t>
      </w:r>
    </w:p>
    <w:p>
      <w:pPr>
        <w:topLinePunct/>
        <w:spacing w:line="360" w:lineRule="auto"/>
        <w:rPr>
          <w:rFonts w:hint="default" w:cs="Times New Roman"/>
          <w:b/>
          <w:bCs w:val="0"/>
          <w:sz w:val="24"/>
          <w:u w:val="none"/>
          <w:lang w:val="en-US" w:eastAsia="zh-CN"/>
        </w:rPr>
      </w:pPr>
      <w:r>
        <w:rPr>
          <w:rFonts w:hint="eastAsia" w:cs="Times New Roman"/>
          <w:b/>
          <w:bCs w:val="0"/>
          <w:sz w:val="24"/>
          <w:u w:val="none"/>
          <w:lang w:val="en-US" w:eastAsia="zh-CN"/>
        </w:rPr>
        <w:t>此环节主要产生噪声、恶臭、粉尘及病原微生物等。</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（2）</w:t>
      </w:r>
      <w:r>
        <w:rPr>
          <w:rFonts w:hint="default" w:cs="Times New Roman"/>
          <w:b w:val="0"/>
          <w:bCs/>
          <w:sz w:val="24"/>
          <w:u w:val="none"/>
          <w:lang w:val="en-US" w:eastAsia="zh-CN"/>
        </w:rPr>
        <w:t>破碎系统</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储存料斗中的医疗废物通过压料装置进入粉碎机中。粉碎机由箱体、传动装置、粉碎刀具、筛网和减速电机组成，粉碎机为双辊式，通过齿轮传动带动两个装有刀具的滚轴逆向转动粉碎物料，粉碎后的物料通过安装在底部的筛网落到转移料斗。筛网是用来控制粉碎的程度</w:t>
      </w:r>
      <w:r>
        <w:rPr>
          <w:rFonts w:hint="eastAsia" w:cs="Times New Roman"/>
          <w:b w:val="0"/>
          <w:bCs/>
          <w:sz w:val="24"/>
          <w:u w:val="none"/>
          <w:lang w:val="en-US" w:eastAsia="zh-CN"/>
        </w:rPr>
        <w:t>，</w:t>
      </w:r>
      <w:r>
        <w:rPr>
          <w:rFonts w:hint="default" w:cs="Times New Roman"/>
          <w:b w:val="0"/>
          <w:bCs/>
          <w:sz w:val="24"/>
          <w:u w:val="none"/>
          <w:lang w:val="en-US" w:eastAsia="zh-CN"/>
        </w:rPr>
        <w:t>筛网的网孔尺寸可确保所有医疗废物粒度达到5cm以下，起到毁形的效果。</w:t>
      </w:r>
    </w:p>
    <w:p>
      <w:pPr>
        <w:topLinePunct/>
        <w:spacing w:line="360" w:lineRule="auto"/>
        <w:rPr>
          <w:rFonts w:hint="default" w:cs="Times New Roman"/>
          <w:b/>
          <w:bCs w:val="0"/>
          <w:sz w:val="24"/>
          <w:u w:val="none"/>
          <w:lang w:val="en-US" w:eastAsia="zh-CN"/>
        </w:rPr>
      </w:pPr>
      <w:r>
        <w:rPr>
          <w:rFonts w:hint="eastAsia" w:cs="Times New Roman"/>
          <w:b/>
          <w:bCs w:val="0"/>
          <w:sz w:val="24"/>
          <w:u w:val="none"/>
          <w:lang w:val="en-US" w:eastAsia="zh-CN"/>
        </w:rPr>
        <w:t>此环节主要产生噪声、恶臭、粉尘及病原微生物等。</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（3）</w:t>
      </w:r>
      <w:r>
        <w:rPr>
          <w:rFonts w:hint="default" w:cs="Times New Roman"/>
          <w:b w:val="0"/>
          <w:bCs/>
          <w:sz w:val="24"/>
          <w:u w:val="none"/>
          <w:lang w:val="en-US" w:eastAsia="zh-CN"/>
        </w:rPr>
        <w:t>微波消毒系统</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微波消毒系统主要由不锈钢圆筒外壳、转动料斗、螺旋输送装置、减速电机、温度保持装置、蒸汽发生器和微波发生器组成，蒸汽通过管道注入消毒区。该单元通过蒸汽注入和微波放射（微波发生源频率2450MHZ）连续加热粉碎后的废弃物，完成消毒。系统自动控制消毒温度、微波消毒功率、消毒时间，以保证消毒效果。</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经相关资料显示，使用六台1.5kW的微波发生器、消毒温度在95℃以上、保持45min以上，可对枯草杆菌黑色变种芽孢杀灭率99.999%以上。</w:t>
      </w:r>
    </w:p>
    <w:p>
      <w:pPr>
        <w:topLinePunct/>
        <w:spacing w:line="360" w:lineRule="auto"/>
        <w:rPr>
          <w:rFonts w:hint="default" w:cs="Times New Roman"/>
          <w:b/>
          <w:bCs w:val="0"/>
          <w:sz w:val="24"/>
          <w:u w:val="none"/>
          <w:lang w:val="en-US" w:eastAsia="zh-CN"/>
        </w:rPr>
      </w:pPr>
      <w:r>
        <w:rPr>
          <w:rFonts w:hint="eastAsia" w:cs="Times New Roman"/>
          <w:b/>
          <w:bCs w:val="0"/>
          <w:sz w:val="24"/>
          <w:u w:val="none"/>
          <w:lang w:val="en-US" w:eastAsia="zh-CN"/>
        </w:rPr>
        <w:t>此工序主要产生噪声、恶臭及VOCs等。</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（4）</w:t>
      </w:r>
      <w:r>
        <w:rPr>
          <w:rFonts w:hint="default" w:cs="Times New Roman"/>
          <w:b w:val="0"/>
          <w:bCs/>
          <w:sz w:val="24"/>
          <w:u w:val="none"/>
          <w:lang w:val="en-US" w:eastAsia="zh-CN"/>
        </w:rPr>
        <w:t>蒸汽供给</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设备自带有小型的电蒸汽发生器，蒸汽向微波消毒螺旋里注入，注入量由PLC控制电磁阀开启闭合来实现，蒸汽发生器需连接进水管和污水管。本项目使用的蒸汽发生器是一种自动补水、加热，同时连续地产生低压蒸汽的微型锅炉，小水箱、补水泵、控制操作系统成套一体化，无需复杂的安装，只要接通水源和电源。使用过程中无需要制备软水，只要定期对设备进行清洗即可。</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（5）</w:t>
      </w:r>
      <w:r>
        <w:rPr>
          <w:rFonts w:hint="default" w:cs="Times New Roman"/>
          <w:b w:val="0"/>
          <w:bCs/>
          <w:sz w:val="24"/>
          <w:u w:val="none"/>
          <w:lang w:val="en-US" w:eastAsia="zh-CN"/>
        </w:rPr>
        <w:t>出料系统</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物料消毒完成后，</w:t>
      </w:r>
      <w:r>
        <w:rPr>
          <w:rFonts w:hint="eastAsia" w:cs="Times New Roman"/>
          <w:b w:val="0"/>
          <w:bCs/>
          <w:sz w:val="24"/>
          <w:u w:val="none"/>
          <w:lang w:val="en-US" w:eastAsia="zh-CN"/>
        </w:rPr>
        <w:t>再经脱水，最后</w:t>
      </w:r>
      <w:r>
        <w:rPr>
          <w:rFonts w:hint="default" w:cs="Times New Roman"/>
          <w:b w:val="0"/>
          <w:bCs/>
          <w:sz w:val="24"/>
          <w:u w:val="none"/>
          <w:lang w:val="en-US" w:eastAsia="zh-CN"/>
        </w:rPr>
        <w:t>由出料单元螺旋输送机构将消毒残渣输送至残渣暂存箱。</w:t>
      </w:r>
    </w:p>
    <w:p>
      <w:pPr>
        <w:topLinePunct/>
        <w:spacing w:line="360" w:lineRule="auto"/>
        <w:rPr>
          <w:rFonts w:hint="default" w:cs="Times New Roman"/>
          <w:b/>
          <w:bCs w:val="0"/>
          <w:sz w:val="24"/>
          <w:u w:val="none"/>
          <w:lang w:val="en-US" w:eastAsia="zh-CN"/>
        </w:rPr>
      </w:pPr>
      <w:r>
        <w:rPr>
          <w:rFonts w:hint="eastAsia" w:cs="Times New Roman"/>
          <w:b/>
          <w:bCs w:val="0"/>
          <w:sz w:val="24"/>
          <w:u w:val="none"/>
          <w:lang w:val="en-US" w:eastAsia="zh-CN"/>
        </w:rPr>
        <w:t>此工序主要产生废水及消毒残渣等。</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（6）</w:t>
      </w:r>
      <w:r>
        <w:rPr>
          <w:rFonts w:hint="default" w:cs="Times New Roman"/>
          <w:b w:val="0"/>
          <w:bCs/>
          <w:sz w:val="24"/>
          <w:u w:val="none"/>
          <w:lang w:val="en-US" w:eastAsia="zh-CN"/>
        </w:rPr>
        <w:t xml:space="preserve">废气处理系统 </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医疗废物微波消毒处理过程中，会产生含有粉尘、微生物、挥发性有机物（VOCs）的恶臭气体。废气处理单元采用</w:t>
      </w:r>
      <w:r>
        <w:rPr>
          <w:rFonts w:hint="eastAsia" w:cs="Times New Roman"/>
          <w:b w:val="0"/>
          <w:bCs/>
          <w:sz w:val="24"/>
          <w:u w:val="none"/>
          <w:lang w:val="en-US" w:eastAsia="zh-CN"/>
        </w:rPr>
        <w:t>旋流塔和两</w:t>
      </w:r>
      <w:r>
        <w:rPr>
          <w:rFonts w:hint="default" w:cs="Times New Roman"/>
          <w:b w:val="0"/>
          <w:bCs/>
          <w:sz w:val="24"/>
          <w:u w:val="none"/>
          <w:lang w:val="en-US" w:eastAsia="zh-CN"/>
        </w:rPr>
        <w:t>级过滤</w:t>
      </w:r>
      <w:r>
        <w:rPr>
          <w:rFonts w:hint="eastAsia" w:cs="Times New Roman"/>
          <w:b w:val="0"/>
          <w:bCs/>
          <w:sz w:val="24"/>
          <w:u w:val="none"/>
          <w:lang w:val="en-US" w:eastAsia="zh-CN"/>
        </w:rPr>
        <w:t>除菌装置</w:t>
      </w:r>
      <w:r>
        <w:rPr>
          <w:rFonts w:hint="default" w:cs="Times New Roman"/>
          <w:b w:val="0"/>
          <w:bCs/>
          <w:sz w:val="24"/>
          <w:u w:val="none"/>
          <w:lang w:val="en-US" w:eastAsia="zh-CN"/>
        </w:rPr>
        <w:t>（过滤尺寸&lt;0.2μm，耐温不低于140℃，过滤效率&gt;99.999%）加</w:t>
      </w:r>
      <w:r>
        <w:rPr>
          <w:rFonts w:hint="eastAsia" w:cs="Times New Roman"/>
          <w:b w:val="0"/>
          <w:bCs/>
          <w:sz w:val="24"/>
          <w:u w:val="none"/>
          <w:lang w:val="en-US" w:eastAsia="zh-CN"/>
        </w:rPr>
        <w:t>UV光催化氧化装置和</w:t>
      </w:r>
      <w:r>
        <w:rPr>
          <w:rFonts w:hint="default" w:cs="Times New Roman"/>
          <w:b w:val="0"/>
          <w:bCs/>
          <w:sz w:val="24"/>
          <w:u w:val="none"/>
          <w:lang w:val="en-US" w:eastAsia="zh-CN"/>
        </w:rPr>
        <w:t>活性炭吸附相结合的工艺对废气进行处理，达到相应标准要求之后由设备顶端的15m高排气口排放。</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（7）</w:t>
      </w:r>
      <w:r>
        <w:rPr>
          <w:rFonts w:hint="default" w:cs="Times New Roman"/>
          <w:b w:val="0"/>
          <w:bCs/>
          <w:sz w:val="24"/>
          <w:u w:val="none"/>
          <w:lang w:val="en-US" w:eastAsia="zh-CN"/>
        </w:rPr>
        <w:t>自动控制</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自动控制单元是利用PLC自动控制系统，实现微波消毒整个过程自动运行控制，包括自动上料，自动破碎、自动加热升温、自动注入蒸汽、微波自动开启消毒、物料自动输送以及自动排料。采用全进口的AB和西门子公司生产的工业可编程控制器（PLC）对整个系统进行控制，完成系统的各种控制功能。控制柜设有联动、单动两种控制方式。</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（8）</w:t>
      </w:r>
      <w:r>
        <w:rPr>
          <w:rFonts w:hint="default" w:cs="Times New Roman"/>
          <w:b w:val="0"/>
          <w:bCs/>
          <w:sz w:val="24"/>
          <w:u w:val="none"/>
          <w:lang w:val="en-US" w:eastAsia="zh-CN"/>
        </w:rPr>
        <w:t>报警系统</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对设备的故障、供气气压等设有“声”、“光”报警，并将故障信号送至中控室。本系统还设有进料报警、温度报警、压力报警及设备故障报警等功能。报警时，声光报警器工作，以提示现场操作人员及时处理。另外还有联锁保护项目，比如提升机、微波杀菌发生器，破碎机器的连锁；突然停电时的安全停止保护；异常时的报警和安全停止保护；误动作报警停止保护。</w:t>
      </w:r>
    </w:p>
    <w:p>
      <w:pPr>
        <w:topLinePunct/>
        <w:spacing w:line="360" w:lineRule="auto"/>
        <w:rPr>
          <w:rFonts w:hint="default" w:cs="Times New Roman"/>
          <w:b w:val="0"/>
          <w:bCs/>
          <w:sz w:val="24"/>
          <w:u w:val="none"/>
          <w:lang w:val="en-US" w:eastAsia="zh-CN"/>
        </w:rPr>
      </w:pPr>
      <w:r>
        <w:rPr>
          <w:rFonts w:hint="eastAsia" w:cs="Times New Roman"/>
          <w:b w:val="0"/>
          <w:bCs/>
          <w:sz w:val="24"/>
          <w:u w:val="none"/>
          <w:lang w:val="en-US" w:eastAsia="zh-CN"/>
        </w:rPr>
        <w:t>（9）</w:t>
      </w:r>
      <w:r>
        <w:rPr>
          <w:rFonts w:hint="default" w:cs="Times New Roman"/>
          <w:b w:val="0"/>
          <w:bCs/>
          <w:sz w:val="24"/>
          <w:u w:val="none"/>
          <w:lang w:val="en-US" w:eastAsia="zh-CN"/>
        </w:rPr>
        <w:t>医疗废物转运车、医疗废物周转箱等清洗、消毒</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转运车进入汽车卸料区卸下周转箱后，进入车辆消毒清洗车间进行消毒清洗，转运车清洗消毒间进出口均设有密封门，内设有一套消毒、清洗装置。卸空的医疗废物转运车在车辆消毒清洗车间内以1：100的84消毒液喷洒消毒，并密闭30min左右，然后再用清水喷洒清洗。医疗废物转运车应在每次使用后进行清洗消毒。当车厢内壁或外表面被污染及运输车辆每次运输完毕后，必须对车厢内壁和外表面进行清洗消毒。严禁在社会车辆清洗场所清洗医疗废物运输车辆。卸掉医疗废物的空周转箱被送到周围箱消毒清洗间。</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周转箱消毒采用周转箱自动清洗机</w:t>
      </w:r>
      <w:r>
        <w:rPr>
          <w:rFonts w:hint="eastAsia" w:cs="Times New Roman"/>
          <w:b w:val="0"/>
          <w:bCs/>
          <w:sz w:val="24"/>
          <w:u w:val="none"/>
          <w:lang w:val="en-US" w:eastAsia="zh-CN"/>
        </w:rPr>
        <w:t>（详见下图）</w:t>
      </w:r>
      <w:r>
        <w:rPr>
          <w:rFonts w:hint="default" w:cs="Times New Roman"/>
          <w:b w:val="0"/>
          <w:bCs/>
          <w:sz w:val="24"/>
          <w:u w:val="none"/>
          <w:lang w:val="en-US" w:eastAsia="zh-CN"/>
        </w:rPr>
        <w:t>，周转箱自动清洗机为高压喷淋清洗周转箱的设备，用于清洗医疗废物周转箱，采用通过式喷淋的清洗方式，设预冲洗段、消毒冲洗段。在空周转箱清洁并干燥后，要检查确认无残留，保证运回医疗单位的废物周转箱尽可能清洁。周转箱每使用一次都要进行消毒、清洗。洗车库、汽车卸料区、周转箱清洗车间、医疗废物冷藏库地面及2m高墙面均要定期消毒，亦采用1：100的84消毒液。</w:t>
      </w:r>
    </w:p>
    <w:tbl>
      <w:tblPr>
        <w:tblStyle w:val="5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52"/>
              <w:keepNext w:val="0"/>
              <w:keepLines w:val="0"/>
              <w:suppressLineNumbers w:val="0"/>
              <w:spacing w:before="0" w:beforeAutospacing="0" w:after="0" w:afterAutospacing="0"/>
              <w:ind w:left="0" w:right="0"/>
              <w:rPr>
                <w:rFonts w:hint="eastAsia"/>
                <w:b/>
                <w:bCs/>
                <w:u w:val="none"/>
                <w:vertAlign w:val="baseline"/>
                <w:lang w:val="en-US" w:eastAsia="zh-CN"/>
              </w:rPr>
            </w:pPr>
            <w:r>
              <w:rPr>
                <w:rFonts w:hint="eastAsia"/>
                <w:b/>
                <w:bCs/>
                <w:u w:val="none"/>
                <w:vertAlign w:val="baseline"/>
                <w:lang w:val="en-US" w:eastAsia="zh-CN"/>
              </w:rPr>
              <w:drawing>
                <wp:inline distT="0" distB="0" distL="114300" distR="114300">
                  <wp:extent cx="5486400" cy="2976880"/>
                  <wp:effectExtent l="0" t="0" r="0" b="13970"/>
                  <wp:docPr id="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7"/>
                          <pic:cNvPicPr>
                            <a:picLocks noChangeAspect="1"/>
                          </pic:cNvPicPr>
                        </pic:nvPicPr>
                        <pic:blipFill>
                          <a:blip r:embed="rId19"/>
                          <a:srcRect t="7898"/>
                          <a:stretch>
                            <a:fillRect/>
                          </a:stretch>
                        </pic:blipFill>
                        <pic:spPr>
                          <a:xfrm>
                            <a:off x="0" y="0"/>
                            <a:ext cx="5486400" cy="2976880"/>
                          </a:xfrm>
                          <a:prstGeom prst="rect">
                            <a:avLst/>
                          </a:prstGeom>
                          <a:noFill/>
                          <a:ln>
                            <a:noFill/>
                          </a:ln>
                        </pic:spPr>
                      </pic:pic>
                    </a:graphicData>
                  </a:graphic>
                </wp:inline>
              </w:drawing>
            </w:r>
          </w:p>
        </w:tc>
      </w:tr>
    </w:tbl>
    <w:p>
      <w:pPr>
        <w:pStyle w:val="352"/>
        <w:rPr>
          <w:rFonts w:hint="default"/>
          <w:b/>
          <w:bCs/>
          <w:u w:val="none"/>
          <w:lang w:val="en-US" w:eastAsia="zh-CN"/>
        </w:rPr>
      </w:pPr>
      <w:r>
        <w:rPr>
          <w:rFonts w:hint="eastAsia"/>
          <w:b/>
          <w:bCs/>
          <w:u w:val="none"/>
          <w:lang w:val="en-US" w:eastAsia="zh-CN"/>
        </w:rPr>
        <w:t>附图3-6  周转箱自动清洗机示意图</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此工序主要污染物为消毒清洗废水。</w:t>
      </w:r>
    </w:p>
    <w:p>
      <w:pPr>
        <w:topLinePunct/>
        <w:spacing w:line="360" w:lineRule="auto"/>
        <w:rPr>
          <w:rFonts w:hint="eastAsia" w:cs="Times New Roman"/>
          <w:b/>
          <w:bCs w:val="0"/>
          <w:sz w:val="24"/>
          <w:u w:val="none"/>
          <w:lang w:val="en-US" w:eastAsia="zh-CN"/>
        </w:rPr>
      </w:pPr>
      <w:r>
        <w:rPr>
          <w:rFonts w:hint="eastAsia" w:cs="Times New Roman"/>
          <w:b/>
          <w:bCs w:val="0"/>
          <w:sz w:val="24"/>
          <w:u w:val="none"/>
          <w:lang w:val="en-US" w:eastAsia="zh-CN"/>
        </w:rPr>
        <w:t>5、残渣处置</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医疗废物经该微波处理设备处置后，减容三分之二，处理后的废渣</w:t>
      </w:r>
      <w:r>
        <w:rPr>
          <w:rFonts w:hint="eastAsia" w:cs="Times New Roman"/>
          <w:b w:val="0"/>
          <w:bCs/>
          <w:sz w:val="24"/>
          <w:u w:val="none"/>
          <w:lang w:val="en-US" w:eastAsia="zh-CN"/>
        </w:rPr>
        <w:t>前期</w:t>
      </w:r>
      <w:r>
        <w:rPr>
          <w:rFonts w:hint="default" w:cs="Times New Roman"/>
          <w:b w:val="0"/>
          <w:bCs/>
          <w:sz w:val="24"/>
          <w:u w:val="none"/>
          <w:lang w:val="en-US" w:eastAsia="zh-CN"/>
        </w:rPr>
        <w:t>送生活垃圾</w:t>
      </w:r>
      <w:r>
        <w:rPr>
          <w:rFonts w:hint="eastAsia" w:cs="Times New Roman"/>
          <w:b w:val="0"/>
          <w:bCs/>
          <w:sz w:val="24"/>
          <w:u w:val="none"/>
          <w:lang w:val="en-US" w:eastAsia="zh-CN"/>
        </w:rPr>
        <w:t>填埋</w:t>
      </w:r>
      <w:r>
        <w:rPr>
          <w:rFonts w:hint="default" w:cs="Times New Roman"/>
          <w:b w:val="0"/>
          <w:bCs/>
          <w:sz w:val="24"/>
          <w:u w:val="none"/>
          <w:lang w:val="en-US" w:eastAsia="zh-CN"/>
        </w:rPr>
        <w:t>场</w:t>
      </w:r>
      <w:r>
        <w:rPr>
          <w:rFonts w:hint="eastAsia" w:cs="Times New Roman"/>
          <w:b w:val="0"/>
          <w:bCs/>
          <w:sz w:val="24"/>
          <w:u w:val="none"/>
          <w:lang w:val="en-US" w:eastAsia="zh-CN"/>
        </w:rPr>
        <w:t>填埋处理，后期待区域垃圾焚烧发电厂建成后</w:t>
      </w:r>
      <w:r>
        <w:rPr>
          <w:rFonts w:hint="default" w:cs="Times New Roman"/>
          <w:b w:val="0"/>
          <w:bCs/>
          <w:sz w:val="24"/>
          <w:u w:val="none"/>
          <w:lang w:val="en-US" w:eastAsia="zh-CN"/>
        </w:rPr>
        <w:t>焚烧发电处理。</w:t>
      </w:r>
    </w:p>
    <w:p>
      <w:pPr>
        <w:topLinePunct/>
        <w:spacing w:line="360" w:lineRule="auto"/>
        <w:rPr>
          <w:rFonts w:hint="default" w:cs="Times New Roman"/>
          <w:b w:val="0"/>
          <w:bCs/>
          <w:sz w:val="24"/>
          <w:u w:val="none"/>
          <w:lang w:val="en-US" w:eastAsia="zh-CN"/>
        </w:rPr>
      </w:pPr>
      <w:r>
        <w:rPr>
          <w:rFonts w:hint="default" w:cs="Times New Roman"/>
          <w:b w:val="0"/>
          <w:bCs/>
          <w:sz w:val="24"/>
          <w:u w:val="none"/>
          <w:lang w:val="en-US" w:eastAsia="zh-CN"/>
        </w:rPr>
        <w:t>为解决微波处理设备不能处理人体器官和药物类、化学性废物等问题，将收回的人体器官和药物类、化学性废物等存放在冷库，集中交有相应资质单位处理。</w:t>
      </w:r>
    </w:p>
    <w:p>
      <w:pPr>
        <w:topLinePunct/>
        <w:spacing w:line="360" w:lineRule="auto"/>
        <w:rPr>
          <w:rFonts w:hint="eastAsia" w:eastAsia="宋体"/>
          <w:b/>
          <w:sz w:val="24"/>
          <w:u w:val="none"/>
          <w:lang w:eastAsia="zh-CN"/>
        </w:rPr>
      </w:pPr>
      <w:r>
        <w:rPr>
          <w:rFonts w:hint="eastAsia"/>
          <w:b/>
          <w:sz w:val="24"/>
          <w:u w:val="none"/>
          <w:lang w:val="en-US" w:eastAsia="zh-CN"/>
        </w:rPr>
        <w:t>3.2.4</w:t>
      </w:r>
      <w:r>
        <w:rPr>
          <w:b/>
          <w:sz w:val="24"/>
          <w:u w:val="none"/>
        </w:rPr>
        <w:t>项目主要产污</w:t>
      </w:r>
      <w:r>
        <w:rPr>
          <w:rFonts w:hint="eastAsia"/>
          <w:b/>
          <w:sz w:val="24"/>
          <w:u w:val="none"/>
          <w:lang w:eastAsia="zh-CN"/>
        </w:rPr>
        <w:t>环节及污染因子</w:t>
      </w:r>
    </w:p>
    <w:p>
      <w:pPr>
        <w:topLinePunct/>
        <w:spacing w:line="360" w:lineRule="auto"/>
        <w:ind w:firstLine="480" w:firstLineChars="200"/>
        <w:rPr>
          <w:rFonts w:hint="eastAsia"/>
          <w:sz w:val="24"/>
          <w:u w:val="none"/>
          <w:lang w:eastAsia="zh-CN"/>
        </w:rPr>
      </w:pPr>
      <w:r>
        <w:rPr>
          <w:rFonts w:hint="eastAsia"/>
          <w:sz w:val="24"/>
          <w:u w:val="none"/>
          <w:lang w:eastAsia="zh-CN"/>
        </w:rPr>
        <w:t>根据项目工艺流程及其污染物产污节点图分析，本项目运行过程中主要污染源和污染因子见下表：</w:t>
      </w:r>
    </w:p>
    <w:p>
      <w:pPr>
        <w:pStyle w:val="352"/>
        <w:rPr>
          <w:rFonts w:hint="eastAsia"/>
          <w:b/>
          <w:bCs/>
          <w:u w:val="none"/>
          <w:lang w:val="en-US" w:eastAsia="zh-CN"/>
        </w:rPr>
      </w:pPr>
      <w:r>
        <w:rPr>
          <w:rFonts w:hint="eastAsia"/>
          <w:b/>
          <w:bCs/>
          <w:u w:val="none"/>
          <w:lang w:val="en-US" w:eastAsia="zh-CN"/>
        </w:rPr>
        <w:t>表3-13  主要污染源和污染因子识别一览表</w:t>
      </w:r>
    </w:p>
    <w:tbl>
      <w:tblPr>
        <w:tblStyle w:val="59"/>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087"/>
        <w:gridCol w:w="452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7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类别</w:t>
            </w: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b/>
                <w:bCs/>
                <w:u w:val="none"/>
                <w:lang w:val="en-US" w:eastAsia="zh-CN"/>
              </w:rPr>
              <w:t>主要</w:t>
            </w:r>
            <w:r>
              <w:rPr>
                <w:rFonts w:hint="eastAsia" w:ascii="Times New Roman" w:hAnsi="Times New Roman" w:eastAsia="宋体"/>
                <w:b/>
                <w:bCs/>
                <w:u w:val="none"/>
                <w:lang w:val="en-US" w:eastAsia="zh-CN"/>
              </w:rPr>
              <w:t>产污工序</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主要污染因子</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产污方式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废气</w:t>
            </w: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医疗废物贮存</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NH</w:t>
            </w:r>
            <w:r>
              <w:rPr>
                <w:rFonts w:hint="eastAsia"/>
                <w:b w:val="0"/>
                <w:bCs/>
                <w:u w:val="none"/>
                <w:vertAlign w:val="subscript"/>
                <w:lang w:val="en-US" w:eastAsia="zh-CN"/>
              </w:rPr>
              <w:t>3</w:t>
            </w:r>
            <w:r>
              <w:rPr>
                <w:rFonts w:hint="eastAsia"/>
                <w:b w:val="0"/>
                <w:bCs/>
                <w:u w:val="none"/>
                <w:lang w:val="en-US" w:eastAsia="zh-CN"/>
              </w:rPr>
              <w:t>、H</w:t>
            </w:r>
            <w:r>
              <w:rPr>
                <w:rFonts w:hint="eastAsia"/>
                <w:b w:val="0"/>
                <w:bCs/>
                <w:u w:val="none"/>
                <w:vertAlign w:val="subscript"/>
                <w:lang w:val="en-US" w:eastAsia="zh-CN"/>
              </w:rPr>
              <w:t>2</w:t>
            </w:r>
            <w:r>
              <w:rPr>
                <w:rFonts w:hint="eastAsia"/>
                <w:b w:val="0"/>
                <w:bCs/>
                <w:u w:val="none"/>
                <w:lang w:val="en-US" w:eastAsia="zh-CN"/>
              </w:rPr>
              <w:t>S等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上料、破碎系统</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颗粒物、VOCs、</w:t>
            </w:r>
            <w:r>
              <w:rPr>
                <w:rFonts w:hint="eastAsia" w:ascii="Times New Roman" w:eastAsia="宋体"/>
                <w:b w:val="0"/>
                <w:bCs/>
                <w:u w:val="none"/>
                <w:lang w:val="en-US" w:eastAsia="zh-CN"/>
              </w:rPr>
              <w:t>NH</w:t>
            </w:r>
            <w:r>
              <w:rPr>
                <w:rFonts w:hint="eastAsia" w:ascii="Times New Roman" w:eastAsia="宋体"/>
                <w:b w:val="0"/>
                <w:bCs/>
                <w:u w:val="none"/>
                <w:vertAlign w:val="subscript"/>
                <w:lang w:val="en-US" w:eastAsia="zh-CN"/>
              </w:rPr>
              <w:t>3</w:t>
            </w:r>
            <w:r>
              <w:rPr>
                <w:rFonts w:hint="eastAsia" w:ascii="Times New Roman" w:eastAsia="宋体"/>
                <w:b w:val="0"/>
                <w:bCs/>
                <w:u w:val="none"/>
                <w:lang w:val="en-US" w:eastAsia="zh-CN"/>
              </w:rPr>
              <w:t>、H</w:t>
            </w:r>
            <w:r>
              <w:rPr>
                <w:rFonts w:hint="eastAsia" w:ascii="Times New Roman" w:eastAsia="宋体"/>
                <w:b w:val="0"/>
                <w:bCs/>
                <w:u w:val="none"/>
                <w:vertAlign w:val="subscript"/>
                <w:lang w:val="en-US" w:eastAsia="zh-CN"/>
              </w:rPr>
              <w:t>2</w:t>
            </w:r>
            <w:r>
              <w:rPr>
                <w:rFonts w:hint="eastAsia" w:ascii="Times New Roman" w:eastAsia="宋体"/>
                <w:b w:val="0"/>
                <w:bCs/>
                <w:u w:val="none"/>
                <w:lang w:val="en-US" w:eastAsia="zh-CN"/>
              </w:rPr>
              <w:t>S等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微波消毒系统</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eastAsia="宋体"/>
                <w:b w:val="0"/>
                <w:bCs/>
                <w:u w:val="none"/>
                <w:lang w:val="en-US" w:eastAsia="zh-CN"/>
              </w:rPr>
              <w:t>VOCs、NH</w:t>
            </w:r>
            <w:r>
              <w:rPr>
                <w:rFonts w:hint="eastAsia" w:ascii="Times New Roman" w:eastAsia="宋体"/>
                <w:b w:val="0"/>
                <w:bCs/>
                <w:u w:val="none"/>
                <w:vertAlign w:val="subscript"/>
                <w:lang w:val="en-US" w:eastAsia="zh-CN"/>
              </w:rPr>
              <w:t>3</w:t>
            </w:r>
            <w:r>
              <w:rPr>
                <w:rFonts w:hint="eastAsia" w:ascii="Times New Roman" w:eastAsia="宋体"/>
                <w:b w:val="0"/>
                <w:bCs/>
                <w:u w:val="none"/>
                <w:lang w:val="en-US" w:eastAsia="zh-CN"/>
              </w:rPr>
              <w:t>、H</w:t>
            </w:r>
            <w:r>
              <w:rPr>
                <w:rFonts w:hint="eastAsia" w:ascii="Times New Roman" w:eastAsia="宋体"/>
                <w:b w:val="0"/>
                <w:bCs/>
                <w:u w:val="none"/>
                <w:vertAlign w:val="subscript"/>
                <w:lang w:val="en-US" w:eastAsia="zh-CN"/>
              </w:rPr>
              <w:t>2</w:t>
            </w:r>
            <w:r>
              <w:rPr>
                <w:rFonts w:hint="eastAsia" w:ascii="Times New Roman" w:eastAsia="宋体"/>
                <w:b w:val="0"/>
                <w:bCs/>
                <w:u w:val="none"/>
                <w:lang w:val="en-US" w:eastAsia="zh-CN"/>
              </w:rPr>
              <w:t>S等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废水</w:t>
            </w: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车间消毒清洗</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pH、COD、BOD、SS、石油类、</w:t>
            </w:r>
            <w:r>
              <w:rPr>
                <w:rFonts w:hint="eastAsia"/>
                <w:b w:val="0"/>
                <w:bCs/>
                <w:u w:val="none"/>
                <w:lang w:val="en-US" w:eastAsia="zh-CN"/>
              </w:rPr>
              <w:t>石油类、总余氯等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运输车辆消毒清洗</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pH、COD、BOD、SS、石油类、石油类、总余氯等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周转箱消毒清洗</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pH、COD、BOD、SS、石油类、石油类、总余氯等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办公生活</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ascii="Times New Roman" w:hAnsi="Times New Roman" w:eastAsia="宋体"/>
                <w:b w:val="0"/>
                <w:bCs/>
                <w:u w:val="none"/>
                <w:lang w:val="en-US" w:eastAsia="zh-CN"/>
              </w:rPr>
              <w:t>pH、COD、BOD、SS、动植物油</w:t>
            </w:r>
            <w:r>
              <w:rPr>
                <w:rFonts w:hint="eastAsia"/>
                <w:b w:val="0"/>
                <w:bCs/>
                <w:u w:val="none"/>
                <w:lang w:val="en-US" w:eastAsia="zh-CN"/>
              </w:rPr>
              <w:t>、NH</w:t>
            </w:r>
            <w:r>
              <w:rPr>
                <w:rFonts w:hint="eastAsia"/>
                <w:b w:val="0"/>
                <w:bCs/>
                <w:u w:val="none"/>
                <w:vertAlign w:val="subscript"/>
                <w:lang w:val="en-US" w:eastAsia="zh-CN"/>
              </w:rPr>
              <w:t>3</w:t>
            </w:r>
            <w:r>
              <w:rPr>
                <w:rFonts w:hint="eastAsia"/>
                <w:b w:val="0"/>
                <w:bCs/>
                <w:u w:val="none"/>
                <w:lang w:val="en-US" w:eastAsia="zh-CN"/>
              </w:rPr>
              <w:t>-N等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噪声</w:t>
            </w: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设备运行</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连续等效A声级</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restart"/>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固废</w:t>
            </w: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微波消毒</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消毒残渣</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办公生活</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生活垃圾</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生产及运输过程</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破损周转箱、废弃手套及口罩等</w:t>
            </w:r>
          </w:p>
        </w:tc>
        <w:tc>
          <w:tcPr>
            <w:tcW w:w="1473"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污水处理站</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污泥</w:t>
            </w:r>
          </w:p>
        </w:tc>
        <w:tc>
          <w:tcPr>
            <w:tcW w:w="1473"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p>
        </w:tc>
        <w:tc>
          <w:tcPr>
            <w:tcW w:w="2087"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旋流塔等装置</w:t>
            </w:r>
          </w:p>
        </w:tc>
        <w:tc>
          <w:tcPr>
            <w:tcW w:w="4522" w:type="dxa"/>
            <w:vAlign w:val="center"/>
          </w:tcPr>
          <w:p>
            <w:pPr>
              <w:pStyle w:val="352"/>
              <w:keepNext w:val="0"/>
              <w:keepLines w:val="0"/>
              <w:suppressLineNumbers w:val="0"/>
              <w:spacing w:before="0" w:beforeAutospacing="0" w:after="0" w:afterAutospacing="0"/>
              <w:ind w:left="0" w:right="0" w:firstLine="0"/>
              <w:jc w:val="center"/>
              <w:rPr>
                <w:rFonts w:hint="eastAsia" w:ascii="Times New Roman" w:hAnsi="Times New Roman" w:eastAsia="宋体"/>
                <w:b w:val="0"/>
                <w:bCs/>
                <w:u w:val="none"/>
                <w:lang w:val="en-US" w:eastAsia="zh-CN"/>
              </w:rPr>
            </w:pPr>
            <w:r>
              <w:rPr>
                <w:rFonts w:hint="eastAsia"/>
                <w:b w:val="0"/>
                <w:bCs/>
                <w:u w:val="none"/>
                <w:lang w:val="en-US" w:eastAsia="zh-CN"/>
              </w:rPr>
              <w:t>旋流塔污泥、废活性炭</w:t>
            </w:r>
          </w:p>
        </w:tc>
        <w:tc>
          <w:tcPr>
            <w:tcW w:w="1473"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b w:val="0"/>
                <w:bCs/>
                <w:u w:val="none"/>
                <w:lang w:val="en-US" w:eastAsia="zh-CN"/>
              </w:rPr>
            </w:pPr>
            <w:r>
              <w:rPr>
                <w:rFonts w:hint="eastAsia"/>
                <w:b w:val="0"/>
                <w:bCs/>
                <w:u w:val="none"/>
                <w:lang w:val="en-US" w:eastAsia="zh-CN"/>
              </w:rPr>
              <w:t>间断</w:t>
            </w:r>
          </w:p>
        </w:tc>
      </w:tr>
    </w:tbl>
    <w:p>
      <w:pPr>
        <w:topLinePunct/>
        <w:spacing w:line="360" w:lineRule="auto"/>
        <w:rPr>
          <w:rFonts w:hint="eastAsia"/>
          <w:b/>
          <w:sz w:val="24"/>
          <w:u w:val="none"/>
          <w:lang w:val="en-US" w:eastAsia="zh-CN"/>
        </w:rPr>
      </w:pPr>
      <w:r>
        <w:rPr>
          <w:rFonts w:hint="eastAsia"/>
          <w:b/>
          <w:sz w:val="24"/>
          <w:u w:val="none"/>
          <w:lang w:val="en-US" w:eastAsia="zh-CN"/>
        </w:rPr>
        <w:t>3.2.5项目营运期污染源分析</w:t>
      </w:r>
    </w:p>
    <w:p>
      <w:pPr>
        <w:topLinePunct/>
        <w:spacing w:line="360" w:lineRule="auto"/>
        <w:ind w:firstLine="482" w:firstLineChars="200"/>
        <w:jc w:val="left"/>
        <w:rPr>
          <w:rFonts w:hint="eastAsia" w:eastAsia="宋体"/>
          <w:b/>
          <w:bCs/>
          <w:sz w:val="24"/>
          <w:u w:val="none"/>
          <w:lang w:eastAsia="zh-CN"/>
        </w:rPr>
      </w:pPr>
      <w:r>
        <w:rPr>
          <w:rStyle w:val="177"/>
          <w:rFonts w:hint="eastAsia" w:cs="Times New Roman"/>
          <w:b/>
          <w:bCs/>
          <w:sz w:val="24"/>
          <w:szCs w:val="24"/>
          <w:u w:val="none"/>
          <w:lang w:eastAsia="zh-CN"/>
        </w:rPr>
        <w:t>一</w:t>
      </w:r>
      <w:r>
        <w:rPr>
          <w:rStyle w:val="177"/>
          <w:rFonts w:hint="default" w:ascii="Times New Roman" w:hAnsi="Times New Roman" w:cs="Times New Roman"/>
          <w:b/>
          <w:bCs/>
          <w:sz w:val="24"/>
          <w:szCs w:val="24"/>
          <w:u w:val="none"/>
        </w:rPr>
        <w:t>、废气</w:t>
      </w:r>
      <w:r>
        <w:rPr>
          <w:rStyle w:val="177"/>
          <w:rFonts w:hint="eastAsia" w:cs="Times New Roman"/>
          <w:b/>
          <w:bCs/>
          <w:sz w:val="24"/>
          <w:szCs w:val="24"/>
          <w:u w:val="none"/>
          <w:lang w:eastAsia="zh-CN"/>
        </w:rPr>
        <w:t>产排情况</w:t>
      </w:r>
    </w:p>
    <w:p>
      <w:pPr>
        <w:topLinePunct/>
        <w:spacing w:line="360" w:lineRule="auto"/>
        <w:ind w:firstLine="480" w:firstLineChars="200"/>
        <w:rPr>
          <w:rFonts w:hint="eastAsia"/>
          <w:sz w:val="24"/>
          <w:u w:val="none"/>
          <w:lang w:eastAsia="zh-CN"/>
        </w:rPr>
      </w:pPr>
      <w:r>
        <w:rPr>
          <w:rFonts w:hint="eastAsia"/>
          <w:sz w:val="24"/>
          <w:u w:val="none"/>
          <w:lang w:eastAsia="zh-CN"/>
        </w:rPr>
        <w:t>本项目废气分为生产废气和食堂油烟，其中生产废气主要包括卸料、贮存库废气和破碎、微波消毒处理系统产生的废气。本项目采用与兴仁县医疗废物处置中心建设项目、贞丰县医疗废物处置中心建设项目以及平舆县诚信医疗环保科技有限公司医疗废物集中处置中心项目处理工艺和处理规模一样的微波消毒处理系统（微波消毒处理系统设计日处理规模为</w:t>
      </w:r>
      <w:r>
        <w:rPr>
          <w:rFonts w:hint="eastAsia"/>
          <w:sz w:val="24"/>
          <w:u w:val="none"/>
          <w:lang w:val="en-US" w:eastAsia="zh-CN"/>
        </w:rPr>
        <w:t>5t/d</w:t>
      </w:r>
      <w:r>
        <w:rPr>
          <w:rFonts w:hint="eastAsia"/>
          <w:sz w:val="24"/>
          <w:u w:val="none"/>
          <w:lang w:eastAsia="zh-CN"/>
        </w:rPr>
        <w:t>），项目污染物产排情况与上述废气产排情况基本相同，故本次评价参考上述项目环评报告书和验收监测报告，估算本项目运营期废气污染物排放源强，具体详见下表。</w:t>
      </w:r>
    </w:p>
    <w:p>
      <w:pPr>
        <w:pStyle w:val="352"/>
        <w:rPr>
          <w:rFonts w:hint="eastAsia"/>
          <w:b/>
          <w:bCs/>
          <w:u w:val="none"/>
          <w:lang w:val="en-US" w:eastAsia="zh-CN"/>
        </w:rPr>
      </w:pPr>
      <w:r>
        <w:rPr>
          <w:rFonts w:hint="eastAsia"/>
          <w:b/>
          <w:bCs/>
          <w:u w:val="none"/>
          <w:lang w:val="en-US" w:eastAsia="zh-CN"/>
        </w:rPr>
        <w:t>表3-14  与同类项目类比核算结果一览表</w:t>
      </w:r>
    </w:p>
    <w:tbl>
      <w:tblPr>
        <w:tblStyle w:val="58"/>
        <w:tblW w:w="989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2037"/>
        <w:gridCol w:w="860"/>
        <w:gridCol w:w="958"/>
        <w:gridCol w:w="698"/>
        <w:gridCol w:w="833"/>
        <w:gridCol w:w="600"/>
        <w:gridCol w:w="617"/>
        <w:gridCol w:w="1267"/>
        <w:gridCol w:w="887"/>
        <w:gridCol w:w="113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282" w:hRule="atLeast"/>
          <w:jc w:val="center"/>
        </w:trPr>
        <w:tc>
          <w:tcPr>
            <w:tcW w:w="2037" w:type="dxa"/>
            <w:vMerge w:val="restart"/>
            <w:tcBorders>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项目名称</w:t>
            </w:r>
          </w:p>
        </w:tc>
        <w:tc>
          <w:tcPr>
            <w:tcW w:w="860"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污染</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因子</w:t>
            </w:r>
          </w:p>
        </w:tc>
        <w:tc>
          <w:tcPr>
            <w:tcW w:w="958"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治理措施</w:t>
            </w:r>
          </w:p>
        </w:tc>
        <w:tc>
          <w:tcPr>
            <w:tcW w:w="1531" w:type="dxa"/>
            <w:gridSpan w:val="2"/>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监测结果</w:t>
            </w:r>
          </w:p>
        </w:tc>
        <w:tc>
          <w:tcPr>
            <w:tcW w:w="600"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处理效率</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eastAsia"/>
                <w:b/>
                <w:bCs/>
                <w:u w:val="none"/>
                <w:lang w:val="en-US" w:eastAsia="zh-CN"/>
              </w:rPr>
              <w:t>%</w:t>
            </w:r>
          </w:p>
        </w:tc>
        <w:tc>
          <w:tcPr>
            <w:tcW w:w="617"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捕集效率</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eastAsia"/>
                <w:b/>
                <w:bCs/>
                <w:u w:val="none"/>
                <w:lang w:val="en-US" w:eastAsia="zh-CN"/>
              </w:rPr>
              <w:t>%</w:t>
            </w:r>
          </w:p>
        </w:tc>
        <w:tc>
          <w:tcPr>
            <w:tcW w:w="1267"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产生速率</w:t>
            </w:r>
            <w:r>
              <w:rPr>
                <w:rFonts w:hint="default"/>
                <w:b/>
                <w:bCs/>
                <w:u w:val="none"/>
                <w:lang w:val="en-US" w:eastAsia="zh-CN"/>
              </w:rPr>
              <w:br w:type="textWrapping"/>
            </w:r>
            <w:r>
              <w:rPr>
                <w:rFonts w:hint="eastAsia"/>
                <w:b/>
                <w:bCs/>
                <w:u w:val="none"/>
                <w:lang w:val="en-US" w:eastAsia="zh-CN"/>
              </w:rPr>
              <w:t>kg/h</w:t>
            </w:r>
          </w:p>
        </w:tc>
        <w:tc>
          <w:tcPr>
            <w:tcW w:w="887" w:type="dxa"/>
            <w:vMerge w:val="restart"/>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eastAsia"/>
                <w:b/>
                <w:bCs/>
                <w:u w:val="none"/>
                <w:lang w:val="en-US" w:eastAsia="zh-CN"/>
              </w:rPr>
              <w:t>监测期间</w:t>
            </w:r>
            <w:r>
              <w:rPr>
                <w:rFonts w:hint="default"/>
                <w:b/>
                <w:bCs/>
                <w:u w:val="none"/>
                <w:lang w:val="en-US" w:eastAsia="zh-CN"/>
              </w:rPr>
              <w:t>处理规模</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eastAsia"/>
                <w:b/>
                <w:bCs/>
                <w:u w:val="none"/>
                <w:lang w:val="en-US" w:eastAsia="zh-CN"/>
              </w:rPr>
              <w:t>kg/h</w:t>
            </w:r>
          </w:p>
        </w:tc>
        <w:tc>
          <w:tcPr>
            <w:tcW w:w="1133" w:type="dxa"/>
            <w:vMerge w:val="restart"/>
            <w:tcBorders>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产污系数</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eastAsia"/>
                <w:b/>
                <w:bCs/>
                <w:u w:val="none"/>
                <w:lang w:val="en-US" w:eastAsia="zh-CN"/>
              </w:rPr>
              <w:t>kg/kg-医疗废物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continue"/>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排放</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浓度</w:t>
            </w:r>
            <w:r>
              <w:rPr>
                <w:rFonts w:hint="eastAsia"/>
                <w:b/>
                <w:bCs/>
                <w:u w:val="none"/>
                <w:lang w:val="en-US" w:eastAsia="zh-CN"/>
              </w:rPr>
              <w:t>mg/m³</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排放</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速率</w:t>
            </w:r>
            <w:r>
              <w:rPr>
                <w:rFonts w:hint="eastAsia"/>
                <w:b/>
                <w:bCs/>
                <w:u w:val="none"/>
                <w:lang w:val="en-US" w:eastAsia="zh-CN"/>
              </w:rPr>
              <w:t>kg/h</w:t>
            </w: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1133" w:type="dxa"/>
            <w:vMerge w:val="continue"/>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restar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兴仁县医疗废物处置中心</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颗粒物</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活性炭+旋流塔+UV光氧</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16</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0.0636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85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b w:val="0"/>
                <w:bCs w:val="0"/>
                <w:u w:val="none"/>
                <w:lang w:val="en-US" w:eastAsia="zh-CN"/>
              </w:rPr>
            </w:pPr>
            <w:r>
              <w:rPr>
                <w:rFonts w:hint="eastAsia" w:ascii="Times New Roman" w:hAnsi="Times New Roman" w:eastAsia="宋体" w:cs="Times New Roman"/>
                <w:b w:val="0"/>
                <w:bCs w:val="0"/>
                <w:kern w:val="2"/>
                <w:sz w:val="21"/>
                <w:szCs w:val="24"/>
                <w:u w:val="none"/>
                <w:lang w:val="en-US" w:eastAsia="zh-CN" w:bidi="ar-SA"/>
              </w:rPr>
              <w:t>0.432653061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0.001081633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continue"/>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氨</w:t>
            </w: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0.6</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0.0024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0.048979592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0.000122449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continue"/>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硫化氢</w:t>
            </w: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0.0238</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95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0.001836735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4.59184</w:t>
            </w:r>
            <w:r>
              <w:rPr>
                <w:rFonts w:hint="default"/>
                <w:b w:val="0"/>
                <w:bCs w:val="0"/>
                <w:u w:val="none"/>
                <w:lang w:val="en-US" w:eastAsia="zh-CN"/>
              </w:rPr>
              <w:t>E-0</w:t>
            </w:r>
            <w:r>
              <w:rPr>
                <w:rFonts w:hint="eastAsia"/>
                <w:b w:val="0"/>
                <w:bCs w:val="0"/>
                <w:u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restart"/>
            <w:tcBorders>
              <w:top w:val="nil"/>
              <w:bottom w:val="nil"/>
              <w:right w:val="nil"/>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贞丰县医疗废物处置中心</w:t>
            </w:r>
            <w:r>
              <w:rPr>
                <w:rFonts w:hint="eastAsia"/>
                <w:b w:val="0"/>
                <w:bCs w:val="0"/>
                <w:u w:val="none"/>
                <w:lang w:val="en-US" w:eastAsia="zh-CN"/>
              </w:rPr>
              <w:t>（未对贮存设施废气进行收集治理）</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颗粒物</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二级过滤膜+活性炭</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16.9</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0.028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95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0.571428571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0.001142857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3" w:hRule="atLeast"/>
          <w:jc w:val="center"/>
        </w:trPr>
        <w:tc>
          <w:tcPr>
            <w:tcW w:w="2037" w:type="dxa"/>
            <w:vMerge w:val="continue"/>
            <w:tcBorders>
              <w:top w:val="nil"/>
              <w:bottom w:val="nil"/>
              <w:right w:val="nil"/>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氨</w:t>
            </w: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6.7</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65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0.032069971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6.41399E-05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continue"/>
            <w:tcBorders>
              <w:top w:val="nil"/>
              <w:bottom w:val="nil"/>
              <w:right w:val="nil"/>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硫化氢</w:t>
            </w: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2.44</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65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0.011661808</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2.33236</w:t>
            </w:r>
            <w:r>
              <w:rPr>
                <w:rFonts w:hint="default"/>
                <w:b w:val="0"/>
                <w:bCs w:val="0"/>
                <w:u w:val="none"/>
                <w:lang w:val="en-US" w:eastAsia="zh-CN"/>
              </w:rPr>
              <w:t>E-05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restar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平舆县诚信医疗环保科技有限公司医疗废物集中处置中心</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氨气</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旋流塔+两级过滤+UV+活性炭</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0.46</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0.00245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1E-04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2" w:hRule="atLeast"/>
          <w:jc w:val="center"/>
        </w:trPr>
        <w:tc>
          <w:tcPr>
            <w:tcW w:w="2037" w:type="dxa"/>
            <w:vMerge w:val="continue"/>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硫化氢</w:t>
            </w: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0.035</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0.000186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95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0.003795918</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7.59184</w:t>
            </w:r>
            <w:r>
              <w:rPr>
                <w:rFonts w:hint="default"/>
                <w:b w:val="0"/>
                <w:bCs w:val="0"/>
                <w:u w:val="none"/>
                <w:lang w:val="en-US" w:eastAsia="zh-CN"/>
              </w:rPr>
              <w:t>E-0</w:t>
            </w:r>
            <w:r>
              <w:rPr>
                <w:rFonts w:hint="eastAsia"/>
                <w:b w:val="0"/>
                <w:bCs w:val="0"/>
                <w:u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2" w:hRule="atLeast"/>
          <w:jc w:val="center"/>
        </w:trPr>
        <w:tc>
          <w:tcPr>
            <w:tcW w:w="2037" w:type="dxa"/>
            <w:vMerge w:val="continue"/>
            <w:tcBorders>
              <w:top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60"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eastAsia"/>
                <w:b w:val="0"/>
                <w:bCs w:val="0"/>
                <w:u w:val="none"/>
                <w:lang w:val="en-US" w:eastAsia="zh-CN"/>
              </w:rPr>
              <w:t>NMHC</w:t>
            </w:r>
          </w:p>
        </w:tc>
        <w:tc>
          <w:tcPr>
            <w:tcW w:w="958" w:type="dxa"/>
            <w:vMerge w:val="continue"/>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698"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7.5</w:t>
            </w:r>
          </w:p>
        </w:tc>
        <w:tc>
          <w:tcPr>
            <w:tcW w:w="83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0.0406</w:t>
            </w:r>
          </w:p>
        </w:tc>
        <w:tc>
          <w:tcPr>
            <w:tcW w:w="600"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60</w:t>
            </w:r>
          </w:p>
        </w:tc>
        <w:tc>
          <w:tcPr>
            <w:tcW w:w="61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w:t>
            </w:r>
          </w:p>
        </w:tc>
        <w:tc>
          <w:tcPr>
            <w:tcW w:w="126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0.103571429</w:t>
            </w:r>
          </w:p>
        </w:tc>
        <w:tc>
          <w:tcPr>
            <w:tcW w:w="88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1133" w:type="dxa"/>
            <w:tcBorders>
              <w:top w:val="single" w:color="000000" w:sz="4" w:space="0"/>
              <w:lef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0.000207143</w:t>
            </w:r>
          </w:p>
        </w:tc>
      </w:tr>
    </w:tbl>
    <w:p>
      <w:pPr>
        <w:topLinePunct/>
        <w:spacing w:line="360" w:lineRule="auto"/>
        <w:ind w:firstLine="482" w:firstLineChars="200"/>
        <w:rPr>
          <w:rFonts w:hint="eastAsia"/>
          <w:b/>
          <w:bCs/>
          <w:sz w:val="24"/>
          <w:u w:val="none"/>
          <w:lang w:eastAsia="zh-CN"/>
        </w:rPr>
      </w:pPr>
      <w:r>
        <w:rPr>
          <w:rFonts w:hint="eastAsia"/>
          <w:b/>
          <w:bCs/>
          <w:sz w:val="24"/>
          <w:u w:val="none"/>
          <w:lang w:eastAsia="zh-CN"/>
        </w:rPr>
        <w:t>注：表中监测结果源于企业自主验收信息平台上公示数据。</w:t>
      </w:r>
    </w:p>
    <w:p>
      <w:pPr>
        <w:topLinePunct/>
        <w:spacing w:line="360" w:lineRule="auto"/>
        <w:ind w:firstLine="480" w:firstLineChars="200"/>
        <w:rPr>
          <w:rFonts w:hint="eastAsia"/>
          <w:sz w:val="24"/>
          <w:u w:val="none"/>
          <w:lang w:eastAsia="zh-CN"/>
        </w:rPr>
      </w:pPr>
      <w:r>
        <w:rPr>
          <w:rFonts w:hint="eastAsia"/>
          <w:sz w:val="24"/>
          <w:u w:val="none"/>
          <w:lang w:eastAsia="zh-CN"/>
        </w:rPr>
        <w:t>本项目医疗废物处置工艺及设施设计处理规模与上述项目相同，本项目运营期间微波消毒处理系统处置规模按</w:t>
      </w:r>
      <w:r>
        <w:rPr>
          <w:rFonts w:hint="eastAsia"/>
          <w:sz w:val="24"/>
          <w:u w:val="none"/>
          <w:lang w:val="en-US" w:eastAsia="zh-CN"/>
        </w:rPr>
        <w:t>300kg/h计</w:t>
      </w:r>
      <w:r>
        <w:rPr>
          <w:rFonts w:hint="eastAsia"/>
          <w:sz w:val="24"/>
          <w:u w:val="none"/>
          <w:lang w:eastAsia="zh-CN"/>
        </w:rPr>
        <w:t>，根据上表核算的产污系数结果，考虑到本项目设备选型的先进性和成熟度，本项目各污染因子产污系数分别取：颗粒物，</w:t>
      </w:r>
      <w:r>
        <w:rPr>
          <w:rFonts w:hint="eastAsia"/>
          <w:sz w:val="24"/>
          <w:u w:val="none"/>
          <w:lang w:val="en-US" w:eastAsia="zh-CN"/>
        </w:rPr>
        <w:t>0.0011kg/kg-医疗废物；氨，0.0001kg/kg-医疗废物；硫化氢，0.000008kg/kg-医疗废物；挥发性有机物，0.0002kg/kg-医疗废物。由此，</w:t>
      </w:r>
      <w:r>
        <w:rPr>
          <w:rFonts w:hint="eastAsia"/>
          <w:sz w:val="24"/>
          <w:u w:val="none"/>
          <w:lang w:eastAsia="zh-CN"/>
        </w:rPr>
        <w:t>可估算出本项目污染源源强，本项目各污染源产排情况如下：</w:t>
      </w:r>
    </w:p>
    <w:p>
      <w:pPr>
        <w:topLinePunct/>
        <w:spacing w:line="360" w:lineRule="auto"/>
        <w:ind w:firstLine="482" w:firstLineChars="200"/>
        <w:rPr>
          <w:rFonts w:hint="default"/>
          <w:b/>
          <w:bCs/>
          <w:sz w:val="24"/>
          <w:u w:val="none"/>
          <w:lang w:val="en-US" w:eastAsia="zh-CN"/>
        </w:rPr>
      </w:pPr>
      <w:r>
        <w:rPr>
          <w:rFonts w:hint="eastAsia"/>
          <w:b/>
          <w:bCs/>
          <w:sz w:val="24"/>
          <w:u w:val="none"/>
          <w:lang w:val="en-US" w:eastAsia="zh-CN"/>
        </w:rPr>
        <w:t>1、有组织废气</w:t>
      </w:r>
    </w:p>
    <w:p>
      <w:pPr>
        <w:topLinePunct/>
        <w:spacing w:line="360" w:lineRule="auto"/>
        <w:ind w:firstLine="482" w:firstLineChars="200"/>
        <w:rPr>
          <w:rFonts w:hint="eastAsia"/>
          <w:b/>
          <w:bCs/>
          <w:sz w:val="24"/>
          <w:u w:val="none"/>
          <w:lang w:val="en-US" w:eastAsia="zh-CN"/>
        </w:rPr>
      </w:pPr>
      <w:r>
        <w:rPr>
          <w:rFonts w:hint="eastAsia"/>
          <w:b/>
          <w:bCs/>
          <w:sz w:val="24"/>
          <w:u w:val="none"/>
          <w:lang w:val="en-US" w:eastAsia="zh-CN"/>
        </w:rPr>
        <w:t>（1）卸料、贮存库废气</w:t>
      </w:r>
    </w:p>
    <w:p>
      <w:pPr>
        <w:topLinePunct/>
        <w:spacing w:line="360" w:lineRule="auto"/>
        <w:ind w:firstLine="480" w:firstLineChars="200"/>
        <w:rPr>
          <w:rFonts w:hint="eastAsia"/>
          <w:b w:val="0"/>
          <w:bCs w:val="0"/>
          <w:sz w:val="24"/>
          <w:u w:val="none"/>
          <w:lang w:val="en-US" w:eastAsia="zh-CN"/>
        </w:rPr>
      </w:pPr>
      <w:r>
        <w:rPr>
          <w:rFonts w:hint="eastAsia"/>
          <w:b w:val="0"/>
          <w:bCs w:val="0"/>
          <w:sz w:val="24"/>
          <w:u w:val="none"/>
          <w:lang w:val="en-US" w:eastAsia="zh-CN"/>
        </w:rPr>
        <w:t>拟建项目卸料、贮存库废气主要为恶臭气体，恶臭气体主要成分为NH</w:t>
      </w:r>
      <w:r>
        <w:rPr>
          <w:rFonts w:hint="eastAsia"/>
          <w:b w:val="0"/>
          <w:bCs w:val="0"/>
          <w:sz w:val="24"/>
          <w:u w:val="none"/>
          <w:vertAlign w:val="subscript"/>
          <w:lang w:val="en-US" w:eastAsia="zh-CN"/>
        </w:rPr>
        <w:t>3</w:t>
      </w:r>
      <w:r>
        <w:rPr>
          <w:rFonts w:hint="eastAsia"/>
          <w:b w:val="0"/>
          <w:bCs w:val="0"/>
          <w:sz w:val="24"/>
          <w:u w:val="none"/>
          <w:lang w:val="en-US" w:eastAsia="zh-CN"/>
        </w:rPr>
        <w:t>、H</w:t>
      </w:r>
      <w:r>
        <w:rPr>
          <w:rFonts w:hint="eastAsia"/>
          <w:b w:val="0"/>
          <w:bCs w:val="0"/>
          <w:sz w:val="24"/>
          <w:u w:val="none"/>
          <w:vertAlign w:val="subscript"/>
          <w:lang w:val="en-US" w:eastAsia="zh-CN"/>
        </w:rPr>
        <w:t>2</w:t>
      </w:r>
      <w:r>
        <w:rPr>
          <w:rFonts w:hint="eastAsia"/>
          <w:b w:val="0"/>
          <w:bCs w:val="0"/>
          <w:sz w:val="24"/>
          <w:u w:val="none"/>
          <w:lang w:val="en-US" w:eastAsia="zh-CN"/>
        </w:rPr>
        <w:t>S等。</w:t>
      </w:r>
    </w:p>
    <w:p>
      <w:pPr>
        <w:topLinePunct/>
        <w:spacing w:line="360" w:lineRule="auto"/>
        <w:ind w:firstLine="482" w:firstLineChars="200"/>
        <w:rPr>
          <w:rFonts w:hint="default"/>
          <w:b/>
          <w:bCs/>
          <w:sz w:val="24"/>
          <w:u w:val="none"/>
          <w:lang w:val="en-US" w:eastAsia="zh-CN"/>
        </w:rPr>
      </w:pPr>
      <w:r>
        <w:rPr>
          <w:rFonts w:hint="eastAsia"/>
          <w:b/>
          <w:bCs/>
          <w:sz w:val="24"/>
          <w:u w:val="none"/>
          <w:lang w:val="en-US" w:eastAsia="zh-CN"/>
        </w:rPr>
        <w:t>治理措施：</w:t>
      </w:r>
    </w:p>
    <w:p>
      <w:pPr>
        <w:topLinePunct/>
        <w:spacing w:line="360" w:lineRule="auto"/>
        <w:ind w:firstLine="480" w:firstLineChars="200"/>
        <w:rPr>
          <w:rFonts w:hint="eastAsia"/>
          <w:sz w:val="24"/>
          <w:u w:val="none"/>
          <w:lang w:val="en-US" w:eastAsia="zh-CN"/>
        </w:rPr>
      </w:pPr>
      <w:r>
        <w:rPr>
          <w:rFonts w:hint="eastAsia"/>
          <w:sz w:val="24"/>
          <w:u w:val="none"/>
          <w:lang w:val="en-US" w:eastAsia="zh-CN"/>
        </w:rPr>
        <w:t>医疗废物冷藏间保持微负压状态，确保废气捕集效率不低于98%，冷藏间废气经机械通风系统收集进入微波消毒处理系统配套建设的废气处理系统处理，净化后的尾气由1根15高的排气筒（DA001）排放。拟建冷藏库容积为100m³，冷库换气频率为15次/h，废气产生量约为1500m³/h。</w:t>
      </w:r>
    </w:p>
    <w:p>
      <w:pPr>
        <w:topLinePunct/>
        <w:spacing w:line="360" w:lineRule="auto"/>
        <w:ind w:firstLine="482" w:firstLineChars="200"/>
        <w:rPr>
          <w:rFonts w:hint="eastAsia"/>
          <w:b/>
          <w:bCs/>
          <w:sz w:val="24"/>
          <w:u w:val="none"/>
          <w:lang w:val="en-US" w:eastAsia="zh-CN"/>
        </w:rPr>
      </w:pPr>
      <w:r>
        <w:rPr>
          <w:rFonts w:hint="eastAsia"/>
          <w:b/>
          <w:bCs/>
          <w:sz w:val="24"/>
          <w:u w:val="none"/>
          <w:lang w:val="en-US" w:eastAsia="zh-CN"/>
        </w:rPr>
        <w:t>（2）破碎、微波消毒处理系统废气</w:t>
      </w:r>
    </w:p>
    <w:p>
      <w:pPr>
        <w:topLinePunct/>
        <w:spacing w:line="360" w:lineRule="auto"/>
        <w:ind w:firstLine="480" w:firstLineChars="200"/>
        <w:rPr>
          <w:rFonts w:hint="eastAsia"/>
          <w:sz w:val="24"/>
          <w:u w:val="none"/>
          <w:lang w:val="en-US" w:eastAsia="zh-CN"/>
        </w:rPr>
      </w:pPr>
      <w:r>
        <w:rPr>
          <w:rFonts w:hint="eastAsia"/>
          <w:sz w:val="24"/>
          <w:u w:val="none"/>
          <w:lang w:val="en-US" w:eastAsia="zh-CN"/>
        </w:rPr>
        <w:t>破碎及微波消毒处理系统中产生的废气主要来自于破碎过程中产生的恶臭气体、粉尘及消毒过程中产生的氨、硫化氢、挥发性有机污染物等废气，上述废气将在破碎及消毒系统进料口处逸出。</w:t>
      </w:r>
    </w:p>
    <w:p>
      <w:pPr>
        <w:topLinePunct/>
        <w:spacing w:line="360" w:lineRule="auto"/>
        <w:ind w:firstLine="482" w:firstLineChars="200"/>
        <w:rPr>
          <w:rFonts w:hint="eastAsia"/>
          <w:b/>
          <w:bCs/>
          <w:sz w:val="24"/>
          <w:u w:val="none"/>
          <w:lang w:val="en-US" w:eastAsia="zh-CN"/>
        </w:rPr>
      </w:pPr>
      <w:r>
        <w:rPr>
          <w:rFonts w:hint="eastAsia"/>
          <w:b/>
          <w:bCs/>
          <w:sz w:val="24"/>
          <w:u w:val="none"/>
          <w:lang w:val="en-US" w:eastAsia="zh-CN"/>
        </w:rPr>
        <w:t>治理措施：</w:t>
      </w:r>
    </w:p>
    <w:p>
      <w:pPr>
        <w:topLinePunct/>
        <w:spacing w:line="360" w:lineRule="auto"/>
        <w:ind w:firstLine="480" w:firstLineChars="200"/>
        <w:rPr>
          <w:rFonts w:hint="eastAsia"/>
          <w:sz w:val="24"/>
          <w:u w:val="none"/>
          <w:lang w:val="en-US" w:eastAsia="zh-CN"/>
        </w:rPr>
      </w:pPr>
      <w:r>
        <w:rPr>
          <w:rFonts w:hint="eastAsia"/>
          <w:sz w:val="24"/>
          <w:u w:val="none"/>
          <w:lang w:val="en-US" w:eastAsia="zh-CN"/>
        </w:rPr>
        <w:t>本项目破碎及微波消毒系统同在同一套密闭设备内，本项目在破碎及消毒气筒进料口设置集气罩，采用1000m³/h引风机将破碎产生的恶臭、粉尘气体抽至废气处理系统处理，同时使整个微波消毒系统内容保持微负压状态，却不废气捕集效率不低于98%。</w:t>
      </w:r>
    </w:p>
    <w:p>
      <w:pPr>
        <w:topLinePunct/>
        <w:spacing w:line="360" w:lineRule="auto"/>
        <w:ind w:firstLine="480" w:firstLineChars="200"/>
        <w:rPr>
          <w:rFonts w:hint="eastAsia" w:ascii="Times New Roman" w:hAnsi="Times New Roman" w:cs="Times New Roman"/>
          <w:sz w:val="24"/>
          <w:u w:val="none"/>
          <w:lang w:val="en-US" w:eastAsia="zh-CN"/>
        </w:rPr>
      </w:pPr>
      <w:r>
        <w:rPr>
          <w:rFonts w:hint="eastAsia"/>
          <w:sz w:val="24"/>
          <w:u w:val="none"/>
          <w:lang w:val="en-US" w:eastAsia="zh-CN"/>
        </w:rPr>
        <w:t>废气处理系统，废气先经旋流塔，进行降温、除尘、除异味，然后进入两级过滤除菌装置，进行除尘和除菌，两级过滤膜尺寸≤0.2</w:t>
      </w:r>
      <w:r>
        <w:rPr>
          <w:rFonts w:hint="default" w:ascii="Times New Roman" w:hAnsi="Times New Roman" w:cs="Times New Roman"/>
          <w:sz w:val="24"/>
          <w:u w:val="none"/>
          <w:lang w:val="en-US" w:eastAsia="zh-CN"/>
        </w:rPr>
        <w:t>μm</w:t>
      </w:r>
      <w:r>
        <w:rPr>
          <w:rFonts w:hint="eastAsia" w:ascii="Times New Roman" w:hAnsi="Times New Roman" w:cs="Times New Roman"/>
          <w:sz w:val="24"/>
          <w:u w:val="none"/>
          <w:lang w:val="en-US" w:eastAsia="zh-CN"/>
        </w:rPr>
        <w:t>，耐温不低于140℃，过滤效率99%以上，可有效去除废气中的病原微生物；最后废气进入UV光催化氧化装置及活性炭吸附装置，进一步去除废气中的恶臭气体硫化氢和氨，同时也将废气中的挥发性有机污染物加以氧化吸收。废气经过上述四级处理后，净化后的尾气由1根15m高的排气筒（DA001）排放。</w:t>
      </w:r>
    </w:p>
    <w:p>
      <w:pPr>
        <w:topLinePunct/>
        <w:spacing w:line="360" w:lineRule="auto"/>
        <w:ind w:firstLine="482" w:firstLineChars="200"/>
        <w:rPr>
          <w:rFonts w:hint="eastAsia" w:eastAsia="宋体"/>
          <w:b/>
          <w:bCs/>
          <w:sz w:val="24"/>
          <w:u w:val="none"/>
          <w:lang w:val="en-US" w:eastAsia="zh-CN"/>
        </w:rPr>
      </w:pPr>
      <w:r>
        <w:rPr>
          <w:rFonts w:hint="eastAsia"/>
          <w:b/>
          <w:bCs/>
          <w:sz w:val="24"/>
          <w:u w:val="none"/>
          <w:lang w:val="en-US" w:eastAsia="zh-CN"/>
        </w:rPr>
        <w:t>（3）食堂油烟</w:t>
      </w:r>
    </w:p>
    <w:p>
      <w:pPr>
        <w:topLinePunct/>
        <w:spacing w:line="360" w:lineRule="auto"/>
        <w:ind w:firstLine="480" w:firstLineChars="200"/>
        <w:rPr>
          <w:sz w:val="24"/>
          <w:u w:val="none"/>
        </w:rPr>
      </w:pPr>
      <w:r>
        <w:rPr>
          <w:sz w:val="24"/>
          <w:u w:val="none"/>
        </w:rPr>
        <w:t>油烟是由动植物油脂在高温加热情况下的挥发物凝聚而成，形成的气溶胶离子具有粒径细微、粘附性较强的特点。油烟中含有油雾滴、醛类、酮类、烷烃类、多环芳烃类等有机污染物。</w:t>
      </w:r>
    </w:p>
    <w:p>
      <w:pPr>
        <w:topLinePunct/>
        <w:spacing w:line="360" w:lineRule="auto"/>
        <w:ind w:firstLine="480" w:firstLineChars="200"/>
        <w:rPr>
          <w:sz w:val="24"/>
          <w:u w:val="none"/>
        </w:rPr>
      </w:pPr>
      <w:r>
        <w:rPr>
          <w:sz w:val="24"/>
          <w:u w:val="none"/>
        </w:rPr>
        <w:t>本项目</w:t>
      </w:r>
      <w:r>
        <w:rPr>
          <w:rFonts w:hint="eastAsia" w:eastAsia="宋体"/>
          <w:sz w:val="24"/>
          <w:u w:val="none"/>
          <w:lang w:eastAsia="zh-CN"/>
        </w:rPr>
        <w:t>劳动定员</w:t>
      </w:r>
      <w:r>
        <w:rPr>
          <w:rFonts w:hint="eastAsia"/>
          <w:sz w:val="24"/>
          <w:u w:val="none"/>
          <w:lang w:val="en-US" w:eastAsia="zh-CN"/>
        </w:rPr>
        <w:t>20</w:t>
      </w:r>
      <w:r>
        <w:rPr>
          <w:sz w:val="24"/>
          <w:u w:val="none"/>
        </w:rPr>
        <w:t>人，</w:t>
      </w:r>
      <w:r>
        <w:rPr>
          <w:rFonts w:hint="eastAsia" w:eastAsia="宋体"/>
          <w:sz w:val="24"/>
          <w:u w:val="none"/>
          <w:lang w:eastAsia="zh-CN"/>
        </w:rPr>
        <w:t>每餐</w:t>
      </w:r>
      <w:r>
        <w:rPr>
          <w:sz w:val="24"/>
          <w:u w:val="none"/>
        </w:rPr>
        <w:t>食堂用餐人数为</w:t>
      </w:r>
      <w:r>
        <w:rPr>
          <w:rFonts w:hint="eastAsia"/>
          <w:sz w:val="24"/>
          <w:u w:val="none"/>
          <w:lang w:val="en-US" w:eastAsia="zh-CN"/>
        </w:rPr>
        <w:t>20</w:t>
      </w:r>
      <w:r>
        <w:rPr>
          <w:sz w:val="24"/>
          <w:u w:val="none"/>
        </w:rPr>
        <w:t>人，食堂设灶头</w:t>
      </w:r>
      <w:r>
        <w:rPr>
          <w:rFonts w:hint="eastAsia"/>
          <w:sz w:val="24"/>
          <w:u w:val="none"/>
          <w:lang w:val="en-US" w:eastAsia="zh-CN"/>
        </w:rPr>
        <w:t>4</w:t>
      </w:r>
      <w:r>
        <w:rPr>
          <w:sz w:val="24"/>
          <w:u w:val="none"/>
        </w:rPr>
        <w:t>口，为中型规模，人均</w:t>
      </w:r>
      <w:r>
        <w:rPr>
          <w:rFonts w:hint="eastAsia" w:eastAsia="宋体"/>
          <w:sz w:val="24"/>
          <w:u w:val="none"/>
          <w:lang w:eastAsia="zh-CN"/>
        </w:rPr>
        <w:t>每天</w:t>
      </w:r>
      <w:r>
        <w:rPr>
          <w:sz w:val="24"/>
          <w:u w:val="none"/>
        </w:rPr>
        <w:t>食用油以30g计，则食用油使用量为</w:t>
      </w:r>
      <w:r>
        <w:rPr>
          <w:rFonts w:hint="eastAsia"/>
          <w:sz w:val="24"/>
          <w:u w:val="none"/>
          <w:lang w:val="en-US" w:eastAsia="zh-CN"/>
        </w:rPr>
        <w:t>0.6</w:t>
      </w:r>
      <w:r>
        <w:rPr>
          <w:sz w:val="24"/>
          <w:u w:val="none"/>
        </w:rPr>
        <w:t>kg/d（</w:t>
      </w:r>
      <w:r>
        <w:rPr>
          <w:rFonts w:hint="eastAsia"/>
          <w:sz w:val="24"/>
          <w:u w:val="none"/>
          <w:lang w:val="en-US" w:eastAsia="zh-CN"/>
        </w:rPr>
        <w:t>0.219</w:t>
      </w:r>
      <w:r>
        <w:rPr>
          <w:sz w:val="24"/>
          <w:u w:val="none"/>
        </w:rPr>
        <w:t>t/a）。烹饪过程油的挥发损失率约为2~3.5%，取最高值3.5%，则油烟产生量为</w:t>
      </w:r>
      <w:r>
        <w:rPr>
          <w:rFonts w:hint="eastAsia"/>
          <w:sz w:val="24"/>
          <w:u w:val="none"/>
          <w:lang w:val="en-US" w:eastAsia="zh-CN"/>
        </w:rPr>
        <w:t>0.021</w:t>
      </w:r>
      <w:r>
        <w:rPr>
          <w:sz w:val="24"/>
          <w:u w:val="none"/>
        </w:rPr>
        <w:t>kg/d（</w:t>
      </w:r>
      <w:r>
        <w:rPr>
          <w:rFonts w:hint="eastAsia"/>
          <w:sz w:val="24"/>
          <w:u w:val="none"/>
          <w:lang w:val="en-US" w:eastAsia="zh-CN"/>
        </w:rPr>
        <w:t>0.008</w:t>
      </w:r>
      <w:r>
        <w:rPr>
          <w:sz w:val="24"/>
          <w:u w:val="none"/>
        </w:rPr>
        <w:t>t/a）。</w:t>
      </w:r>
    </w:p>
    <w:p>
      <w:pPr>
        <w:topLinePunct/>
        <w:spacing w:line="360" w:lineRule="auto"/>
        <w:ind w:firstLine="482" w:firstLineChars="200"/>
        <w:rPr>
          <w:rFonts w:hint="eastAsia" w:cs="Times New Roman"/>
          <w:b/>
          <w:bCs/>
          <w:sz w:val="24"/>
          <w:u w:val="none"/>
          <w:lang w:val="en-US" w:eastAsia="zh-CN"/>
        </w:rPr>
      </w:pPr>
      <w:r>
        <w:rPr>
          <w:rFonts w:hint="eastAsia" w:cs="Times New Roman"/>
          <w:b/>
          <w:bCs/>
          <w:sz w:val="24"/>
          <w:u w:val="none"/>
          <w:lang w:val="en-US" w:eastAsia="zh-CN"/>
        </w:rPr>
        <w:t>治理措施：</w:t>
      </w:r>
    </w:p>
    <w:p>
      <w:pPr>
        <w:topLinePunct/>
        <w:spacing w:line="360" w:lineRule="auto"/>
        <w:ind w:firstLine="480" w:firstLineChars="200"/>
        <w:rPr>
          <w:rFonts w:hint="default" w:cs="Times New Roman"/>
          <w:sz w:val="24"/>
          <w:u w:val="none"/>
          <w:lang w:val="en-US" w:eastAsia="zh-CN"/>
        </w:rPr>
      </w:pPr>
      <w:r>
        <w:rPr>
          <w:rFonts w:hint="eastAsia" w:cs="Times New Roman"/>
          <w:sz w:val="24"/>
          <w:u w:val="none"/>
          <w:lang w:val="en-US" w:eastAsia="zh-CN"/>
        </w:rPr>
        <w:t>本项目拟建设1套净化效率为85%的油烟净化器用于食堂油烟的治理，项目在食堂各灶头上方设置集气罩，总风量按3000m³/h计，用于收集烹饪过程中挥发出来的油烟，捕集的废气经油烟净化器净化后尾气由烟囱引至楼顶排放，排放浓度为1.3mg/m³，小于《饮食业油烟排放标准》（GB18483-2001）中2.0mg/m³的限值要求。</w:t>
      </w:r>
    </w:p>
    <w:p>
      <w:pPr>
        <w:topLinePunct/>
        <w:spacing w:line="360" w:lineRule="auto"/>
        <w:ind w:firstLine="482" w:firstLineChars="200"/>
        <w:rPr>
          <w:rFonts w:hint="eastAsia" w:ascii="Times New Roman" w:hAnsi="Times New Roman" w:cs="Times New Roman"/>
          <w:b/>
          <w:bCs/>
          <w:sz w:val="24"/>
          <w:u w:val="none"/>
          <w:lang w:val="en-US" w:eastAsia="zh-CN"/>
        </w:rPr>
      </w:pPr>
      <w:r>
        <w:rPr>
          <w:rFonts w:hint="eastAsia" w:ascii="Times New Roman" w:hAnsi="Times New Roman" w:cs="Times New Roman"/>
          <w:b/>
          <w:bCs/>
          <w:sz w:val="24"/>
          <w:u w:val="none"/>
          <w:lang w:val="en-US" w:eastAsia="zh-CN"/>
        </w:rPr>
        <w:t>2、无组织废气</w:t>
      </w:r>
    </w:p>
    <w:p>
      <w:pPr>
        <w:topLinePunct/>
        <w:spacing w:line="360" w:lineRule="auto"/>
        <w:ind w:firstLine="480" w:firstLineChars="200"/>
        <w:rPr>
          <w:rFonts w:hint="default" w:ascii="Times New Roman" w:hAnsi="Times New Roman" w:cs="Times New Roman"/>
          <w:sz w:val="24"/>
          <w:u w:val="none"/>
          <w:lang w:val="en-US" w:eastAsia="zh-CN"/>
        </w:rPr>
      </w:pPr>
      <w:r>
        <w:rPr>
          <w:rFonts w:hint="eastAsia" w:cs="Times New Roman"/>
          <w:sz w:val="24"/>
          <w:u w:val="none"/>
          <w:lang w:val="en-US" w:eastAsia="zh-CN"/>
        </w:rPr>
        <w:t>本项目</w:t>
      </w:r>
      <w:r>
        <w:rPr>
          <w:rFonts w:hint="eastAsia" w:ascii="Times New Roman" w:hAnsi="Times New Roman" w:cs="Times New Roman"/>
          <w:sz w:val="24"/>
          <w:u w:val="none"/>
          <w:lang w:val="en-US" w:eastAsia="zh-CN"/>
        </w:rPr>
        <w:t>医疗废物在厂区内运输、装卸</w:t>
      </w:r>
      <w:r>
        <w:rPr>
          <w:rFonts w:hint="eastAsia" w:cs="Times New Roman"/>
          <w:sz w:val="24"/>
          <w:u w:val="none"/>
          <w:lang w:val="en-US" w:eastAsia="zh-CN"/>
        </w:rPr>
        <w:t>、贮存及处置</w:t>
      </w:r>
      <w:r>
        <w:rPr>
          <w:rFonts w:hint="eastAsia" w:ascii="Times New Roman" w:hAnsi="Times New Roman" w:cs="Times New Roman"/>
          <w:sz w:val="24"/>
          <w:u w:val="none"/>
          <w:lang w:val="en-US" w:eastAsia="zh-CN"/>
        </w:rPr>
        <w:t>过程中，</w:t>
      </w:r>
      <w:r>
        <w:rPr>
          <w:rFonts w:hint="eastAsia" w:cs="Times New Roman"/>
          <w:sz w:val="24"/>
          <w:u w:val="none"/>
          <w:lang w:val="en-US" w:eastAsia="zh-CN"/>
        </w:rPr>
        <w:t>未被集气系统捕集的少量恶臭气体呈无组织排放</w:t>
      </w:r>
      <w:r>
        <w:rPr>
          <w:rFonts w:hint="eastAsia" w:ascii="Times New Roman" w:hAnsi="Times New Roman" w:cs="Times New Roman"/>
          <w:sz w:val="24"/>
          <w:u w:val="none"/>
          <w:lang w:val="en-US" w:eastAsia="zh-CN"/>
        </w:rPr>
        <w:t>，</w:t>
      </w:r>
      <w:r>
        <w:rPr>
          <w:rFonts w:hint="eastAsia" w:cs="Times New Roman"/>
          <w:sz w:val="24"/>
          <w:u w:val="none"/>
          <w:lang w:val="en-US" w:eastAsia="zh-CN"/>
        </w:rPr>
        <w:t>另外，项目厂区西北侧的污水处理站在处理废水时会有部分恶臭气体进入大气中。综上，本项目臭气主要位于卸料区、生产区及冷库，臭气主要成份是硫化去、氨和低级脂肪氨等，项目臭气浓度（无量纲）在20~30之间。</w:t>
      </w:r>
    </w:p>
    <w:p>
      <w:pPr>
        <w:topLinePunct/>
        <w:spacing w:line="360" w:lineRule="auto"/>
        <w:ind w:firstLine="482" w:firstLineChars="200"/>
        <w:rPr>
          <w:rFonts w:hint="eastAsia"/>
          <w:b/>
          <w:bCs/>
          <w:sz w:val="24"/>
          <w:u w:val="none"/>
          <w:lang w:eastAsia="zh-CN"/>
        </w:rPr>
      </w:pPr>
      <w:r>
        <w:rPr>
          <w:rFonts w:hint="eastAsia"/>
          <w:b/>
          <w:bCs/>
          <w:sz w:val="24"/>
          <w:u w:val="none"/>
          <w:lang w:eastAsia="zh-CN"/>
        </w:rPr>
        <w:t>治理措施：</w:t>
      </w:r>
    </w:p>
    <w:p>
      <w:pPr>
        <w:topLinePunct/>
        <w:spacing w:line="360" w:lineRule="auto"/>
        <w:ind w:firstLine="480" w:firstLineChars="200"/>
        <w:rPr>
          <w:rFonts w:hint="eastAsia"/>
          <w:sz w:val="24"/>
          <w:u w:val="none"/>
          <w:lang w:eastAsia="zh-CN"/>
        </w:rPr>
      </w:pPr>
      <w:r>
        <w:rPr>
          <w:rFonts w:hint="eastAsia"/>
          <w:sz w:val="24"/>
          <w:u w:val="none"/>
          <w:lang w:eastAsia="zh-CN"/>
        </w:rPr>
        <w:t>项目拟将卸料区、生厂区及冷库建成封闭设施，并配套集气系统，收集的臭气采用过滤、氧化和吸附等方法除臭；未被收集的臭气，建设单位拟在厂区内大量布置绿化植被，同时定期在污水处理站调节池、污泥池等喷洒除臭剂，以降低无组织恶臭气体对周围环境的影响。</w:t>
      </w:r>
    </w:p>
    <w:p>
      <w:pPr>
        <w:topLinePunct/>
        <w:spacing w:line="360" w:lineRule="auto"/>
        <w:ind w:firstLine="480" w:firstLineChars="200"/>
        <w:rPr>
          <w:rFonts w:hint="default"/>
          <w:sz w:val="24"/>
          <w:u w:val="none"/>
          <w:lang w:val="en-US" w:eastAsia="zh-CN"/>
        </w:rPr>
      </w:pPr>
      <w:r>
        <w:rPr>
          <w:rFonts w:hint="eastAsia" w:cs="Times New Roman"/>
          <w:sz w:val="24"/>
          <w:u w:val="none"/>
          <w:lang w:val="en-US" w:eastAsia="zh-CN"/>
        </w:rPr>
        <w:t>类比同类项目环评报告和验收监测报告，本项目无组织废气含H</w:t>
      </w:r>
      <w:r>
        <w:rPr>
          <w:rFonts w:hint="eastAsia" w:cs="Times New Roman"/>
          <w:sz w:val="24"/>
          <w:u w:val="none"/>
          <w:vertAlign w:val="subscript"/>
          <w:lang w:val="en-US" w:eastAsia="zh-CN"/>
        </w:rPr>
        <w:t>2</w:t>
      </w:r>
      <w:r>
        <w:rPr>
          <w:rFonts w:hint="eastAsia" w:cs="Times New Roman"/>
          <w:sz w:val="24"/>
          <w:u w:val="none"/>
          <w:lang w:val="en-US" w:eastAsia="zh-CN"/>
        </w:rPr>
        <w:t>S0.00048kg/h、NH</w:t>
      </w:r>
      <w:r>
        <w:rPr>
          <w:rFonts w:hint="eastAsia" w:cs="Times New Roman"/>
          <w:sz w:val="24"/>
          <w:u w:val="none"/>
          <w:vertAlign w:val="subscript"/>
          <w:lang w:val="en-US" w:eastAsia="zh-CN"/>
        </w:rPr>
        <w:t>3</w:t>
      </w:r>
      <w:r>
        <w:rPr>
          <w:rFonts w:hint="eastAsia" w:cs="Times New Roman"/>
          <w:sz w:val="24"/>
          <w:u w:val="none"/>
          <w:lang w:val="en-US" w:eastAsia="zh-CN"/>
        </w:rPr>
        <w:t>0.006kg/h，而臭气浓度（无量纲）在8~12之间。</w:t>
      </w:r>
    </w:p>
    <w:p>
      <w:pPr>
        <w:topLinePunct/>
        <w:spacing w:line="360" w:lineRule="auto"/>
        <w:ind w:firstLine="480" w:firstLineChars="200"/>
        <w:rPr>
          <w:b/>
          <w:bCs/>
          <w:szCs w:val="21"/>
          <w:u w:val="none"/>
        </w:rPr>
      </w:pPr>
      <w:r>
        <w:rPr>
          <w:rFonts w:hint="eastAsia"/>
          <w:sz w:val="24"/>
          <w:u w:val="none"/>
          <w:lang w:eastAsia="zh-CN"/>
        </w:rPr>
        <w:t>综上所述，本项目采取上述废气治理措施后，项目废气产排情况汇总如下</w:t>
      </w:r>
      <w:r>
        <w:rPr>
          <w:sz w:val="24"/>
          <w:u w:val="none"/>
        </w:rPr>
        <w:t>。</w:t>
      </w:r>
    </w:p>
    <w:p>
      <w:pPr>
        <w:topLinePunct/>
        <w:spacing w:line="360" w:lineRule="auto"/>
        <w:ind w:firstLine="480" w:firstLineChars="200"/>
        <w:rPr>
          <w:sz w:val="24"/>
          <w:u w:val="none"/>
        </w:rPr>
        <w:sectPr>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pStyle w:val="352"/>
        <w:rPr>
          <w:rFonts w:hint="eastAsia"/>
          <w:b/>
          <w:bCs/>
          <w:u w:val="none"/>
          <w:lang w:val="en-US" w:eastAsia="zh-CN"/>
        </w:rPr>
      </w:pPr>
      <w:r>
        <w:rPr>
          <w:rFonts w:hint="eastAsia"/>
          <w:b/>
          <w:bCs/>
          <w:u w:val="none"/>
          <w:lang w:val="en-US" w:eastAsia="zh-CN"/>
        </w:rPr>
        <w:t>表3-15  本项目废气产生及排放情况</w:t>
      </w:r>
    </w:p>
    <w:tbl>
      <w:tblPr>
        <w:tblStyle w:val="58"/>
        <w:tblW w:w="14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65"/>
        <w:gridCol w:w="1356"/>
        <w:gridCol w:w="900"/>
        <w:gridCol w:w="879"/>
        <w:gridCol w:w="756"/>
        <w:gridCol w:w="1078"/>
        <w:gridCol w:w="982"/>
        <w:gridCol w:w="902"/>
        <w:gridCol w:w="1346"/>
        <w:gridCol w:w="642"/>
        <w:gridCol w:w="780"/>
        <w:gridCol w:w="930"/>
        <w:gridCol w:w="1005"/>
        <w:gridCol w:w="897"/>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0" w:hRule="atLeast"/>
          <w:jc w:val="center"/>
        </w:trPr>
        <w:tc>
          <w:tcPr>
            <w:tcW w:w="765"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工序/生产线</w:t>
            </w:r>
          </w:p>
        </w:tc>
        <w:tc>
          <w:tcPr>
            <w:tcW w:w="135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装置</w:t>
            </w:r>
          </w:p>
        </w:tc>
        <w:tc>
          <w:tcPr>
            <w:tcW w:w="90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污染源</w:t>
            </w:r>
          </w:p>
        </w:tc>
        <w:tc>
          <w:tcPr>
            <w:tcW w:w="879"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污染</w:t>
            </w:r>
            <w:r>
              <w:rPr>
                <w:rFonts w:hint="eastAsia"/>
                <w:u w:val="none"/>
                <w:lang w:val="en-US" w:eastAsia="zh-CN"/>
              </w:rPr>
              <w:t>物</w:t>
            </w:r>
          </w:p>
        </w:tc>
        <w:tc>
          <w:tcPr>
            <w:tcW w:w="3718" w:type="dxa"/>
            <w:gridSpan w:val="4"/>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污染物产生</w:t>
            </w:r>
          </w:p>
        </w:tc>
        <w:tc>
          <w:tcPr>
            <w:tcW w:w="1988" w:type="dxa"/>
            <w:gridSpan w:val="2"/>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治理措施</w:t>
            </w:r>
          </w:p>
        </w:tc>
        <w:tc>
          <w:tcPr>
            <w:tcW w:w="3612" w:type="dxa"/>
            <w:gridSpan w:val="4"/>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污染物排放</w:t>
            </w:r>
          </w:p>
        </w:tc>
        <w:tc>
          <w:tcPr>
            <w:tcW w:w="887"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continue"/>
            <w:shd w:val="clear" w:color="auto" w:fill="FFFF0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1356" w:type="dxa"/>
            <w:vMerge w:val="continue"/>
            <w:shd w:val="clear" w:color="auto" w:fill="FFFF0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900" w:type="dxa"/>
            <w:vMerge w:val="continue"/>
            <w:shd w:val="clear" w:color="auto" w:fill="FFFF0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879" w:type="dxa"/>
            <w:vMerge w:val="continue"/>
            <w:shd w:val="clear" w:color="auto" w:fill="FFFF0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756"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核算方法</w:t>
            </w:r>
          </w:p>
        </w:tc>
        <w:tc>
          <w:tcPr>
            <w:tcW w:w="1078"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废气产生量（m³/h）</w:t>
            </w: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产生浓度（mg/m³）</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产生量（kg/h）</w:t>
            </w:r>
          </w:p>
        </w:tc>
        <w:tc>
          <w:tcPr>
            <w:tcW w:w="1346"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工艺</w:t>
            </w: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效率（%）</w:t>
            </w:r>
          </w:p>
        </w:tc>
        <w:tc>
          <w:tcPr>
            <w:tcW w:w="780"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核算方法</w:t>
            </w:r>
          </w:p>
        </w:tc>
        <w:tc>
          <w:tcPr>
            <w:tcW w:w="930"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废气排放量（m³/h）</w:t>
            </w:r>
          </w:p>
        </w:tc>
        <w:tc>
          <w:tcPr>
            <w:tcW w:w="1005"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排放浓度（mg/m³）</w:t>
            </w:r>
          </w:p>
        </w:tc>
        <w:tc>
          <w:tcPr>
            <w:tcW w:w="897"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u w:val="none"/>
              </w:rPr>
            </w:pPr>
            <w:r>
              <w:rPr>
                <w:rFonts w:hint="default"/>
                <w:u w:val="none"/>
                <w:lang w:val="en-US" w:eastAsia="zh-CN"/>
              </w:rPr>
              <w:t>排放量（kg/h）</w:t>
            </w:r>
          </w:p>
        </w:tc>
        <w:tc>
          <w:tcPr>
            <w:tcW w:w="887" w:type="dxa"/>
            <w:vMerge w:val="continue"/>
            <w:shd w:val="clear" w:color="auto" w:fill="FFFF00"/>
            <w:vAlign w:val="center"/>
          </w:tcPr>
          <w:p>
            <w:pPr>
              <w:pStyle w:val="352"/>
              <w:keepNext w:val="0"/>
              <w:keepLines w:val="0"/>
              <w:suppressLineNumbers w:val="0"/>
              <w:spacing w:before="0" w:beforeAutospacing="0" w:after="0" w:afterAutospacing="0"/>
              <w:ind w:left="0" w:right="0"/>
              <w:jc w:val="center"/>
              <w:rPr>
                <w:rFonts w:hint="default"/>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eastAsia"/>
                <w:b w:val="0"/>
                <w:bCs/>
                <w:u w:val="none"/>
                <w:lang w:val="en-US" w:eastAsia="zh-CN"/>
              </w:rPr>
              <w:t>微波消毒处置车间</w:t>
            </w:r>
          </w:p>
        </w:tc>
        <w:tc>
          <w:tcPr>
            <w:tcW w:w="135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冷藏库</w:t>
            </w:r>
          </w:p>
        </w:tc>
        <w:tc>
          <w:tcPr>
            <w:tcW w:w="90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default"/>
                <w:b w:val="0"/>
                <w:bCs/>
                <w:u w:val="none"/>
                <w:lang w:val="en-US" w:eastAsia="zh-CN"/>
              </w:rPr>
              <w:t>排气筒DA001</w:t>
            </w: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rPr>
            </w:pPr>
            <w:r>
              <w:rPr>
                <w:rFonts w:hint="eastAsia"/>
                <w:b w:val="0"/>
                <w:bCs/>
                <w:u w:val="none"/>
                <w:lang w:val="en-US" w:eastAsia="zh-CN"/>
              </w:rPr>
              <w:t>颗粒物</w:t>
            </w:r>
          </w:p>
        </w:tc>
        <w:tc>
          <w:tcPr>
            <w:tcW w:w="75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eastAsia"/>
                <w:b w:val="0"/>
                <w:bCs/>
                <w:u w:val="none"/>
                <w:lang w:val="en-US" w:eastAsia="zh-CN"/>
              </w:rPr>
              <w:t>类比法</w:t>
            </w:r>
          </w:p>
        </w:tc>
        <w:tc>
          <w:tcPr>
            <w:tcW w:w="1078"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2500</w:t>
            </w: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129.36</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0.3234</w:t>
            </w:r>
          </w:p>
        </w:tc>
        <w:tc>
          <w:tcPr>
            <w:tcW w:w="134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rPr>
            </w:pPr>
            <w:r>
              <w:rPr>
                <w:rFonts w:hint="eastAsia"/>
                <w:b w:val="0"/>
                <w:bCs/>
                <w:u w:val="none"/>
                <w:lang w:val="en-US" w:eastAsia="zh-CN"/>
              </w:rPr>
              <w:t>旋流塔+两级过滤除菌装置+UV光催化氧化装置+活性炭吸附装置</w:t>
            </w: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99</w:t>
            </w:r>
          </w:p>
        </w:tc>
        <w:tc>
          <w:tcPr>
            <w:tcW w:w="78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eastAsia"/>
                <w:b w:val="0"/>
                <w:bCs/>
                <w:u w:val="none"/>
                <w:lang w:val="en-US" w:eastAsia="zh-CN"/>
              </w:rPr>
              <w:t>类比法</w:t>
            </w:r>
          </w:p>
        </w:tc>
        <w:tc>
          <w:tcPr>
            <w:tcW w:w="93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rPr>
            </w:pPr>
            <w:r>
              <w:rPr>
                <w:rFonts w:hint="eastAsia"/>
                <w:b w:val="0"/>
                <w:bCs/>
                <w:u w:val="none"/>
                <w:lang w:val="en-US" w:eastAsia="zh-CN"/>
              </w:rPr>
              <w:t>2500</w:t>
            </w:r>
          </w:p>
        </w:tc>
        <w:tc>
          <w:tcPr>
            <w:tcW w:w="1005"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1.2936</w:t>
            </w:r>
          </w:p>
        </w:tc>
        <w:tc>
          <w:tcPr>
            <w:tcW w:w="897"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0.003234</w:t>
            </w:r>
          </w:p>
        </w:tc>
        <w:tc>
          <w:tcPr>
            <w:tcW w:w="887"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3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val="0"/>
                <w:bCs/>
                <w:u w:val="none"/>
                <w:lang w:eastAsia="zh-CN"/>
              </w:rPr>
            </w:pP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eastAsia="宋体"/>
                <w:b w:val="0"/>
                <w:bCs/>
                <w:u w:val="none"/>
                <w:lang w:eastAsia="zh-CN"/>
              </w:rPr>
            </w:pPr>
            <w:r>
              <w:rPr>
                <w:rFonts w:hint="eastAsia"/>
                <w:b w:val="0"/>
                <w:bCs/>
                <w:u w:val="none"/>
                <w:lang w:val="en-US" w:eastAsia="zh-CN"/>
              </w:rPr>
              <w:t>氨</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11.76</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0.0294</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95</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005"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0.588</w:t>
            </w:r>
          </w:p>
        </w:tc>
        <w:tc>
          <w:tcPr>
            <w:tcW w:w="897"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0.00147</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3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val="en-US" w:eastAsia="zh-CN"/>
              </w:rPr>
              <w:t>硫化氢</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0.96</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0.002352</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95</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005"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0.048</w:t>
            </w:r>
          </w:p>
        </w:tc>
        <w:tc>
          <w:tcPr>
            <w:tcW w:w="897"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0.000118</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35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eastAsia"/>
                <w:b w:val="0"/>
                <w:bCs/>
                <w:u w:val="none"/>
                <w:lang w:val="en-US" w:eastAsia="zh-CN"/>
              </w:rPr>
              <w:t>微波消毒处置系统</w:t>
            </w: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NMHC</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23.52</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0.0588</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60</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005"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9.408</w:t>
            </w:r>
          </w:p>
        </w:tc>
        <w:tc>
          <w:tcPr>
            <w:tcW w:w="897"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0.02352</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c>
          <w:tcPr>
            <w:tcW w:w="13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臭气浓度</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884" w:type="dxa"/>
            <w:gridSpan w:val="2"/>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300（无量纲）</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60</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902" w:type="dxa"/>
            <w:gridSpan w:val="2"/>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120（无量纲）</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65"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val="0"/>
                <w:bCs/>
                <w:u w:val="none"/>
                <w:lang w:eastAsia="zh-CN"/>
              </w:rPr>
            </w:pPr>
            <w:r>
              <w:rPr>
                <w:rFonts w:hint="eastAsia"/>
                <w:b w:val="0"/>
                <w:bCs/>
                <w:u w:val="none"/>
                <w:lang w:eastAsia="zh-CN"/>
              </w:rPr>
              <w:t>食堂</w:t>
            </w:r>
          </w:p>
        </w:tc>
        <w:tc>
          <w:tcPr>
            <w:tcW w:w="1356"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灶头</w:t>
            </w:r>
          </w:p>
        </w:tc>
        <w:tc>
          <w:tcPr>
            <w:tcW w:w="900"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烟囱</w:t>
            </w:r>
          </w:p>
        </w:tc>
        <w:tc>
          <w:tcPr>
            <w:tcW w:w="879"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油烟</w:t>
            </w:r>
          </w:p>
        </w:tc>
        <w:tc>
          <w:tcPr>
            <w:tcW w:w="756"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物料衡算法</w:t>
            </w:r>
          </w:p>
        </w:tc>
        <w:tc>
          <w:tcPr>
            <w:tcW w:w="1078"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8000</w:t>
            </w:r>
          </w:p>
        </w:tc>
        <w:tc>
          <w:tcPr>
            <w:tcW w:w="98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8.75</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0.07</w:t>
            </w:r>
          </w:p>
        </w:tc>
        <w:tc>
          <w:tcPr>
            <w:tcW w:w="1346"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集气罩+油烟净化器</w:t>
            </w: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85</w:t>
            </w:r>
          </w:p>
        </w:tc>
        <w:tc>
          <w:tcPr>
            <w:tcW w:w="780"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物料衡算法</w:t>
            </w:r>
          </w:p>
        </w:tc>
        <w:tc>
          <w:tcPr>
            <w:tcW w:w="930"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8000</w:t>
            </w:r>
          </w:p>
        </w:tc>
        <w:tc>
          <w:tcPr>
            <w:tcW w:w="1005"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1.3</w:t>
            </w:r>
          </w:p>
        </w:tc>
        <w:tc>
          <w:tcPr>
            <w:tcW w:w="897"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0.0105</w:t>
            </w:r>
          </w:p>
        </w:tc>
        <w:tc>
          <w:tcPr>
            <w:tcW w:w="887"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121" w:type="dxa"/>
            <w:gridSpan w:val="2"/>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eastAsia="zh-CN"/>
              </w:rPr>
              <w:t>生产厂区</w:t>
            </w:r>
          </w:p>
        </w:tc>
        <w:tc>
          <w:tcPr>
            <w:tcW w:w="90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eastAsia="zh-CN"/>
              </w:rPr>
              <w:t>无组织</w:t>
            </w:r>
          </w:p>
        </w:tc>
        <w:tc>
          <w:tcPr>
            <w:tcW w:w="879"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氨</w:t>
            </w:r>
          </w:p>
        </w:tc>
        <w:tc>
          <w:tcPr>
            <w:tcW w:w="75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val="0"/>
                <w:bCs/>
                <w:u w:val="none"/>
                <w:lang w:eastAsia="zh-CN"/>
              </w:rPr>
            </w:pPr>
            <w:r>
              <w:rPr>
                <w:rFonts w:hint="eastAsia"/>
                <w:b w:val="0"/>
                <w:bCs/>
                <w:u w:val="none"/>
                <w:lang w:eastAsia="zh-CN"/>
              </w:rPr>
              <w:t>物料衡算法</w:t>
            </w:r>
          </w:p>
        </w:tc>
        <w:tc>
          <w:tcPr>
            <w:tcW w:w="1078"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982"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0.006</w:t>
            </w:r>
          </w:p>
        </w:tc>
        <w:tc>
          <w:tcPr>
            <w:tcW w:w="1346"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生产系统封闭加负压集气抑制无组织废气逸散，同时采用绿化除臭、喷洒除臭剂等措施除臭</w:t>
            </w: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78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rPr>
            </w:pPr>
            <w:r>
              <w:rPr>
                <w:rFonts w:hint="eastAsia"/>
                <w:b w:val="0"/>
                <w:bCs/>
                <w:u w:val="none"/>
                <w:lang w:eastAsia="zh-CN"/>
              </w:rPr>
              <w:t>物料衡算法</w:t>
            </w:r>
          </w:p>
        </w:tc>
        <w:tc>
          <w:tcPr>
            <w:tcW w:w="930"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1005"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w:t>
            </w:r>
          </w:p>
        </w:tc>
        <w:tc>
          <w:tcPr>
            <w:tcW w:w="897"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0.005</w:t>
            </w:r>
          </w:p>
        </w:tc>
        <w:tc>
          <w:tcPr>
            <w:tcW w:w="887" w:type="dxa"/>
            <w:vMerge w:val="restart"/>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121" w:type="dxa"/>
            <w:gridSpan w:val="2"/>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879"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硫化氢</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982"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w:t>
            </w:r>
          </w:p>
        </w:tc>
        <w:tc>
          <w:tcPr>
            <w:tcW w:w="90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0.00048</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005"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w:t>
            </w:r>
          </w:p>
        </w:tc>
        <w:tc>
          <w:tcPr>
            <w:tcW w:w="897"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0.0004</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121" w:type="dxa"/>
            <w:gridSpan w:val="2"/>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0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879"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臭气浓度</w:t>
            </w:r>
          </w:p>
        </w:tc>
        <w:tc>
          <w:tcPr>
            <w:tcW w:w="75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1078"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884" w:type="dxa"/>
            <w:gridSpan w:val="2"/>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20~30（无量纲）</w:t>
            </w:r>
          </w:p>
        </w:tc>
        <w:tc>
          <w:tcPr>
            <w:tcW w:w="1346"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642" w:type="dxa"/>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60</w:t>
            </w:r>
          </w:p>
        </w:tc>
        <w:tc>
          <w:tcPr>
            <w:tcW w:w="78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eastAsia="zh-CN"/>
              </w:rPr>
            </w:pPr>
          </w:p>
        </w:tc>
        <w:tc>
          <w:tcPr>
            <w:tcW w:w="930"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p>
        </w:tc>
        <w:tc>
          <w:tcPr>
            <w:tcW w:w="1902" w:type="dxa"/>
            <w:gridSpan w:val="2"/>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u w:val="none"/>
                <w:lang w:val="en-US" w:eastAsia="zh-CN"/>
              </w:rPr>
            </w:pPr>
            <w:r>
              <w:rPr>
                <w:rFonts w:hint="eastAsia"/>
                <w:b w:val="0"/>
                <w:bCs/>
                <w:u w:val="none"/>
                <w:lang w:val="en-US" w:eastAsia="zh-CN"/>
              </w:rPr>
              <w:t>8~12（无量纲）</w:t>
            </w:r>
          </w:p>
        </w:tc>
        <w:tc>
          <w:tcPr>
            <w:tcW w:w="887" w:type="dxa"/>
            <w:vMerge w:val="continue"/>
            <w:shd w:val="clear" w:color="auto" w:fill="auto"/>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bl>
    <w:p>
      <w:pPr>
        <w:topLinePunct/>
        <w:jc w:val="center"/>
        <w:rPr>
          <w:b/>
          <w:bCs/>
          <w:szCs w:val="21"/>
          <w:u w:val="none"/>
        </w:rPr>
        <w:sectPr>
          <w:pgSz w:w="16838" w:h="11906" w:orient="landscape"/>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二、废水产排情况</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本项目运营后产生的废水主要为员工生活污水和生产废水，生活污水主要是日常洗手废水、冲厕废水和食堂餐饮废水；生产废水主要是运输车辆、周转箱等消毒清洗废水，以及贮存间、操作场所地面定期消毒清洗废水等，各废水产排情况如下：</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1、生活污水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本项目建成后劳动定员20人，项目设食宿，生活用水根据《四川省用水定额》和《给水排水设计手册》第2册《建筑给水排水》第二版相关用水定额，本项目生活用水按150L/（d·人）计，年工作365天，则生活总用水量为3m³/d，即1095m³/a。废水产生率按85%计，生活污水产生量约为2.55m³/d，即930.75m³/a，废水中主要污染物为COD、氨氮、动植物油等。</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本项目生活污水主要包括日常洗漱废水、冲厕废水和食堂餐饮废水，食堂餐饮废水经隔油池隔油后，同其余生活污水经化粪池预处理后，排入厂区污水处理站处理。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2、生产废水</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（1）车辆消毒清洗废水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医疗废物运输车每次卸完全部医疗废物后，均需对医疗废物运输车辆内外进行喷洒消毒和清洗，用量以1L/m²计，每台运输车辆需清洗面积约120m²，消毒系统按4车次/天的车辆进行消毒，车辆消毒后静置30min后使用清水进行2次喷洒清洗，则本项目消毒清洗用水约为1.44m³/d，即525.6m³/a。排水量按0.85计，则车辆消毒清洗废水排放量为1.224m³/d，即446.76m³/a。</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default"/>
          <w:sz w:val="24"/>
          <w:u w:val="none"/>
          <w:lang w:val="en-US" w:eastAsia="zh-CN"/>
        </w:rPr>
      </w:pPr>
      <w:r>
        <w:rPr>
          <w:rFonts w:hint="eastAsia"/>
          <w:sz w:val="24"/>
          <w:u w:val="none"/>
          <w:lang w:val="en-US" w:eastAsia="zh-CN"/>
        </w:rPr>
        <w:t>车辆消毒清洗区设置在车辆、周转箱消毒清洗间内，清洗间四周设截排水沟，清洗废水经截排水沟收集后排入厂内污水管，进入厂区污水处理站处理。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（2）消毒处理车间和医疗废物冷藏库消毒清洗用水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消毒处理车间和医疗废物冷藏库每天全面消毒一次，用量以1L/m²计，总消毒面积约为500m²；消毒喷洒后停留30min后，利用新水进行2次清洗。则消毒处理车间和医疗废物冷藏库消毒清洗用水量为1.5m³/d，即547.5m³/a。排水量按0.85计，则消毒处理车间和医疗废物冷藏库消毒清洗废水排放量为1.275m³/d，即465.375m³/a。</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消毒处理车间和医疗废物冷藏库内皆设有截排水设施，消毒清洗产生的废水经截排水设施收集后排入污水管内，进入厂区污水处理站处理。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（3）周转箱消毒清洗废水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default"/>
          <w:sz w:val="24"/>
          <w:u w:val="none"/>
          <w:lang w:val="en-US" w:eastAsia="zh-CN"/>
        </w:rPr>
      </w:pPr>
      <w:r>
        <w:rPr>
          <w:rFonts w:hint="eastAsia"/>
          <w:sz w:val="24"/>
          <w:u w:val="none"/>
          <w:lang w:val="en-US" w:eastAsia="zh-CN"/>
        </w:rPr>
        <w:t>周转箱使用后需进行消毒和冲洗，用水量按1L/m²计，每天冲洗120个，单个表面积为2.5m²；消毒喷洒后停留30min后，利用新水进行2次清洗。则周转箱消毒清洗用水量为0.9m³/d，即328.5m³/a。排水量按0.85计，则消毒清洗废水排放量为0.765m³/d，即279.225m³/a。</w:t>
      </w:r>
      <w:r>
        <w:rPr>
          <w:rFonts w:hint="eastAsia"/>
          <w:sz w:val="24"/>
          <w:u w:val="none"/>
          <w:lang w:val="en-US" w:eastAsia="zh-CN"/>
        </w:rPr>
        <w:tab/>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周转箱清洗机</w:t>
      </w:r>
      <w:r>
        <w:rPr>
          <w:rFonts w:hint="default"/>
          <w:sz w:val="24"/>
          <w:u w:val="none"/>
          <w:lang w:val="en-US" w:eastAsia="zh-CN"/>
        </w:rPr>
        <w:t>设置在车辆、周转箱消毒清洗间内，</w:t>
      </w:r>
      <w:r>
        <w:rPr>
          <w:rFonts w:hint="eastAsia"/>
          <w:sz w:val="24"/>
          <w:u w:val="none"/>
          <w:lang w:val="en-US" w:eastAsia="zh-CN"/>
        </w:rPr>
        <w:t>消毒清洗废水通过清洗机排口由排水管接入厂区污水管，</w:t>
      </w:r>
      <w:r>
        <w:rPr>
          <w:rFonts w:hint="default"/>
          <w:sz w:val="24"/>
          <w:u w:val="none"/>
          <w:lang w:val="en-US" w:eastAsia="zh-CN"/>
        </w:rPr>
        <w:t>进入厂区污水处理站处理。</w:t>
      </w:r>
      <w:r>
        <w:rPr>
          <w:rFonts w:hint="eastAsia"/>
          <w:sz w:val="24"/>
          <w:u w:val="none"/>
          <w:lang w:val="en-US" w:eastAsia="zh-CN"/>
        </w:rPr>
        <w:t>同时，利用</w:t>
      </w:r>
      <w:r>
        <w:rPr>
          <w:rFonts w:hint="default"/>
          <w:sz w:val="24"/>
          <w:u w:val="none"/>
          <w:lang w:val="en-US" w:eastAsia="zh-CN"/>
        </w:rPr>
        <w:t>清洗间四周设截排水沟</w:t>
      </w:r>
      <w:r>
        <w:rPr>
          <w:rFonts w:hint="eastAsia"/>
          <w:sz w:val="24"/>
          <w:u w:val="none"/>
          <w:lang w:val="en-US" w:eastAsia="zh-CN"/>
        </w:rPr>
        <w:t>对跑、冒、滴、漏的</w:t>
      </w:r>
      <w:r>
        <w:rPr>
          <w:rFonts w:hint="default"/>
          <w:sz w:val="24"/>
          <w:u w:val="none"/>
          <w:lang w:val="en-US" w:eastAsia="zh-CN"/>
        </w:rPr>
        <w:t>清洗废水</w:t>
      </w:r>
      <w:r>
        <w:rPr>
          <w:rFonts w:hint="eastAsia"/>
          <w:sz w:val="24"/>
          <w:u w:val="none"/>
          <w:lang w:val="en-US" w:eastAsia="zh-CN"/>
        </w:rPr>
        <w:t>收集后，收集后的废水同运输车辆清洗废水一并</w:t>
      </w:r>
      <w:r>
        <w:rPr>
          <w:rFonts w:hint="default"/>
          <w:sz w:val="24"/>
          <w:u w:val="none"/>
          <w:lang w:val="en-US" w:eastAsia="zh-CN"/>
        </w:rPr>
        <w:t>排入厂内污水管，</w:t>
      </w:r>
      <w:r>
        <w:rPr>
          <w:rFonts w:hint="eastAsia"/>
          <w:sz w:val="24"/>
          <w:u w:val="none"/>
          <w:lang w:val="en-US" w:eastAsia="zh-CN"/>
        </w:rPr>
        <w:t>进入厂区污水处理站处理。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（4）微波消毒废水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根据设备供应单位提供的微波消毒处理系统资料，微波消毒系统全程采用自动控制，物料加湿、含湿率等工况实行全自动控制，利用蒸汽发生器进行加湿操作，医疗废物加湿用水量按每吨物料加水0.6t计算，微波消毒系统用水量约为1.5m³/d，加湿用水大部分蒸发掉，消毒后物料含水率不大，脱水工序产生废水量约0.02m³/d。</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脱水工序产生的废水由设备排水管引入厂区污水管，进入厂区污水处理站处理。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（5）旋流塔循环废水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项目废气采用旋流塔进行预处理，旋流塔内循环用水量为2m³，每月排放一次，排放量为2m³/次，按天和年折算后，排放量分别为0.066m³/d和24m³/a。</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治理措施：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旋流塔排放的废水由排水管道收集后引入厂区污水管，进入厂区污水处理站处理。</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（6）绿化、道路喷洒用水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根据《建筑给排水设计规范》（GB50015-2003），绿化浇洒用水定额1~3L/m²，道路浇洒用水定额2~3L/m²，考虑本项目所处区域为潮湿区域，本项目绿化浇洒用水取值1L/m²，道路浇洒用水取值2L/m²，厂区绿化面积约1500m²，道路面积约300m²，则绿化用水量为1.5m³/d，道路喷洒用水量为0.6m³/d。</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绿化、道路喷洒用水全部因下渗和蒸发而损耗，不产生废水。</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eastAsia="宋体"/>
          <w:b/>
          <w:bCs/>
          <w:sz w:val="24"/>
          <w:u w:val="none"/>
          <w:lang w:val="en-US" w:eastAsia="zh-CN"/>
        </w:rPr>
      </w:pPr>
      <w:r>
        <w:rPr>
          <w:rFonts w:hint="eastAsia"/>
          <w:b/>
          <w:bCs/>
          <w:sz w:val="24"/>
          <w:u w:val="none"/>
          <w:lang w:val="en-US" w:eastAsia="zh-CN"/>
        </w:rPr>
        <w:t>3、污水处理与回用</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本项目拟在生产车间西北侧地势低洼处建一座10m³/d的污水处理站，项目废水经收集送由污水管排入污水处理站处理，废水“调节池+MBR膜生物反应器+微滤+消毒”处理后达到回用水质要求，回用于消毒清洗、道路喷洒和绿化等，本项目用排水情况见下表。</w:t>
      </w:r>
    </w:p>
    <w:p>
      <w:pPr>
        <w:pStyle w:val="352"/>
        <w:rPr>
          <w:rFonts w:hint="default"/>
          <w:b/>
          <w:bCs/>
          <w:u w:val="none"/>
          <w:lang w:val="en-US" w:eastAsia="zh-CN"/>
        </w:rPr>
      </w:pPr>
      <w:r>
        <w:rPr>
          <w:rFonts w:hint="eastAsia"/>
          <w:b/>
          <w:bCs/>
          <w:u w:val="none"/>
          <w:lang w:val="en-US" w:eastAsia="zh-CN"/>
        </w:rPr>
        <w:t>表3-16  项目用排水情况一览表        单位：m³/d</w:t>
      </w:r>
    </w:p>
    <w:tbl>
      <w:tblPr>
        <w:tblStyle w:val="59"/>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750"/>
        <w:gridCol w:w="974"/>
        <w:gridCol w:w="1032"/>
        <w:gridCol w:w="1032"/>
        <w:gridCol w:w="1032"/>
        <w:gridCol w:w="1032"/>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序号</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污染源</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用水量</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新鲜用水量</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回用量</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损耗量</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产生量</w:t>
            </w:r>
          </w:p>
        </w:tc>
        <w:tc>
          <w:tcPr>
            <w:tcW w:w="207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bCs/>
                <w:sz w:val="21"/>
                <w:szCs w:val="21"/>
                <w:u w:val="none"/>
                <w:vertAlign w:val="baseline"/>
                <w:lang w:val="en-US" w:eastAsia="zh-CN"/>
              </w:rPr>
            </w:pPr>
            <w:r>
              <w:rPr>
                <w:rFonts w:hint="eastAsia"/>
                <w:b/>
                <w:bCs/>
                <w:sz w:val="21"/>
                <w:szCs w:val="21"/>
                <w:u w:val="none"/>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生活用水</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3.0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3.0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0.45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2.55</w:t>
            </w:r>
          </w:p>
        </w:tc>
        <w:tc>
          <w:tcPr>
            <w:tcW w:w="2070" w:type="dxa"/>
            <w:vMerge w:val="restart"/>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经厂区自建污水处理站处理达标后，回用于消毒清洗、道路和绿化喷洒等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2</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车辆消毒清洗</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1.44</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1.44</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0.216</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1.224</w:t>
            </w:r>
          </w:p>
        </w:tc>
        <w:tc>
          <w:tcPr>
            <w:tcW w:w="2070" w:type="dxa"/>
            <w:vMerge w:val="continue"/>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3</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消毒处理车间及冷藏库消毒清洗</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0.12</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1.38</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0.225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1.275</w:t>
            </w:r>
          </w:p>
        </w:tc>
        <w:tc>
          <w:tcPr>
            <w:tcW w:w="2070" w:type="dxa"/>
            <w:vMerge w:val="continue"/>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4</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周转箱消毒清洗</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0.9</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0.9</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0.135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0.765</w:t>
            </w:r>
          </w:p>
        </w:tc>
        <w:tc>
          <w:tcPr>
            <w:tcW w:w="2070" w:type="dxa"/>
            <w:vMerge w:val="continue"/>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5</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微波消毒废水</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1.5</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1.48</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0.02</w:t>
            </w:r>
          </w:p>
        </w:tc>
        <w:tc>
          <w:tcPr>
            <w:tcW w:w="2070" w:type="dxa"/>
            <w:vMerge w:val="continue"/>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6</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旋流塔废气治理</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0.08</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0.08</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0.014</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0.066</w:t>
            </w:r>
          </w:p>
        </w:tc>
        <w:tc>
          <w:tcPr>
            <w:tcW w:w="2070" w:type="dxa"/>
            <w:vMerge w:val="continue"/>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7</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绿化、道路洒水</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2.1</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2.1</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2.1</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0</w:t>
            </w:r>
          </w:p>
        </w:tc>
        <w:tc>
          <w:tcPr>
            <w:tcW w:w="207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植物、土壤吸收，自然蒸发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8</w:t>
            </w:r>
          </w:p>
        </w:tc>
        <w:tc>
          <w:tcPr>
            <w:tcW w:w="175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合计</w:t>
            </w:r>
          </w:p>
        </w:tc>
        <w:tc>
          <w:tcPr>
            <w:tcW w:w="974"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10.52</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4.62</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5.9</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4.62</w:t>
            </w:r>
          </w:p>
        </w:tc>
        <w:tc>
          <w:tcPr>
            <w:tcW w:w="1032"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5.9</w:t>
            </w:r>
          </w:p>
        </w:tc>
        <w:tc>
          <w:tcPr>
            <w:tcW w:w="2070" w:type="dxa"/>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w:t>
            </w:r>
          </w:p>
        </w:tc>
      </w:tr>
    </w:tbl>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default"/>
          <w:sz w:val="24"/>
          <w:u w:val="none"/>
          <w:lang w:val="en-US" w:eastAsia="zh-CN"/>
        </w:rPr>
      </w:pPr>
      <w:r>
        <w:rPr>
          <w:rFonts w:hint="eastAsia"/>
          <w:sz w:val="24"/>
          <w:u w:val="none"/>
          <w:lang w:val="en-US" w:eastAsia="zh-CN"/>
        </w:rPr>
        <w:t>备注：本项目废水产生量按85%计算。</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outlineLvl w:val="9"/>
        <w:rPr>
          <w:rFonts w:hint="eastAsia"/>
          <w:sz w:val="24"/>
          <w:u w:val="none"/>
          <w:lang w:val="en-US" w:eastAsia="zh-CN"/>
        </w:rPr>
      </w:pPr>
      <w:r>
        <w:rPr>
          <w:rFonts w:hint="eastAsia"/>
          <w:sz w:val="24"/>
          <w:u w:val="none"/>
          <w:lang w:val="en-US" w:eastAsia="zh-CN"/>
        </w:rPr>
        <w:t>由上表可知，本项目水平衡图详见下图。</w:t>
      </w:r>
    </w:p>
    <w:p>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eastAsia" w:ascii="Times New Roman" w:hAnsi="Times New Roman" w:eastAsia="宋体"/>
          <w:b/>
          <w:bCs/>
          <w:sz w:val="21"/>
          <w:szCs w:val="21"/>
          <w:u w:val="none"/>
          <w:lang w:val="en-US" w:eastAsia="zh-CN"/>
        </w:rPr>
      </w:pPr>
      <w:r>
        <w:rPr>
          <w:rFonts w:hint="eastAsia" w:ascii="Times New Roman" w:hAnsi="Times New Roman" w:eastAsia="宋体"/>
          <w:b/>
          <w:bCs/>
          <w:sz w:val="21"/>
          <w:szCs w:val="21"/>
          <w:u w:val="none"/>
          <w:lang w:val="en-US" w:eastAsia="zh-CN"/>
        </w:rPr>
        <w:object>
          <v:shape id="_x0000_i1028" o:spt="75" type="#_x0000_t75" style="height:410.2pt;width:453.25pt;" o:ole="t" filled="f" o:preferrelative="t" stroked="f" coordsize="21600,21600">
            <v:path/>
            <v:fill on="f" focussize="0,0"/>
            <v:stroke on="f"/>
            <v:imagedata r:id="rId21" o:title=""/>
            <o:lock v:ext="edit" aspectratio="f"/>
            <w10:wrap type="none"/>
            <w10:anchorlock/>
          </v:shape>
          <o:OLEObject Type="Embed" ProgID="Visio.Drawing.11" ShapeID="_x0000_i1028" DrawAspect="Content" ObjectID="_1468075728" r:id="rId20">
            <o:LockedField>false</o:LockedField>
          </o:OLEObject>
        </w:object>
      </w:r>
    </w:p>
    <w:p>
      <w:pPr>
        <w:pStyle w:val="352"/>
        <w:rPr>
          <w:rFonts w:hint="default"/>
          <w:b/>
          <w:bCs/>
          <w:u w:val="none"/>
          <w:lang w:val="en-US" w:eastAsia="zh-CN"/>
        </w:rPr>
      </w:pPr>
      <w:r>
        <w:rPr>
          <w:rFonts w:hint="eastAsia"/>
          <w:b/>
          <w:bCs/>
          <w:u w:val="none"/>
          <w:lang w:val="en-US" w:eastAsia="zh-CN"/>
        </w:rPr>
        <w:t>图3-7  本项目水平衡图（单位：m³/d）</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综上所述，本项目生活污水经“隔油+化粪池”预处理后，同项目生产废水一并进入厂区污水处理站处理，污水处理站采用“调节池+MBR膜生物反应器+微滤+消毒”废水处理工艺，处理后的水质同时满足《医疗机构水污染物排放标准》（GB18466-2005）和《城市污水再生利用——城市杂用水水质》（GB/T18920-2002）的相关水质标准要求限值。为节约用水同时减少废水排放，环评建议，本项目废水经厂区废水处理站处理后出水回用于消毒、绿化和道路洒水，遇到下雨天时，回用不完的废水由密闭罐车运送至旺苍县污水处理厂处理达标后外排。</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类比同类项目，本项目废水产排情况见下表：</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sectPr>
          <w:headerReference r:id="rId5" w:type="default"/>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pStyle w:val="352"/>
        <w:rPr>
          <w:rFonts w:hint="eastAsia"/>
          <w:b/>
          <w:bCs/>
          <w:u w:val="none"/>
          <w:lang w:val="en-US" w:eastAsia="zh-CN"/>
        </w:rPr>
      </w:pPr>
      <w:r>
        <w:rPr>
          <w:rFonts w:hint="eastAsia"/>
          <w:b/>
          <w:bCs/>
          <w:u w:val="none"/>
          <w:lang w:val="en-US" w:eastAsia="zh-CN"/>
        </w:rPr>
        <w:t>表3-17  项目最终废水产生及处理情况</w:t>
      </w:r>
    </w:p>
    <w:tbl>
      <w:tblPr>
        <w:tblStyle w:val="59"/>
        <w:tblW w:w="14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99"/>
        <w:gridCol w:w="1669"/>
        <w:gridCol w:w="723"/>
        <w:gridCol w:w="1226"/>
        <w:gridCol w:w="1367"/>
        <w:gridCol w:w="897"/>
        <w:gridCol w:w="1068"/>
        <w:gridCol w:w="834"/>
        <w:gridCol w:w="817"/>
        <w:gridCol w:w="1315"/>
        <w:gridCol w:w="1186"/>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62" w:type="dxa"/>
            <w:vMerge w:val="restart"/>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val="en-US" w:eastAsia="zh-CN"/>
              </w:rPr>
              <w:t>类别</w:t>
            </w:r>
          </w:p>
        </w:tc>
        <w:tc>
          <w:tcPr>
            <w:tcW w:w="1199" w:type="dxa"/>
            <w:vMerge w:val="restart"/>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污染源</w:t>
            </w:r>
          </w:p>
        </w:tc>
        <w:tc>
          <w:tcPr>
            <w:tcW w:w="1669" w:type="dxa"/>
            <w:vMerge w:val="restart"/>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污染物</w:t>
            </w:r>
          </w:p>
        </w:tc>
        <w:tc>
          <w:tcPr>
            <w:tcW w:w="4213" w:type="dxa"/>
            <w:gridSpan w:val="4"/>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进水水质</w:t>
            </w:r>
          </w:p>
        </w:tc>
        <w:tc>
          <w:tcPr>
            <w:tcW w:w="1902" w:type="dxa"/>
            <w:gridSpan w:val="2"/>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治理措施</w:t>
            </w:r>
          </w:p>
        </w:tc>
        <w:tc>
          <w:tcPr>
            <w:tcW w:w="4068" w:type="dxa"/>
            <w:gridSpan w:val="4"/>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出水水质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default"/>
                <w:u w:val="none"/>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default"/>
                <w:u w:val="none"/>
              </w:rPr>
            </w:pPr>
          </w:p>
        </w:tc>
        <w:tc>
          <w:tcPr>
            <w:tcW w:w="1669" w:type="dxa"/>
            <w:vMerge w:val="continue"/>
            <w:noWrap w:val="0"/>
            <w:vAlign w:val="center"/>
          </w:tcPr>
          <w:p>
            <w:pPr>
              <w:pStyle w:val="352"/>
              <w:keepNext w:val="0"/>
              <w:keepLines w:val="0"/>
              <w:suppressLineNumbers w:val="0"/>
              <w:spacing w:before="0" w:beforeAutospacing="0" w:after="0" w:afterAutospacing="0"/>
              <w:ind w:left="0" w:right="0"/>
              <w:rPr>
                <w:rFonts w:hint="default"/>
                <w:u w:val="none"/>
              </w:rPr>
            </w:pPr>
          </w:p>
        </w:tc>
        <w:tc>
          <w:tcPr>
            <w:tcW w:w="723"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核算方法</w:t>
            </w:r>
          </w:p>
        </w:tc>
        <w:tc>
          <w:tcPr>
            <w:tcW w:w="1226"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产生废水量（</w:t>
            </w:r>
            <w:r>
              <w:rPr>
                <w:rFonts w:hint="eastAsia"/>
                <w:u w:val="none"/>
                <w:lang w:val="en-US" w:eastAsia="zh-CN"/>
              </w:rPr>
              <w:t>m³/a</w:t>
            </w:r>
            <w:r>
              <w:rPr>
                <w:rFonts w:hint="eastAsia"/>
                <w:u w:val="none"/>
                <w:lang w:eastAsia="zh-CN"/>
              </w:rPr>
              <w:t>）</w:t>
            </w:r>
          </w:p>
        </w:tc>
        <w:tc>
          <w:tcPr>
            <w:tcW w:w="1367"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产生浓度（</w:t>
            </w:r>
            <w:r>
              <w:rPr>
                <w:rFonts w:hint="eastAsia"/>
                <w:u w:val="none"/>
                <w:lang w:val="en-US" w:eastAsia="zh-CN"/>
              </w:rPr>
              <w:t>mg/L</w:t>
            </w:r>
            <w:r>
              <w:rPr>
                <w:rFonts w:hint="eastAsia"/>
                <w:u w:val="none"/>
                <w:lang w:eastAsia="zh-CN"/>
              </w:rPr>
              <w:t>）</w:t>
            </w:r>
          </w:p>
        </w:tc>
        <w:tc>
          <w:tcPr>
            <w:tcW w:w="897"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产生量（</w:t>
            </w:r>
            <w:r>
              <w:rPr>
                <w:rFonts w:hint="eastAsia"/>
                <w:u w:val="none"/>
                <w:lang w:val="en-US" w:eastAsia="zh-CN"/>
              </w:rPr>
              <w:t>t/a</w:t>
            </w:r>
            <w:r>
              <w:rPr>
                <w:rFonts w:hint="eastAsia"/>
                <w:u w:val="none"/>
                <w:lang w:eastAsia="zh-CN"/>
              </w:rPr>
              <w:t>）</w:t>
            </w:r>
          </w:p>
        </w:tc>
        <w:tc>
          <w:tcPr>
            <w:tcW w:w="1068"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工艺</w:t>
            </w:r>
          </w:p>
        </w:tc>
        <w:tc>
          <w:tcPr>
            <w:tcW w:w="834" w:type="dxa"/>
            <w:noWrap w:val="0"/>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eastAsia="zh-CN"/>
              </w:rPr>
              <w:t>效率（</w:t>
            </w:r>
            <w:r>
              <w:rPr>
                <w:rFonts w:hint="eastAsia"/>
                <w:u w:val="none"/>
                <w:lang w:val="en-US" w:eastAsia="zh-CN"/>
              </w:rPr>
              <w:t>%</w:t>
            </w:r>
            <w:r>
              <w:rPr>
                <w:rFonts w:hint="eastAsia"/>
                <w:u w:val="none"/>
                <w:lang w:eastAsia="zh-CN"/>
              </w:rPr>
              <w:t>）</w:t>
            </w:r>
          </w:p>
        </w:tc>
        <w:tc>
          <w:tcPr>
            <w:tcW w:w="817"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核算方法</w:t>
            </w:r>
          </w:p>
        </w:tc>
        <w:tc>
          <w:tcPr>
            <w:tcW w:w="1315"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水质浓度（</w:t>
            </w:r>
            <w:r>
              <w:rPr>
                <w:rFonts w:hint="eastAsia"/>
                <w:u w:val="none"/>
                <w:lang w:val="en-US" w:eastAsia="zh-CN"/>
              </w:rPr>
              <w:t>mg/L</w:t>
            </w:r>
            <w:r>
              <w:rPr>
                <w:rFonts w:hint="eastAsia"/>
                <w:u w:val="none"/>
                <w:lang w:eastAsia="zh-CN"/>
              </w:rPr>
              <w:t>）</w:t>
            </w:r>
          </w:p>
        </w:tc>
        <w:tc>
          <w:tcPr>
            <w:tcW w:w="1186"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标准限值（</w:t>
            </w:r>
            <w:r>
              <w:rPr>
                <w:rFonts w:hint="eastAsia"/>
                <w:u w:val="none"/>
                <w:lang w:val="en-US" w:eastAsia="zh-CN"/>
              </w:rPr>
              <w:t>mg/L</w:t>
            </w:r>
            <w:r>
              <w:rPr>
                <w:rFonts w:hint="eastAsia"/>
                <w:u w:val="none"/>
                <w:lang w:eastAsia="zh-CN"/>
              </w:rPr>
              <w:t>）</w:t>
            </w:r>
          </w:p>
        </w:tc>
        <w:tc>
          <w:tcPr>
            <w:tcW w:w="750"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u w:val="none"/>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restart"/>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综合废水</w:t>
            </w:r>
          </w:p>
        </w:tc>
        <w:tc>
          <w:tcPr>
            <w:tcW w:w="1199" w:type="dxa"/>
            <w:vMerge w:val="restart"/>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厂区污水处理站</w:t>
            </w: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pH</w:t>
            </w:r>
          </w:p>
        </w:tc>
        <w:tc>
          <w:tcPr>
            <w:tcW w:w="723" w:type="dxa"/>
            <w:vMerge w:val="restart"/>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产排污系数法</w:t>
            </w:r>
          </w:p>
        </w:tc>
        <w:tc>
          <w:tcPr>
            <w:tcW w:w="1226" w:type="dxa"/>
            <w:vMerge w:val="restart"/>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2153.5</w:t>
            </w:r>
          </w:p>
        </w:tc>
        <w:tc>
          <w:tcPr>
            <w:tcW w:w="2264" w:type="dxa"/>
            <w:gridSpan w:val="2"/>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6~9（无量纲）</w:t>
            </w:r>
          </w:p>
        </w:tc>
        <w:tc>
          <w:tcPr>
            <w:tcW w:w="1068" w:type="dxa"/>
            <w:vMerge w:val="restart"/>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eastAsia="zh-CN"/>
              </w:rPr>
              <w:t>生活污水经“隔油</w:t>
            </w:r>
            <w:r>
              <w:rPr>
                <w:rFonts w:hint="eastAsia"/>
                <w:b w:val="0"/>
                <w:bCs/>
                <w:u w:val="none"/>
                <w:lang w:val="en-US" w:eastAsia="zh-CN"/>
              </w:rPr>
              <w:t>+化粪池</w:t>
            </w:r>
            <w:r>
              <w:rPr>
                <w:rFonts w:hint="eastAsia"/>
                <w:b w:val="0"/>
                <w:bCs/>
                <w:u w:val="none"/>
                <w:lang w:eastAsia="zh-CN"/>
              </w:rPr>
              <w:t>”预处理后，同生产废水一并经“</w:t>
            </w:r>
            <w:r>
              <w:rPr>
                <w:rFonts w:hint="eastAsia"/>
                <w:b w:val="0"/>
                <w:bCs/>
                <w:u w:val="none"/>
                <w:lang w:val="en-US" w:eastAsia="zh-CN"/>
              </w:rPr>
              <w:t>调节池+MBR+微滤+消毒</w:t>
            </w:r>
            <w:r>
              <w:rPr>
                <w:rFonts w:hint="eastAsia"/>
                <w:b w:val="0"/>
                <w:bCs/>
                <w:u w:val="none"/>
                <w:lang w:eastAsia="zh-CN"/>
              </w:rPr>
              <w:t>”处理</w:t>
            </w:r>
          </w:p>
        </w:tc>
        <w:tc>
          <w:tcPr>
            <w:tcW w:w="834"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w:t>
            </w:r>
          </w:p>
        </w:tc>
        <w:tc>
          <w:tcPr>
            <w:tcW w:w="817" w:type="dxa"/>
            <w:vMerge w:val="restart"/>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eastAsia="zh-CN"/>
              </w:rPr>
              <w:t>产排污系数法</w:t>
            </w:r>
          </w:p>
        </w:tc>
        <w:tc>
          <w:tcPr>
            <w:tcW w:w="2501" w:type="dxa"/>
            <w:gridSpan w:val="2"/>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6~9（无量纲）</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COD</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500</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1.184</w:t>
            </w:r>
            <w:r>
              <w:rPr>
                <w:rFonts w:hint="default"/>
                <w:b w:val="0"/>
                <w:bCs/>
                <w:u w:val="none"/>
                <w:lang w:val="en-US" w:eastAsia="zh-CN"/>
              </w:rPr>
              <w:t xml:space="preserve"> </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90</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50</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60</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BOD</w:t>
            </w:r>
            <w:r>
              <w:rPr>
                <w:rFonts w:hint="eastAsia"/>
                <w:b w:val="0"/>
                <w:bCs/>
                <w:u w:val="none"/>
                <w:vertAlign w:val="subscript"/>
                <w:lang w:val="en-US" w:eastAsia="zh-CN"/>
              </w:rPr>
              <w:t>5</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200</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0.431</w:t>
            </w:r>
            <w:r>
              <w:rPr>
                <w:rFonts w:hint="default"/>
                <w:b w:val="0"/>
                <w:bCs/>
                <w:u w:val="none"/>
                <w:lang w:val="en-US" w:eastAsia="zh-CN"/>
              </w:rPr>
              <w:t xml:space="preserve"> </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95</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9</w:t>
            </w:r>
          </w:p>
        </w:tc>
        <w:tc>
          <w:tcPr>
            <w:tcW w:w="1186"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10</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r>
              <w:rPr>
                <w:rFonts w:hint="default"/>
                <w:b w:val="0"/>
                <w:bCs/>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SS</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80</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0.172</w:t>
            </w:r>
            <w:r>
              <w:rPr>
                <w:rFonts w:hint="default"/>
                <w:b w:val="0"/>
                <w:bCs/>
                <w:u w:val="none"/>
                <w:lang w:val="en-US" w:eastAsia="zh-CN"/>
              </w:rPr>
              <w:t xml:space="preserve"> </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82</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15</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20</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r>
              <w:rPr>
                <w:rFonts w:hint="default"/>
                <w:b w:val="0"/>
                <w:bCs/>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氨氮</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15</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0.032</w:t>
            </w:r>
            <w:r>
              <w:rPr>
                <w:rFonts w:hint="default"/>
                <w:b w:val="0"/>
                <w:bCs/>
                <w:u w:val="none"/>
                <w:lang w:val="en-US" w:eastAsia="zh-CN"/>
              </w:rPr>
              <w:t xml:space="preserve"> </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90</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1.5</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r>
              <w:rPr>
                <w:rFonts w:hint="default"/>
                <w:b w:val="0"/>
                <w:bCs/>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动植物油</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1.5</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0.003</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87</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0.2</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r>
              <w:rPr>
                <w:rFonts w:hint="default"/>
                <w:b w:val="0"/>
                <w:bCs/>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粪大肠菌群</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5000MPN/L</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92</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4</w:t>
            </w:r>
            <w:r>
              <w:rPr>
                <w:rFonts w:hint="default"/>
                <w:b w:val="0"/>
                <w:bCs/>
                <w:u w:val="none"/>
                <w:lang w:val="en-US" w:eastAsia="zh-CN"/>
              </w:rPr>
              <w:t>00MPN/L</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500MPN/L</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是</w:t>
            </w:r>
            <w:r>
              <w:rPr>
                <w:rFonts w:hint="default"/>
                <w:b w:val="0"/>
                <w:bCs/>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99"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669"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余氯</w:t>
            </w:r>
          </w:p>
        </w:tc>
        <w:tc>
          <w:tcPr>
            <w:tcW w:w="72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226"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6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w:t>
            </w:r>
          </w:p>
        </w:tc>
        <w:tc>
          <w:tcPr>
            <w:tcW w:w="897"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0.004</w:t>
            </w:r>
          </w:p>
        </w:tc>
        <w:tc>
          <w:tcPr>
            <w:tcW w:w="1068"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8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80</w:t>
            </w:r>
          </w:p>
        </w:tc>
        <w:tc>
          <w:tcPr>
            <w:tcW w:w="817"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15" w:type="dxa"/>
            <w:noWrap w:val="0"/>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0.2</w:t>
            </w:r>
          </w:p>
        </w:tc>
        <w:tc>
          <w:tcPr>
            <w:tcW w:w="1186"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c>
          <w:tcPr>
            <w:tcW w:w="750"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是</w:t>
            </w:r>
          </w:p>
        </w:tc>
      </w:tr>
    </w:tbl>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outlineLvl w:val="9"/>
        <w:rPr>
          <w:rFonts w:hint="eastAsia"/>
          <w:b/>
          <w:bCs/>
          <w:sz w:val="24"/>
          <w:u w:val="none"/>
          <w:lang w:val="en-US" w:eastAsia="zh-CN"/>
        </w:rPr>
        <w:sectPr>
          <w:headerReference r:id="rId6" w:type="default"/>
          <w:pgSz w:w="16838" w:h="11906" w:orient="landscape"/>
          <w:pgMar w:top="1417" w:right="1797" w:bottom="1417" w:left="1797" w:header="851" w:footer="992" w:gutter="0"/>
          <w:pgBorders>
            <w:top w:val="none" w:sz="0" w:space="0"/>
            <w:left w:val="none" w:sz="0" w:space="0"/>
            <w:bottom w:val="none" w:sz="0" w:space="0"/>
            <w:right w:val="none" w:sz="0" w:space="0"/>
          </w:pgBorders>
          <w:cols w:space="0" w:num="1"/>
          <w:rtlGutter w:val="0"/>
          <w:docGrid w:linePitch="0" w:charSpace="0"/>
        </w:sectPr>
      </w:pP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outlineLvl w:val="9"/>
        <w:rPr>
          <w:rFonts w:hint="eastAsia"/>
          <w:b/>
          <w:bCs/>
          <w:sz w:val="24"/>
          <w:u w:val="none"/>
          <w:lang w:val="en-US" w:eastAsia="zh-CN"/>
        </w:rPr>
      </w:pPr>
      <w:r>
        <w:rPr>
          <w:rFonts w:hint="eastAsia"/>
          <w:b/>
          <w:bCs/>
          <w:sz w:val="24"/>
          <w:u w:val="none"/>
          <w:lang w:val="en-US" w:eastAsia="zh-CN"/>
        </w:rPr>
        <w:t>4、初期雨水</w:t>
      </w:r>
    </w:p>
    <w:p>
      <w:pPr>
        <w:topLinePunct/>
        <w:spacing w:line="360" w:lineRule="auto"/>
        <w:ind w:firstLine="480" w:firstLineChars="200"/>
        <w:jc w:val="left"/>
        <w:rPr>
          <w:rFonts w:hint="eastAsia"/>
          <w:sz w:val="24"/>
          <w:u w:val="none"/>
          <w:lang w:val="en-US" w:eastAsia="zh-CN"/>
        </w:rPr>
      </w:pPr>
      <w:r>
        <w:rPr>
          <w:rFonts w:hint="eastAsia"/>
          <w:sz w:val="24"/>
          <w:u w:val="none"/>
          <w:lang w:eastAsia="zh-CN"/>
        </w:rPr>
        <w:t>项目建设完成后，生产厂内汇水面积约</w:t>
      </w:r>
      <w:r>
        <w:rPr>
          <w:rFonts w:hint="eastAsia"/>
          <w:sz w:val="24"/>
          <w:u w:val="none"/>
          <w:lang w:val="en-US" w:eastAsia="zh-CN"/>
        </w:rPr>
        <w:t>2500m²。项目厂区内车间外设置雨水管道，并设置初期雨水收集装置和阀门，收集场区10min初期雨水，收集后的初期雨水进入厂区污水处理站处理。下雨10min后关闭阀门，后期雨水直接排入雨水雨水排水系统进入水体。</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初期雨水产生量参考广元市气象局、广元市水务局等单位组织编制了广元市城区暴雨强度公式估算，估算公式如下：</w:t>
      </w:r>
    </w:p>
    <w:p>
      <w:pPr>
        <w:topLinePunct/>
        <w:spacing w:line="360" w:lineRule="auto"/>
        <w:ind w:left="0" w:leftChars="0" w:firstLine="0" w:firstLineChars="0"/>
        <w:jc w:val="center"/>
        <w:rPr>
          <w:rFonts w:hint="default"/>
          <w:sz w:val="24"/>
          <w:szCs w:val="24"/>
          <w:u w:val="none"/>
          <w:lang w:val="en-US" w:eastAsia="zh-CN"/>
        </w:rPr>
      </w:pPr>
      <w:r>
        <w:rPr>
          <w:rFonts w:hint="default"/>
          <w:position w:val="-28"/>
          <w:sz w:val="24"/>
          <w:szCs w:val="24"/>
          <w:u w:val="none"/>
          <w:lang w:val="en-US" w:eastAsia="zh-CN"/>
        </w:rPr>
        <w:object>
          <v:shape id="_x0000_i1029" o:spt="75" type="#_x0000_t75" style="height:33pt;width:154pt;" o:ole="t" filled="f" o:preferrelative="t" stroked="f" coordsize="21600,21600">
            <v:path/>
            <v:fill on="f" focussize="0,0"/>
            <v:stroke on="f"/>
            <v:imagedata r:id="rId23" o:title=""/>
            <o:lock v:ext="edit" aspectratio="t"/>
            <w10:wrap type="none"/>
            <w10:anchorlock/>
          </v:shape>
          <o:OLEObject Type="Embed" ProgID="Equation.KSEE3" ShapeID="_x0000_i1029" DrawAspect="Content" ObjectID="_1468075729" r:id="rId22">
            <o:LockedField>false</o:LockedField>
          </o:OLEObject>
        </w:object>
      </w:r>
    </w:p>
    <w:p>
      <w:pPr>
        <w:topLinePunct/>
        <w:spacing w:line="360" w:lineRule="auto"/>
        <w:ind w:firstLine="480" w:firstLineChars="200"/>
        <w:jc w:val="left"/>
        <w:rPr>
          <w:rFonts w:hint="eastAsia"/>
          <w:sz w:val="24"/>
          <w:u w:val="none"/>
          <w:lang w:eastAsia="zh-CN"/>
        </w:rPr>
      </w:pPr>
      <w:r>
        <w:rPr>
          <w:rFonts w:hint="eastAsia"/>
          <w:sz w:val="24"/>
          <w:u w:val="none"/>
          <w:lang w:eastAsia="zh-CN"/>
        </w:rPr>
        <w:t>式中：</w:t>
      </w:r>
      <w:r>
        <w:rPr>
          <w:rFonts w:hint="eastAsia"/>
          <w:position w:val="-4"/>
          <w:sz w:val="24"/>
          <w:u w:val="none"/>
          <w:lang w:eastAsia="zh-CN"/>
        </w:rPr>
        <w:object>
          <v:shape id="_x0000_i1030" o:spt="75" type="#_x0000_t75" style="height:13pt;width:12pt;" o:ole="t" filled="f" o:preferrelative="t" stroked="f" coordsize="21600,21600">
            <v:path/>
            <v:fill on="f" focussize="0,0"/>
            <v:stroke on="f"/>
            <v:imagedata r:id="rId25" o:title=""/>
            <o:lock v:ext="edit" aspectratio="t"/>
            <w10:wrap type="none"/>
            <w10:anchorlock/>
          </v:shape>
          <o:OLEObject Type="Embed" ProgID="Equation.KSEE3" ShapeID="_x0000_i1030" DrawAspect="Content" ObjectID="_1468075730" r:id="rId24">
            <o:LockedField>false</o:LockedField>
          </o:OLEObject>
        </w:object>
      </w:r>
      <w:r>
        <w:rPr>
          <w:rFonts w:hint="eastAsia"/>
          <w:sz w:val="24"/>
          <w:u w:val="none"/>
          <w:lang w:eastAsia="zh-CN"/>
        </w:rPr>
        <w:t>——设计重现期（</w:t>
      </w:r>
      <w:r>
        <w:rPr>
          <w:rFonts w:hint="eastAsia"/>
          <w:sz w:val="24"/>
          <w:u w:val="none"/>
          <w:lang w:val="en-US" w:eastAsia="zh-CN"/>
        </w:rPr>
        <w:t>a，年</w:t>
      </w:r>
      <w:r>
        <w:rPr>
          <w:rFonts w:hint="eastAsia"/>
          <w:sz w:val="24"/>
          <w:u w:val="none"/>
          <w:lang w:eastAsia="zh-CN"/>
        </w:rPr>
        <w:t>），本次评价取</w:t>
      </w:r>
      <w:r>
        <w:rPr>
          <w:rFonts w:hint="eastAsia"/>
          <w:sz w:val="24"/>
          <w:u w:val="none"/>
          <w:lang w:val="en-US" w:eastAsia="zh-CN"/>
        </w:rPr>
        <w:t>3a</w:t>
      </w:r>
      <w:r>
        <w:rPr>
          <w:rFonts w:hint="eastAsia"/>
          <w:sz w:val="24"/>
          <w:u w:val="none"/>
          <w:lang w:eastAsia="zh-CN"/>
        </w:rPr>
        <w:t>；</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 xml:space="preserve">     </w:t>
      </w:r>
      <w:r>
        <w:rPr>
          <w:rFonts w:hint="eastAsia"/>
          <w:position w:val="-10"/>
          <w:sz w:val="24"/>
          <w:u w:val="none"/>
          <w:lang w:val="en-US" w:eastAsia="zh-CN"/>
        </w:rPr>
        <w:object>
          <v:shape id="_x0000_i1031" o:spt="75" type="#_x0000_t75" style="height:13pt;width:10pt;" o:ole="t" filled="f" o:preferrelative="t" stroked="f" coordsize="21600,21600">
            <v:path/>
            <v:fill on="f" focussize="0,0"/>
            <v:stroke on="f"/>
            <v:imagedata r:id="rId27" o:title=""/>
            <o:lock v:ext="edit" aspectratio="t"/>
            <w10:wrap type="none"/>
            <w10:anchorlock/>
          </v:shape>
          <o:OLEObject Type="Embed" ProgID="Equation.KSEE3" ShapeID="_x0000_i1031" DrawAspect="Content" ObjectID="_1468075731" r:id="rId26">
            <o:LockedField>false</o:LockedField>
          </o:OLEObject>
        </w:object>
      </w:r>
      <w:r>
        <w:rPr>
          <w:rFonts w:hint="eastAsia"/>
          <w:sz w:val="24"/>
          <w:u w:val="none"/>
          <w:lang w:val="en-US" w:eastAsia="zh-CN"/>
        </w:rPr>
        <w:t>——暴雨强度，L/（S·hm²）；</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 xml:space="preserve">     </w:t>
      </w:r>
      <w:r>
        <w:rPr>
          <w:rFonts w:hint="eastAsia"/>
          <w:position w:val="-6"/>
          <w:sz w:val="24"/>
          <w:u w:val="none"/>
          <w:lang w:val="en-US" w:eastAsia="zh-CN"/>
        </w:rPr>
        <w:object>
          <v:shape id="_x0000_i1032" o:spt="75" type="#_x0000_t75" style="height:12pt;width:6.95pt;" o:ole="t" filled="f" o:preferrelative="t" stroked="f" coordsize="21600,21600">
            <v:path/>
            <v:fill on="f" focussize="0,0"/>
            <v:stroke on="f"/>
            <v:imagedata r:id="rId29" o:title=""/>
            <o:lock v:ext="edit" aspectratio="t"/>
            <w10:wrap type="none"/>
            <w10:anchorlock/>
          </v:shape>
          <o:OLEObject Type="Embed" ProgID="Equation.KSEE3" ShapeID="_x0000_i1032" DrawAspect="Content" ObjectID="_1468075732" r:id="rId28">
            <o:LockedField>false</o:LockedField>
          </o:OLEObject>
        </w:object>
      </w:r>
      <w:r>
        <w:rPr>
          <w:rFonts w:hint="eastAsia"/>
          <w:sz w:val="24"/>
          <w:u w:val="none"/>
          <w:lang w:val="en-US" w:eastAsia="zh-CN"/>
        </w:rPr>
        <w:t>——降雨历时，min，本次评价取10min。</w:t>
      </w:r>
    </w:p>
    <w:p>
      <w:pPr>
        <w:topLinePunct/>
        <w:spacing w:line="360" w:lineRule="auto"/>
        <w:ind w:firstLine="480" w:firstLineChars="200"/>
        <w:jc w:val="left"/>
        <w:rPr>
          <w:rFonts w:hint="default"/>
          <w:sz w:val="24"/>
          <w:u w:val="none"/>
          <w:lang w:val="en-US" w:eastAsia="zh-CN"/>
        </w:rPr>
      </w:pPr>
      <w:r>
        <w:rPr>
          <w:rFonts w:hint="eastAsia"/>
          <w:sz w:val="24"/>
          <w:u w:val="none"/>
          <w:lang w:val="en-US" w:eastAsia="zh-CN"/>
        </w:rPr>
        <w:t>根据上述公式，计算得出q=283.232L/（S·hm²），生产厂区汇水面积约2500m²，则10min初期雨水量为42.33m³。故本项目拟建设一座容积为50m³的初期雨水收集池，用于初期雨水的收集。初期雨水收集池起到初期雨水调节、暂存和缓冲的功能，初期雨水经初期雨水收集池收集后再用泵抽至污水处理站处理。</w:t>
      </w:r>
    </w:p>
    <w:p>
      <w:pPr>
        <w:topLinePunct/>
        <w:spacing w:line="360" w:lineRule="auto"/>
        <w:ind w:firstLine="480" w:firstLineChars="200"/>
        <w:rPr>
          <w:sz w:val="24"/>
          <w:u w:val="none"/>
        </w:rPr>
        <w:sectPr>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topLinePunct/>
        <w:spacing w:line="360" w:lineRule="auto"/>
        <w:ind w:firstLine="482" w:firstLineChars="200"/>
        <w:rPr>
          <w:rStyle w:val="177"/>
          <w:rFonts w:hint="eastAsia" w:ascii="Times New Roman" w:hAnsi="Times New Roman" w:eastAsia="宋体" w:cs="Times New Roman"/>
          <w:b/>
          <w:bCs/>
          <w:sz w:val="24"/>
          <w:szCs w:val="24"/>
          <w:u w:val="none"/>
          <w:lang w:eastAsia="zh-CN"/>
        </w:rPr>
      </w:pPr>
      <w:r>
        <w:rPr>
          <w:rStyle w:val="177"/>
          <w:rFonts w:hint="default" w:ascii="Times New Roman" w:hAnsi="Times New Roman" w:cs="Times New Roman"/>
          <w:b/>
          <w:bCs/>
          <w:sz w:val="24"/>
          <w:szCs w:val="24"/>
          <w:u w:val="none"/>
        </w:rPr>
        <w:t>三、噪声</w:t>
      </w:r>
      <w:r>
        <w:rPr>
          <w:rStyle w:val="177"/>
          <w:rFonts w:hint="eastAsia" w:cs="Times New Roman"/>
          <w:b/>
          <w:bCs/>
          <w:sz w:val="24"/>
          <w:szCs w:val="24"/>
          <w:u w:val="none"/>
          <w:lang w:eastAsia="zh-CN"/>
        </w:rPr>
        <w:t>产排情况</w:t>
      </w:r>
    </w:p>
    <w:p>
      <w:pPr>
        <w:topLinePunct/>
        <w:spacing w:line="360" w:lineRule="auto"/>
        <w:ind w:firstLine="480" w:firstLineChars="200"/>
        <w:rPr>
          <w:sz w:val="24"/>
          <w:u w:val="none"/>
        </w:rPr>
      </w:pPr>
      <w:r>
        <w:rPr>
          <w:rFonts w:hint="eastAsia"/>
          <w:sz w:val="24"/>
          <w:u w:val="none"/>
          <w:lang w:eastAsia="zh-CN"/>
        </w:rPr>
        <w:t>本项目建设微波消毒医疗废物处理设备</w:t>
      </w:r>
      <w:r>
        <w:rPr>
          <w:rFonts w:hint="eastAsia"/>
          <w:sz w:val="24"/>
          <w:u w:val="none"/>
          <w:lang w:val="en-US" w:eastAsia="zh-CN"/>
        </w:rPr>
        <w:t>1套（包括冷库、进料系统、破碎消毒系统、自动控制系统、泵、风机等），项目噪声源强在80~105dB（A），</w:t>
      </w:r>
      <w:r>
        <w:rPr>
          <w:sz w:val="24"/>
          <w:u w:val="none"/>
        </w:rPr>
        <w:t>为确保项目建成运营后厂界噪声稳定达标，</w:t>
      </w:r>
      <w:r>
        <w:rPr>
          <w:rFonts w:hint="eastAsia"/>
          <w:sz w:val="24"/>
          <w:u w:val="none"/>
          <w:lang w:eastAsia="zh-CN"/>
        </w:rPr>
        <w:t>项目</w:t>
      </w:r>
      <w:r>
        <w:rPr>
          <w:sz w:val="24"/>
          <w:u w:val="none"/>
        </w:rPr>
        <w:t>采取以下噪声污染防治措施：</w:t>
      </w:r>
    </w:p>
    <w:p>
      <w:pPr>
        <w:spacing w:line="360" w:lineRule="auto"/>
        <w:ind w:firstLine="480" w:firstLineChars="200"/>
        <w:jc w:val="left"/>
        <w:rPr>
          <w:sz w:val="24"/>
          <w:u w:val="none"/>
        </w:rPr>
      </w:pPr>
      <w:r>
        <w:rPr>
          <w:sz w:val="24"/>
          <w:u w:val="none"/>
        </w:rPr>
        <w:t>（1）合理布置噪声源，优化总图布置，将高噪声设备除尘风机等布置于</w:t>
      </w:r>
      <w:r>
        <w:rPr>
          <w:rFonts w:hint="eastAsia"/>
          <w:sz w:val="24"/>
          <w:u w:val="none"/>
          <w:lang w:eastAsia="zh-CN"/>
        </w:rPr>
        <w:t>车间内</w:t>
      </w:r>
      <w:r>
        <w:rPr>
          <w:sz w:val="24"/>
          <w:u w:val="none"/>
        </w:rPr>
        <w:t>，</w:t>
      </w:r>
      <w:r>
        <w:rPr>
          <w:rFonts w:hint="eastAsia"/>
          <w:sz w:val="24"/>
          <w:u w:val="none"/>
          <w:lang w:eastAsia="zh-CN"/>
        </w:rPr>
        <w:t>利用车间隔声，降低高噪声源的影响</w:t>
      </w:r>
      <w:r>
        <w:rPr>
          <w:sz w:val="24"/>
          <w:u w:val="none"/>
        </w:rPr>
        <w:t>。</w:t>
      </w:r>
    </w:p>
    <w:p>
      <w:pPr>
        <w:spacing w:line="360" w:lineRule="auto"/>
        <w:ind w:firstLine="480" w:firstLineChars="200"/>
        <w:jc w:val="left"/>
        <w:rPr>
          <w:sz w:val="24"/>
          <w:u w:val="none"/>
        </w:rPr>
      </w:pPr>
      <w:r>
        <w:rPr>
          <w:sz w:val="24"/>
          <w:u w:val="none"/>
        </w:rPr>
        <w:t>（2）室外</w:t>
      </w:r>
      <w:r>
        <w:rPr>
          <w:rFonts w:hint="eastAsia"/>
          <w:sz w:val="24"/>
          <w:u w:val="none"/>
          <w:lang w:eastAsia="zh-CN"/>
        </w:rPr>
        <w:t>风机基础减振，</w:t>
      </w:r>
      <w:r>
        <w:rPr>
          <w:sz w:val="24"/>
          <w:u w:val="none"/>
        </w:rPr>
        <w:t>风机的进出口安装消音器，管道外壁敷设阻尼吸声材料等。</w:t>
      </w:r>
    </w:p>
    <w:p>
      <w:pPr>
        <w:spacing w:line="360" w:lineRule="auto"/>
        <w:ind w:firstLine="480" w:firstLineChars="200"/>
        <w:jc w:val="left"/>
        <w:rPr>
          <w:sz w:val="24"/>
          <w:u w:val="none"/>
        </w:rPr>
      </w:pPr>
      <w:r>
        <w:rPr>
          <w:sz w:val="24"/>
          <w:u w:val="none"/>
        </w:rPr>
        <w:t>（3）对空气压缩机采取基础减振，在设备选型上选用先进的低噪声设备，并采取适当的降噪措施，在机组基础设置衬垫，使之于建筑结构隔开，</w:t>
      </w:r>
    </w:p>
    <w:p>
      <w:pPr>
        <w:spacing w:line="360" w:lineRule="auto"/>
        <w:ind w:firstLine="480" w:firstLineChars="200"/>
        <w:jc w:val="left"/>
        <w:rPr>
          <w:sz w:val="24"/>
          <w:u w:val="none"/>
        </w:rPr>
      </w:pPr>
      <w:r>
        <w:rPr>
          <w:sz w:val="24"/>
          <w:u w:val="none"/>
        </w:rPr>
        <w:t>（4）对大功率设备及高</w:t>
      </w:r>
      <w:r>
        <w:rPr>
          <w:rFonts w:hint="eastAsia"/>
          <w:sz w:val="24"/>
          <w:u w:val="none"/>
          <w:lang w:eastAsia="zh-CN"/>
        </w:rPr>
        <w:t>噪</w:t>
      </w:r>
      <w:r>
        <w:rPr>
          <w:sz w:val="24"/>
          <w:u w:val="none"/>
        </w:rPr>
        <w:t>设备采用隔离布置，并采取减振、隔声等降噪措施，如厂房墙壁设吸声材料，设备安装时采取台基减振、橡胶减振接头及减振垫等措施。</w:t>
      </w:r>
    </w:p>
    <w:p>
      <w:pPr>
        <w:spacing w:line="360" w:lineRule="auto"/>
        <w:ind w:firstLine="480" w:firstLineChars="200"/>
        <w:jc w:val="left"/>
        <w:rPr>
          <w:sz w:val="24"/>
          <w:u w:val="none"/>
        </w:rPr>
      </w:pPr>
      <w:r>
        <w:rPr>
          <w:sz w:val="24"/>
          <w:u w:val="none"/>
        </w:rPr>
        <w:t>（5）在布置有大型噪声设备的厂房为操作工设置隔音的值班室，为操作工配备个人防噪用品，设备布置时原理行政办公室和生活区，设置隔音机房。</w:t>
      </w:r>
    </w:p>
    <w:p>
      <w:pPr>
        <w:spacing w:line="360" w:lineRule="auto"/>
        <w:ind w:firstLine="480" w:firstLineChars="200"/>
        <w:jc w:val="left"/>
        <w:rPr>
          <w:sz w:val="24"/>
          <w:u w:val="none"/>
        </w:rPr>
      </w:pPr>
      <w:r>
        <w:rPr>
          <w:sz w:val="24"/>
          <w:u w:val="none"/>
        </w:rPr>
        <w:t>（6）在装卸方式上，由叉车等工具妥善装卸，不得野蛮操作；产品由框料进行包装，以方便运输和降低装卸噪声。</w:t>
      </w:r>
    </w:p>
    <w:p>
      <w:pPr>
        <w:spacing w:line="360" w:lineRule="auto"/>
        <w:ind w:firstLine="480" w:firstLineChars="200"/>
        <w:jc w:val="left"/>
        <w:rPr>
          <w:rFonts w:hint="eastAsia"/>
          <w:sz w:val="24"/>
          <w:u w:val="none"/>
          <w:lang w:eastAsia="zh-CN"/>
        </w:rPr>
      </w:pPr>
      <w:r>
        <w:rPr>
          <w:sz w:val="24"/>
          <w:u w:val="none"/>
        </w:rPr>
        <w:t>综上所述，建设单位在采取上述噪声防治措施，对各类设备噪声由针对性的进行隔音降噪处理后，项目营运产生的设备噪声对外环境的影响可降至最低</w:t>
      </w:r>
      <w:r>
        <w:rPr>
          <w:rFonts w:hint="eastAsia"/>
          <w:sz w:val="24"/>
          <w:u w:val="none"/>
          <w:lang w:eastAsia="zh-CN"/>
        </w:rPr>
        <w:t>，项目噪声产排情况见下表。</w:t>
      </w:r>
    </w:p>
    <w:p>
      <w:pPr>
        <w:spacing w:line="360" w:lineRule="auto"/>
        <w:jc w:val="left"/>
        <w:rPr>
          <w:rFonts w:hint="eastAsia"/>
          <w:sz w:val="24"/>
          <w:u w:val="none"/>
          <w:lang w:eastAsia="zh-CN"/>
        </w:rPr>
        <w:sectPr>
          <w:headerReference r:id="rId7" w:type="default"/>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pStyle w:val="352"/>
        <w:rPr>
          <w:rFonts w:hint="eastAsia"/>
          <w:b/>
          <w:bCs/>
          <w:u w:val="none"/>
          <w:lang w:val="en-US" w:eastAsia="zh-CN"/>
        </w:rPr>
      </w:pPr>
      <w:r>
        <w:rPr>
          <w:rFonts w:hint="eastAsia"/>
          <w:b/>
          <w:bCs/>
          <w:u w:val="none"/>
          <w:lang w:val="en-US" w:eastAsia="zh-CN"/>
        </w:rPr>
        <w:t>表3-18  噪声污染源源强核算结果及相关参数一览表</w:t>
      </w:r>
    </w:p>
    <w:tbl>
      <w:tblPr>
        <w:tblStyle w:val="59"/>
        <w:tblW w:w="14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77"/>
        <w:gridCol w:w="1300"/>
        <w:gridCol w:w="1730"/>
        <w:gridCol w:w="1059"/>
        <w:gridCol w:w="984"/>
        <w:gridCol w:w="1333"/>
        <w:gridCol w:w="1583"/>
        <w:gridCol w:w="1226"/>
        <w:gridCol w:w="853"/>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u w:val="none"/>
                <w:lang w:val="en-US" w:eastAsia="zh-CN"/>
              </w:rPr>
            </w:pPr>
            <w:r>
              <w:rPr>
                <w:rFonts w:hint="eastAsia"/>
                <w:u w:val="none"/>
                <w:lang w:val="en-US" w:eastAsia="zh-CN"/>
              </w:rPr>
              <w:t>工序/生产线</w:t>
            </w:r>
          </w:p>
        </w:tc>
        <w:tc>
          <w:tcPr>
            <w:tcW w:w="1377"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装置</w:t>
            </w:r>
          </w:p>
        </w:tc>
        <w:tc>
          <w:tcPr>
            <w:tcW w:w="1300"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噪声源</w:t>
            </w:r>
          </w:p>
        </w:tc>
        <w:tc>
          <w:tcPr>
            <w:tcW w:w="1730"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声源类型</w:t>
            </w:r>
          </w:p>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（频发、偶发等）</w:t>
            </w:r>
          </w:p>
        </w:tc>
        <w:tc>
          <w:tcPr>
            <w:tcW w:w="2043" w:type="dxa"/>
            <w:gridSpan w:val="2"/>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噪声源强</w:t>
            </w:r>
          </w:p>
        </w:tc>
        <w:tc>
          <w:tcPr>
            <w:tcW w:w="2916" w:type="dxa"/>
            <w:gridSpan w:val="2"/>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降噪措施</w:t>
            </w:r>
          </w:p>
        </w:tc>
        <w:tc>
          <w:tcPr>
            <w:tcW w:w="2079" w:type="dxa"/>
            <w:gridSpan w:val="2"/>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噪声排放值</w:t>
            </w:r>
          </w:p>
        </w:tc>
        <w:tc>
          <w:tcPr>
            <w:tcW w:w="1782"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排放时间（</w:t>
            </w:r>
            <w:r>
              <w:rPr>
                <w:rFonts w:hint="eastAsia"/>
                <w:u w:val="none"/>
                <w:lang w:val="en-US" w:eastAsia="zh-CN"/>
              </w:rPr>
              <w:t>h</w:t>
            </w:r>
            <w:r>
              <w:rPr>
                <w:rFonts w:hint="eastAsia"/>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p>
        </w:tc>
        <w:tc>
          <w:tcPr>
            <w:tcW w:w="1300" w:type="dxa"/>
            <w:vMerge w:val="continue"/>
            <w:noWrap w:val="0"/>
            <w:vAlign w:val="center"/>
          </w:tcPr>
          <w:p>
            <w:pPr>
              <w:pStyle w:val="352"/>
              <w:keepNext w:val="0"/>
              <w:keepLines w:val="0"/>
              <w:suppressLineNumbers w:val="0"/>
              <w:spacing w:before="0" w:beforeAutospacing="0" w:after="0" w:afterAutospacing="0"/>
              <w:ind w:left="0" w:right="0"/>
              <w:jc w:val="center"/>
              <w:rPr>
                <w:rFonts w:hint="default"/>
                <w:u w:val="none"/>
              </w:rPr>
            </w:pPr>
          </w:p>
        </w:tc>
        <w:tc>
          <w:tcPr>
            <w:tcW w:w="173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p>
        </w:tc>
        <w:tc>
          <w:tcPr>
            <w:tcW w:w="1059" w:type="dxa"/>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核算方法</w:t>
            </w: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eastAsia"/>
                <w:u w:val="none"/>
                <w:lang w:val="en-US" w:eastAsia="zh-CN"/>
              </w:rPr>
            </w:pPr>
            <w:r>
              <w:rPr>
                <w:rFonts w:hint="eastAsia"/>
                <w:u w:val="none"/>
                <w:lang w:eastAsia="zh-CN"/>
              </w:rPr>
              <w:t>噪声值</w:t>
            </w:r>
            <w:r>
              <w:rPr>
                <w:rFonts w:hint="eastAsia"/>
                <w:u w:val="none"/>
                <w:lang w:val="en-US" w:eastAsia="zh-CN"/>
              </w:rPr>
              <w:t>dB（A）</w:t>
            </w:r>
          </w:p>
        </w:tc>
        <w:tc>
          <w:tcPr>
            <w:tcW w:w="1333" w:type="dxa"/>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工艺</w:t>
            </w:r>
          </w:p>
        </w:tc>
        <w:tc>
          <w:tcPr>
            <w:tcW w:w="1583" w:type="dxa"/>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val="en-US" w:eastAsia="zh-CN"/>
              </w:rPr>
              <w:t>降噪效果</w:t>
            </w:r>
          </w:p>
        </w:tc>
        <w:tc>
          <w:tcPr>
            <w:tcW w:w="1226" w:type="dxa"/>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核算方法</w:t>
            </w: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r>
              <w:rPr>
                <w:rFonts w:hint="eastAsia"/>
                <w:u w:val="none"/>
                <w:lang w:eastAsia="zh-CN"/>
              </w:rPr>
              <w:t>噪声值</w:t>
            </w:r>
            <w:r>
              <w:rPr>
                <w:rFonts w:hint="eastAsia"/>
                <w:u w:val="none"/>
                <w:lang w:val="en-US" w:eastAsia="zh-CN"/>
              </w:rPr>
              <w:t>dB（A）</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90"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eastAsia="宋体"/>
                <w:b w:val="0"/>
                <w:bCs/>
                <w:u w:val="none"/>
                <w:lang w:eastAsia="zh-CN"/>
              </w:rPr>
            </w:pPr>
            <w:r>
              <w:rPr>
                <w:rFonts w:hint="eastAsia"/>
                <w:b w:val="0"/>
                <w:bCs/>
                <w:u w:val="none"/>
                <w:lang w:eastAsia="zh-CN"/>
              </w:rPr>
              <w:t>微波消毒</w:t>
            </w:r>
          </w:p>
        </w:tc>
        <w:tc>
          <w:tcPr>
            <w:tcW w:w="1377"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微波消毒系统</w:t>
            </w:r>
          </w:p>
        </w:tc>
        <w:tc>
          <w:tcPr>
            <w:tcW w:w="1300"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eastAsia="宋体"/>
                <w:b w:val="0"/>
                <w:bCs/>
                <w:u w:val="none"/>
                <w:lang w:eastAsia="zh-CN"/>
              </w:rPr>
            </w:pPr>
            <w:r>
              <w:rPr>
                <w:rFonts w:hint="eastAsia"/>
                <w:b w:val="0"/>
                <w:bCs/>
                <w:u w:val="none"/>
                <w:lang w:eastAsia="zh-CN"/>
              </w:rPr>
              <w:t>提升电机</w:t>
            </w:r>
          </w:p>
        </w:tc>
        <w:tc>
          <w:tcPr>
            <w:tcW w:w="173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频发</w:t>
            </w:r>
          </w:p>
        </w:tc>
        <w:tc>
          <w:tcPr>
            <w:tcW w:w="1059"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类比法</w:t>
            </w: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105</w:t>
            </w:r>
          </w:p>
        </w:tc>
        <w:tc>
          <w:tcPr>
            <w:tcW w:w="1333" w:type="dxa"/>
            <w:vMerge w:val="restart"/>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绿化吸声、厂房隔声、减振</w:t>
            </w:r>
          </w:p>
        </w:tc>
        <w:tc>
          <w:tcPr>
            <w:tcW w:w="1583"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40dB（A）</w:t>
            </w:r>
          </w:p>
        </w:tc>
        <w:tc>
          <w:tcPr>
            <w:tcW w:w="1226" w:type="dxa"/>
            <w:vMerge w:val="restart"/>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类比法</w:t>
            </w: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65</w:t>
            </w:r>
          </w:p>
        </w:tc>
        <w:tc>
          <w:tcPr>
            <w:tcW w:w="1782" w:type="dxa"/>
            <w:vMerge w:val="restart"/>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破碎系统</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45</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水泵</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90</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50</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空压机</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55</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r>
              <w:rPr>
                <w:rFonts w:hint="eastAsia"/>
                <w:b w:val="0"/>
                <w:bCs/>
                <w:u w:val="none"/>
                <w:lang w:eastAsia="zh-CN"/>
              </w:rPr>
              <w:t>风机</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55</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废气处理系统</w:t>
            </w:r>
          </w:p>
        </w:tc>
        <w:tc>
          <w:tcPr>
            <w:tcW w:w="130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风机</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55</w:t>
            </w:r>
          </w:p>
        </w:tc>
        <w:tc>
          <w:tcPr>
            <w:tcW w:w="1782" w:type="dxa"/>
            <w:vMerge w:val="restart"/>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水泵</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90</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50</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restart"/>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污水处理站</w:t>
            </w:r>
          </w:p>
        </w:tc>
        <w:tc>
          <w:tcPr>
            <w:tcW w:w="130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水泵</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90</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50</w:t>
            </w:r>
          </w:p>
        </w:tc>
        <w:tc>
          <w:tcPr>
            <w:tcW w:w="1782" w:type="dxa"/>
            <w:vMerge w:val="restart"/>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风机</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频发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95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55</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77"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1300" w:type="dxa"/>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r>
              <w:rPr>
                <w:rFonts w:hint="eastAsia"/>
                <w:b w:val="0"/>
                <w:bCs/>
                <w:u w:val="none"/>
                <w:lang w:eastAsia="zh-CN"/>
              </w:rPr>
              <w:t>板框压滤</w:t>
            </w:r>
          </w:p>
        </w:tc>
        <w:tc>
          <w:tcPr>
            <w:tcW w:w="173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偶发</w:t>
            </w:r>
          </w:p>
        </w:tc>
        <w:tc>
          <w:tcPr>
            <w:tcW w:w="1059"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eastAsia="zh-CN"/>
              </w:rPr>
            </w:pPr>
          </w:p>
        </w:tc>
        <w:tc>
          <w:tcPr>
            <w:tcW w:w="984"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85</w:t>
            </w:r>
          </w:p>
        </w:tc>
        <w:tc>
          <w:tcPr>
            <w:tcW w:w="1333"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1583"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40dB（A）</w:t>
            </w:r>
          </w:p>
        </w:tc>
        <w:tc>
          <w:tcPr>
            <w:tcW w:w="1226" w:type="dxa"/>
            <w:vMerge w:val="continue"/>
            <w:noWrap w:val="0"/>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eastAsia="zh-CN"/>
              </w:rPr>
            </w:pPr>
          </w:p>
        </w:tc>
        <w:tc>
          <w:tcPr>
            <w:tcW w:w="853" w:type="dxa"/>
            <w:noWrap w:val="0"/>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45</w:t>
            </w:r>
          </w:p>
        </w:tc>
        <w:tc>
          <w:tcPr>
            <w:tcW w:w="1782" w:type="dxa"/>
            <w:vMerge w:val="continue"/>
            <w:noWrap w:val="0"/>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bl>
    <w:p>
      <w:pPr>
        <w:topLinePunct/>
        <w:jc w:val="center"/>
        <w:rPr>
          <w:rFonts w:hint="eastAsia"/>
          <w:b w:val="0"/>
          <w:bCs/>
          <w:szCs w:val="21"/>
          <w:u w:val="none"/>
          <w:lang w:val="en-US" w:eastAsia="zh-CN"/>
        </w:rPr>
      </w:pPr>
    </w:p>
    <w:p>
      <w:pPr>
        <w:topLinePunct/>
        <w:spacing w:line="360" w:lineRule="auto"/>
        <w:jc w:val="left"/>
        <w:rPr>
          <w:rStyle w:val="177"/>
          <w:rFonts w:hint="eastAsia" w:ascii="Times New Roman" w:hAnsi="Times New Roman" w:eastAsia="宋体" w:cs="Times New Roman"/>
          <w:b/>
          <w:bCs/>
          <w:sz w:val="24"/>
          <w:szCs w:val="24"/>
          <w:u w:val="none"/>
          <w:lang w:val="en-US" w:eastAsia="zh-CN"/>
        </w:rPr>
        <w:sectPr>
          <w:pgSz w:w="16838" w:h="11906" w:orient="landscape"/>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topLinePunct/>
        <w:spacing w:line="360" w:lineRule="auto"/>
        <w:ind w:firstLine="482" w:firstLineChars="200"/>
        <w:jc w:val="left"/>
        <w:rPr>
          <w:rStyle w:val="177"/>
          <w:rFonts w:hint="eastAsia" w:ascii="Times New Roman" w:hAnsi="Times New Roman" w:eastAsia="宋体" w:cs="Times New Roman"/>
          <w:b/>
          <w:bCs/>
          <w:sz w:val="24"/>
          <w:szCs w:val="24"/>
          <w:u w:val="none"/>
          <w:lang w:eastAsia="zh-CN"/>
        </w:rPr>
      </w:pPr>
      <w:r>
        <w:rPr>
          <w:rStyle w:val="177"/>
          <w:rFonts w:hint="default" w:ascii="Times New Roman" w:hAnsi="Times New Roman" w:cs="Times New Roman"/>
          <w:b/>
          <w:bCs/>
          <w:sz w:val="24"/>
          <w:szCs w:val="24"/>
          <w:u w:val="none"/>
        </w:rPr>
        <w:t>四、固体废物</w:t>
      </w:r>
      <w:r>
        <w:rPr>
          <w:rStyle w:val="177"/>
          <w:rFonts w:hint="eastAsia" w:cs="Times New Roman"/>
          <w:b/>
          <w:bCs/>
          <w:sz w:val="24"/>
          <w:szCs w:val="24"/>
          <w:u w:val="none"/>
          <w:lang w:eastAsia="zh-CN"/>
        </w:rPr>
        <w:t>产生及处置情况</w:t>
      </w:r>
    </w:p>
    <w:p>
      <w:pPr>
        <w:topLinePunct/>
        <w:spacing w:line="360" w:lineRule="auto"/>
        <w:ind w:firstLine="480" w:firstLineChars="200"/>
        <w:rPr>
          <w:sz w:val="24"/>
          <w:u w:val="none"/>
        </w:rPr>
      </w:pPr>
      <w:r>
        <w:rPr>
          <w:sz w:val="24"/>
          <w:u w:val="none"/>
        </w:rPr>
        <w:t>1、固废来源及处置措施</w:t>
      </w:r>
    </w:p>
    <w:p>
      <w:pPr>
        <w:topLinePunct/>
        <w:spacing w:line="360" w:lineRule="auto"/>
        <w:ind w:firstLine="480" w:firstLineChars="200"/>
        <w:rPr>
          <w:sz w:val="24"/>
          <w:u w:val="none"/>
        </w:rPr>
      </w:pPr>
      <w:r>
        <w:rPr>
          <w:sz w:val="24"/>
          <w:u w:val="none"/>
        </w:rPr>
        <w:t>依据</w:t>
      </w:r>
      <w:r>
        <w:rPr>
          <w:rFonts w:hint="eastAsia"/>
          <w:sz w:val="24"/>
          <w:u w:val="none"/>
        </w:rPr>
        <w:t>《固体废物鉴别标准 通则》（GB34330-2017），</w:t>
      </w:r>
      <w:r>
        <w:rPr>
          <w:sz w:val="24"/>
          <w:u w:val="none"/>
        </w:rPr>
        <w:t>本项目营运期产生的固废依据其</w:t>
      </w:r>
      <w:r>
        <w:rPr>
          <w:rFonts w:hint="eastAsia"/>
          <w:sz w:val="24"/>
          <w:u w:val="none"/>
        </w:rPr>
        <w:t>产生</w:t>
      </w:r>
      <w:r>
        <w:rPr>
          <w:sz w:val="24"/>
          <w:u w:val="none"/>
        </w:rPr>
        <w:t>来源</w:t>
      </w:r>
      <w:r>
        <w:rPr>
          <w:rFonts w:hint="eastAsia"/>
          <w:sz w:val="24"/>
          <w:u w:val="none"/>
        </w:rPr>
        <w:t>可鉴别如下：</w:t>
      </w:r>
    </w:p>
    <w:p>
      <w:pPr>
        <w:topLinePunct/>
        <w:spacing w:line="360" w:lineRule="auto"/>
        <w:ind w:firstLine="480" w:firstLineChars="200"/>
        <w:rPr>
          <w:sz w:val="24"/>
          <w:szCs w:val="24"/>
          <w:u w:val="none"/>
        </w:rPr>
      </w:pPr>
      <w:r>
        <w:rPr>
          <w:sz w:val="24"/>
          <w:szCs w:val="24"/>
          <w:u w:val="none"/>
        </w:rPr>
        <w:t>（1）生活垃圾</w:t>
      </w:r>
    </w:p>
    <w:p>
      <w:pPr>
        <w:topLinePunct/>
        <w:spacing w:line="360" w:lineRule="auto"/>
        <w:ind w:firstLine="480" w:firstLineChars="200"/>
        <w:rPr>
          <w:sz w:val="24"/>
          <w:szCs w:val="24"/>
          <w:u w:val="none"/>
        </w:rPr>
      </w:pPr>
      <w:r>
        <w:rPr>
          <w:sz w:val="24"/>
          <w:szCs w:val="24"/>
          <w:u w:val="none"/>
        </w:rPr>
        <w:t>本项目最终建成后，劳动定员</w:t>
      </w:r>
      <w:r>
        <w:rPr>
          <w:rFonts w:hint="eastAsia"/>
          <w:sz w:val="24"/>
          <w:szCs w:val="24"/>
          <w:u w:val="none"/>
          <w:lang w:val="en-US" w:eastAsia="zh-CN"/>
        </w:rPr>
        <w:t>20</w:t>
      </w:r>
      <w:r>
        <w:rPr>
          <w:sz w:val="24"/>
          <w:szCs w:val="24"/>
          <w:u w:val="none"/>
        </w:rPr>
        <w:t>人，生活垃圾产生系数按每人每天1.0kg计算，则生活垃圾日产生量为</w:t>
      </w:r>
      <w:r>
        <w:rPr>
          <w:rFonts w:hint="eastAsia"/>
          <w:sz w:val="24"/>
          <w:szCs w:val="24"/>
          <w:u w:val="none"/>
          <w:lang w:val="en-US" w:eastAsia="zh-CN"/>
        </w:rPr>
        <w:t>20kg</w:t>
      </w:r>
      <w:r>
        <w:rPr>
          <w:sz w:val="24"/>
          <w:szCs w:val="24"/>
          <w:u w:val="none"/>
        </w:rPr>
        <w:t>/d，年工作日3</w:t>
      </w:r>
      <w:r>
        <w:rPr>
          <w:rFonts w:hint="eastAsia"/>
          <w:sz w:val="24"/>
          <w:szCs w:val="24"/>
          <w:u w:val="none"/>
          <w:lang w:val="en-US" w:eastAsia="zh-CN"/>
        </w:rPr>
        <w:t>65</w:t>
      </w:r>
      <w:r>
        <w:rPr>
          <w:sz w:val="24"/>
          <w:szCs w:val="24"/>
          <w:u w:val="none"/>
        </w:rPr>
        <w:t>d，年产生生活垃圾量为</w:t>
      </w:r>
      <w:r>
        <w:rPr>
          <w:rFonts w:hint="eastAsia"/>
          <w:sz w:val="24"/>
          <w:szCs w:val="24"/>
          <w:u w:val="none"/>
          <w:lang w:val="en-US" w:eastAsia="zh-CN"/>
        </w:rPr>
        <w:t>7.3</w:t>
      </w:r>
      <w:r>
        <w:rPr>
          <w:sz w:val="24"/>
          <w:szCs w:val="24"/>
          <w:u w:val="none"/>
        </w:rPr>
        <w:t>t/a。生活垃圾经垃圾袋收集后由环卫部门统一清运，送生活垃圾处理厂处置。</w:t>
      </w:r>
    </w:p>
    <w:p>
      <w:pPr>
        <w:topLinePunct/>
        <w:spacing w:line="360" w:lineRule="auto"/>
        <w:ind w:firstLine="480" w:firstLineChars="200"/>
        <w:rPr>
          <w:sz w:val="24"/>
          <w:szCs w:val="24"/>
          <w:u w:val="none"/>
        </w:rPr>
      </w:pPr>
      <w:r>
        <w:rPr>
          <w:rFonts w:hint="eastAsia"/>
          <w:sz w:val="24"/>
          <w:szCs w:val="24"/>
          <w:u w:val="none"/>
        </w:rPr>
        <w:t>（2）一般工业固废</w:t>
      </w:r>
    </w:p>
    <w:p>
      <w:pPr>
        <w:topLinePunct/>
        <w:spacing w:line="360" w:lineRule="auto"/>
        <w:ind w:firstLine="480" w:firstLineChars="200"/>
        <w:rPr>
          <w:rFonts w:hint="eastAsia"/>
          <w:color w:val="auto"/>
          <w:sz w:val="24"/>
          <w:szCs w:val="24"/>
          <w:u w:val="none"/>
          <w:shd w:val="clear" w:color="auto" w:fill="auto"/>
          <w:lang w:val="en-US" w:eastAsia="zh-CN"/>
        </w:rPr>
      </w:pPr>
      <w:r>
        <w:rPr>
          <w:sz w:val="24"/>
          <w:szCs w:val="24"/>
          <w:u w:val="none"/>
        </w:rPr>
        <w:t>依据固废的产生来源</w:t>
      </w:r>
      <w:r>
        <w:rPr>
          <w:rFonts w:hint="eastAsia"/>
          <w:sz w:val="24"/>
          <w:szCs w:val="24"/>
          <w:u w:val="none"/>
        </w:rPr>
        <w:t>，</w:t>
      </w:r>
      <w:r>
        <w:rPr>
          <w:sz w:val="24"/>
          <w:szCs w:val="24"/>
          <w:u w:val="none"/>
        </w:rPr>
        <w:t>本项目产生的一般工业固废主要</w:t>
      </w:r>
      <w:r>
        <w:rPr>
          <w:rFonts w:hint="eastAsia"/>
          <w:sz w:val="24"/>
          <w:szCs w:val="24"/>
          <w:u w:val="none"/>
          <w:lang w:eastAsia="zh-CN"/>
        </w:rPr>
        <w:t>为医疗废物经微波消毒处理后的残渣，产生量约为</w:t>
      </w:r>
      <w:r>
        <w:rPr>
          <w:rFonts w:hint="eastAsia"/>
          <w:sz w:val="24"/>
          <w:szCs w:val="24"/>
          <w:u w:val="none"/>
          <w:lang w:val="en-US" w:eastAsia="zh-CN"/>
        </w:rPr>
        <w:t>720t/a。根据</w:t>
      </w:r>
      <w:r>
        <w:rPr>
          <w:rFonts w:hint="eastAsia"/>
          <w:color w:val="auto"/>
          <w:sz w:val="24"/>
          <w:szCs w:val="24"/>
          <w:u w:val="none"/>
          <w:shd w:val="clear" w:color="auto" w:fill="auto"/>
          <w:lang w:val="en-US" w:eastAsia="zh-CN"/>
        </w:rPr>
        <w:t>《国家危险废物名录》（2016年版）附录危险废物豁免管理清单，详见下表。</w:t>
      </w:r>
    </w:p>
    <w:p>
      <w:pPr>
        <w:pStyle w:val="352"/>
        <w:rPr>
          <w:rFonts w:hint="eastAsia"/>
          <w:b/>
          <w:bCs/>
          <w:u w:val="none"/>
          <w:lang w:val="en-US" w:eastAsia="zh-CN"/>
        </w:rPr>
      </w:pPr>
      <w:r>
        <w:rPr>
          <w:rFonts w:hint="eastAsia"/>
          <w:b/>
          <w:bCs/>
          <w:u w:val="none"/>
          <w:lang w:val="en-US" w:eastAsia="zh-CN"/>
        </w:rPr>
        <w:t>表3-19  危险废物豁免管理清单摘录表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239"/>
        <w:gridCol w:w="1331"/>
        <w:gridCol w:w="731"/>
        <w:gridCol w:w="3244"/>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序号</w:t>
            </w:r>
          </w:p>
        </w:tc>
        <w:tc>
          <w:tcPr>
            <w:tcW w:w="1239"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废物类别/代码</w:t>
            </w:r>
          </w:p>
        </w:tc>
        <w:tc>
          <w:tcPr>
            <w:tcW w:w="1331" w:type="dxa"/>
            <w:vAlign w:val="center"/>
          </w:tcPr>
          <w:p>
            <w:pPr>
              <w:pStyle w:val="352"/>
              <w:keepNext w:val="0"/>
              <w:keepLines w:val="0"/>
              <w:suppressLineNumbers w:val="0"/>
              <w:spacing w:before="0" w:beforeAutospacing="0" w:after="0" w:afterAutospacing="0"/>
              <w:ind w:left="0" w:right="0" w:firstLine="0" w:firstLineChars="0"/>
              <w:jc w:val="center"/>
              <w:rPr>
                <w:rFonts w:hint="default"/>
                <w:b/>
                <w:bCs/>
                <w:u w:val="none"/>
                <w:vertAlign w:val="baseline"/>
                <w:lang w:val="en-US" w:eastAsia="zh-CN"/>
              </w:rPr>
            </w:pPr>
            <w:r>
              <w:rPr>
                <w:rFonts w:hint="eastAsia"/>
                <w:b/>
                <w:bCs/>
                <w:u w:val="none"/>
                <w:vertAlign w:val="baseline"/>
                <w:lang w:val="en-US" w:eastAsia="zh-CN"/>
              </w:rPr>
              <w:t>危险废物</w:t>
            </w:r>
          </w:p>
        </w:tc>
        <w:tc>
          <w:tcPr>
            <w:tcW w:w="731" w:type="dxa"/>
            <w:vAlign w:val="center"/>
          </w:tcPr>
          <w:p>
            <w:pPr>
              <w:pStyle w:val="352"/>
              <w:keepNext w:val="0"/>
              <w:keepLines w:val="0"/>
              <w:suppressLineNumbers w:val="0"/>
              <w:spacing w:before="0" w:beforeAutospacing="0" w:after="0" w:afterAutospacing="0"/>
              <w:ind w:left="0" w:right="0" w:firstLine="0" w:firstLineChars="0"/>
              <w:jc w:val="center"/>
              <w:rPr>
                <w:rFonts w:hint="default"/>
                <w:b/>
                <w:bCs/>
                <w:u w:val="none"/>
                <w:vertAlign w:val="baseline"/>
                <w:lang w:val="en-US" w:eastAsia="zh-CN"/>
              </w:rPr>
            </w:pPr>
            <w:r>
              <w:rPr>
                <w:rFonts w:hint="eastAsia"/>
                <w:b/>
                <w:bCs/>
                <w:u w:val="none"/>
                <w:vertAlign w:val="baseline"/>
                <w:lang w:val="en-US" w:eastAsia="zh-CN"/>
              </w:rPr>
              <w:t>豁免环节</w:t>
            </w:r>
          </w:p>
        </w:tc>
        <w:tc>
          <w:tcPr>
            <w:tcW w:w="3244" w:type="dxa"/>
            <w:vAlign w:val="center"/>
          </w:tcPr>
          <w:p>
            <w:pPr>
              <w:pStyle w:val="352"/>
              <w:keepNext w:val="0"/>
              <w:keepLines w:val="0"/>
              <w:suppressLineNumbers w:val="0"/>
              <w:spacing w:before="0" w:beforeAutospacing="0" w:after="0" w:afterAutospacing="0"/>
              <w:ind w:left="0" w:right="0" w:firstLine="0" w:firstLineChars="0"/>
              <w:jc w:val="center"/>
              <w:rPr>
                <w:rFonts w:hint="default"/>
                <w:b/>
                <w:bCs/>
                <w:u w:val="none"/>
                <w:vertAlign w:val="baseline"/>
                <w:lang w:val="en-US" w:eastAsia="zh-CN"/>
              </w:rPr>
            </w:pPr>
            <w:r>
              <w:rPr>
                <w:rFonts w:hint="eastAsia"/>
                <w:b/>
                <w:bCs/>
                <w:u w:val="none"/>
                <w:vertAlign w:val="baseline"/>
                <w:lang w:val="en-US" w:eastAsia="zh-CN"/>
              </w:rPr>
              <w:t>豁免条件</w:t>
            </w:r>
          </w:p>
        </w:tc>
        <w:tc>
          <w:tcPr>
            <w:tcW w:w="227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豁免内容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13</w:t>
            </w:r>
          </w:p>
        </w:tc>
        <w:tc>
          <w:tcPr>
            <w:tcW w:w="123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831-001-01</w:t>
            </w:r>
          </w:p>
        </w:tc>
        <w:tc>
          <w:tcPr>
            <w:tcW w:w="1331"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感染性废物</w:t>
            </w:r>
          </w:p>
        </w:tc>
        <w:tc>
          <w:tcPr>
            <w:tcW w:w="731"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处置</w:t>
            </w:r>
          </w:p>
        </w:tc>
        <w:tc>
          <w:tcPr>
            <w:tcW w:w="324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按照《医疗废物高温蒸汽集中处理工程技术规范》（HJ/T276-2006）或《医疗废物化学消毒集中处理工程技术规范》（HJ/T228-2006）或《医疗废物微波消毒集中处理工程技术规范》（HJ/T229-2006）进行处理后。</w:t>
            </w:r>
          </w:p>
        </w:tc>
        <w:tc>
          <w:tcPr>
            <w:tcW w:w="22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进入生活垃圾填埋场填埋处置或进入生活垃圾焚烧厂焚烧处理，处置过程不按危险废物管理。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15</w:t>
            </w:r>
          </w:p>
        </w:tc>
        <w:tc>
          <w:tcPr>
            <w:tcW w:w="123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831-002-01</w:t>
            </w:r>
          </w:p>
        </w:tc>
        <w:tc>
          <w:tcPr>
            <w:tcW w:w="1331"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损伤性废物</w:t>
            </w:r>
          </w:p>
        </w:tc>
        <w:tc>
          <w:tcPr>
            <w:tcW w:w="731"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处置</w:t>
            </w:r>
          </w:p>
        </w:tc>
        <w:tc>
          <w:tcPr>
            <w:tcW w:w="324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按照《医疗废物高温蒸汽集中处理工程技术规范》（HJ/T276-2006）或《医疗废物化学消毒集中处理工程技术规范》（HJ/T228-2006）或《医疗废物微波消毒集中处理工程技术规范》（HJ/T229-2006）进行处理后。</w:t>
            </w:r>
          </w:p>
        </w:tc>
        <w:tc>
          <w:tcPr>
            <w:tcW w:w="22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进入生活垃圾填埋场填埋处置或进入生活垃圾焚烧厂焚烧处理，处置过程不按危险废物管理。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16</w:t>
            </w:r>
          </w:p>
        </w:tc>
        <w:tc>
          <w:tcPr>
            <w:tcW w:w="123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831-003-01</w:t>
            </w:r>
          </w:p>
        </w:tc>
        <w:tc>
          <w:tcPr>
            <w:tcW w:w="1331"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病理性废物（人体器官和传染性的动物尸体等除外）</w:t>
            </w:r>
          </w:p>
        </w:tc>
        <w:tc>
          <w:tcPr>
            <w:tcW w:w="731"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处置</w:t>
            </w:r>
          </w:p>
        </w:tc>
        <w:tc>
          <w:tcPr>
            <w:tcW w:w="3244"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按照《医疗废物化学消毒集中处理工程技术规范》（HJ/T228-2006）或《医疗废物微波消毒集中处理工程技术规范》（HJ/T229-2006）进行处理后。</w:t>
            </w:r>
          </w:p>
        </w:tc>
        <w:tc>
          <w:tcPr>
            <w:tcW w:w="2274"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进入生活垃圾焚烧厂焚烧处置，处置过程不按危险废物管理。</w:t>
            </w:r>
          </w:p>
        </w:tc>
      </w:tr>
    </w:tbl>
    <w:p>
      <w:pPr>
        <w:topLinePunct/>
        <w:spacing w:line="360" w:lineRule="auto"/>
        <w:ind w:firstLine="480" w:firstLineChars="200"/>
        <w:rPr>
          <w:rFonts w:hint="default" w:eastAsia="宋体"/>
          <w:sz w:val="24"/>
          <w:szCs w:val="24"/>
          <w:u w:val="none"/>
          <w:lang w:val="en-US" w:eastAsia="zh-CN"/>
        </w:rPr>
      </w:pPr>
      <w:r>
        <w:rPr>
          <w:rFonts w:hint="eastAsia"/>
          <w:sz w:val="24"/>
          <w:szCs w:val="24"/>
          <w:u w:val="none"/>
          <w:lang w:val="en-US" w:eastAsia="zh-CN"/>
        </w:rPr>
        <w:t>本项目医疗废物经微波消毒处理后的废渣可作为一般生活垃圾，送广元市城市生活垃圾焚烧发电厂焚烧处置，符合豁免管理要求，其处置过程不作为危险废物管理。</w:t>
      </w:r>
    </w:p>
    <w:p>
      <w:pPr>
        <w:topLinePunct/>
        <w:spacing w:line="360" w:lineRule="auto"/>
        <w:ind w:firstLine="480" w:firstLineChars="200"/>
        <w:rPr>
          <w:sz w:val="24"/>
          <w:u w:val="none"/>
        </w:rPr>
      </w:pPr>
      <w:r>
        <w:rPr>
          <w:sz w:val="24"/>
          <w:u w:val="none"/>
        </w:rPr>
        <w:t>（3）危险废物</w:t>
      </w:r>
    </w:p>
    <w:p>
      <w:pPr>
        <w:topLinePunct/>
        <w:spacing w:line="360" w:lineRule="auto"/>
        <w:ind w:firstLine="480" w:firstLineChars="200"/>
        <w:rPr>
          <w:sz w:val="24"/>
          <w:u w:val="none"/>
        </w:rPr>
      </w:pPr>
      <w:r>
        <w:rPr>
          <w:rFonts w:hint="eastAsia"/>
          <w:sz w:val="24"/>
          <w:u w:val="none"/>
          <w:lang w:eastAsia="zh-CN"/>
        </w:rPr>
        <w:t>本项目在医疗废物运输、微波消毒处理、废气治理、废水治理等过程中可能</w:t>
      </w:r>
      <w:r>
        <w:rPr>
          <w:sz w:val="24"/>
          <w:u w:val="none"/>
        </w:rPr>
        <w:t>产生</w:t>
      </w:r>
      <w:r>
        <w:rPr>
          <w:rFonts w:hint="eastAsia"/>
          <w:sz w:val="24"/>
          <w:u w:val="none"/>
          <w:lang w:eastAsia="zh-CN"/>
        </w:rPr>
        <w:t>危险废物，主要包括污水处理站污泥、废过滤膜、废活性炭、旋流塔污泥、破损周转箱、废弃手套及口罩等，各危险废物产生及处置情况如下：</w:t>
      </w:r>
    </w:p>
    <w:p>
      <w:pPr>
        <w:topLinePunct/>
        <w:spacing w:line="360" w:lineRule="auto"/>
        <w:ind w:firstLine="480" w:firstLineChars="200"/>
        <w:rPr>
          <w:rFonts w:hint="eastAsia"/>
          <w:sz w:val="24"/>
          <w:szCs w:val="24"/>
          <w:u w:val="none"/>
          <w:lang w:eastAsia="zh-CN"/>
        </w:rPr>
      </w:pPr>
      <w:r>
        <w:rPr>
          <w:rFonts w:hint="eastAsia"/>
          <w:sz w:val="24"/>
          <w:szCs w:val="24"/>
          <w:u w:val="none"/>
        </w:rPr>
        <w:fldChar w:fldCharType="begin"/>
      </w:r>
      <w:r>
        <w:rPr>
          <w:rFonts w:hint="eastAsia"/>
          <w:sz w:val="24"/>
          <w:szCs w:val="24"/>
          <w:u w:val="none"/>
        </w:rPr>
        <w:instrText xml:space="preserve"> = 1 \* GB3 \* MERGEFORMAT </w:instrText>
      </w:r>
      <w:r>
        <w:rPr>
          <w:rFonts w:hint="eastAsia"/>
          <w:sz w:val="24"/>
          <w:szCs w:val="24"/>
          <w:u w:val="none"/>
        </w:rPr>
        <w:fldChar w:fldCharType="separate"/>
      </w:r>
      <w:r>
        <w:rPr>
          <w:sz w:val="24"/>
          <w:szCs w:val="24"/>
          <w:u w:val="none"/>
        </w:rPr>
        <w:t>①</w:t>
      </w:r>
      <w:r>
        <w:rPr>
          <w:rFonts w:hint="eastAsia"/>
          <w:sz w:val="24"/>
          <w:szCs w:val="24"/>
          <w:u w:val="none"/>
        </w:rPr>
        <w:fldChar w:fldCharType="end"/>
      </w:r>
      <w:r>
        <w:rPr>
          <w:rFonts w:hint="eastAsia"/>
          <w:sz w:val="24"/>
          <w:szCs w:val="24"/>
          <w:u w:val="none"/>
          <w:lang w:eastAsia="zh-CN"/>
        </w:rPr>
        <w:t>破损周转箱、废弃手套及口罩等</w:t>
      </w:r>
    </w:p>
    <w:p>
      <w:pPr>
        <w:topLinePunct/>
        <w:spacing w:line="360" w:lineRule="auto"/>
        <w:ind w:firstLine="480" w:firstLineChars="200"/>
        <w:rPr>
          <w:rFonts w:hint="eastAsia"/>
          <w:color w:val="auto"/>
          <w:sz w:val="24"/>
          <w:szCs w:val="24"/>
          <w:u w:val="none"/>
          <w:shd w:val="clear" w:color="auto" w:fill="auto"/>
          <w:lang w:val="en-US" w:eastAsia="zh-CN"/>
        </w:rPr>
      </w:pPr>
      <w:r>
        <w:rPr>
          <w:rFonts w:hint="eastAsia"/>
          <w:color w:val="auto"/>
          <w:sz w:val="24"/>
          <w:szCs w:val="24"/>
          <w:u w:val="none"/>
          <w:shd w:val="clear" w:color="auto" w:fill="auto"/>
          <w:lang w:eastAsia="zh-CN"/>
        </w:rPr>
        <w:t>本项目在医疗废物收集、运输等过程中，会产生破损周转箱、废弃手套及口罩等危险废物，产生量约</w:t>
      </w:r>
      <w:r>
        <w:rPr>
          <w:rFonts w:hint="eastAsia"/>
          <w:color w:val="auto"/>
          <w:sz w:val="24"/>
          <w:szCs w:val="24"/>
          <w:u w:val="none"/>
          <w:shd w:val="clear" w:color="auto" w:fill="auto"/>
          <w:lang w:val="en-US" w:eastAsia="zh-CN"/>
        </w:rPr>
        <w:t>0.1t/a。根据《国家危险废物名录》（2016年版），</w:t>
      </w:r>
      <w:r>
        <w:rPr>
          <w:rFonts w:hint="eastAsia"/>
          <w:color w:val="auto"/>
          <w:sz w:val="24"/>
          <w:szCs w:val="24"/>
          <w:u w:val="none"/>
          <w:shd w:val="clear" w:color="auto" w:fill="auto"/>
          <w:lang w:eastAsia="zh-CN"/>
        </w:rPr>
        <w:t>破损周转箱、废弃手套及口罩等</w:t>
      </w:r>
      <w:r>
        <w:rPr>
          <w:rFonts w:hint="eastAsia"/>
          <w:color w:val="auto"/>
          <w:sz w:val="24"/>
          <w:szCs w:val="24"/>
          <w:u w:val="none"/>
          <w:shd w:val="clear" w:color="auto" w:fill="auto"/>
          <w:lang w:val="en-US" w:eastAsia="zh-CN"/>
        </w:rPr>
        <w:t>属于</w:t>
      </w:r>
      <w:r>
        <w:rPr>
          <w:rFonts w:hint="eastAsia"/>
          <w:color w:val="auto"/>
          <w:sz w:val="24"/>
          <w:u w:val="none"/>
          <w:shd w:val="clear" w:color="auto" w:fill="auto"/>
          <w:lang w:val="en-US" w:eastAsia="zh-CN"/>
        </w:rPr>
        <w:t>HW01类中</w:t>
      </w:r>
      <w:r>
        <w:rPr>
          <w:rFonts w:hint="eastAsia"/>
          <w:color w:val="auto"/>
          <w:sz w:val="24"/>
          <w:szCs w:val="24"/>
          <w:u w:val="none"/>
          <w:shd w:val="clear" w:color="auto" w:fill="auto"/>
          <w:lang w:val="en-US" w:eastAsia="zh-CN"/>
        </w:rPr>
        <w:t>“感染性废物”类危险废物，危险废物代码为831-001-01。</w:t>
      </w:r>
    </w:p>
    <w:p>
      <w:pPr>
        <w:topLinePunct/>
        <w:spacing w:line="360" w:lineRule="auto"/>
        <w:ind w:firstLine="480" w:firstLineChars="200"/>
        <w:rPr>
          <w:rFonts w:hint="eastAsia"/>
          <w:sz w:val="24"/>
          <w:szCs w:val="24"/>
          <w:u w:val="none"/>
          <w:lang w:val="en-US" w:eastAsia="zh-CN"/>
        </w:rPr>
      </w:pPr>
      <w:r>
        <w:rPr>
          <w:rFonts w:hint="eastAsia"/>
          <w:sz w:val="24"/>
          <w:szCs w:val="24"/>
          <w:u w:val="none"/>
          <w:lang w:val="en-US" w:eastAsia="zh-CN"/>
        </w:rPr>
        <w:fldChar w:fldCharType="begin"/>
      </w:r>
      <w:r>
        <w:rPr>
          <w:rFonts w:hint="eastAsia"/>
          <w:sz w:val="24"/>
          <w:szCs w:val="24"/>
          <w:u w:val="none"/>
          <w:lang w:val="en-US" w:eastAsia="zh-CN"/>
        </w:rPr>
        <w:instrText xml:space="preserve"> = 2 \* GB3 \* MERGEFORMAT </w:instrText>
      </w:r>
      <w:r>
        <w:rPr>
          <w:rFonts w:hint="eastAsia"/>
          <w:sz w:val="24"/>
          <w:szCs w:val="24"/>
          <w:u w:val="none"/>
          <w:lang w:val="en-US" w:eastAsia="zh-CN"/>
        </w:rPr>
        <w:fldChar w:fldCharType="separate"/>
      </w:r>
      <w:r>
        <w:rPr>
          <w:sz w:val="24"/>
          <w:szCs w:val="24"/>
          <w:u w:val="none"/>
        </w:rPr>
        <w:t>②</w:t>
      </w:r>
      <w:r>
        <w:rPr>
          <w:rFonts w:hint="eastAsia"/>
          <w:sz w:val="24"/>
          <w:szCs w:val="24"/>
          <w:u w:val="none"/>
          <w:lang w:val="en-US" w:eastAsia="zh-CN"/>
        </w:rPr>
        <w:fldChar w:fldCharType="end"/>
      </w:r>
      <w:r>
        <w:rPr>
          <w:rFonts w:hint="eastAsia"/>
          <w:sz w:val="24"/>
          <w:szCs w:val="24"/>
          <w:u w:val="none"/>
          <w:lang w:val="en-US" w:eastAsia="zh-CN"/>
        </w:rPr>
        <w:t>污水处理站污泥</w:t>
      </w:r>
    </w:p>
    <w:p>
      <w:pPr>
        <w:topLinePunct/>
        <w:spacing w:line="360" w:lineRule="auto"/>
        <w:ind w:firstLine="480" w:firstLineChars="200"/>
        <w:rPr>
          <w:rFonts w:hint="eastAsia"/>
          <w:color w:val="auto"/>
          <w:sz w:val="24"/>
          <w:szCs w:val="24"/>
          <w:u w:val="none"/>
          <w:shd w:val="clear" w:color="auto" w:fill="auto"/>
          <w:lang w:val="en-US" w:eastAsia="zh-CN"/>
        </w:rPr>
      </w:pPr>
      <w:r>
        <w:rPr>
          <w:rFonts w:hint="eastAsia"/>
          <w:color w:val="auto"/>
          <w:sz w:val="24"/>
          <w:u w:val="none"/>
          <w:lang w:eastAsia="zh-CN"/>
        </w:rPr>
        <w:t>本项目污水处理站和旋流塔进行废水处理过程中产生的污泥，属于“其他被病人血液、体液、排泄物污染的物品”类，</w:t>
      </w:r>
      <w:r>
        <w:rPr>
          <w:rFonts w:hint="eastAsia"/>
          <w:color w:val="auto"/>
          <w:sz w:val="24"/>
          <w:szCs w:val="24"/>
          <w:u w:val="none"/>
          <w:shd w:val="clear" w:color="auto" w:fill="auto"/>
          <w:lang w:val="en-US" w:eastAsia="zh-CN"/>
        </w:rPr>
        <w:t>根据《国家危险废物名录》（2016年版），</w:t>
      </w:r>
      <w:r>
        <w:rPr>
          <w:rFonts w:hint="eastAsia"/>
          <w:color w:val="auto"/>
          <w:sz w:val="24"/>
          <w:u w:val="none"/>
          <w:lang w:eastAsia="zh-CN"/>
        </w:rPr>
        <w:t>污水处理站和旋流塔进行废水处理过程中产生的污泥属于</w:t>
      </w:r>
      <w:r>
        <w:rPr>
          <w:rFonts w:hint="eastAsia"/>
          <w:color w:val="auto"/>
          <w:sz w:val="24"/>
          <w:u w:val="none"/>
          <w:shd w:val="clear" w:color="auto" w:fill="auto"/>
          <w:lang w:val="en-US" w:eastAsia="zh-CN"/>
        </w:rPr>
        <w:t>HW01类中</w:t>
      </w:r>
      <w:r>
        <w:rPr>
          <w:rFonts w:hint="eastAsia"/>
          <w:color w:val="auto"/>
          <w:sz w:val="24"/>
          <w:szCs w:val="24"/>
          <w:u w:val="none"/>
          <w:shd w:val="clear" w:color="auto" w:fill="auto"/>
          <w:lang w:val="en-US" w:eastAsia="zh-CN"/>
        </w:rPr>
        <w:t>“感染性废物”类危险废物，危险废物代码为831-001-01，类比同类项目，该废物产生量约10t/a。</w:t>
      </w:r>
    </w:p>
    <w:p>
      <w:pPr>
        <w:topLinePunct/>
        <w:spacing w:line="360" w:lineRule="auto"/>
        <w:ind w:firstLine="480" w:firstLineChars="200"/>
        <w:rPr>
          <w:rFonts w:hint="eastAsia"/>
          <w:sz w:val="24"/>
          <w:szCs w:val="24"/>
          <w:u w:val="none"/>
          <w:lang w:val="en-US" w:eastAsia="zh-CN"/>
        </w:rPr>
      </w:pPr>
      <w:r>
        <w:rPr>
          <w:rFonts w:hint="eastAsia"/>
          <w:sz w:val="24"/>
          <w:szCs w:val="24"/>
          <w:u w:val="none"/>
          <w:lang w:val="en-US" w:eastAsia="zh-CN"/>
        </w:rPr>
        <w:fldChar w:fldCharType="begin"/>
      </w:r>
      <w:r>
        <w:rPr>
          <w:rFonts w:hint="eastAsia"/>
          <w:sz w:val="24"/>
          <w:szCs w:val="24"/>
          <w:u w:val="none"/>
          <w:lang w:val="en-US" w:eastAsia="zh-CN"/>
        </w:rPr>
        <w:instrText xml:space="preserve"> = 3 \* GB3 \* MERGEFORMAT </w:instrText>
      </w:r>
      <w:r>
        <w:rPr>
          <w:rFonts w:hint="eastAsia"/>
          <w:sz w:val="24"/>
          <w:szCs w:val="24"/>
          <w:u w:val="none"/>
          <w:lang w:val="en-US" w:eastAsia="zh-CN"/>
        </w:rPr>
        <w:fldChar w:fldCharType="separate"/>
      </w:r>
      <w:r>
        <w:rPr>
          <w:sz w:val="24"/>
          <w:szCs w:val="24"/>
          <w:u w:val="none"/>
        </w:rPr>
        <w:t>③</w:t>
      </w:r>
      <w:r>
        <w:rPr>
          <w:rFonts w:hint="eastAsia"/>
          <w:sz w:val="24"/>
          <w:szCs w:val="24"/>
          <w:u w:val="none"/>
          <w:lang w:val="en-US" w:eastAsia="zh-CN"/>
        </w:rPr>
        <w:fldChar w:fldCharType="end"/>
      </w:r>
      <w:r>
        <w:rPr>
          <w:rFonts w:hint="eastAsia"/>
          <w:sz w:val="24"/>
          <w:szCs w:val="24"/>
          <w:u w:val="none"/>
          <w:lang w:val="en-US" w:eastAsia="zh-CN"/>
        </w:rPr>
        <w:t>废过滤膜</w:t>
      </w:r>
    </w:p>
    <w:p>
      <w:pPr>
        <w:topLinePunct/>
        <w:spacing w:line="360" w:lineRule="auto"/>
        <w:ind w:firstLine="480" w:firstLineChars="200"/>
        <w:rPr>
          <w:rFonts w:hint="eastAsia"/>
          <w:color w:val="auto"/>
          <w:sz w:val="24"/>
          <w:szCs w:val="24"/>
          <w:u w:val="none"/>
          <w:shd w:val="clear" w:color="auto" w:fill="auto"/>
          <w:lang w:val="en-US" w:eastAsia="zh-CN"/>
        </w:rPr>
      </w:pPr>
      <w:r>
        <w:rPr>
          <w:rFonts w:hint="eastAsia"/>
          <w:sz w:val="24"/>
          <w:szCs w:val="24"/>
          <w:u w:val="none"/>
          <w:lang w:val="en-US" w:eastAsia="zh-CN"/>
        </w:rPr>
        <w:t>本项目在恶臭气体处理过程中，定期更换过滤装置的过滤膜，更换下来的废过滤膜约0.01t/a，</w:t>
      </w:r>
      <w:r>
        <w:rPr>
          <w:rFonts w:hint="eastAsia"/>
          <w:color w:val="auto"/>
          <w:sz w:val="24"/>
          <w:szCs w:val="24"/>
          <w:u w:val="none"/>
          <w:shd w:val="clear" w:color="auto" w:fill="auto"/>
          <w:lang w:val="en-US" w:eastAsia="zh-CN"/>
        </w:rPr>
        <w:t>根据《国家危险废物名录》（2016年版），属于</w:t>
      </w:r>
      <w:r>
        <w:rPr>
          <w:rFonts w:hint="eastAsia"/>
          <w:color w:val="auto"/>
          <w:sz w:val="24"/>
          <w:u w:val="none"/>
          <w:shd w:val="clear" w:color="auto" w:fill="auto"/>
          <w:lang w:val="en-US" w:eastAsia="zh-CN"/>
        </w:rPr>
        <w:t>HW01类中</w:t>
      </w:r>
      <w:r>
        <w:rPr>
          <w:rFonts w:hint="eastAsia"/>
          <w:color w:val="auto"/>
          <w:sz w:val="24"/>
          <w:szCs w:val="24"/>
          <w:u w:val="none"/>
          <w:shd w:val="clear" w:color="auto" w:fill="auto"/>
          <w:lang w:val="en-US" w:eastAsia="zh-CN"/>
        </w:rPr>
        <w:t>“感染性废物”类危险废物，危险废物代码为831-001-01。</w:t>
      </w:r>
    </w:p>
    <w:p>
      <w:pPr>
        <w:topLinePunct/>
        <w:spacing w:line="360" w:lineRule="auto"/>
        <w:ind w:firstLine="480" w:firstLineChars="200"/>
        <w:rPr>
          <w:rFonts w:hint="eastAsia"/>
          <w:color w:val="auto"/>
          <w:sz w:val="24"/>
          <w:szCs w:val="24"/>
          <w:u w:val="none"/>
          <w:shd w:val="clear" w:color="auto" w:fill="auto"/>
          <w:lang w:val="en-US" w:eastAsia="zh-CN"/>
        </w:rPr>
      </w:pPr>
      <w:r>
        <w:rPr>
          <w:rFonts w:hint="eastAsia"/>
          <w:color w:val="auto"/>
          <w:sz w:val="24"/>
          <w:szCs w:val="24"/>
          <w:u w:val="none"/>
          <w:shd w:val="clear" w:color="auto" w:fill="auto"/>
          <w:lang w:val="en-US" w:eastAsia="zh-CN"/>
        </w:rPr>
        <w:t>由上可知，上述废物属于医疗废物种感染性废物，可依托本项目微波消毒处理。因此，上述废物经收集后经本项目自身的微波消毒处理，处理后的残渣送至</w:t>
      </w:r>
      <w:r>
        <w:rPr>
          <w:rFonts w:hint="eastAsia"/>
          <w:sz w:val="24"/>
          <w:szCs w:val="24"/>
          <w:u w:val="none"/>
          <w:lang w:val="en-US" w:eastAsia="zh-CN"/>
        </w:rPr>
        <w:t>广元市城市生活垃圾焚烧发电厂焚烧处置</w:t>
      </w:r>
      <w:r>
        <w:rPr>
          <w:rFonts w:hint="eastAsia"/>
          <w:color w:val="auto"/>
          <w:sz w:val="24"/>
          <w:szCs w:val="24"/>
          <w:u w:val="none"/>
          <w:shd w:val="clear" w:color="auto" w:fill="auto"/>
          <w:lang w:val="en-US" w:eastAsia="zh-CN"/>
        </w:rPr>
        <w:t>。</w:t>
      </w:r>
    </w:p>
    <w:p>
      <w:pPr>
        <w:topLinePunct/>
        <w:spacing w:line="360" w:lineRule="auto"/>
        <w:ind w:firstLine="480" w:firstLineChars="200"/>
        <w:rPr>
          <w:rFonts w:hint="eastAsia"/>
          <w:sz w:val="24"/>
          <w:szCs w:val="24"/>
          <w:u w:val="none"/>
          <w:lang w:val="en-US" w:eastAsia="zh-CN"/>
        </w:rPr>
      </w:pPr>
      <w:r>
        <w:rPr>
          <w:rFonts w:hint="eastAsia"/>
          <w:sz w:val="24"/>
          <w:szCs w:val="24"/>
          <w:u w:val="none"/>
          <w:lang w:val="en-US" w:eastAsia="zh-CN"/>
        </w:rPr>
        <w:fldChar w:fldCharType="begin"/>
      </w:r>
      <w:r>
        <w:rPr>
          <w:rFonts w:hint="eastAsia"/>
          <w:sz w:val="24"/>
          <w:szCs w:val="24"/>
          <w:u w:val="none"/>
          <w:lang w:val="en-US" w:eastAsia="zh-CN"/>
        </w:rPr>
        <w:instrText xml:space="preserve"> = 4 \* GB3 \* MERGEFORMAT </w:instrText>
      </w:r>
      <w:r>
        <w:rPr>
          <w:rFonts w:hint="eastAsia"/>
          <w:sz w:val="24"/>
          <w:szCs w:val="24"/>
          <w:u w:val="none"/>
          <w:lang w:val="en-US" w:eastAsia="zh-CN"/>
        </w:rPr>
        <w:fldChar w:fldCharType="separate"/>
      </w:r>
      <w:r>
        <w:t>④</w:t>
      </w:r>
      <w:r>
        <w:rPr>
          <w:rFonts w:hint="eastAsia"/>
          <w:sz w:val="24"/>
          <w:szCs w:val="24"/>
          <w:u w:val="none"/>
          <w:lang w:val="en-US" w:eastAsia="zh-CN"/>
        </w:rPr>
        <w:fldChar w:fldCharType="end"/>
      </w:r>
      <w:r>
        <w:rPr>
          <w:rFonts w:hint="eastAsia"/>
          <w:sz w:val="24"/>
          <w:szCs w:val="24"/>
          <w:u w:val="none"/>
          <w:lang w:val="en-US" w:eastAsia="zh-CN"/>
        </w:rPr>
        <w:t>废活性炭</w:t>
      </w:r>
    </w:p>
    <w:p>
      <w:pPr>
        <w:topLinePunct/>
        <w:spacing w:line="360" w:lineRule="auto"/>
        <w:ind w:firstLine="480" w:firstLineChars="200"/>
        <w:rPr>
          <w:rFonts w:hint="eastAsia"/>
          <w:b w:val="0"/>
          <w:bCs w:val="0"/>
          <w:color w:val="auto"/>
          <w:sz w:val="24"/>
          <w:szCs w:val="24"/>
          <w:u w:val="none"/>
          <w:lang w:val="en-US" w:eastAsia="zh-CN"/>
        </w:rPr>
      </w:pPr>
      <w:r>
        <w:rPr>
          <w:rFonts w:hint="eastAsia"/>
          <w:b w:val="0"/>
          <w:bCs w:val="0"/>
          <w:color w:val="auto"/>
          <w:sz w:val="24"/>
          <w:szCs w:val="24"/>
          <w:u w:val="none"/>
          <w:lang w:val="en-US" w:eastAsia="zh-CN"/>
        </w:rPr>
        <w:t>本项目微波消毒废气治理设施设置有活性炭吸附装置，装箱量为0.5t，每半年更换一次，因此，项目所用活性炭产生量为1t/a。</w:t>
      </w:r>
      <w:r>
        <w:rPr>
          <w:rFonts w:hint="eastAsia"/>
          <w:b w:val="0"/>
          <w:bCs w:val="0"/>
          <w:color w:val="auto"/>
          <w:sz w:val="24"/>
          <w:u w:val="none"/>
          <w:lang w:eastAsia="zh-CN"/>
        </w:rPr>
        <w:t>按《国家危险废物名录》（</w:t>
      </w:r>
      <w:r>
        <w:rPr>
          <w:rFonts w:hint="eastAsia"/>
          <w:b w:val="0"/>
          <w:bCs w:val="0"/>
          <w:color w:val="auto"/>
          <w:sz w:val="24"/>
          <w:u w:val="none"/>
          <w:lang w:val="en-US" w:eastAsia="zh-CN"/>
        </w:rPr>
        <w:t>2016年版</w:t>
      </w:r>
      <w:r>
        <w:rPr>
          <w:rFonts w:hint="eastAsia"/>
          <w:b w:val="0"/>
          <w:bCs w:val="0"/>
          <w:color w:val="auto"/>
          <w:sz w:val="24"/>
          <w:u w:val="none"/>
          <w:lang w:eastAsia="zh-CN"/>
        </w:rPr>
        <w:t>）规定，该废物属于</w:t>
      </w:r>
      <w:r>
        <w:rPr>
          <w:rFonts w:hint="eastAsia"/>
          <w:b w:val="0"/>
          <w:bCs w:val="0"/>
          <w:color w:val="auto"/>
          <w:sz w:val="24"/>
          <w:u w:val="none"/>
          <w:lang w:val="en-US" w:eastAsia="zh-CN"/>
        </w:rPr>
        <w:t>HW49类中</w:t>
      </w:r>
      <w:r>
        <w:rPr>
          <w:rFonts w:hint="eastAsia"/>
          <w:b w:val="0"/>
          <w:bCs w:val="0"/>
          <w:color w:val="auto"/>
          <w:sz w:val="24"/>
          <w:szCs w:val="24"/>
          <w:u w:val="none"/>
          <w:lang w:val="en-US" w:eastAsia="zh-CN"/>
        </w:rPr>
        <w:t>“含有或沾染毒性、感染性危险废物的废气包装物、容器、过滤吸附介质”类危险废物，危险废物代码为900-041-49。</w:t>
      </w:r>
    </w:p>
    <w:p>
      <w:pPr>
        <w:topLinePunct/>
        <w:spacing w:line="360" w:lineRule="auto"/>
        <w:ind w:firstLine="480" w:firstLineChars="200"/>
        <w:rPr>
          <w:rFonts w:hint="eastAsia"/>
          <w:b w:val="0"/>
          <w:bCs w:val="0"/>
          <w:color w:val="auto"/>
          <w:sz w:val="24"/>
          <w:szCs w:val="24"/>
          <w:u w:val="none"/>
          <w:lang w:val="en-US" w:eastAsia="zh-CN"/>
        </w:rPr>
      </w:pPr>
      <w:r>
        <w:rPr>
          <w:rFonts w:hint="eastAsia"/>
          <w:b w:val="0"/>
          <w:bCs w:val="0"/>
          <w:color w:val="auto"/>
          <w:sz w:val="24"/>
          <w:szCs w:val="24"/>
          <w:u w:val="none"/>
          <w:lang w:val="en-US" w:eastAsia="zh-CN"/>
        </w:rPr>
        <w:t>本项目拟在厂区内设危险废物暂存间一间，占地面积约5m²，用于收集暂存生产期间产生的废活性炭，废活性炭定期交由有资质单位处理处置。</w:t>
      </w:r>
    </w:p>
    <w:p>
      <w:pPr>
        <w:topLinePunct/>
        <w:spacing w:line="360" w:lineRule="auto"/>
        <w:ind w:firstLine="480" w:firstLineChars="200"/>
        <w:rPr>
          <w:rFonts w:hint="eastAsia"/>
          <w:sz w:val="24"/>
          <w:u w:val="none"/>
          <w:lang w:eastAsia="zh-CN"/>
        </w:rPr>
      </w:pPr>
      <w:r>
        <w:rPr>
          <w:rFonts w:hint="eastAsia"/>
          <w:sz w:val="24"/>
          <w:u w:val="none"/>
          <w:lang w:eastAsia="zh-CN"/>
        </w:rPr>
        <w:t>综上所述，本项目危险废物产生及处置情况详见下表。</w:t>
      </w:r>
    </w:p>
    <w:p>
      <w:pPr>
        <w:pStyle w:val="352"/>
        <w:rPr>
          <w:rFonts w:hint="eastAsia"/>
          <w:b/>
          <w:bCs/>
          <w:u w:val="none"/>
          <w:lang w:val="en-US" w:eastAsia="zh-CN"/>
        </w:rPr>
      </w:pPr>
    </w:p>
    <w:p>
      <w:pPr>
        <w:pStyle w:val="352"/>
        <w:rPr>
          <w:rFonts w:hint="eastAsia"/>
          <w:b/>
          <w:bCs/>
          <w:u w:val="none"/>
          <w:lang w:val="en-US" w:eastAsia="zh-CN"/>
        </w:rPr>
      </w:pPr>
    </w:p>
    <w:p>
      <w:pPr>
        <w:pStyle w:val="352"/>
        <w:rPr>
          <w:rFonts w:hint="eastAsia"/>
          <w:b/>
          <w:bCs/>
          <w:u w:val="none"/>
          <w:lang w:val="en-US" w:eastAsia="zh-CN"/>
        </w:rPr>
      </w:pPr>
      <w:r>
        <w:rPr>
          <w:rFonts w:hint="eastAsia"/>
          <w:b/>
          <w:bCs/>
          <w:u w:val="none"/>
          <w:lang w:val="en-US" w:eastAsia="zh-CN"/>
        </w:rPr>
        <w:t>表3-20  危险废物汇总情况一览表</w:t>
      </w:r>
    </w:p>
    <w:tbl>
      <w:tblPr>
        <w:tblStyle w:val="59"/>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78"/>
        <w:gridCol w:w="748"/>
        <w:gridCol w:w="1057"/>
        <w:gridCol w:w="800"/>
        <w:gridCol w:w="950"/>
        <w:gridCol w:w="686"/>
        <w:gridCol w:w="648"/>
        <w:gridCol w:w="666"/>
        <w:gridCol w:w="667"/>
        <w:gridCol w:w="683"/>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02"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序号</w:t>
            </w:r>
          </w:p>
        </w:tc>
        <w:tc>
          <w:tcPr>
            <w:tcW w:w="878"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危险废物名称</w:t>
            </w:r>
          </w:p>
        </w:tc>
        <w:tc>
          <w:tcPr>
            <w:tcW w:w="748"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危险废物类别</w:t>
            </w:r>
          </w:p>
        </w:tc>
        <w:tc>
          <w:tcPr>
            <w:tcW w:w="1057"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危险废物代码</w:t>
            </w:r>
          </w:p>
        </w:tc>
        <w:tc>
          <w:tcPr>
            <w:tcW w:w="800"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产生量</w:t>
            </w:r>
          </w:p>
        </w:tc>
        <w:tc>
          <w:tcPr>
            <w:tcW w:w="950"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产生工序及装置</w:t>
            </w:r>
          </w:p>
        </w:tc>
        <w:tc>
          <w:tcPr>
            <w:tcW w:w="686"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形态</w:t>
            </w:r>
          </w:p>
        </w:tc>
        <w:tc>
          <w:tcPr>
            <w:tcW w:w="648"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主要成分</w:t>
            </w:r>
          </w:p>
        </w:tc>
        <w:tc>
          <w:tcPr>
            <w:tcW w:w="666"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有害成分</w:t>
            </w:r>
          </w:p>
        </w:tc>
        <w:tc>
          <w:tcPr>
            <w:tcW w:w="667"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产废周期</w:t>
            </w:r>
          </w:p>
        </w:tc>
        <w:tc>
          <w:tcPr>
            <w:tcW w:w="683"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危险特性</w:t>
            </w:r>
          </w:p>
        </w:tc>
        <w:tc>
          <w:tcPr>
            <w:tcW w:w="1300" w:type="dxa"/>
            <w:vAlign w:val="center"/>
          </w:tcPr>
          <w:p>
            <w:pPr>
              <w:pStyle w:val="352"/>
              <w:keepNext w:val="0"/>
              <w:keepLines w:val="0"/>
              <w:suppressLineNumbers w:val="0"/>
              <w:spacing w:before="0" w:beforeAutospacing="0" w:after="0" w:afterAutospacing="0"/>
              <w:ind w:left="0" w:right="0"/>
              <w:rPr>
                <w:rFonts w:hint="eastAsia"/>
                <w:sz w:val="18"/>
                <w:szCs w:val="18"/>
                <w:u w:val="none"/>
                <w:lang w:val="en-US" w:eastAsia="zh-CN"/>
              </w:rPr>
            </w:pPr>
            <w:r>
              <w:rPr>
                <w:rFonts w:hint="eastAsia"/>
                <w:sz w:val="18"/>
                <w:szCs w:val="18"/>
                <w:u w:val="none"/>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02"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1</w:t>
            </w:r>
          </w:p>
        </w:tc>
        <w:tc>
          <w:tcPr>
            <w:tcW w:w="87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破损周转箱、废弃手套及口罩</w:t>
            </w:r>
          </w:p>
        </w:tc>
        <w:tc>
          <w:tcPr>
            <w:tcW w:w="748"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HW01</w:t>
            </w:r>
          </w:p>
        </w:tc>
        <w:tc>
          <w:tcPr>
            <w:tcW w:w="1057"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831-001-01</w:t>
            </w:r>
          </w:p>
        </w:tc>
        <w:tc>
          <w:tcPr>
            <w:tcW w:w="80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0.1t/a</w:t>
            </w:r>
          </w:p>
        </w:tc>
        <w:tc>
          <w:tcPr>
            <w:tcW w:w="950"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危险废物收集、运输及卸料等过程</w:t>
            </w:r>
          </w:p>
        </w:tc>
        <w:tc>
          <w:tcPr>
            <w:tcW w:w="68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固态</w:t>
            </w:r>
          </w:p>
        </w:tc>
        <w:tc>
          <w:tcPr>
            <w:tcW w:w="64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w:t>
            </w:r>
          </w:p>
        </w:tc>
        <w:tc>
          <w:tcPr>
            <w:tcW w:w="666"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病人血液、病原微生物等</w:t>
            </w:r>
          </w:p>
        </w:tc>
        <w:tc>
          <w:tcPr>
            <w:tcW w:w="667"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a</w:t>
            </w:r>
          </w:p>
        </w:tc>
        <w:tc>
          <w:tcPr>
            <w:tcW w:w="683"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In</w:t>
            </w:r>
          </w:p>
        </w:tc>
        <w:tc>
          <w:tcPr>
            <w:tcW w:w="1300"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经微波消毒处置后，残渣送广元市城市生活垃圾焚烧发电厂焚烧处置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02"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2</w:t>
            </w:r>
          </w:p>
        </w:tc>
        <w:tc>
          <w:tcPr>
            <w:tcW w:w="87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污泥</w:t>
            </w:r>
          </w:p>
        </w:tc>
        <w:tc>
          <w:tcPr>
            <w:tcW w:w="74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sz w:val="18"/>
                <w:szCs w:val="18"/>
                <w:u w:val="none"/>
                <w:lang w:val="en-US" w:eastAsia="zh-CN"/>
              </w:rPr>
            </w:pPr>
            <w:r>
              <w:rPr>
                <w:rFonts w:hint="eastAsia"/>
                <w:b w:val="0"/>
                <w:bCs/>
                <w:sz w:val="18"/>
                <w:szCs w:val="18"/>
                <w:u w:val="none"/>
                <w:lang w:val="en-US" w:eastAsia="zh-CN"/>
              </w:rPr>
              <w:t>HW01</w:t>
            </w:r>
          </w:p>
        </w:tc>
        <w:tc>
          <w:tcPr>
            <w:tcW w:w="1057"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sz w:val="18"/>
                <w:szCs w:val="18"/>
                <w:u w:val="none"/>
                <w:lang w:val="en-US" w:eastAsia="zh-CN"/>
              </w:rPr>
            </w:pPr>
            <w:r>
              <w:rPr>
                <w:rFonts w:hint="eastAsia"/>
                <w:b w:val="0"/>
                <w:bCs/>
                <w:sz w:val="18"/>
                <w:szCs w:val="18"/>
                <w:u w:val="none"/>
                <w:lang w:val="en-US" w:eastAsia="zh-CN"/>
              </w:rPr>
              <w:t>831-001-01</w:t>
            </w:r>
          </w:p>
        </w:tc>
        <w:tc>
          <w:tcPr>
            <w:tcW w:w="80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10t/a</w:t>
            </w:r>
          </w:p>
        </w:tc>
        <w:tc>
          <w:tcPr>
            <w:tcW w:w="950"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污水及废气治理过程</w:t>
            </w:r>
          </w:p>
        </w:tc>
        <w:tc>
          <w:tcPr>
            <w:tcW w:w="68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固态</w:t>
            </w:r>
          </w:p>
        </w:tc>
        <w:tc>
          <w:tcPr>
            <w:tcW w:w="64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w:t>
            </w:r>
          </w:p>
        </w:tc>
        <w:tc>
          <w:tcPr>
            <w:tcW w:w="666" w:type="dxa"/>
            <w:vMerge w:val="continue"/>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p>
        </w:tc>
        <w:tc>
          <w:tcPr>
            <w:tcW w:w="667"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a</w:t>
            </w:r>
          </w:p>
        </w:tc>
        <w:tc>
          <w:tcPr>
            <w:tcW w:w="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sz w:val="18"/>
                <w:szCs w:val="18"/>
                <w:u w:val="none"/>
                <w:lang w:val="en-US" w:eastAsia="zh-CN"/>
              </w:rPr>
            </w:pPr>
            <w:r>
              <w:rPr>
                <w:rFonts w:hint="eastAsia"/>
                <w:b w:val="0"/>
                <w:bCs/>
                <w:sz w:val="18"/>
                <w:szCs w:val="18"/>
                <w:u w:val="none"/>
                <w:lang w:val="en-US" w:eastAsia="zh-CN"/>
              </w:rPr>
              <w:t>In</w:t>
            </w:r>
          </w:p>
        </w:tc>
        <w:tc>
          <w:tcPr>
            <w:tcW w:w="1300" w:type="dxa"/>
            <w:vMerge w:val="continue"/>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02"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3</w:t>
            </w:r>
          </w:p>
        </w:tc>
        <w:tc>
          <w:tcPr>
            <w:tcW w:w="87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废过滤膜</w:t>
            </w:r>
          </w:p>
        </w:tc>
        <w:tc>
          <w:tcPr>
            <w:tcW w:w="748"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sz w:val="18"/>
                <w:szCs w:val="18"/>
                <w:u w:val="none"/>
                <w:lang w:val="en-US" w:eastAsia="zh-CN"/>
              </w:rPr>
            </w:pPr>
            <w:r>
              <w:rPr>
                <w:rFonts w:hint="eastAsia"/>
                <w:b w:val="0"/>
                <w:bCs/>
                <w:sz w:val="18"/>
                <w:szCs w:val="18"/>
                <w:u w:val="none"/>
                <w:lang w:val="en-US" w:eastAsia="zh-CN"/>
              </w:rPr>
              <w:t>HW01</w:t>
            </w:r>
          </w:p>
        </w:tc>
        <w:tc>
          <w:tcPr>
            <w:tcW w:w="1057"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sz w:val="18"/>
                <w:szCs w:val="18"/>
                <w:u w:val="none"/>
                <w:lang w:val="en-US" w:eastAsia="zh-CN"/>
              </w:rPr>
            </w:pPr>
            <w:r>
              <w:rPr>
                <w:rFonts w:hint="eastAsia"/>
                <w:b w:val="0"/>
                <w:bCs/>
                <w:sz w:val="18"/>
                <w:szCs w:val="18"/>
                <w:u w:val="none"/>
                <w:lang w:val="en-US" w:eastAsia="zh-CN"/>
              </w:rPr>
              <w:t>831-001-01</w:t>
            </w:r>
          </w:p>
        </w:tc>
        <w:tc>
          <w:tcPr>
            <w:tcW w:w="80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0.01t/a</w:t>
            </w:r>
          </w:p>
        </w:tc>
        <w:tc>
          <w:tcPr>
            <w:tcW w:w="950"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废气治理</w:t>
            </w:r>
          </w:p>
        </w:tc>
        <w:tc>
          <w:tcPr>
            <w:tcW w:w="68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固态</w:t>
            </w:r>
          </w:p>
        </w:tc>
        <w:tc>
          <w:tcPr>
            <w:tcW w:w="64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w:t>
            </w:r>
          </w:p>
        </w:tc>
        <w:tc>
          <w:tcPr>
            <w:tcW w:w="66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病原微生物、传染性病菌等</w:t>
            </w:r>
          </w:p>
        </w:tc>
        <w:tc>
          <w:tcPr>
            <w:tcW w:w="667"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a</w:t>
            </w:r>
          </w:p>
        </w:tc>
        <w:tc>
          <w:tcPr>
            <w:tcW w:w="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sz w:val="18"/>
                <w:szCs w:val="18"/>
                <w:u w:val="none"/>
                <w:lang w:val="en-US" w:eastAsia="zh-CN"/>
              </w:rPr>
            </w:pPr>
            <w:r>
              <w:rPr>
                <w:rFonts w:hint="eastAsia"/>
                <w:b w:val="0"/>
                <w:bCs/>
                <w:sz w:val="18"/>
                <w:szCs w:val="18"/>
                <w:u w:val="none"/>
                <w:lang w:val="en-US" w:eastAsia="zh-CN"/>
              </w:rPr>
              <w:t>In</w:t>
            </w:r>
          </w:p>
        </w:tc>
        <w:tc>
          <w:tcPr>
            <w:tcW w:w="1300" w:type="dxa"/>
            <w:vMerge w:val="continue"/>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02"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4</w:t>
            </w:r>
          </w:p>
        </w:tc>
        <w:tc>
          <w:tcPr>
            <w:tcW w:w="87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废活性炭</w:t>
            </w:r>
          </w:p>
        </w:tc>
        <w:tc>
          <w:tcPr>
            <w:tcW w:w="74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HW49</w:t>
            </w:r>
          </w:p>
        </w:tc>
        <w:tc>
          <w:tcPr>
            <w:tcW w:w="1057"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900-041-49</w:t>
            </w:r>
          </w:p>
        </w:tc>
        <w:tc>
          <w:tcPr>
            <w:tcW w:w="80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6t/5a</w:t>
            </w:r>
          </w:p>
        </w:tc>
        <w:tc>
          <w:tcPr>
            <w:tcW w:w="950"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活性炭吸附装置</w:t>
            </w:r>
          </w:p>
        </w:tc>
        <w:tc>
          <w:tcPr>
            <w:tcW w:w="68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固态</w:t>
            </w:r>
          </w:p>
        </w:tc>
        <w:tc>
          <w:tcPr>
            <w:tcW w:w="648"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活性炭</w:t>
            </w:r>
          </w:p>
        </w:tc>
        <w:tc>
          <w:tcPr>
            <w:tcW w:w="666"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有机污染物</w:t>
            </w:r>
          </w:p>
        </w:tc>
        <w:tc>
          <w:tcPr>
            <w:tcW w:w="667"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a</w:t>
            </w:r>
          </w:p>
        </w:tc>
        <w:tc>
          <w:tcPr>
            <w:tcW w:w="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sz w:val="18"/>
                <w:szCs w:val="18"/>
                <w:u w:val="none"/>
                <w:lang w:val="en-US" w:eastAsia="zh-CN"/>
              </w:rPr>
            </w:pPr>
            <w:r>
              <w:rPr>
                <w:rFonts w:hint="eastAsia"/>
                <w:b w:val="0"/>
                <w:bCs/>
                <w:sz w:val="18"/>
                <w:szCs w:val="18"/>
                <w:u w:val="none"/>
                <w:lang w:val="en-US" w:eastAsia="zh-CN"/>
              </w:rPr>
              <w:t>In</w:t>
            </w:r>
          </w:p>
        </w:tc>
        <w:tc>
          <w:tcPr>
            <w:tcW w:w="1300" w:type="dxa"/>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暂存于危废间内，定期交资质单位处置</w:t>
            </w:r>
          </w:p>
        </w:tc>
      </w:tr>
    </w:tbl>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sz w:val="24"/>
          <w:u w:val="none"/>
        </w:rPr>
      </w:pPr>
      <w:r>
        <w:rPr>
          <w:b w:val="0"/>
          <w:bCs/>
          <w:sz w:val="24"/>
          <w:u w:val="none"/>
        </w:rPr>
        <w:t>2、厂区固废暂存管理措施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sz w:val="24"/>
          <w:u w:val="none"/>
        </w:rPr>
        <w:t>为了防止固体废物对区域环境产生不利影响，评价要求企业应对固体废物处置采用综合利用，充分回收，最大限度地合理使用资源，尽可能减少固废废物的最终产生量，并对固体废物进行安全、合理、卫生地处理和处置。</w:t>
      </w:r>
      <w:r>
        <w:rPr>
          <w:rFonts w:hint="eastAsia"/>
          <w:sz w:val="24"/>
          <w:u w:val="none"/>
          <w:lang w:eastAsia="zh-CN"/>
        </w:rPr>
        <w:t>针对固废的暂存与管理，评价提出如下要求：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rFonts w:hint="eastAsia"/>
          <w:sz w:val="24"/>
          <w:u w:val="none"/>
          <w:lang w:eastAsia="zh-CN"/>
        </w:rPr>
        <w:t>（</w:t>
      </w:r>
      <w:r>
        <w:rPr>
          <w:rFonts w:hint="eastAsia"/>
          <w:sz w:val="24"/>
          <w:u w:val="none"/>
          <w:lang w:val="en-US" w:eastAsia="zh-CN"/>
        </w:rPr>
        <w:t>1</w:t>
      </w:r>
      <w:r>
        <w:rPr>
          <w:rFonts w:hint="eastAsia"/>
          <w:sz w:val="24"/>
          <w:u w:val="none"/>
          <w:lang w:eastAsia="zh-CN"/>
        </w:rPr>
        <w:t>）生活垃圾的暂存与管理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rFonts w:hint="eastAsia"/>
          <w:sz w:val="24"/>
          <w:u w:val="none"/>
          <w:lang w:eastAsia="zh-CN"/>
        </w:rPr>
        <w:t>厂区内在办公室、食堂、宿舍、生产车间、卫生间、车间道路旁等人员活动区设置生活垃圾桶，用于临时收集人员产生的生活垃圾。另外，项目在厂区西南侧设置集中垃圾房，每天由垃圾桶收集的生活垃圾由垃圾袋收集后暂存垃圾房内，并委托环卫部门进厂清运。</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rFonts w:hint="eastAsia"/>
          <w:sz w:val="24"/>
          <w:u w:val="none"/>
          <w:lang w:eastAsia="zh-CN"/>
        </w:rPr>
        <w:t>为了有效遏制垃圾房的恶臭气体，环评要求，建设单位当与城市环卫部门签订生活垃圾处置协议，做到日常日期，并派专人负责管理。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rFonts w:hint="eastAsia"/>
          <w:sz w:val="24"/>
          <w:u w:val="none"/>
          <w:lang w:eastAsia="zh-CN"/>
        </w:rPr>
        <w:t>（</w:t>
      </w:r>
      <w:r>
        <w:rPr>
          <w:rFonts w:hint="eastAsia"/>
          <w:sz w:val="24"/>
          <w:u w:val="none"/>
          <w:lang w:val="en-US" w:eastAsia="zh-CN"/>
        </w:rPr>
        <w:t>2</w:t>
      </w:r>
      <w:r>
        <w:rPr>
          <w:rFonts w:hint="eastAsia"/>
          <w:sz w:val="24"/>
          <w:u w:val="none"/>
          <w:lang w:eastAsia="zh-CN"/>
        </w:rPr>
        <w:t>）一般工业固废的暂存与管理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eastAsia="zh-CN"/>
        </w:rPr>
        <w:t>建设单位在厂区仓库房内划定一般固废暂存区，并设置围挡，将一般固废暂存区与其他区域分隔开，占地面积</w:t>
      </w:r>
      <w:r>
        <w:rPr>
          <w:rFonts w:hint="eastAsia"/>
          <w:sz w:val="24"/>
          <w:u w:val="none"/>
          <w:lang w:val="en-US" w:eastAsia="zh-CN"/>
        </w:rPr>
        <w:t>20m²</w:t>
      </w:r>
      <w:r>
        <w:rPr>
          <w:rFonts w:hint="eastAsia"/>
          <w:sz w:val="24"/>
          <w:u w:val="none"/>
          <w:lang w:eastAsia="zh-CN"/>
        </w:rPr>
        <w:t>。为了便于一般工业固废的分类收集与储存，环评要求在固废暂存区内设置隔板，划分</w:t>
      </w:r>
      <w:r>
        <w:rPr>
          <w:rFonts w:hint="eastAsia"/>
          <w:sz w:val="24"/>
          <w:u w:val="none"/>
          <w:lang w:val="en-US" w:eastAsia="zh-CN"/>
        </w:rPr>
        <w:t>4个隔离区，生产过程中产生的一般工业固废，分门别类地收集储存于不同的隔离区内，并按《环境保护图形标志——固体废物贮存（处置）场》（GB15562.2-1995）相关要求设置相应的固废警示标志。</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（3）危险废物的暂存与管理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sz w:val="24"/>
          <w:u w:val="none"/>
        </w:rPr>
      </w:pPr>
      <w:r>
        <w:rPr>
          <w:sz w:val="24"/>
          <w:u w:val="none"/>
        </w:rPr>
        <w:t>项目在</w:t>
      </w:r>
      <w:r>
        <w:rPr>
          <w:rFonts w:hint="eastAsia"/>
          <w:sz w:val="24"/>
          <w:u w:val="none"/>
          <w:lang w:eastAsia="zh-CN"/>
        </w:rPr>
        <w:t>生产厂区北侧建一间危废暂存间，建筑面积</w:t>
      </w:r>
      <w:r>
        <w:rPr>
          <w:rFonts w:hint="eastAsia"/>
          <w:sz w:val="24"/>
          <w:u w:val="none"/>
          <w:lang w:val="en-US" w:eastAsia="zh-CN"/>
        </w:rPr>
        <w:t>10m²，</w:t>
      </w:r>
      <w:r>
        <w:rPr>
          <w:sz w:val="24"/>
          <w:u w:val="none"/>
        </w:rPr>
        <w:t>用于厂区危险废物的暂存</w:t>
      </w:r>
      <w:r>
        <w:rPr>
          <w:rFonts w:hint="eastAsia"/>
          <w:sz w:val="24"/>
          <w:u w:val="none"/>
          <w:lang w:eastAsia="zh-CN"/>
        </w:rPr>
        <w:t>，</w:t>
      </w:r>
      <w:r>
        <w:rPr>
          <w:rFonts w:hint="eastAsia"/>
          <w:sz w:val="24"/>
          <w:u w:val="none"/>
        </w:rPr>
        <w:t>针对危险废物厂区</w:t>
      </w:r>
      <w:r>
        <w:rPr>
          <w:rFonts w:hint="eastAsia"/>
          <w:sz w:val="24"/>
          <w:u w:val="none"/>
          <w:lang w:eastAsia="zh-CN"/>
        </w:rPr>
        <w:t>暂存间的暂存及</w:t>
      </w:r>
      <w:r>
        <w:rPr>
          <w:rFonts w:hint="eastAsia"/>
          <w:sz w:val="24"/>
          <w:u w:val="none"/>
        </w:rPr>
        <w:t>管理措施</w:t>
      </w:r>
      <w:r>
        <w:rPr>
          <w:sz w:val="24"/>
          <w:u w:val="none"/>
        </w:rPr>
        <w:t>，评价</w:t>
      </w:r>
      <w:r>
        <w:rPr>
          <w:rFonts w:hint="eastAsia"/>
          <w:sz w:val="24"/>
          <w:u w:val="none"/>
          <w:lang w:eastAsia="zh-CN"/>
        </w:rPr>
        <w:t>如下措施</w:t>
      </w:r>
      <w:r>
        <w:rPr>
          <w:sz w:val="24"/>
          <w:u w:val="none"/>
        </w:rPr>
        <w:t>：</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rFonts w:hint="eastAsia" w:eastAsia="宋体"/>
          <w:sz w:val="24"/>
          <w:u w:val="none"/>
          <w:lang w:eastAsia="zh-CN"/>
        </w:rPr>
      </w:pPr>
      <w:r>
        <w:rPr>
          <w:sz w:val="24"/>
          <w:u w:val="none"/>
        </w:rPr>
        <w:t>（1）企业应设置专门人员负责</w:t>
      </w:r>
      <w:r>
        <w:rPr>
          <w:rFonts w:hint="eastAsia"/>
          <w:sz w:val="24"/>
          <w:u w:val="none"/>
          <w:lang w:eastAsia="zh-CN"/>
        </w:rPr>
        <w:t>危险废物暂存管理，</w:t>
      </w:r>
      <w:r>
        <w:rPr>
          <w:sz w:val="24"/>
          <w:u w:val="none"/>
        </w:rPr>
        <w:t>进行分类堆放，在运输过程中，确保不撒漏、不混放。对有毒有害废弃物，利用密闭容器储运；并加强固体废弃物的分类存放管理，确保各类固废分类存放于固废暂存间内，不散乱堆放。</w:t>
      </w:r>
      <w:r>
        <w:rPr>
          <w:rFonts w:hint="eastAsia"/>
          <w:sz w:val="24"/>
          <w:u w:val="none"/>
          <w:lang w:eastAsia="zh-CN"/>
        </w:rPr>
        <w:t>建立危险废物产生、外运、处置及最终去向的详细台账</w:t>
      </w:r>
      <w:r>
        <w:rPr>
          <w:sz w:val="24"/>
          <w:u w:val="none"/>
        </w:rPr>
        <w:t>，</w:t>
      </w:r>
      <w:r>
        <w:rPr>
          <w:rFonts w:hint="eastAsia"/>
          <w:sz w:val="24"/>
          <w:u w:val="none"/>
          <w:lang w:eastAsia="zh-CN"/>
        </w:rPr>
        <w:t>并按照《危险废物转移联单管理办法》的要求做好危险废物转移联单填报登记工作。</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（2）</w:t>
      </w:r>
      <w:r>
        <w:rPr>
          <w:rFonts w:asciiTheme="minorEastAsia" w:hAnsiTheme="minorEastAsia" w:eastAsiaTheme="minorEastAsia"/>
          <w:sz w:val="24"/>
          <w:u w:val="none"/>
        </w:rPr>
        <w:t>按</w:t>
      </w:r>
      <w:r>
        <w:rPr>
          <w:rFonts w:hint="eastAsia"/>
          <w:sz w:val="24"/>
          <w:u w:val="none"/>
          <w:lang w:val="en-US" w:eastAsia="zh-CN"/>
        </w:rPr>
        <w:t>《环境保护图形标志——固体废物贮存（处置）场》（GB15562.2-1995）和《危险废物标志牌式样》有关</w:t>
      </w:r>
      <w:r>
        <w:rPr>
          <w:rFonts w:hint="eastAsia" w:asciiTheme="minorEastAsia" w:hAnsiTheme="minorEastAsia" w:eastAsiaTheme="minorEastAsia"/>
          <w:sz w:val="24"/>
          <w:u w:val="none"/>
          <w:lang w:eastAsia="zh-CN"/>
        </w:rPr>
        <w:t>要求对</w:t>
      </w:r>
      <w:r>
        <w:rPr>
          <w:sz w:val="24"/>
          <w:u w:val="none"/>
        </w:rPr>
        <w:t>危废暂</w:t>
      </w:r>
      <w:r>
        <w:rPr>
          <w:rFonts w:asciiTheme="minorEastAsia" w:hAnsiTheme="minorEastAsia" w:eastAsiaTheme="minorEastAsia"/>
          <w:sz w:val="24"/>
          <w:u w:val="none"/>
        </w:rPr>
        <w:t>存间</w:t>
      </w:r>
      <w:r>
        <w:rPr>
          <w:rFonts w:hint="eastAsia" w:asciiTheme="minorEastAsia" w:hAnsiTheme="minorEastAsia" w:eastAsiaTheme="minorEastAsia"/>
          <w:sz w:val="24"/>
          <w:u w:val="none"/>
          <w:lang w:eastAsia="zh-CN"/>
        </w:rPr>
        <w:t>设置警示</w:t>
      </w:r>
      <w:r>
        <w:rPr>
          <w:rFonts w:asciiTheme="minorEastAsia" w:hAnsiTheme="minorEastAsia" w:eastAsiaTheme="minorEastAsia"/>
          <w:sz w:val="24"/>
          <w:u w:val="none"/>
        </w:rPr>
        <w:t>标志牌，并对废物暂存区的地面作“四防（防雨、防渗、防风和防晒）”处理，</w:t>
      </w:r>
      <w:r>
        <w:rPr>
          <w:sz w:val="24"/>
          <w:u w:val="none"/>
        </w:rPr>
        <w:t>铺设防渗层，加强防渗、防漏及防溢流措施。</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（3）对危险固体废弃物应严格按照《危险废弃物管理规定》清理、转运、处置，不得泄露至外界造成污染</w:t>
      </w:r>
      <w:r>
        <w:rPr>
          <w:rFonts w:hint="eastAsia"/>
          <w:sz w:val="24"/>
          <w:u w:val="none"/>
          <w:lang w:eastAsia="zh-CN"/>
        </w:rPr>
        <w:t>，危险废物</w:t>
      </w:r>
      <w:r>
        <w:rPr>
          <w:sz w:val="24"/>
          <w:u w:val="none"/>
        </w:rPr>
        <w:t>厂区</w:t>
      </w:r>
      <w:r>
        <w:rPr>
          <w:rFonts w:hint="eastAsia"/>
          <w:sz w:val="24"/>
          <w:u w:val="none"/>
          <w:lang w:eastAsia="zh-CN"/>
        </w:rPr>
        <w:t>暂</w:t>
      </w:r>
      <w:r>
        <w:rPr>
          <w:sz w:val="24"/>
          <w:u w:val="none"/>
        </w:rPr>
        <w:t>存时间不得超过一年。废弃物转运时，运输车辆需密闭，严禁泄露。</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（5）建设单位必须定期对所贮存的危险废物包装容器及贮存设施进行检查，发现破损，应及时采取措施清理更换，务必确保危废不外泄。</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（6）出厂外委进行处理的危险废物，须由危废处理资质单位采用专用车辆运输，运输路线避免经过居民集中区和饮用水源保护区，运输途中防治扬尘、洒落和泄露造成严重污染。</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rFonts w:hint="eastAsia" w:eastAsia="宋体"/>
          <w:sz w:val="24"/>
          <w:u w:val="none"/>
          <w:lang w:eastAsia="zh-CN"/>
        </w:rPr>
      </w:pPr>
      <w:r>
        <w:rPr>
          <w:rFonts w:hint="eastAsia"/>
          <w:sz w:val="24"/>
          <w:u w:val="none"/>
          <w:lang w:eastAsia="zh-CN"/>
        </w:rPr>
        <w:t>（</w:t>
      </w:r>
      <w:r>
        <w:rPr>
          <w:rFonts w:hint="eastAsia"/>
          <w:sz w:val="24"/>
          <w:u w:val="none"/>
          <w:lang w:val="en-US" w:eastAsia="zh-CN"/>
        </w:rPr>
        <w:t>7</w:t>
      </w:r>
      <w:r>
        <w:rPr>
          <w:rFonts w:hint="eastAsia"/>
          <w:sz w:val="24"/>
          <w:u w:val="none"/>
          <w:lang w:eastAsia="zh-CN"/>
        </w:rPr>
        <w:t>）</w:t>
      </w:r>
      <w:r>
        <w:rPr>
          <w:rFonts w:hint="eastAsia" w:cs="Times New Roman"/>
          <w:sz w:val="24"/>
          <w:u w:val="none"/>
          <w:lang w:val="en-US" w:eastAsia="zh-CN"/>
        </w:rPr>
        <w:t>危险废物产生者和危险废物贮存设施经营者均须作好危险废物情况的记录，记录上必须注明危险废物的名称、来源、数量、特性和包装容器的类别、入库日期、存放库位、废物出库日期及接收单位名称，危险废物的记录和货单在危险废物回取后应继续保留3年。</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sz w:val="24"/>
          <w:u w:val="none"/>
        </w:rPr>
      </w:pPr>
      <w:r>
        <w:rPr>
          <w:rFonts w:hint="eastAsia"/>
          <w:sz w:val="24"/>
          <w:u w:val="none"/>
          <w:lang w:eastAsia="zh-CN"/>
        </w:rPr>
        <w:t>本项目生产期间产生的各类固体废物在采取上述收集、暂存、处置和管理措施后，各类固废均能得到有效处置，满足“减量化、无害化、资源化”要求，各类固废</w:t>
      </w:r>
      <w:r>
        <w:rPr>
          <w:sz w:val="24"/>
          <w:u w:val="none"/>
        </w:rPr>
        <w:t>具体来源、产生及治理情况见下表。</w:t>
      </w:r>
    </w:p>
    <w:p>
      <w:pPr>
        <w:keepNext w:val="0"/>
        <w:keepLines w:val="0"/>
        <w:pageBreakBefore w:val="0"/>
        <w:widowControl w:val="0"/>
        <w:kinsoku/>
        <w:wordWrap/>
        <w:overflowPunct/>
        <w:topLinePunct/>
        <w:autoSpaceDE/>
        <w:autoSpaceDN/>
        <w:bidi w:val="0"/>
        <w:adjustRightInd/>
        <w:snapToGrid/>
        <w:spacing w:line="360" w:lineRule="auto"/>
        <w:ind w:firstLine="482" w:firstLineChars="200"/>
        <w:jc w:val="left"/>
        <w:textAlignment w:val="auto"/>
        <w:rPr>
          <w:b/>
          <w:bCs/>
          <w:szCs w:val="21"/>
          <w:u w:val="none"/>
        </w:rPr>
        <w:sectPr>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pStyle w:val="352"/>
        <w:rPr>
          <w:rFonts w:hint="eastAsia"/>
          <w:b/>
          <w:bCs/>
          <w:u w:val="none"/>
          <w:lang w:val="en-US" w:eastAsia="zh-CN"/>
        </w:rPr>
      </w:pPr>
      <w:r>
        <w:rPr>
          <w:rFonts w:hint="eastAsia"/>
          <w:b/>
          <w:bCs/>
          <w:u w:val="none"/>
          <w:lang w:val="en-US" w:eastAsia="zh-CN"/>
        </w:rPr>
        <w:t>表3-21  本项目固体废物产生及处理措施</w:t>
      </w:r>
    </w:p>
    <w:tbl>
      <w:tblPr>
        <w:tblStyle w:val="59"/>
        <w:tblW w:w="13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607"/>
        <w:gridCol w:w="1696"/>
        <w:gridCol w:w="2083"/>
        <w:gridCol w:w="1430"/>
        <w:gridCol w:w="1134"/>
        <w:gridCol w:w="2252"/>
        <w:gridCol w:w="1063"/>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58" w:type="dxa"/>
            <w:vMerge w:val="restart"/>
            <w:noWrap w:val="0"/>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工序/生产线</w:t>
            </w:r>
          </w:p>
        </w:tc>
        <w:tc>
          <w:tcPr>
            <w:tcW w:w="1607" w:type="dxa"/>
            <w:vMerge w:val="restart"/>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装置</w:t>
            </w:r>
          </w:p>
        </w:tc>
        <w:tc>
          <w:tcPr>
            <w:tcW w:w="1696" w:type="dxa"/>
            <w:vMerge w:val="restart"/>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固体废物名称</w:t>
            </w:r>
          </w:p>
        </w:tc>
        <w:tc>
          <w:tcPr>
            <w:tcW w:w="2083" w:type="dxa"/>
            <w:vMerge w:val="restart"/>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固废属性</w:t>
            </w:r>
          </w:p>
        </w:tc>
        <w:tc>
          <w:tcPr>
            <w:tcW w:w="2564" w:type="dxa"/>
            <w:gridSpan w:val="2"/>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产生情况</w:t>
            </w:r>
          </w:p>
        </w:tc>
        <w:tc>
          <w:tcPr>
            <w:tcW w:w="3315" w:type="dxa"/>
            <w:gridSpan w:val="2"/>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处置措施</w:t>
            </w:r>
          </w:p>
        </w:tc>
        <w:tc>
          <w:tcPr>
            <w:tcW w:w="1757" w:type="dxa"/>
            <w:vMerge w:val="restart"/>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958" w:type="dxa"/>
            <w:vMerge w:val="continue"/>
            <w:noWrap w:val="0"/>
            <w:vAlign w:val="center"/>
          </w:tcPr>
          <w:p>
            <w:pPr>
              <w:pStyle w:val="352"/>
              <w:keepNext w:val="0"/>
              <w:keepLines w:val="0"/>
              <w:suppressLineNumbers w:val="0"/>
              <w:spacing w:before="0" w:beforeAutospacing="0" w:after="0" w:afterAutospacing="0"/>
              <w:ind w:left="0" w:right="0"/>
              <w:rPr>
                <w:rFonts w:hint="default"/>
                <w:u w:val="none"/>
              </w:rPr>
            </w:pPr>
          </w:p>
        </w:tc>
        <w:tc>
          <w:tcPr>
            <w:tcW w:w="1607" w:type="dxa"/>
            <w:vMerge w:val="continue"/>
            <w:noWrap w:val="0"/>
            <w:vAlign w:val="center"/>
          </w:tcPr>
          <w:p>
            <w:pPr>
              <w:pStyle w:val="352"/>
              <w:keepNext w:val="0"/>
              <w:keepLines w:val="0"/>
              <w:suppressLineNumbers w:val="0"/>
              <w:spacing w:before="0" w:beforeAutospacing="0" w:after="0" w:afterAutospacing="0"/>
              <w:ind w:left="0" w:right="0"/>
              <w:rPr>
                <w:rFonts w:hint="eastAsia"/>
                <w:u w:val="none"/>
                <w:lang w:eastAsia="zh-CN"/>
              </w:rPr>
            </w:pPr>
          </w:p>
        </w:tc>
        <w:tc>
          <w:tcPr>
            <w:tcW w:w="1696" w:type="dxa"/>
            <w:vMerge w:val="continue"/>
            <w:noWrap w:val="0"/>
            <w:vAlign w:val="center"/>
          </w:tcPr>
          <w:p>
            <w:pPr>
              <w:pStyle w:val="352"/>
              <w:keepNext w:val="0"/>
              <w:keepLines w:val="0"/>
              <w:suppressLineNumbers w:val="0"/>
              <w:spacing w:before="0" w:beforeAutospacing="0" w:after="0" w:afterAutospacing="0"/>
              <w:ind w:left="0" w:right="0"/>
              <w:rPr>
                <w:rFonts w:hint="default"/>
                <w:u w:val="none"/>
              </w:rPr>
            </w:pPr>
          </w:p>
        </w:tc>
        <w:tc>
          <w:tcPr>
            <w:tcW w:w="2083" w:type="dxa"/>
            <w:vMerge w:val="continue"/>
            <w:noWrap w:val="0"/>
            <w:vAlign w:val="center"/>
          </w:tcPr>
          <w:p>
            <w:pPr>
              <w:pStyle w:val="352"/>
              <w:keepNext w:val="0"/>
              <w:keepLines w:val="0"/>
              <w:suppressLineNumbers w:val="0"/>
              <w:spacing w:before="0" w:beforeAutospacing="0" w:after="0" w:afterAutospacing="0"/>
              <w:ind w:left="0" w:right="0"/>
              <w:rPr>
                <w:rFonts w:hint="eastAsia"/>
                <w:u w:val="none"/>
                <w:lang w:eastAsia="zh-CN"/>
              </w:rPr>
            </w:pPr>
          </w:p>
        </w:tc>
        <w:tc>
          <w:tcPr>
            <w:tcW w:w="1430" w:type="dxa"/>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核算方法</w:t>
            </w:r>
          </w:p>
        </w:tc>
        <w:tc>
          <w:tcPr>
            <w:tcW w:w="1134" w:type="dxa"/>
            <w:noWrap w:val="0"/>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eastAsia="zh-CN"/>
              </w:rPr>
              <w:t>产生量（</w:t>
            </w:r>
            <w:r>
              <w:rPr>
                <w:rFonts w:hint="eastAsia"/>
                <w:b/>
                <w:bCs/>
                <w:u w:val="none"/>
                <w:lang w:val="en-US" w:eastAsia="zh-CN"/>
              </w:rPr>
              <w:t>t/a</w:t>
            </w:r>
            <w:r>
              <w:rPr>
                <w:rFonts w:hint="eastAsia"/>
                <w:b/>
                <w:bCs/>
                <w:u w:val="none"/>
                <w:lang w:eastAsia="zh-CN"/>
              </w:rPr>
              <w:t>）</w:t>
            </w:r>
          </w:p>
        </w:tc>
        <w:tc>
          <w:tcPr>
            <w:tcW w:w="2252" w:type="dxa"/>
            <w:noWrap w:val="0"/>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工艺</w:t>
            </w:r>
          </w:p>
        </w:tc>
        <w:tc>
          <w:tcPr>
            <w:tcW w:w="1063" w:type="dxa"/>
            <w:noWrap w:val="0"/>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eastAsia="zh-CN"/>
              </w:rPr>
              <w:t>处置量（</w:t>
            </w:r>
            <w:r>
              <w:rPr>
                <w:rFonts w:hint="eastAsia"/>
                <w:b/>
                <w:bCs/>
                <w:u w:val="none"/>
                <w:lang w:val="en-US" w:eastAsia="zh-CN"/>
              </w:rPr>
              <w:t>t/a</w:t>
            </w:r>
            <w:r>
              <w:rPr>
                <w:rFonts w:hint="eastAsia"/>
                <w:b/>
                <w:bCs/>
                <w:u w:val="none"/>
                <w:lang w:eastAsia="zh-CN"/>
              </w:rPr>
              <w:t>）</w:t>
            </w:r>
          </w:p>
        </w:tc>
        <w:tc>
          <w:tcPr>
            <w:tcW w:w="1757" w:type="dxa"/>
            <w:vMerge w:val="continue"/>
            <w:noWrap w:val="0"/>
            <w:vAlign w:val="center"/>
          </w:tcPr>
          <w:p>
            <w:pPr>
              <w:pStyle w:val="352"/>
              <w:keepNext w:val="0"/>
              <w:keepLines w:val="0"/>
              <w:suppressLineNumbers w:val="0"/>
              <w:spacing w:before="0" w:beforeAutospacing="0" w:after="0" w:afterAutospacing="0"/>
              <w:ind w:left="0" w:right="0"/>
              <w:rPr>
                <w:rFonts w:hint="eastAsia"/>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办公生活</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eastAsia="zh-CN"/>
              </w:rPr>
              <w:t>办公生活</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生活垃圾</w:t>
            </w:r>
          </w:p>
        </w:tc>
        <w:tc>
          <w:tcPr>
            <w:tcW w:w="2083"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生活垃圾</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产污系数法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7.3</w:t>
            </w:r>
          </w:p>
        </w:tc>
        <w:tc>
          <w:tcPr>
            <w:tcW w:w="2252"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垃圾桶收集暂存，定期交由环卫清运</w:t>
            </w:r>
          </w:p>
        </w:tc>
        <w:tc>
          <w:tcPr>
            <w:tcW w:w="106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7.3</w:t>
            </w:r>
          </w:p>
        </w:tc>
        <w:tc>
          <w:tcPr>
            <w:tcW w:w="175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填埋场或垃圾焚烧发电厂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微波消毒系统</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微波消毒系统</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残渣</w:t>
            </w:r>
          </w:p>
        </w:tc>
        <w:tc>
          <w:tcPr>
            <w:tcW w:w="2083" w:type="dxa"/>
            <w:noWrap w:val="0"/>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eastAsia="zh-CN"/>
              </w:rPr>
              <w:fldChar w:fldCharType="begin"/>
            </w:r>
            <w:r>
              <w:rPr>
                <w:rFonts w:hint="eastAsia"/>
                <w:b w:val="0"/>
                <w:bCs/>
                <w:u w:val="none"/>
                <w:lang w:eastAsia="zh-CN"/>
              </w:rPr>
              <w:instrText xml:space="preserve"> = 1 \* ROMAN \* MERGEFORMAT </w:instrText>
            </w:r>
            <w:r>
              <w:rPr>
                <w:rFonts w:hint="eastAsia"/>
                <w:b w:val="0"/>
                <w:bCs/>
                <w:u w:val="none"/>
                <w:lang w:eastAsia="zh-CN"/>
              </w:rPr>
              <w:fldChar w:fldCharType="separate"/>
            </w:r>
            <w:r>
              <w:rPr>
                <w:rFonts w:hint="default"/>
                <w:b w:val="0"/>
                <w:bCs/>
                <w:u w:val="none"/>
              </w:rPr>
              <w:t>I</w:t>
            </w:r>
            <w:r>
              <w:rPr>
                <w:rFonts w:hint="eastAsia"/>
                <w:b w:val="0"/>
                <w:bCs/>
                <w:u w:val="none"/>
                <w:lang w:eastAsia="zh-CN"/>
              </w:rPr>
              <w:fldChar w:fldCharType="end"/>
            </w:r>
            <w:r>
              <w:rPr>
                <w:rFonts w:hint="eastAsia"/>
                <w:b w:val="0"/>
                <w:bCs/>
                <w:u w:val="none"/>
                <w:lang w:eastAsia="zh-CN"/>
              </w:rPr>
              <w:t>类一般工业固废</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物料衡算法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720</w:t>
            </w:r>
          </w:p>
        </w:tc>
        <w:tc>
          <w:tcPr>
            <w:tcW w:w="2252"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一般固废间暂存，定期外售废品回收商</w:t>
            </w:r>
          </w:p>
        </w:tc>
        <w:tc>
          <w:tcPr>
            <w:tcW w:w="106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720</w:t>
            </w:r>
          </w:p>
        </w:tc>
        <w:tc>
          <w:tcPr>
            <w:tcW w:w="175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垃圾焚烧发电厂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废水及废气治理</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污水处理站、旋流塔</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污泥</w:t>
            </w:r>
          </w:p>
        </w:tc>
        <w:tc>
          <w:tcPr>
            <w:tcW w:w="208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rPr>
            </w:pPr>
            <w:r>
              <w:rPr>
                <w:rFonts w:hint="eastAsia"/>
                <w:b w:val="0"/>
                <w:bCs/>
                <w:u w:val="none"/>
                <w:lang w:eastAsia="zh-CN"/>
              </w:rPr>
              <w:t>危险废物，</w:t>
            </w:r>
            <w:r>
              <w:rPr>
                <w:rFonts w:hint="eastAsia"/>
                <w:b w:val="0"/>
                <w:bCs/>
                <w:u w:val="none"/>
                <w:lang w:val="en-US" w:eastAsia="zh-CN"/>
              </w:rPr>
              <w:t>831-001-01</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类比法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10.0</w:t>
            </w:r>
          </w:p>
        </w:tc>
        <w:tc>
          <w:tcPr>
            <w:tcW w:w="2252"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板框压滤后，泥饼送微波消毒系统处置</w:t>
            </w:r>
          </w:p>
        </w:tc>
        <w:tc>
          <w:tcPr>
            <w:tcW w:w="106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10.0</w:t>
            </w:r>
          </w:p>
        </w:tc>
        <w:tc>
          <w:tcPr>
            <w:tcW w:w="175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处置后的残渣送垃圾焚烧发电厂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医疗废物转运</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转运、贮存、消毒、清洗系统等</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val="en-US" w:eastAsia="zh-CN"/>
              </w:rPr>
              <w:t>破损周转箱、废弃手套及口罩</w:t>
            </w:r>
          </w:p>
        </w:tc>
        <w:tc>
          <w:tcPr>
            <w:tcW w:w="2083"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危险废物，</w:t>
            </w:r>
            <w:r>
              <w:rPr>
                <w:rFonts w:hint="eastAsia"/>
                <w:b w:val="0"/>
                <w:bCs/>
                <w:u w:val="none"/>
                <w:lang w:val="en-US" w:eastAsia="zh-CN"/>
              </w:rPr>
              <w:t>831-001-01</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类比法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0.1t/a</w:t>
            </w:r>
          </w:p>
        </w:tc>
        <w:tc>
          <w:tcPr>
            <w:tcW w:w="2252" w:type="dxa"/>
            <w:vMerge w:val="restart"/>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依托微波消毒系统处置</w:t>
            </w:r>
          </w:p>
        </w:tc>
        <w:tc>
          <w:tcPr>
            <w:tcW w:w="1063"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757" w:type="dxa"/>
            <w:vMerge w:val="restart"/>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处置后的残渣送垃圾焚烧发电厂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废气治理</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两级过滤除菌装置</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废过滤膜</w:t>
            </w:r>
          </w:p>
        </w:tc>
        <w:tc>
          <w:tcPr>
            <w:tcW w:w="208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eastAsia="zh-CN"/>
              </w:rPr>
              <w:t>危险废物，</w:t>
            </w:r>
            <w:r>
              <w:rPr>
                <w:rFonts w:hint="eastAsia"/>
                <w:b w:val="0"/>
                <w:bCs/>
                <w:u w:val="none"/>
                <w:lang w:val="en-US" w:eastAsia="zh-CN"/>
              </w:rPr>
              <w:t>831-001-01</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类比法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0.01</w:t>
            </w:r>
          </w:p>
        </w:tc>
        <w:tc>
          <w:tcPr>
            <w:tcW w:w="2252"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063"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0.01</w:t>
            </w:r>
          </w:p>
        </w:tc>
        <w:tc>
          <w:tcPr>
            <w:tcW w:w="1757" w:type="dxa"/>
            <w:vMerge w:val="continue"/>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废气治理</w:t>
            </w:r>
          </w:p>
        </w:tc>
        <w:tc>
          <w:tcPr>
            <w:tcW w:w="1607"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活性炭吸附装置</w:t>
            </w:r>
          </w:p>
        </w:tc>
        <w:tc>
          <w:tcPr>
            <w:tcW w:w="1696"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废活性炭</w:t>
            </w:r>
          </w:p>
        </w:tc>
        <w:tc>
          <w:tcPr>
            <w:tcW w:w="2083"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eastAsia="zh-CN"/>
              </w:rPr>
              <w:t>危险废物，</w:t>
            </w:r>
            <w:r>
              <w:rPr>
                <w:rFonts w:hint="eastAsia"/>
                <w:b w:val="0"/>
                <w:bCs/>
                <w:u w:val="none"/>
                <w:lang w:val="en-US" w:eastAsia="zh-CN"/>
              </w:rPr>
              <w:t>900-041-49</w:t>
            </w:r>
          </w:p>
        </w:tc>
        <w:tc>
          <w:tcPr>
            <w:tcW w:w="1430" w:type="dxa"/>
            <w:noWrap w:val="0"/>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物料衡算法</w:t>
            </w:r>
          </w:p>
        </w:tc>
        <w:tc>
          <w:tcPr>
            <w:tcW w:w="1134" w:type="dxa"/>
            <w:noWrap w:val="0"/>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w:t>
            </w:r>
          </w:p>
        </w:tc>
        <w:tc>
          <w:tcPr>
            <w:tcW w:w="2252" w:type="dxa"/>
            <w:noWrap w:val="0"/>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危废暂存间安全暂存</w:t>
            </w:r>
          </w:p>
        </w:tc>
        <w:tc>
          <w:tcPr>
            <w:tcW w:w="1063" w:type="dxa"/>
            <w:noWrap w:val="0"/>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1.0</w:t>
            </w:r>
          </w:p>
        </w:tc>
        <w:tc>
          <w:tcPr>
            <w:tcW w:w="1757" w:type="dxa"/>
            <w:noWrap w:val="0"/>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b w:val="0"/>
                <w:bCs/>
                <w:u w:val="none"/>
                <w:lang w:eastAsia="zh-CN"/>
              </w:rPr>
              <w:t>定期送有资质单位处理处置</w:t>
            </w:r>
          </w:p>
        </w:tc>
      </w:tr>
    </w:tbl>
    <w:p>
      <w:pPr>
        <w:topLinePunct/>
        <w:jc w:val="center"/>
        <w:rPr>
          <w:b/>
          <w:bCs/>
          <w:sz w:val="21"/>
          <w:szCs w:val="21"/>
          <w:u w:val="none"/>
        </w:rPr>
      </w:pPr>
    </w:p>
    <w:p>
      <w:pPr>
        <w:topLinePunct/>
        <w:jc w:val="center"/>
        <w:rPr>
          <w:rFonts w:hint="eastAsia"/>
          <w:sz w:val="24"/>
          <w:u w:val="none"/>
          <w:lang w:val="en-US" w:eastAsia="zh-CN"/>
        </w:rPr>
      </w:pPr>
      <w:r>
        <w:rPr>
          <w:rFonts w:hint="eastAsia"/>
          <w:sz w:val="24"/>
          <w:u w:val="none"/>
          <w:lang w:val="en-US" w:eastAsia="zh-CN"/>
        </w:rPr>
        <w:t xml:space="preserve"> </w:t>
      </w:r>
    </w:p>
    <w:p>
      <w:pPr>
        <w:topLinePunct/>
        <w:spacing w:line="360" w:lineRule="auto"/>
        <w:rPr>
          <w:rFonts w:hint="eastAsia"/>
          <w:sz w:val="24"/>
          <w:u w:val="none"/>
          <w:lang w:val="en-US" w:eastAsia="zh-CN"/>
        </w:rPr>
        <w:sectPr>
          <w:pgSz w:w="16838" w:h="11906" w:orient="landscape"/>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p>
    <w:p>
      <w:pPr>
        <w:topLinePunct/>
        <w:spacing w:line="360" w:lineRule="auto"/>
        <w:ind w:firstLine="482" w:firstLineChars="200"/>
        <w:jc w:val="left"/>
        <w:rPr>
          <w:rStyle w:val="177"/>
          <w:rFonts w:hint="default" w:ascii="Times New Roman" w:hAnsi="Times New Roman" w:cs="Times New Roman"/>
          <w:b/>
          <w:bCs/>
          <w:sz w:val="24"/>
          <w:szCs w:val="24"/>
          <w:u w:val="none"/>
        </w:rPr>
      </w:pPr>
      <w:r>
        <w:rPr>
          <w:rStyle w:val="177"/>
          <w:rFonts w:hint="default" w:ascii="Times New Roman" w:hAnsi="Times New Roman" w:cs="Times New Roman"/>
          <w:b/>
          <w:bCs/>
          <w:sz w:val="24"/>
          <w:szCs w:val="24"/>
          <w:u w:val="none"/>
        </w:rPr>
        <w:t>五、地下水</w:t>
      </w:r>
      <w:r>
        <w:rPr>
          <w:rStyle w:val="177"/>
          <w:rFonts w:hint="eastAsia" w:cs="Times New Roman"/>
          <w:b/>
          <w:bCs/>
          <w:sz w:val="24"/>
          <w:szCs w:val="24"/>
          <w:u w:val="none"/>
          <w:lang w:eastAsia="zh-CN"/>
        </w:rPr>
        <w:t>和土壤环境</w:t>
      </w:r>
      <w:r>
        <w:rPr>
          <w:rStyle w:val="177"/>
          <w:rFonts w:hint="default" w:ascii="Times New Roman" w:hAnsi="Times New Roman" w:cs="Times New Roman"/>
          <w:b/>
          <w:bCs/>
          <w:sz w:val="24"/>
          <w:szCs w:val="24"/>
          <w:u w:val="none"/>
        </w:rPr>
        <w:t>污染防治措施</w:t>
      </w:r>
    </w:p>
    <w:p>
      <w:pPr>
        <w:spacing w:line="360" w:lineRule="auto"/>
        <w:ind w:firstLine="480" w:firstLineChars="200"/>
        <w:jc w:val="left"/>
        <w:rPr>
          <w:sz w:val="24"/>
          <w:u w:val="none"/>
        </w:rPr>
      </w:pPr>
      <w:r>
        <w:rPr>
          <w:sz w:val="24"/>
          <w:u w:val="none"/>
        </w:rPr>
        <w:t>本项目污染物进入地下水</w:t>
      </w:r>
      <w:r>
        <w:rPr>
          <w:rFonts w:hint="eastAsia"/>
          <w:sz w:val="24"/>
          <w:u w:val="none"/>
          <w:lang w:eastAsia="zh-CN"/>
        </w:rPr>
        <w:t>和土壤</w:t>
      </w:r>
      <w:r>
        <w:rPr>
          <w:sz w:val="24"/>
          <w:u w:val="none"/>
        </w:rPr>
        <w:t>的途径主要</w:t>
      </w:r>
      <w:r>
        <w:rPr>
          <w:rFonts w:hint="eastAsia"/>
          <w:sz w:val="24"/>
          <w:u w:val="none"/>
          <w:lang w:eastAsia="zh-CN"/>
        </w:rPr>
        <w:t>有为污染物随渗滤液、废水</w:t>
      </w:r>
      <w:r>
        <w:rPr>
          <w:sz w:val="24"/>
          <w:u w:val="none"/>
        </w:rPr>
        <w:t>等垂直渗透进入包气带，进入包气带的污染物在物理、化学和生物作用下经吸附、转化、迁移和分解后输入地下水</w:t>
      </w:r>
      <w:r>
        <w:rPr>
          <w:rFonts w:hint="eastAsia"/>
          <w:sz w:val="24"/>
          <w:u w:val="none"/>
          <w:lang w:eastAsia="zh-CN"/>
        </w:rPr>
        <w:t>和土壤</w:t>
      </w:r>
      <w:r>
        <w:rPr>
          <w:sz w:val="24"/>
          <w:u w:val="none"/>
        </w:rPr>
        <w:t>。从本项目的污染特征以及工程所处区域的地质情况来看，拟建项目可能造成地下水</w:t>
      </w:r>
      <w:r>
        <w:rPr>
          <w:rFonts w:hint="eastAsia"/>
          <w:sz w:val="24"/>
          <w:u w:val="none"/>
          <w:lang w:eastAsia="zh-CN"/>
        </w:rPr>
        <w:t>和</w:t>
      </w:r>
      <w:r>
        <w:rPr>
          <w:sz w:val="24"/>
          <w:u w:val="none"/>
        </w:rPr>
        <w:t>污染的</w:t>
      </w:r>
      <w:r>
        <w:rPr>
          <w:rFonts w:hint="eastAsia"/>
          <w:sz w:val="24"/>
          <w:u w:val="none"/>
          <w:lang w:eastAsia="zh-CN"/>
        </w:rPr>
        <w:t>区块有</w:t>
      </w:r>
      <w:r>
        <w:rPr>
          <w:sz w:val="24"/>
          <w:u w:val="none"/>
        </w:rPr>
        <w:t>：</w:t>
      </w:r>
      <w:r>
        <w:rPr>
          <w:rFonts w:hint="eastAsia"/>
          <w:sz w:val="24"/>
          <w:u w:val="none"/>
          <w:lang w:eastAsia="zh-CN"/>
        </w:rPr>
        <w:t>冷库</w:t>
      </w:r>
      <w:r>
        <w:rPr>
          <w:sz w:val="24"/>
          <w:u w:val="none"/>
        </w:rPr>
        <w:t>、</w:t>
      </w:r>
      <w:r>
        <w:rPr>
          <w:rFonts w:hint="eastAsia"/>
          <w:sz w:val="24"/>
          <w:u w:val="none"/>
          <w:lang w:eastAsia="zh-CN"/>
        </w:rPr>
        <w:t>微波消毒系统</w:t>
      </w:r>
      <w:r>
        <w:rPr>
          <w:sz w:val="24"/>
          <w:u w:val="none"/>
        </w:rPr>
        <w:t>、</w:t>
      </w:r>
      <w:r>
        <w:rPr>
          <w:rFonts w:hint="eastAsia"/>
          <w:sz w:val="24"/>
          <w:u w:val="none"/>
          <w:lang w:eastAsia="zh-CN"/>
        </w:rPr>
        <w:t>消毒清洗区</w:t>
      </w:r>
      <w:r>
        <w:rPr>
          <w:sz w:val="24"/>
          <w:u w:val="none"/>
        </w:rPr>
        <w:t>、</w:t>
      </w:r>
      <w:r>
        <w:rPr>
          <w:rFonts w:hint="eastAsia"/>
          <w:sz w:val="24"/>
          <w:u w:val="none"/>
          <w:lang w:eastAsia="zh-CN"/>
        </w:rPr>
        <w:t>污水处理站</w:t>
      </w:r>
      <w:r>
        <w:rPr>
          <w:sz w:val="24"/>
          <w:u w:val="none"/>
        </w:rPr>
        <w:t>等。</w:t>
      </w:r>
    </w:p>
    <w:p>
      <w:pPr>
        <w:spacing w:line="360" w:lineRule="auto"/>
        <w:ind w:firstLine="480" w:firstLineChars="200"/>
        <w:jc w:val="left"/>
        <w:rPr>
          <w:sz w:val="24"/>
          <w:u w:val="none"/>
        </w:rPr>
      </w:pPr>
      <w:r>
        <w:rPr>
          <w:sz w:val="24"/>
          <w:u w:val="none"/>
        </w:rPr>
        <w:t>为有效规避地下水</w:t>
      </w:r>
      <w:r>
        <w:rPr>
          <w:rFonts w:hint="eastAsia"/>
          <w:sz w:val="24"/>
          <w:u w:val="none"/>
          <w:lang w:eastAsia="zh-CN"/>
        </w:rPr>
        <w:t>环和土壤</w:t>
      </w:r>
      <w:r>
        <w:rPr>
          <w:sz w:val="24"/>
          <w:u w:val="none"/>
        </w:rPr>
        <w:t>环境污染的风险，应做好地下水</w:t>
      </w:r>
      <w:r>
        <w:rPr>
          <w:rFonts w:hint="eastAsia"/>
          <w:sz w:val="24"/>
          <w:u w:val="none"/>
          <w:lang w:eastAsia="zh-CN"/>
        </w:rPr>
        <w:t>和土壤环境</w:t>
      </w:r>
      <w:r>
        <w:rPr>
          <w:sz w:val="24"/>
          <w:u w:val="none"/>
        </w:rPr>
        <w:t>污染预防措施，应按照</w:t>
      </w:r>
      <w:r>
        <w:rPr>
          <w:rFonts w:hint="eastAsia" w:asciiTheme="minorEastAsia" w:hAnsiTheme="minorEastAsia" w:eastAsiaTheme="minorEastAsia" w:cstheme="minorEastAsia"/>
          <w:sz w:val="24"/>
          <w:u w:val="none"/>
        </w:rPr>
        <w:t>“源头控制、分区控制、污染监控、应急响应”</w:t>
      </w:r>
      <w:r>
        <w:rPr>
          <w:sz w:val="24"/>
          <w:u w:val="none"/>
        </w:rPr>
        <w:t>的主动与被动防渗相结合的防渗原则，本项目拟采取的地下水</w:t>
      </w:r>
      <w:r>
        <w:rPr>
          <w:rFonts w:hint="eastAsia"/>
          <w:sz w:val="24"/>
          <w:u w:val="none"/>
          <w:lang w:eastAsia="zh-CN"/>
        </w:rPr>
        <w:t>和土壤环境</w:t>
      </w:r>
      <w:r>
        <w:rPr>
          <w:sz w:val="24"/>
          <w:u w:val="none"/>
        </w:rPr>
        <w:t>污染防治措施如下所述：</w:t>
      </w:r>
    </w:p>
    <w:p>
      <w:pPr>
        <w:spacing w:line="360" w:lineRule="auto"/>
        <w:ind w:firstLine="480" w:firstLineChars="200"/>
        <w:jc w:val="left"/>
        <w:rPr>
          <w:sz w:val="24"/>
          <w:u w:val="none"/>
        </w:rPr>
      </w:pPr>
      <w:r>
        <w:rPr>
          <w:sz w:val="24"/>
          <w:u w:val="none"/>
        </w:rPr>
        <w:t>1、源头控制措施</w:t>
      </w:r>
    </w:p>
    <w:p>
      <w:pPr>
        <w:spacing w:line="360" w:lineRule="auto"/>
        <w:ind w:firstLine="480" w:firstLineChars="200"/>
        <w:jc w:val="left"/>
        <w:rPr>
          <w:sz w:val="24"/>
          <w:u w:val="none"/>
        </w:rPr>
      </w:pPr>
      <w:r>
        <w:rPr>
          <w:sz w:val="24"/>
          <w:u w:val="none"/>
        </w:rPr>
        <w:t>项目应根据国家现行相关规范加强环境管理，采取防止和降低污染物跑、冒、滴、漏的措施。正常运营过程中应加强对防渗工程的检查，若发现防渗密封材料老化或损坏，应及时维修更换。</w:t>
      </w:r>
    </w:p>
    <w:p>
      <w:pPr>
        <w:spacing w:line="360" w:lineRule="auto"/>
        <w:ind w:firstLine="480" w:firstLineChars="200"/>
        <w:jc w:val="left"/>
        <w:rPr>
          <w:sz w:val="24"/>
          <w:u w:val="none"/>
        </w:rPr>
      </w:pPr>
      <w:r>
        <w:rPr>
          <w:sz w:val="24"/>
          <w:u w:val="none"/>
        </w:rPr>
        <w:t>2、分区防治措施</w:t>
      </w:r>
    </w:p>
    <w:p>
      <w:pPr>
        <w:spacing w:line="360" w:lineRule="auto"/>
        <w:ind w:firstLine="480" w:firstLineChars="200"/>
        <w:jc w:val="left"/>
        <w:rPr>
          <w:sz w:val="24"/>
          <w:u w:val="none"/>
        </w:rPr>
      </w:pPr>
      <w:r>
        <w:rPr>
          <w:rFonts w:hint="eastAsia"/>
          <w:sz w:val="24"/>
          <w:u w:val="none"/>
          <w:lang w:eastAsia="zh-CN"/>
        </w:rPr>
        <w:t>结合项目总平图和项目特征，</w:t>
      </w:r>
      <w:r>
        <w:rPr>
          <w:rFonts w:hint="eastAsia"/>
          <w:sz w:val="24"/>
          <w:u w:val="none"/>
        </w:rPr>
        <w:t>根据各区域对地下水</w:t>
      </w:r>
      <w:r>
        <w:rPr>
          <w:rFonts w:hint="eastAsia"/>
          <w:sz w:val="24"/>
          <w:u w:val="none"/>
          <w:lang w:eastAsia="zh-CN"/>
        </w:rPr>
        <w:t>和土壤环境</w:t>
      </w:r>
      <w:r>
        <w:rPr>
          <w:rFonts w:hint="eastAsia"/>
          <w:sz w:val="24"/>
          <w:u w:val="none"/>
        </w:rPr>
        <w:t>的污染途径，</w:t>
      </w:r>
      <w:r>
        <w:rPr>
          <w:sz w:val="24"/>
          <w:u w:val="none"/>
        </w:rPr>
        <w:t>将全厂按各功能单元所处的位置划分为重点防渗区、一般防渗区以及简单防渗区三类地下水</w:t>
      </w:r>
      <w:r>
        <w:rPr>
          <w:rFonts w:hint="eastAsia"/>
          <w:sz w:val="24"/>
          <w:u w:val="none"/>
          <w:lang w:eastAsia="zh-CN"/>
        </w:rPr>
        <w:t>和土壤环境</w:t>
      </w:r>
      <w:r>
        <w:rPr>
          <w:sz w:val="24"/>
          <w:u w:val="none"/>
        </w:rPr>
        <w:t>污染防治区域。其中，重点防渗区包括：</w:t>
      </w:r>
      <w:r>
        <w:rPr>
          <w:rFonts w:hint="eastAsia"/>
          <w:sz w:val="24"/>
          <w:u w:val="none"/>
          <w:lang w:eastAsia="zh-CN"/>
        </w:rPr>
        <w:t>冷库</w:t>
      </w:r>
      <w:r>
        <w:rPr>
          <w:sz w:val="24"/>
          <w:u w:val="none"/>
        </w:rPr>
        <w:t>、</w:t>
      </w:r>
      <w:r>
        <w:rPr>
          <w:rFonts w:hint="eastAsia"/>
          <w:sz w:val="24"/>
          <w:u w:val="none"/>
          <w:lang w:eastAsia="zh-CN"/>
        </w:rPr>
        <w:t>微波消毒系统</w:t>
      </w:r>
      <w:r>
        <w:rPr>
          <w:sz w:val="24"/>
          <w:u w:val="none"/>
        </w:rPr>
        <w:t>、</w:t>
      </w:r>
      <w:r>
        <w:rPr>
          <w:rFonts w:hint="eastAsia"/>
          <w:sz w:val="24"/>
          <w:u w:val="none"/>
          <w:lang w:eastAsia="zh-CN"/>
        </w:rPr>
        <w:t>消毒清洗区</w:t>
      </w:r>
      <w:r>
        <w:rPr>
          <w:sz w:val="24"/>
          <w:u w:val="none"/>
        </w:rPr>
        <w:t>、</w:t>
      </w:r>
      <w:r>
        <w:rPr>
          <w:rFonts w:hint="eastAsia"/>
          <w:sz w:val="24"/>
          <w:u w:val="none"/>
          <w:lang w:eastAsia="zh-CN"/>
        </w:rPr>
        <w:t>污水处理站及其配套的污水收集系统；</w:t>
      </w:r>
      <w:r>
        <w:rPr>
          <w:sz w:val="24"/>
          <w:u w:val="none"/>
        </w:rPr>
        <w:t>一般防渗区包括：</w:t>
      </w:r>
      <w:r>
        <w:rPr>
          <w:rFonts w:hint="eastAsia"/>
          <w:sz w:val="24"/>
          <w:u w:val="none"/>
          <w:lang w:eastAsia="zh-CN"/>
        </w:rPr>
        <w:t>车间或仓库内重点防渗区和简单防渗区以外的区域</w:t>
      </w:r>
      <w:r>
        <w:rPr>
          <w:sz w:val="24"/>
          <w:u w:val="none"/>
        </w:rPr>
        <w:t>；简单防渗区包括：</w:t>
      </w:r>
      <w:r>
        <w:rPr>
          <w:rFonts w:hint="eastAsia"/>
          <w:sz w:val="24"/>
          <w:u w:val="none"/>
          <w:lang w:eastAsia="zh-CN"/>
        </w:rPr>
        <w:t>厂区绿化带</w:t>
      </w:r>
      <w:r>
        <w:rPr>
          <w:sz w:val="24"/>
          <w:u w:val="none"/>
        </w:rPr>
        <w:t>等。</w:t>
      </w:r>
    </w:p>
    <w:p>
      <w:pPr>
        <w:spacing w:line="360" w:lineRule="auto"/>
        <w:ind w:firstLine="480" w:firstLineChars="200"/>
        <w:jc w:val="left"/>
        <w:rPr>
          <w:sz w:val="24"/>
          <w:u w:val="none"/>
        </w:rPr>
      </w:pPr>
      <w:r>
        <w:rPr>
          <w:sz w:val="24"/>
          <w:u w:val="none"/>
        </w:rPr>
        <w:t>（1）重点防渗区防渗措施</w:t>
      </w:r>
    </w:p>
    <w:p>
      <w:pPr>
        <w:spacing w:line="360" w:lineRule="auto"/>
        <w:ind w:firstLine="480" w:firstLineChars="200"/>
        <w:jc w:val="left"/>
        <w:rPr>
          <w:sz w:val="24"/>
          <w:u w:val="none"/>
        </w:rPr>
      </w:pPr>
      <w:r>
        <w:rPr>
          <w:sz w:val="24"/>
          <w:u w:val="none"/>
        </w:rPr>
        <w:fldChar w:fldCharType="begin"/>
      </w:r>
      <w:r>
        <w:rPr>
          <w:sz w:val="24"/>
          <w:u w:val="none"/>
        </w:rPr>
        <w:instrText xml:space="preserve"> = 1 \* GB3 \* MERGEFORMAT </w:instrText>
      </w:r>
      <w:r>
        <w:rPr>
          <w:sz w:val="24"/>
          <w:u w:val="none"/>
        </w:rPr>
        <w:fldChar w:fldCharType="separate"/>
      </w:r>
      <w:r>
        <w:rPr>
          <w:rFonts w:hint="eastAsia" w:ascii="宋体" w:hAnsi="宋体" w:cs="宋体"/>
          <w:u w:val="none"/>
        </w:rPr>
        <w:t>①</w:t>
      </w:r>
      <w:r>
        <w:rPr>
          <w:sz w:val="24"/>
          <w:u w:val="none"/>
        </w:rPr>
        <w:fldChar w:fldCharType="end"/>
      </w:r>
      <w:r>
        <w:rPr>
          <w:sz w:val="24"/>
          <w:u w:val="none"/>
        </w:rPr>
        <w:t>重点防渗区防渗要求：等效黏土防渗层Mb≥6.0m，k≤1×10</w:t>
      </w:r>
      <w:r>
        <w:rPr>
          <w:sz w:val="24"/>
          <w:u w:val="none"/>
          <w:vertAlign w:val="superscript"/>
        </w:rPr>
        <w:t>-7</w:t>
      </w:r>
      <w:r>
        <w:rPr>
          <w:sz w:val="24"/>
          <w:u w:val="none"/>
        </w:rPr>
        <w:t>cm/s；或参照《危险废物填埋污染控制标准》（GB18598-2001）（2013修改）执行，可采用抗渗混凝土+HDPE土工膜（2mm）+环氧树脂漆层进行防渗防腐处理。</w:t>
      </w:r>
    </w:p>
    <w:p>
      <w:pPr>
        <w:spacing w:line="360" w:lineRule="auto"/>
        <w:ind w:firstLine="480" w:firstLineChars="200"/>
        <w:jc w:val="left"/>
        <w:rPr>
          <w:sz w:val="24"/>
          <w:u w:val="none"/>
        </w:rPr>
      </w:pPr>
      <w:r>
        <w:rPr>
          <w:sz w:val="24"/>
          <w:u w:val="none"/>
        </w:rPr>
        <w:fldChar w:fldCharType="begin"/>
      </w:r>
      <w:r>
        <w:rPr>
          <w:sz w:val="24"/>
          <w:u w:val="none"/>
        </w:rPr>
        <w:instrText xml:space="preserve"> = 2 \* GB3 \* MERGEFORMAT </w:instrText>
      </w:r>
      <w:r>
        <w:rPr>
          <w:sz w:val="24"/>
          <w:u w:val="none"/>
        </w:rPr>
        <w:fldChar w:fldCharType="separate"/>
      </w:r>
      <w:r>
        <w:rPr>
          <w:rFonts w:hint="eastAsia" w:ascii="宋体" w:hAnsi="宋体" w:cs="宋体"/>
          <w:u w:val="none"/>
        </w:rPr>
        <w:t>②</w:t>
      </w:r>
      <w:r>
        <w:rPr>
          <w:sz w:val="24"/>
          <w:u w:val="none"/>
        </w:rPr>
        <w:fldChar w:fldCharType="end"/>
      </w:r>
      <w:r>
        <w:rPr>
          <w:sz w:val="24"/>
          <w:u w:val="none"/>
        </w:rPr>
        <w:t>污水处理系统的所有废水处理构筑物底、侧面均采用防渗、防腐处理并满足重点防渗要求；接缝和施工方部位应密实、结合牢固，不得渗漏；预埋管件、止水带和填缝板要安装牢固，位置准确，每座水池必须做满水试验，质量达到合格；废水输送全部采用管道输送，管道材料应视输送介质的不同选择合适材质并作表面防腐、防锈蚀处理，减轻管道腐蚀造成的渗漏；并进行定期检查，确保消除跑、冒、滴、漏现象发生。</w:t>
      </w:r>
    </w:p>
    <w:p>
      <w:pPr>
        <w:spacing w:line="360" w:lineRule="auto"/>
        <w:ind w:firstLine="480" w:firstLineChars="200"/>
        <w:jc w:val="left"/>
        <w:rPr>
          <w:sz w:val="24"/>
          <w:u w:val="none"/>
        </w:rPr>
      </w:pPr>
      <w:r>
        <w:rPr>
          <w:sz w:val="24"/>
          <w:u w:val="none"/>
        </w:rPr>
        <w:fldChar w:fldCharType="begin"/>
      </w:r>
      <w:r>
        <w:rPr>
          <w:sz w:val="24"/>
          <w:u w:val="none"/>
        </w:rPr>
        <w:instrText xml:space="preserve"> = 3 \* GB3 \* MERGEFORMAT </w:instrText>
      </w:r>
      <w:r>
        <w:rPr>
          <w:sz w:val="24"/>
          <w:u w:val="none"/>
        </w:rPr>
        <w:fldChar w:fldCharType="separate"/>
      </w:r>
      <w:r>
        <w:rPr>
          <w:rFonts w:hint="eastAsia" w:ascii="宋体" w:hAnsi="宋体" w:cs="宋体"/>
          <w:u w:val="none"/>
        </w:rPr>
        <w:t>③</w:t>
      </w:r>
      <w:r>
        <w:rPr>
          <w:sz w:val="24"/>
          <w:u w:val="none"/>
        </w:rPr>
        <w:fldChar w:fldCharType="end"/>
      </w:r>
      <w:r>
        <w:rPr>
          <w:sz w:val="24"/>
          <w:u w:val="none"/>
        </w:rPr>
        <w:t>各污染防治区应采取防治污染物流出边界的围堰，围堰采用抗渗混凝土，高度不低于10cm。</w:t>
      </w:r>
    </w:p>
    <w:p>
      <w:pPr>
        <w:spacing w:line="360" w:lineRule="auto"/>
        <w:ind w:firstLine="480" w:firstLineChars="200"/>
        <w:jc w:val="left"/>
        <w:rPr>
          <w:sz w:val="24"/>
          <w:u w:val="none"/>
        </w:rPr>
      </w:pPr>
      <w:r>
        <w:rPr>
          <w:sz w:val="24"/>
          <w:u w:val="none"/>
        </w:rPr>
        <w:t>（2）一般防渗区防渗措施</w:t>
      </w:r>
    </w:p>
    <w:p>
      <w:pPr>
        <w:spacing w:line="360" w:lineRule="auto"/>
        <w:ind w:firstLine="480" w:firstLineChars="200"/>
        <w:jc w:val="left"/>
        <w:rPr>
          <w:sz w:val="24"/>
          <w:u w:val="none"/>
        </w:rPr>
      </w:pPr>
      <w:r>
        <w:rPr>
          <w:sz w:val="24"/>
          <w:u w:val="none"/>
        </w:rPr>
        <w:t>采用防渗等级不低于P1级的防渗混凝土硬化地面，厚度不低于20cm，渗透系数≤1×10</w:t>
      </w:r>
      <w:r>
        <w:rPr>
          <w:sz w:val="24"/>
          <w:u w:val="none"/>
          <w:vertAlign w:val="superscript"/>
        </w:rPr>
        <w:t>-7</w:t>
      </w:r>
      <w:r>
        <w:rPr>
          <w:sz w:val="24"/>
          <w:u w:val="none"/>
        </w:rPr>
        <w:t>cm/s。</w:t>
      </w:r>
    </w:p>
    <w:p>
      <w:pPr>
        <w:spacing w:line="360" w:lineRule="auto"/>
        <w:ind w:firstLine="480" w:firstLineChars="200"/>
        <w:jc w:val="left"/>
        <w:rPr>
          <w:sz w:val="24"/>
          <w:u w:val="none"/>
        </w:rPr>
      </w:pPr>
      <w:r>
        <w:rPr>
          <w:sz w:val="24"/>
          <w:u w:val="none"/>
        </w:rPr>
        <w:t>（3）</w:t>
      </w:r>
      <w:r>
        <w:rPr>
          <w:rFonts w:hint="eastAsia"/>
          <w:sz w:val="24"/>
          <w:u w:val="none"/>
          <w:lang w:eastAsia="zh-CN"/>
        </w:rPr>
        <w:t>绿化带</w:t>
      </w:r>
      <w:r>
        <w:rPr>
          <w:sz w:val="24"/>
          <w:u w:val="none"/>
        </w:rPr>
        <w:t>简单防渗区防渗措施</w:t>
      </w:r>
    </w:p>
    <w:p>
      <w:pPr>
        <w:spacing w:line="360" w:lineRule="auto"/>
        <w:ind w:firstLine="480" w:firstLineChars="200"/>
        <w:jc w:val="left"/>
        <w:rPr>
          <w:sz w:val="24"/>
          <w:u w:val="none"/>
        </w:rPr>
      </w:pPr>
      <w:r>
        <w:rPr>
          <w:sz w:val="24"/>
          <w:u w:val="none"/>
        </w:rPr>
        <w:t>对于</w:t>
      </w:r>
      <w:r>
        <w:rPr>
          <w:rFonts w:hint="eastAsia"/>
          <w:sz w:val="24"/>
          <w:u w:val="none"/>
          <w:lang w:eastAsia="zh-CN"/>
        </w:rPr>
        <w:t>绿化带</w:t>
      </w:r>
      <w:r>
        <w:rPr>
          <w:sz w:val="24"/>
          <w:u w:val="none"/>
        </w:rPr>
        <w:t>，</w:t>
      </w:r>
      <w:r>
        <w:rPr>
          <w:rFonts w:hint="eastAsia"/>
          <w:sz w:val="24"/>
          <w:u w:val="none"/>
          <w:lang w:eastAsia="zh-CN"/>
        </w:rPr>
        <w:t>土壤</w:t>
      </w:r>
      <w:r>
        <w:rPr>
          <w:sz w:val="24"/>
          <w:u w:val="none"/>
        </w:rPr>
        <w:t>采用</w:t>
      </w:r>
      <w:r>
        <w:rPr>
          <w:rFonts w:hint="eastAsia"/>
          <w:sz w:val="24"/>
          <w:u w:val="none"/>
          <w:lang w:eastAsia="zh-CN"/>
        </w:rPr>
        <w:t>黏土夯实满足</w:t>
      </w:r>
      <w:r>
        <w:rPr>
          <w:sz w:val="24"/>
          <w:u w:val="none"/>
        </w:rPr>
        <w:t>简单防渗要求即可。</w:t>
      </w:r>
    </w:p>
    <w:p>
      <w:pPr>
        <w:spacing w:line="360" w:lineRule="auto"/>
        <w:ind w:firstLine="480" w:firstLineChars="200"/>
        <w:jc w:val="left"/>
        <w:rPr>
          <w:sz w:val="24"/>
          <w:u w:val="none"/>
        </w:rPr>
      </w:pPr>
      <w:r>
        <w:rPr>
          <w:sz w:val="24"/>
          <w:u w:val="none"/>
        </w:rPr>
        <w:t>3、地下水</w:t>
      </w:r>
      <w:r>
        <w:rPr>
          <w:rFonts w:hint="eastAsia"/>
          <w:sz w:val="24"/>
          <w:u w:val="none"/>
          <w:lang w:eastAsia="zh-CN"/>
        </w:rPr>
        <w:t>和土壤</w:t>
      </w:r>
      <w:r>
        <w:rPr>
          <w:sz w:val="24"/>
          <w:u w:val="none"/>
        </w:rPr>
        <w:t>污染监控</w:t>
      </w:r>
    </w:p>
    <w:p>
      <w:pPr>
        <w:spacing w:line="360" w:lineRule="auto"/>
        <w:ind w:firstLine="480" w:firstLineChars="200"/>
        <w:jc w:val="left"/>
        <w:rPr>
          <w:sz w:val="24"/>
          <w:u w:val="none"/>
        </w:rPr>
      </w:pPr>
      <w:r>
        <w:rPr>
          <w:rFonts w:hint="eastAsia"/>
          <w:sz w:val="24"/>
          <w:u w:val="none"/>
          <w:lang w:eastAsia="zh-CN"/>
        </w:rPr>
        <w:t>（</w:t>
      </w:r>
      <w:r>
        <w:rPr>
          <w:rFonts w:hint="eastAsia"/>
          <w:sz w:val="24"/>
          <w:u w:val="none"/>
          <w:lang w:val="en-US" w:eastAsia="zh-CN"/>
        </w:rPr>
        <w:t>1</w:t>
      </w:r>
      <w:r>
        <w:rPr>
          <w:rFonts w:hint="eastAsia"/>
          <w:sz w:val="24"/>
          <w:u w:val="none"/>
          <w:lang w:eastAsia="zh-CN"/>
        </w:rPr>
        <w:t>）</w:t>
      </w:r>
      <w:r>
        <w:rPr>
          <w:sz w:val="24"/>
          <w:u w:val="none"/>
        </w:rPr>
        <w:t>依托</w:t>
      </w:r>
      <w:r>
        <w:rPr>
          <w:rFonts w:hint="eastAsia"/>
          <w:sz w:val="24"/>
          <w:u w:val="none"/>
          <w:lang w:eastAsia="zh-CN"/>
        </w:rPr>
        <w:t>企业厂区内监控井和原村民搬迁后遗留的</w:t>
      </w:r>
      <w:r>
        <w:rPr>
          <w:sz w:val="24"/>
          <w:u w:val="none"/>
        </w:rPr>
        <w:t>地下水井，建立地下水污染物监控制度和环境管理体系，制定监测计划，以便发现问题及时采取措施。</w:t>
      </w:r>
    </w:p>
    <w:p>
      <w:pPr>
        <w:pStyle w:val="71"/>
        <w:rPr>
          <w:rFonts w:hint="eastAsia" w:eastAsia="宋体"/>
          <w:u w:val="none"/>
          <w:lang w:eastAsia="zh-CN"/>
        </w:rPr>
      </w:pPr>
      <w:r>
        <w:rPr>
          <w:rFonts w:hint="eastAsia"/>
          <w:sz w:val="24"/>
          <w:u w:val="none"/>
          <w:lang w:eastAsia="zh-CN"/>
        </w:rPr>
        <w:t>（</w:t>
      </w:r>
      <w:r>
        <w:rPr>
          <w:rFonts w:hint="eastAsia"/>
          <w:sz w:val="24"/>
          <w:u w:val="none"/>
          <w:lang w:val="en-US" w:eastAsia="zh-CN"/>
        </w:rPr>
        <w:t>2</w:t>
      </w:r>
      <w:r>
        <w:rPr>
          <w:rFonts w:hint="eastAsia"/>
          <w:sz w:val="24"/>
          <w:u w:val="none"/>
          <w:lang w:eastAsia="zh-CN"/>
        </w:rPr>
        <w:t>）制定土壤环境例行监测计划，及时对可能受到污染的地块进行监测，以便发现问题及时采取措施。</w:t>
      </w:r>
    </w:p>
    <w:p>
      <w:pPr>
        <w:spacing w:line="360" w:lineRule="auto"/>
        <w:ind w:firstLine="480" w:firstLineChars="200"/>
        <w:jc w:val="left"/>
        <w:rPr>
          <w:sz w:val="24"/>
          <w:u w:val="none"/>
        </w:rPr>
      </w:pPr>
      <w:r>
        <w:rPr>
          <w:sz w:val="24"/>
          <w:u w:val="none"/>
        </w:rPr>
        <w:t>4、应急响应</w:t>
      </w:r>
    </w:p>
    <w:p>
      <w:pPr>
        <w:spacing w:line="360" w:lineRule="auto"/>
        <w:ind w:firstLine="480" w:firstLineChars="200"/>
        <w:jc w:val="left"/>
        <w:rPr>
          <w:sz w:val="24"/>
          <w:u w:val="none"/>
        </w:rPr>
      </w:pPr>
      <w:r>
        <w:rPr>
          <w:sz w:val="24"/>
          <w:u w:val="none"/>
        </w:rPr>
        <w:t>制定地下水</w:t>
      </w:r>
      <w:r>
        <w:rPr>
          <w:rFonts w:hint="eastAsia"/>
          <w:sz w:val="24"/>
          <w:u w:val="none"/>
          <w:lang w:eastAsia="zh-CN"/>
        </w:rPr>
        <w:t>和土壤环境</w:t>
      </w:r>
      <w:r>
        <w:rPr>
          <w:sz w:val="24"/>
          <w:u w:val="none"/>
        </w:rPr>
        <w:t>污染应急响应预案，明确污染状况下应采取的控制污染源、切断污染途径等措施。</w:t>
      </w:r>
    </w:p>
    <w:p>
      <w:pPr>
        <w:spacing w:line="360" w:lineRule="auto"/>
        <w:ind w:firstLine="480" w:firstLineChars="200"/>
        <w:jc w:val="left"/>
        <w:rPr>
          <w:sz w:val="24"/>
          <w:u w:val="none"/>
        </w:rPr>
      </w:pPr>
      <w:r>
        <w:rPr>
          <w:sz w:val="24"/>
          <w:u w:val="none"/>
        </w:rPr>
        <w:t>综上所述，在采取上述防渗、防腐处理等地下水</w:t>
      </w:r>
      <w:r>
        <w:rPr>
          <w:rFonts w:hint="eastAsia"/>
          <w:sz w:val="24"/>
          <w:u w:val="none"/>
          <w:lang w:eastAsia="zh-CN"/>
        </w:rPr>
        <w:t>和土壤环境污染</w:t>
      </w:r>
      <w:r>
        <w:rPr>
          <w:sz w:val="24"/>
          <w:u w:val="none"/>
        </w:rPr>
        <w:t>防治措施后，项目对地下水</w:t>
      </w:r>
      <w:r>
        <w:rPr>
          <w:rFonts w:hint="eastAsia"/>
          <w:sz w:val="24"/>
          <w:u w:val="none"/>
          <w:lang w:eastAsia="zh-CN"/>
        </w:rPr>
        <w:t>和土壤环境</w:t>
      </w:r>
      <w:r>
        <w:rPr>
          <w:sz w:val="24"/>
          <w:u w:val="none"/>
        </w:rPr>
        <w:t>基本不会造成影响，项目地下水污染防渗分区及防渗要求及项目防渗措施汇总见下表。</w:t>
      </w:r>
    </w:p>
    <w:p>
      <w:pPr>
        <w:pStyle w:val="352"/>
        <w:rPr>
          <w:rFonts w:hint="eastAsia"/>
          <w:b/>
          <w:bCs/>
          <w:u w:val="none"/>
          <w:lang w:val="en-US" w:eastAsia="zh-CN"/>
        </w:rPr>
      </w:pPr>
      <w:r>
        <w:rPr>
          <w:rFonts w:hint="eastAsia"/>
          <w:b/>
          <w:bCs/>
          <w:u w:val="none"/>
          <w:lang w:val="en-US" w:eastAsia="zh-CN"/>
        </w:rPr>
        <w:t>表3-22  本项目防渗分区及措施</w:t>
      </w:r>
    </w:p>
    <w:tbl>
      <w:tblPr>
        <w:tblStyle w:val="59"/>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331"/>
        <w:gridCol w:w="2500"/>
        <w:gridCol w:w="4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序号</w:t>
            </w:r>
          </w:p>
        </w:tc>
        <w:tc>
          <w:tcPr>
            <w:tcW w:w="1331" w:type="dxa"/>
            <w:shd w:val="clear" w:color="auto" w:fill="auto"/>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分区防渗</w:t>
            </w:r>
          </w:p>
        </w:tc>
        <w:tc>
          <w:tcPr>
            <w:tcW w:w="250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具体范围</w:t>
            </w:r>
          </w:p>
        </w:tc>
        <w:tc>
          <w:tcPr>
            <w:tcW w:w="4859"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7"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1</w:t>
            </w:r>
          </w:p>
        </w:tc>
        <w:tc>
          <w:tcPr>
            <w:tcW w:w="1331"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重点防渗区</w:t>
            </w:r>
          </w:p>
        </w:tc>
        <w:tc>
          <w:tcPr>
            <w:tcW w:w="2500"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冷库、微波消毒系统、消毒清洗区、污水处理站及其配套的污水收集系统</w:t>
            </w:r>
          </w:p>
        </w:tc>
        <w:tc>
          <w:tcPr>
            <w:tcW w:w="4859"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等效黏土防渗层Mb≥6.0m，k≤1×10-7cm/s；或参照《危险废物填埋污染控制标准》（GB18598-2001）（2013修改）执行，可采用抗渗混凝土+HDPE土工膜（2mm）+环氧树脂漆层进行防渗防腐处理。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2</w:t>
            </w:r>
          </w:p>
        </w:tc>
        <w:tc>
          <w:tcPr>
            <w:tcW w:w="1331"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一般防渗区</w:t>
            </w:r>
          </w:p>
        </w:tc>
        <w:tc>
          <w:tcPr>
            <w:tcW w:w="2500" w:type="dxa"/>
            <w:vAlign w:val="center"/>
          </w:tcPr>
          <w:p>
            <w:pPr>
              <w:pStyle w:val="352"/>
              <w:keepNext w:val="0"/>
              <w:keepLines w:val="0"/>
              <w:suppressLineNumbers w:val="0"/>
              <w:spacing w:before="0" w:beforeAutospacing="0" w:after="0" w:afterAutospacing="0"/>
              <w:ind w:left="0" w:right="0"/>
              <w:rPr>
                <w:rFonts w:hint="default"/>
                <w:b w:val="0"/>
                <w:bCs/>
                <w:u w:val="none"/>
                <w:lang w:eastAsia="zh-CN"/>
              </w:rPr>
            </w:pPr>
            <w:r>
              <w:rPr>
                <w:rFonts w:hint="eastAsia"/>
                <w:b w:val="0"/>
                <w:bCs/>
                <w:u w:val="none"/>
                <w:lang w:eastAsia="zh-CN"/>
              </w:rPr>
              <w:t>车间或仓库内重点防渗区以外的区域、生活办公区</w:t>
            </w:r>
          </w:p>
        </w:tc>
        <w:tc>
          <w:tcPr>
            <w:tcW w:w="4859"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等效黏土防渗层Mb≥1.5m，k≤1×10-7cm/s；或参照GB16889执行，具体措施为：采用防渗等级不低于P1级的防渗混凝土硬化地面，厚度不低于20cm，渗透系数≤1×10-7cm/s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3</w:t>
            </w:r>
          </w:p>
        </w:tc>
        <w:tc>
          <w:tcPr>
            <w:tcW w:w="1331"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简单防渗区</w:t>
            </w:r>
          </w:p>
        </w:tc>
        <w:tc>
          <w:tcPr>
            <w:tcW w:w="2500"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厂区绿化带</w:t>
            </w:r>
          </w:p>
        </w:tc>
        <w:tc>
          <w:tcPr>
            <w:tcW w:w="485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val="en-US" w:eastAsia="zh-CN"/>
              </w:rPr>
              <w:t>/</w:t>
            </w:r>
          </w:p>
        </w:tc>
      </w:tr>
    </w:tbl>
    <w:p>
      <w:pPr>
        <w:topLinePunct/>
        <w:spacing w:line="360" w:lineRule="auto"/>
        <w:rPr>
          <w:b/>
          <w:sz w:val="24"/>
          <w:u w:val="none"/>
        </w:rPr>
      </w:pPr>
      <w:r>
        <w:rPr>
          <w:rFonts w:hint="eastAsia"/>
          <w:b/>
          <w:sz w:val="24"/>
          <w:u w:val="none"/>
          <w:lang w:val="en-US" w:eastAsia="zh-CN"/>
        </w:rPr>
        <w:t>3.2.6</w:t>
      </w:r>
      <w:r>
        <w:rPr>
          <w:b/>
          <w:sz w:val="24"/>
          <w:u w:val="none"/>
        </w:rPr>
        <w:t>本项目污染物排放情况一览表</w:t>
      </w:r>
    </w:p>
    <w:p>
      <w:pPr>
        <w:spacing w:line="360" w:lineRule="auto"/>
        <w:ind w:firstLine="480" w:firstLineChars="200"/>
        <w:jc w:val="left"/>
        <w:rPr>
          <w:sz w:val="24"/>
          <w:u w:val="none"/>
        </w:rPr>
      </w:pPr>
      <w:r>
        <w:rPr>
          <w:sz w:val="24"/>
          <w:u w:val="none"/>
        </w:rPr>
        <w:t>本项目最终建成后，污染物产生及排放情况见下表。</w:t>
      </w:r>
    </w:p>
    <w:p>
      <w:pPr>
        <w:pStyle w:val="352"/>
        <w:rPr>
          <w:rFonts w:hint="eastAsia"/>
          <w:b/>
          <w:bCs/>
          <w:u w:val="none"/>
          <w:lang w:val="en-US" w:eastAsia="zh-CN"/>
        </w:rPr>
      </w:pPr>
    </w:p>
    <w:p>
      <w:pPr>
        <w:pStyle w:val="352"/>
        <w:rPr>
          <w:rFonts w:hint="eastAsia"/>
          <w:b/>
          <w:bCs/>
          <w:u w:val="none"/>
          <w:lang w:val="en-US" w:eastAsia="zh-CN"/>
        </w:rPr>
      </w:pPr>
      <w:r>
        <w:rPr>
          <w:rFonts w:hint="eastAsia"/>
          <w:b/>
          <w:bCs/>
          <w:u w:val="none"/>
          <w:lang w:val="en-US" w:eastAsia="zh-CN"/>
        </w:rPr>
        <w:t>表3-23  本项目污染物产生、治理措施及排放量汇总表</w:t>
      </w:r>
    </w:p>
    <w:tbl>
      <w:tblPr>
        <w:tblStyle w:val="59"/>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125"/>
        <w:gridCol w:w="1340"/>
        <w:gridCol w:w="1989"/>
        <w:gridCol w:w="1593"/>
        <w:gridCol w:w="195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blHeader/>
          <w:jc w:val="center"/>
        </w:trPr>
        <w:tc>
          <w:tcPr>
            <w:tcW w:w="506"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分类</w:t>
            </w:r>
          </w:p>
        </w:tc>
        <w:tc>
          <w:tcPr>
            <w:tcW w:w="1125"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污染源</w:t>
            </w:r>
          </w:p>
        </w:tc>
        <w:tc>
          <w:tcPr>
            <w:tcW w:w="134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主要污染物</w:t>
            </w:r>
          </w:p>
        </w:tc>
        <w:tc>
          <w:tcPr>
            <w:tcW w:w="1989"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产生量及产生浓度</w:t>
            </w:r>
          </w:p>
        </w:tc>
        <w:tc>
          <w:tcPr>
            <w:tcW w:w="1593"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处理措施</w:t>
            </w:r>
          </w:p>
        </w:tc>
        <w:tc>
          <w:tcPr>
            <w:tcW w:w="1954"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排放量及排放浓度</w:t>
            </w:r>
          </w:p>
        </w:tc>
        <w:tc>
          <w:tcPr>
            <w:tcW w:w="802"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废气</w:t>
            </w:r>
          </w:p>
        </w:tc>
        <w:tc>
          <w:tcPr>
            <w:tcW w:w="1125" w:type="dxa"/>
            <w:vMerge w:val="restart"/>
            <w:vAlign w:val="center"/>
          </w:tcPr>
          <w:p>
            <w:pPr>
              <w:pStyle w:val="352"/>
              <w:keepNext w:val="0"/>
              <w:keepLines w:val="0"/>
              <w:suppressLineNumbers w:val="0"/>
              <w:spacing w:before="0" w:beforeAutospacing="0" w:after="0" w:afterAutospacing="0"/>
              <w:ind w:left="0" w:right="0"/>
              <w:jc w:val="center"/>
              <w:rPr>
                <w:rFonts w:hint="default" w:eastAsia="宋体"/>
                <w:b w:val="0"/>
                <w:bCs/>
                <w:u w:val="none"/>
                <w:lang w:val="en-US" w:eastAsia="zh-CN"/>
              </w:rPr>
            </w:pPr>
            <w:r>
              <w:rPr>
                <w:rFonts w:hint="eastAsia"/>
                <w:b w:val="0"/>
                <w:bCs/>
                <w:u w:val="none"/>
                <w:lang w:val="en-US" w:eastAsia="zh-CN"/>
              </w:rPr>
              <w:t>消毒废气治理设施排气筒DA001</w:t>
            </w:r>
          </w:p>
        </w:tc>
        <w:tc>
          <w:tcPr>
            <w:tcW w:w="1340"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颗粒物</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0.3234kg/h，129.36mg/m³</w:t>
            </w:r>
          </w:p>
        </w:tc>
        <w:tc>
          <w:tcPr>
            <w:tcW w:w="1593"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val="en-US" w:eastAsia="zh-CN"/>
              </w:rPr>
              <w:t>冷藏库和微波消毒处理系统负压密闭集气+</w:t>
            </w:r>
            <w:r>
              <w:rPr>
                <w:rFonts w:hint="eastAsia" w:eastAsia="宋体"/>
                <w:b w:val="0"/>
                <w:bCs/>
                <w:u w:val="none"/>
                <w:lang w:val="en-US" w:eastAsia="zh-CN"/>
              </w:rPr>
              <w:t>旋流塔+两级过滤除菌装置+UV光催化氧化装置+活性炭吸附装置</w:t>
            </w: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0.003234kg/h，1.2936mg/m³</w:t>
            </w:r>
          </w:p>
        </w:tc>
        <w:tc>
          <w:tcPr>
            <w:tcW w:w="802"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氨</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0.0294kg/h，11.76mg/m³</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0.00147kg/h，0.588mg/m³</w:t>
            </w:r>
          </w:p>
        </w:tc>
        <w:tc>
          <w:tcPr>
            <w:tcW w:w="802"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硫化氢</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0.002352kg/h，0.96mg/m³</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0.000118kg/h，0.048mg/m³</w:t>
            </w:r>
          </w:p>
        </w:tc>
        <w:tc>
          <w:tcPr>
            <w:tcW w:w="802"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VOCs</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0.0588kg/h，23.52mg/m³</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0.02352kg/h，9.408mg/m³</w:t>
            </w:r>
          </w:p>
        </w:tc>
        <w:tc>
          <w:tcPr>
            <w:tcW w:w="802"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臭气浓度</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300（无量纲）</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120（无量纲）</w:t>
            </w:r>
          </w:p>
        </w:tc>
        <w:tc>
          <w:tcPr>
            <w:tcW w:w="802"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生产厂区无组织</w:t>
            </w:r>
          </w:p>
        </w:tc>
        <w:tc>
          <w:tcPr>
            <w:tcW w:w="1340"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氨</w:t>
            </w:r>
          </w:p>
        </w:tc>
        <w:tc>
          <w:tcPr>
            <w:tcW w:w="1989"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0.0006kg/h</w:t>
            </w:r>
          </w:p>
        </w:tc>
        <w:tc>
          <w:tcPr>
            <w:tcW w:w="1593"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生产系统封闭加负压集气抑制无组织废气扩散</w:t>
            </w:r>
            <w:r>
              <w:rPr>
                <w:rFonts w:hint="eastAsia" w:eastAsia="宋体"/>
                <w:b w:val="0"/>
                <w:bCs/>
                <w:u w:val="none"/>
                <w:lang w:val="en-US" w:eastAsia="zh-CN"/>
              </w:rPr>
              <w:t>绿化除臭、喷洒除臭剂等</w:t>
            </w: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0.0005kg/h</w:t>
            </w:r>
          </w:p>
        </w:tc>
        <w:tc>
          <w:tcPr>
            <w:tcW w:w="802"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4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rPr>
            </w:pPr>
            <w:r>
              <w:rPr>
                <w:rFonts w:hint="eastAsia"/>
                <w:b w:val="0"/>
                <w:bCs/>
                <w:u w:val="none"/>
                <w:lang w:val="en-US" w:eastAsia="zh-CN"/>
              </w:rPr>
              <w:t>硫化氢</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0.000048kg/h</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0.00004kg/h</w:t>
            </w:r>
          </w:p>
        </w:tc>
        <w:tc>
          <w:tcPr>
            <w:tcW w:w="802" w:type="dxa"/>
            <w:vAlign w:val="center"/>
          </w:tcPr>
          <w:p>
            <w:pPr>
              <w:pStyle w:val="352"/>
              <w:keepNext w:val="0"/>
              <w:keepLines w:val="0"/>
              <w:suppressLineNumbers w:val="0"/>
              <w:spacing w:before="0" w:beforeAutospacing="0" w:after="0" w:afterAutospacing="0"/>
              <w:ind w:left="0" w:right="0"/>
              <w:rPr>
                <w:rFonts w:hint="default"/>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4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rPr>
            </w:pPr>
            <w:r>
              <w:rPr>
                <w:rFonts w:hint="eastAsia"/>
                <w:b w:val="0"/>
                <w:bCs/>
                <w:u w:val="none"/>
                <w:lang w:val="en-US" w:eastAsia="zh-CN"/>
              </w:rPr>
              <w:t>VOCs</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0.0012kg/h</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eastAsia="zh-CN"/>
              </w:rPr>
            </w:pPr>
            <w:r>
              <w:rPr>
                <w:rFonts w:hint="eastAsia"/>
                <w:b w:val="0"/>
                <w:bCs/>
                <w:u w:val="none"/>
                <w:lang w:val="en-US" w:eastAsia="zh-CN"/>
              </w:rPr>
              <w:t>0.001kg/h</w:t>
            </w:r>
          </w:p>
        </w:tc>
        <w:tc>
          <w:tcPr>
            <w:tcW w:w="802" w:type="dxa"/>
            <w:vAlign w:val="center"/>
          </w:tcPr>
          <w:p>
            <w:pPr>
              <w:pStyle w:val="352"/>
              <w:keepNext w:val="0"/>
              <w:keepLines w:val="0"/>
              <w:suppressLineNumbers w:val="0"/>
              <w:spacing w:before="0" w:beforeAutospacing="0" w:after="0" w:afterAutospacing="0"/>
              <w:ind w:left="0" w:right="0"/>
              <w:rPr>
                <w:rFonts w:hint="default"/>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rPr>
            </w:pPr>
            <w:r>
              <w:rPr>
                <w:rFonts w:hint="eastAsia"/>
                <w:b w:val="0"/>
                <w:bCs/>
                <w:u w:val="none"/>
                <w:lang w:val="en-US" w:eastAsia="zh-CN"/>
              </w:rPr>
              <w:t>臭气浓度</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20~30（无量纲）</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8~12（无量纲）</w:t>
            </w:r>
          </w:p>
        </w:tc>
        <w:tc>
          <w:tcPr>
            <w:tcW w:w="802" w:type="dxa"/>
            <w:vAlign w:val="center"/>
          </w:tcPr>
          <w:p>
            <w:pPr>
              <w:pStyle w:val="352"/>
              <w:keepNext w:val="0"/>
              <w:keepLines w:val="0"/>
              <w:suppressLineNumbers w:val="0"/>
              <w:spacing w:before="0" w:beforeAutospacing="0" w:after="0" w:afterAutospacing="0"/>
              <w:ind w:left="0" w:right="0"/>
              <w:rPr>
                <w:rFonts w:hint="default"/>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食堂烟囱</w:t>
            </w:r>
          </w:p>
        </w:tc>
        <w:tc>
          <w:tcPr>
            <w:tcW w:w="1340"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食堂油烟</w:t>
            </w:r>
          </w:p>
        </w:tc>
        <w:tc>
          <w:tcPr>
            <w:tcW w:w="1989"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0.07kg/h，</w:t>
            </w:r>
          </w:p>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8.75mg/m³</w:t>
            </w:r>
          </w:p>
        </w:tc>
        <w:tc>
          <w:tcPr>
            <w:tcW w:w="159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集气罩+油烟净化器</w:t>
            </w: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0.0105kg/h，1.3mg/m³</w:t>
            </w:r>
          </w:p>
        </w:tc>
        <w:tc>
          <w:tcPr>
            <w:tcW w:w="802"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废水</w:t>
            </w:r>
          </w:p>
        </w:tc>
        <w:tc>
          <w:tcPr>
            <w:tcW w:w="1125"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厂区污水处理站</w:t>
            </w: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pH</w:t>
            </w:r>
          </w:p>
        </w:tc>
        <w:tc>
          <w:tcPr>
            <w:tcW w:w="1989"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eastAsia="宋体"/>
                <w:b w:val="0"/>
                <w:bCs/>
                <w:u w:val="none"/>
                <w:lang w:val="en-US" w:eastAsia="zh-CN"/>
              </w:rPr>
              <w:t>6~9（无量纲）</w:t>
            </w:r>
          </w:p>
        </w:tc>
        <w:tc>
          <w:tcPr>
            <w:tcW w:w="1593" w:type="dxa"/>
            <w:vMerge w:val="restart"/>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lang w:val="en-US" w:eastAsia="zh-CN"/>
              </w:rPr>
              <w:t>生活污水经“隔油+化粪池”预处理后，同生产废水一并经“调节池+MBR+微滤+消毒”处理</w:t>
            </w:r>
          </w:p>
        </w:tc>
        <w:tc>
          <w:tcPr>
            <w:tcW w:w="1954"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lang w:val="en-US" w:eastAsia="zh-CN"/>
              </w:rPr>
              <w:t>6~9（无量纲）</w:t>
            </w:r>
          </w:p>
        </w:tc>
        <w:tc>
          <w:tcPr>
            <w:tcW w:w="802"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COD</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1.184t/a，550mg/L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0t/a，40mg/L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BOD</w:t>
            </w:r>
            <w:r>
              <w:rPr>
                <w:rFonts w:hint="eastAsia" w:ascii="Times New Roman" w:hAnsi="Times New Roman" w:eastAsia="宋体" w:cs="Times New Roman"/>
                <w:b w:val="0"/>
                <w:bCs/>
                <w:kern w:val="2"/>
                <w:sz w:val="21"/>
                <w:szCs w:val="24"/>
                <w:u w:val="none"/>
                <w:vertAlign w:val="subscript"/>
                <w:lang w:val="en-US" w:eastAsia="zh-CN" w:bidi="ar-SA"/>
              </w:rPr>
              <w:t>5</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0.431t/a，200mg/L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0t/a，9mg/L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SS</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0.172t/a，80mg/L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0t/a，15mg/L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氨氮</w:t>
            </w:r>
          </w:p>
        </w:tc>
        <w:tc>
          <w:tcPr>
            <w:tcW w:w="1989"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0.032t/a，15mg/L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0t/a，1.5mg/L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b w:val="0"/>
                <w:bCs/>
                <w:u w:val="none"/>
              </w:rPr>
            </w:pPr>
            <w:r>
              <w:rPr>
                <w:rFonts w:hint="eastAsia" w:ascii="Times New Roman" w:hAnsi="Times New Roman" w:eastAsia="宋体" w:cs="Times New Roman"/>
                <w:b w:val="0"/>
                <w:bCs/>
                <w:kern w:val="2"/>
                <w:sz w:val="21"/>
                <w:szCs w:val="24"/>
                <w:u w:val="none"/>
                <w:lang w:val="en-US" w:eastAsia="zh-CN" w:bidi="ar-SA"/>
              </w:rPr>
              <w:t>动植物油</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0.003t/a，1.5mg/L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0t/a，0.2mg/L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b w:val="0"/>
                <w:bCs/>
                <w:u w:val="none"/>
                <w:lang w:val="en-US" w:eastAsia="zh-CN"/>
              </w:rPr>
            </w:pPr>
            <w:r>
              <w:rPr>
                <w:rFonts w:hint="eastAsia" w:ascii="Times New Roman" w:hAnsi="Times New Roman" w:eastAsia="宋体" w:cs="Times New Roman"/>
                <w:b w:val="0"/>
                <w:bCs/>
                <w:kern w:val="2"/>
                <w:sz w:val="21"/>
                <w:szCs w:val="24"/>
                <w:u w:val="none"/>
                <w:lang w:val="en-US" w:eastAsia="zh-CN" w:bidi="ar-SA"/>
              </w:rPr>
              <w:t>粪大肠菌群</w:t>
            </w:r>
          </w:p>
        </w:tc>
        <w:tc>
          <w:tcPr>
            <w:tcW w:w="1989"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5000MPN/L</w:t>
            </w:r>
          </w:p>
        </w:tc>
        <w:tc>
          <w:tcPr>
            <w:tcW w:w="1593"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400MPN/L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125"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340" w:type="dxa"/>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eastAsia="宋体"/>
                <w:b w:val="0"/>
                <w:bCs/>
                <w:u w:val="none"/>
                <w:lang w:val="en-US" w:eastAsia="zh-CN"/>
              </w:rPr>
            </w:pPr>
            <w:r>
              <w:rPr>
                <w:rFonts w:hint="eastAsia" w:ascii="Times New Roman" w:hAnsi="Times New Roman" w:eastAsia="宋体" w:cs="Times New Roman"/>
                <w:b w:val="0"/>
                <w:bCs/>
                <w:kern w:val="2"/>
                <w:sz w:val="21"/>
                <w:szCs w:val="24"/>
                <w:u w:val="none"/>
                <w:lang w:val="en-US" w:eastAsia="zh-CN" w:bidi="ar-SA"/>
              </w:rPr>
              <w:t>余氯</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0.004t/a，2.0mg/L</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0t/a，0.2mg/L</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固废</w:t>
            </w:r>
          </w:p>
        </w:tc>
        <w:tc>
          <w:tcPr>
            <w:tcW w:w="2465" w:type="dxa"/>
            <w:gridSpan w:val="2"/>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生活垃圾</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7.3t/a</w:t>
            </w:r>
          </w:p>
        </w:tc>
        <w:tc>
          <w:tcPr>
            <w:tcW w:w="1593"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val="en-US" w:eastAsia="zh-CN"/>
              </w:rPr>
              <w:t>厂区暂存，定期交由环卫清运</w:t>
            </w: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7.3t/a</w:t>
            </w:r>
          </w:p>
        </w:tc>
        <w:tc>
          <w:tcPr>
            <w:tcW w:w="802"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2465" w:type="dxa"/>
            <w:gridSpan w:val="2"/>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残渣</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720t/a</w:t>
            </w:r>
          </w:p>
        </w:tc>
        <w:tc>
          <w:tcPr>
            <w:tcW w:w="1593"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厂区暂存，送垃圾焚烧发电厂</w:t>
            </w: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720t/a</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2465" w:type="dxa"/>
            <w:gridSpan w:val="2"/>
            <w:vAlign w:val="center"/>
          </w:tcPr>
          <w:p>
            <w:pPr>
              <w:pStyle w:val="352"/>
              <w:keepNext w:val="0"/>
              <w:keepLines w:val="0"/>
              <w:suppressLineNumbers w:val="0"/>
              <w:spacing w:before="0" w:beforeAutospacing="0" w:after="0" w:afterAutospacing="0"/>
              <w:ind w:left="0" w:leftChars="0" w:right="0" w:rightChars="0" w:firstLine="0" w:firstLineChars="0"/>
              <w:rPr>
                <w:rFonts w:hint="eastAsia" w:eastAsia="宋体"/>
                <w:b w:val="0"/>
                <w:bCs/>
                <w:u w:val="none"/>
                <w:lang w:eastAsia="zh-CN"/>
              </w:rPr>
            </w:pPr>
            <w:r>
              <w:rPr>
                <w:rFonts w:hint="eastAsia"/>
                <w:b w:val="0"/>
                <w:bCs/>
                <w:u w:val="none"/>
                <w:lang w:eastAsia="zh-CN"/>
              </w:rPr>
              <w:t>污泥</w:t>
            </w:r>
          </w:p>
        </w:tc>
        <w:tc>
          <w:tcPr>
            <w:tcW w:w="1989"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10.0t/a</w:t>
            </w:r>
          </w:p>
        </w:tc>
        <w:tc>
          <w:tcPr>
            <w:tcW w:w="1593"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经厂区微波消毒处置后，送垃圾焚烧发电厂</w:t>
            </w: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eastAsia="宋体"/>
                <w:b w:val="0"/>
                <w:bCs/>
                <w:u w:val="none"/>
                <w:lang w:val="en-US" w:eastAsia="zh-CN"/>
              </w:rPr>
            </w:pPr>
            <w:r>
              <w:rPr>
                <w:rFonts w:hint="eastAsia"/>
                <w:b w:val="0"/>
                <w:bCs/>
                <w:u w:val="none"/>
                <w:lang w:val="en-US" w:eastAsia="zh-CN"/>
              </w:rPr>
              <w:t>10.0t/a</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246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废过滤膜</w:t>
            </w:r>
          </w:p>
        </w:tc>
        <w:tc>
          <w:tcPr>
            <w:tcW w:w="1989"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0.01t/a</w:t>
            </w:r>
          </w:p>
        </w:tc>
        <w:tc>
          <w:tcPr>
            <w:tcW w:w="1593" w:type="dxa"/>
            <w:vMerge w:val="continue"/>
            <w:vAlign w:val="center"/>
          </w:tcPr>
          <w:p>
            <w:pPr>
              <w:pStyle w:val="352"/>
              <w:keepNext w:val="0"/>
              <w:keepLines w:val="0"/>
              <w:suppressLineNumbers w:val="0"/>
              <w:spacing w:before="0" w:beforeAutospacing="0" w:after="0" w:afterAutospacing="0"/>
              <w:ind w:left="0" w:right="0"/>
              <w:rPr>
                <w:rFonts w:hint="eastAsia"/>
                <w:b w:val="0"/>
                <w:bCs/>
                <w:sz w:val="21"/>
                <w:szCs w:val="21"/>
                <w:u w:val="none"/>
                <w:vertAlign w:val="baseline"/>
                <w:lang w:val="en-US" w:eastAsia="zh-CN"/>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0.01t/a</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2465" w:type="dxa"/>
            <w:gridSpan w:val="2"/>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破损周装箱、口罩及手套</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0.1t/a</w:t>
            </w:r>
          </w:p>
        </w:tc>
        <w:tc>
          <w:tcPr>
            <w:tcW w:w="159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eastAsia="宋体"/>
                <w:b w:val="0"/>
                <w:bCs/>
                <w:u w:val="none"/>
                <w:lang w:val="en-US" w:eastAsia="zh-CN"/>
              </w:rPr>
            </w:pPr>
            <w:r>
              <w:rPr>
                <w:rFonts w:hint="eastAsia"/>
                <w:b w:val="0"/>
                <w:bCs/>
                <w:u w:val="none"/>
                <w:lang w:val="en-US" w:eastAsia="zh-CN"/>
              </w:rPr>
              <w:t>0.1t/a</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06"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2465" w:type="dxa"/>
            <w:gridSpan w:val="2"/>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废活性炭</w:t>
            </w:r>
          </w:p>
        </w:tc>
        <w:tc>
          <w:tcPr>
            <w:tcW w:w="198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1t/a</w:t>
            </w:r>
          </w:p>
        </w:tc>
        <w:tc>
          <w:tcPr>
            <w:tcW w:w="1593"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危废暂存间暂存，定期送有资质单位处置</w:t>
            </w:r>
          </w:p>
        </w:tc>
        <w:tc>
          <w:tcPr>
            <w:tcW w:w="1954"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u w:val="none"/>
                <w:lang w:val="en-US" w:eastAsia="zh-CN"/>
              </w:rPr>
            </w:pPr>
            <w:r>
              <w:rPr>
                <w:rFonts w:hint="eastAsia"/>
                <w:b w:val="0"/>
                <w:bCs/>
                <w:u w:val="none"/>
                <w:lang w:val="en-US" w:eastAsia="zh-CN"/>
              </w:rPr>
              <w:t>1t/a</w:t>
            </w:r>
          </w:p>
        </w:tc>
        <w:tc>
          <w:tcPr>
            <w:tcW w:w="802"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06"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噪声</w:t>
            </w:r>
          </w:p>
        </w:tc>
        <w:tc>
          <w:tcPr>
            <w:tcW w:w="8001" w:type="dxa"/>
            <w:gridSpan w:val="5"/>
            <w:vAlign w:val="center"/>
          </w:tcPr>
          <w:p>
            <w:pPr>
              <w:pStyle w:val="352"/>
              <w:keepNext w:val="0"/>
              <w:keepLines w:val="0"/>
              <w:suppressLineNumbers w:val="0"/>
              <w:spacing w:before="0" w:beforeAutospacing="0" w:after="0" w:afterAutospacing="0"/>
              <w:ind w:left="0" w:right="0"/>
              <w:jc w:val="left"/>
              <w:rPr>
                <w:rFonts w:hint="default"/>
                <w:b w:val="0"/>
                <w:bCs/>
                <w:u w:val="none"/>
              </w:rPr>
            </w:pPr>
            <w:r>
              <w:rPr>
                <w:rFonts w:hint="default"/>
                <w:b w:val="0"/>
                <w:bCs/>
                <w:u w:val="none"/>
              </w:rPr>
              <w:t>主要来源于各种生产设备，经减振、消声、厂房隔声等综合降噪措施可实现厂界达标排放。</w:t>
            </w:r>
          </w:p>
        </w:tc>
        <w:tc>
          <w:tcPr>
            <w:tcW w:w="802"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default"/>
                <w:b w:val="0"/>
                <w:bCs/>
                <w:u w:val="none"/>
              </w:rPr>
              <w:t>达标</w:t>
            </w:r>
          </w:p>
        </w:tc>
      </w:tr>
    </w:tbl>
    <w:p>
      <w:pPr>
        <w:topLinePunct/>
        <w:spacing w:line="360" w:lineRule="auto"/>
        <w:rPr>
          <w:rFonts w:hint="eastAsia"/>
          <w:b/>
          <w:sz w:val="24"/>
          <w:u w:val="none"/>
          <w:lang w:val="en-US" w:eastAsia="zh-CN"/>
        </w:rPr>
      </w:pPr>
      <w:r>
        <w:rPr>
          <w:rFonts w:hint="eastAsia"/>
          <w:b/>
          <w:sz w:val="24"/>
          <w:u w:val="none"/>
          <w:lang w:val="en-US" w:eastAsia="zh-CN"/>
        </w:rPr>
        <w:t>3.2.7非正产排放源强</w:t>
      </w:r>
    </w:p>
    <w:p>
      <w:pPr>
        <w:spacing w:line="360" w:lineRule="auto"/>
        <w:ind w:firstLine="480" w:firstLineChars="200"/>
        <w:jc w:val="left"/>
        <w:rPr>
          <w:rFonts w:hint="eastAsia"/>
          <w:sz w:val="24"/>
          <w:u w:val="none"/>
          <w:lang w:val="en-US" w:eastAsia="zh-CN"/>
        </w:rPr>
      </w:pPr>
      <w:r>
        <w:rPr>
          <w:rFonts w:hint="eastAsia"/>
          <w:sz w:val="24"/>
          <w:u w:val="none"/>
          <w:lang w:val="en-US" w:eastAsia="zh-CN"/>
        </w:rPr>
        <w:t>一、开停车影响分析</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本项目开停车时，因环保设施运转未到到额定工作状态，废气治理效率较正常运状态略低。因此，此时废气外排量较正常工况大。</w:t>
      </w:r>
    </w:p>
    <w:p>
      <w:pPr>
        <w:spacing w:line="360" w:lineRule="auto"/>
        <w:ind w:firstLine="480" w:firstLineChars="200"/>
        <w:jc w:val="left"/>
        <w:rPr>
          <w:rFonts w:hint="eastAsia"/>
          <w:sz w:val="24"/>
          <w:u w:val="none"/>
          <w:lang w:val="en-US" w:eastAsia="zh-CN"/>
        </w:rPr>
      </w:pPr>
      <w:r>
        <w:rPr>
          <w:rFonts w:hint="eastAsia"/>
          <w:sz w:val="24"/>
          <w:u w:val="none"/>
          <w:lang w:val="en-US" w:eastAsia="zh-CN"/>
        </w:rPr>
        <w:t>为降低非正常工况下废气的排放量，环评要求建设单位制定严格的开停车程序，要求如下：</w:t>
      </w:r>
    </w:p>
    <w:p>
      <w:pPr>
        <w:spacing w:line="360" w:lineRule="auto"/>
        <w:ind w:firstLine="480" w:firstLineChars="200"/>
        <w:jc w:val="left"/>
        <w:rPr>
          <w:rFonts w:hint="eastAsia"/>
          <w:sz w:val="24"/>
          <w:u w:val="none"/>
          <w:lang w:val="en-US" w:eastAsia="zh-CN"/>
        </w:rPr>
      </w:pPr>
      <w:r>
        <w:rPr>
          <w:rFonts w:hint="eastAsia"/>
          <w:sz w:val="24"/>
          <w:u w:val="none"/>
          <w:lang w:val="en-US" w:eastAsia="zh-CN"/>
        </w:rPr>
        <w:t>（1）开车时，项目风机和治理设施先运行，待治理设施运行正常后方开始作业，以降低非正常工况下的废气排放量；</w:t>
      </w:r>
    </w:p>
    <w:p>
      <w:pPr>
        <w:spacing w:line="360" w:lineRule="auto"/>
        <w:ind w:firstLine="480" w:firstLineChars="200"/>
        <w:jc w:val="left"/>
        <w:rPr>
          <w:rFonts w:hint="eastAsia"/>
          <w:sz w:val="24"/>
          <w:u w:val="none"/>
          <w:lang w:val="en-US" w:eastAsia="zh-CN"/>
        </w:rPr>
      </w:pPr>
      <w:r>
        <w:rPr>
          <w:rFonts w:hint="eastAsia"/>
          <w:sz w:val="24"/>
          <w:u w:val="none"/>
          <w:lang w:val="en-US" w:eastAsia="zh-CN"/>
        </w:rPr>
        <w:t>（2）停车时，先停生产设施，待废气治理设施再运转30min后再停废气治理设施；而当冷藏库存有医疗废物时，废气治理设施不停。</w:t>
      </w:r>
    </w:p>
    <w:p>
      <w:pPr>
        <w:spacing w:line="360" w:lineRule="auto"/>
        <w:ind w:firstLine="480" w:firstLineChars="200"/>
        <w:jc w:val="left"/>
        <w:rPr>
          <w:rFonts w:hint="eastAsia"/>
          <w:sz w:val="24"/>
          <w:u w:val="none"/>
          <w:lang w:val="en-US" w:eastAsia="zh-CN"/>
        </w:rPr>
      </w:pPr>
      <w:r>
        <w:rPr>
          <w:rFonts w:hint="eastAsia"/>
          <w:sz w:val="24"/>
          <w:u w:val="none"/>
          <w:lang w:val="en-US" w:eastAsia="zh-CN"/>
        </w:rPr>
        <w:t>二、停电事故排放分析</w:t>
      </w:r>
    </w:p>
    <w:p>
      <w:pPr>
        <w:spacing w:line="360" w:lineRule="auto"/>
        <w:ind w:firstLine="480" w:firstLineChars="200"/>
        <w:jc w:val="left"/>
        <w:rPr>
          <w:rFonts w:hint="eastAsia"/>
          <w:sz w:val="24"/>
          <w:u w:val="none"/>
          <w:lang w:val="en-US" w:eastAsia="zh-CN"/>
        </w:rPr>
      </w:pPr>
      <w:r>
        <w:rPr>
          <w:rFonts w:hint="eastAsia"/>
          <w:sz w:val="24"/>
          <w:u w:val="none"/>
          <w:lang w:val="en-US" w:eastAsia="zh-CN"/>
        </w:rPr>
        <w:t>停电同时可引起生产停车，所不同的是，停电后整个系统均停止生产。停电包括计划性停电和突发性停电两方面。</w:t>
      </w:r>
    </w:p>
    <w:p>
      <w:pPr>
        <w:spacing w:line="360" w:lineRule="auto"/>
        <w:ind w:firstLine="480" w:firstLineChars="200"/>
        <w:jc w:val="left"/>
        <w:rPr>
          <w:rFonts w:hint="eastAsia"/>
          <w:sz w:val="24"/>
          <w:u w:val="none"/>
          <w:lang w:val="en-US" w:eastAsia="zh-CN"/>
        </w:rPr>
      </w:pPr>
      <w:r>
        <w:rPr>
          <w:rFonts w:hint="eastAsia"/>
          <w:sz w:val="24"/>
          <w:u w:val="none"/>
          <w:lang w:val="en-US" w:eastAsia="zh-CN"/>
        </w:rPr>
        <w:t>（1）有计划停电</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有计划停电的处理和前述“计划停车”基本类似，控制手段也大体相同，属可控制事故类型，对环境的影响相对较轻。</w:t>
      </w:r>
    </w:p>
    <w:p>
      <w:pPr>
        <w:spacing w:line="360" w:lineRule="auto"/>
        <w:ind w:firstLine="480" w:firstLineChars="200"/>
        <w:jc w:val="left"/>
        <w:rPr>
          <w:rFonts w:hint="eastAsia"/>
          <w:sz w:val="24"/>
          <w:u w:val="none"/>
          <w:lang w:val="en-US" w:eastAsia="zh-CN"/>
        </w:rPr>
      </w:pPr>
      <w:r>
        <w:rPr>
          <w:rFonts w:hint="eastAsia"/>
          <w:sz w:val="24"/>
          <w:u w:val="none"/>
          <w:lang w:val="en-US" w:eastAsia="zh-CN"/>
        </w:rPr>
        <w:t>（2）突发性停电</w:t>
      </w:r>
    </w:p>
    <w:p>
      <w:pPr>
        <w:spacing w:line="360" w:lineRule="auto"/>
        <w:ind w:firstLine="480" w:firstLineChars="200"/>
        <w:jc w:val="left"/>
        <w:rPr>
          <w:rFonts w:hint="eastAsia"/>
          <w:sz w:val="24"/>
          <w:u w:val="none"/>
          <w:lang w:val="en-US" w:eastAsia="zh-CN"/>
        </w:rPr>
      </w:pPr>
      <w:r>
        <w:rPr>
          <w:rFonts w:hint="eastAsia"/>
          <w:sz w:val="24"/>
          <w:u w:val="none"/>
          <w:lang w:val="en-US" w:eastAsia="zh-CN"/>
        </w:rPr>
        <w:t>项目属于间歇性生产，突发性停电，医疗废物停留在生产线和冷库内，对项目正产生产影响不大，各项污染物源强基本不变，但环保设施停机后，废气不能得到有效收集和治理，无组织逸散对厂界环境影响较大。</w:t>
      </w:r>
    </w:p>
    <w:p>
      <w:pPr>
        <w:spacing w:line="360" w:lineRule="auto"/>
        <w:ind w:firstLine="480" w:firstLineChars="200"/>
        <w:jc w:val="left"/>
        <w:rPr>
          <w:rFonts w:hint="eastAsia"/>
          <w:sz w:val="24"/>
          <w:u w:val="none"/>
          <w:lang w:val="en-US" w:eastAsia="zh-CN"/>
        </w:rPr>
      </w:pPr>
      <w:r>
        <w:rPr>
          <w:rFonts w:hint="eastAsia"/>
          <w:sz w:val="24"/>
          <w:u w:val="none"/>
          <w:lang w:val="en-US" w:eastAsia="zh-CN"/>
        </w:rPr>
        <w:t>因此，本项目配备有UPS供电设备和柴油发电机，UPS可持续供电半小时，确保突发停电时，项目可正常执行停车程序，同时有足够的时间启动备用电源，待恢复供电后继续生产。</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本项目采用UPS供电设施供电，可避免因突发性停电而致使废气事故排放情况的发生，同时配备备用发电机，项目不会发生因停电时长而造成冷库滋生的恶臭气体不经处理长时间外排等情况。</w:t>
      </w:r>
    </w:p>
    <w:p>
      <w:pPr>
        <w:spacing w:line="360" w:lineRule="auto"/>
        <w:ind w:firstLine="480" w:firstLineChars="200"/>
        <w:jc w:val="left"/>
        <w:rPr>
          <w:rFonts w:hint="eastAsia"/>
          <w:sz w:val="24"/>
          <w:u w:val="none"/>
          <w:lang w:val="en-US" w:eastAsia="zh-CN"/>
        </w:rPr>
      </w:pPr>
      <w:r>
        <w:rPr>
          <w:rFonts w:hint="eastAsia"/>
          <w:sz w:val="24"/>
          <w:u w:val="none"/>
          <w:lang w:val="en-US" w:eastAsia="zh-CN"/>
        </w:rPr>
        <w:t>三、环保设施不达标引起的污染物超标排放</w:t>
      </w:r>
    </w:p>
    <w:p>
      <w:pPr>
        <w:spacing w:line="360" w:lineRule="auto"/>
        <w:ind w:firstLine="480" w:firstLineChars="200"/>
        <w:jc w:val="left"/>
        <w:rPr>
          <w:rFonts w:hint="eastAsia"/>
          <w:sz w:val="24"/>
          <w:u w:val="none"/>
          <w:lang w:val="en-US" w:eastAsia="zh-CN"/>
        </w:rPr>
      </w:pPr>
      <w:r>
        <w:rPr>
          <w:rFonts w:hint="eastAsia"/>
          <w:sz w:val="24"/>
          <w:u w:val="none"/>
          <w:lang w:val="en-US" w:eastAsia="zh-CN"/>
        </w:rPr>
        <w:t>污染物超标排放可因环保设施不符合设计和环保要求产生，其中，因环保设施不达标引起的超额排污会持续至设施正常运行前，加重项目对环境的长期不良影响。</w:t>
      </w:r>
    </w:p>
    <w:p>
      <w:pPr>
        <w:spacing w:line="360" w:lineRule="auto"/>
        <w:ind w:firstLine="480" w:firstLineChars="200"/>
        <w:jc w:val="left"/>
        <w:rPr>
          <w:rFonts w:hint="eastAsia"/>
          <w:sz w:val="24"/>
          <w:u w:val="none"/>
          <w:lang w:val="en-US" w:eastAsia="zh-CN"/>
        </w:rPr>
      </w:pPr>
      <w:r>
        <w:rPr>
          <w:rFonts w:hint="eastAsia"/>
          <w:sz w:val="24"/>
          <w:u w:val="none"/>
          <w:lang w:val="en-US" w:eastAsia="zh-CN"/>
        </w:rPr>
        <w:t>另外，环保设施发生故障也会导致污染物超标排放，但通过及时处理，此类超额排放持续时间相对较短。本项目可能产生污染物超标排放的污染源主要为：废气治理装置未能有效运行，导致有机废气未经处理排放到大气环境中，对周围大气环境产生不利影响。项目非正常排放废气源强见工程分析章节的项目废气产生源强。</w:t>
      </w:r>
    </w:p>
    <w:p>
      <w:pPr>
        <w:pStyle w:val="2"/>
        <w:topLinePunct/>
        <w:spacing w:before="120" w:after="360"/>
        <w:rPr>
          <w:sz w:val="36"/>
          <w:szCs w:val="36"/>
          <w:u w:val="none"/>
        </w:rPr>
      </w:pPr>
      <w:bookmarkStart w:id="43" w:name="_Toc26366"/>
      <w:bookmarkStart w:id="44" w:name="_Toc23515"/>
      <w:r>
        <w:rPr>
          <w:rFonts w:hint="eastAsia"/>
          <w:sz w:val="36"/>
          <w:szCs w:val="36"/>
          <w:u w:val="none"/>
          <w:lang w:val="en-US" w:eastAsia="zh-CN"/>
        </w:rPr>
        <w:t>4</w:t>
      </w:r>
      <w:r>
        <w:rPr>
          <w:sz w:val="36"/>
          <w:szCs w:val="36"/>
          <w:u w:val="none"/>
        </w:rPr>
        <w:t>、总量控制</w:t>
      </w:r>
      <w:bookmarkEnd w:id="43"/>
    </w:p>
    <w:p>
      <w:pPr>
        <w:pStyle w:val="3"/>
        <w:rPr>
          <w:rFonts w:hint="eastAsia" w:ascii="Times New Roman" w:hAnsi="Times New Roman"/>
          <w:sz w:val="28"/>
          <w:szCs w:val="28"/>
          <w:u w:val="none"/>
          <w:lang w:eastAsia="zh-CN"/>
        </w:rPr>
      </w:pPr>
      <w:bookmarkStart w:id="45" w:name="_Toc2456"/>
      <w:r>
        <w:rPr>
          <w:rFonts w:hint="eastAsia" w:ascii="Times New Roman" w:hAnsi="Times New Roman"/>
          <w:sz w:val="28"/>
          <w:szCs w:val="28"/>
          <w:u w:val="none"/>
          <w:lang w:val="en-US" w:eastAsia="zh-CN"/>
        </w:rPr>
        <w:t>4</w:t>
      </w:r>
      <w:r>
        <w:rPr>
          <w:rFonts w:hint="eastAsia" w:ascii="Times New Roman" w:hAnsi="Times New Roman"/>
          <w:sz w:val="28"/>
          <w:szCs w:val="28"/>
          <w:u w:val="none"/>
          <w:lang w:eastAsia="zh-CN"/>
        </w:rPr>
        <w:t>.1总量控制分析</w:t>
      </w:r>
      <w:bookmarkEnd w:id="45"/>
    </w:p>
    <w:p>
      <w:pPr>
        <w:spacing w:line="360" w:lineRule="auto"/>
        <w:ind w:firstLine="480" w:firstLineChars="200"/>
        <w:rPr>
          <w:rFonts w:hint="eastAsia"/>
          <w:color w:val="auto"/>
          <w:sz w:val="24"/>
          <w:u w:val="none"/>
          <w:lang w:eastAsia="zh-CN"/>
        </w:rPr>
      </w:pPr>
      <w:r>
        <w:rPr>
          <w:rFonts w:hint="eastAsia"/>
          <w:color w:val="auto"/>
          <w:sz w:val="24"/>
          <w:u w:val="none"/>
          <w:lang w:eastAsia="zh-CN"/>
        </w:rPr>
        <w:t>污染物排放总量控制是可持续发展战略的要求，是控制污染，使国民经济持续、稳定发展的有效手段。</w:t>
      </w:r>
    </w:p>
    <w:p>
      <w:pPr>
        <w:spacing w:line="360" w:lineRule="auto"/>
        <w:ind w:firstLine="480" w:firstLineChars="200"/>
        <w:rPr>
          <w:rFonts w:hint="eastAsia"/>
          <w:color w:val="auto"/>
          <w:sz w:val="24"/>
          <w:u w:val="none"/>
          <w:lang w:eastAsia="zh-CN"/>
        </w:rPr>
      </w:pPr>
      <w:r>
        <w:rPr>
          <w:rFonts w:hint="eastAsia"/>
          <w:color w:val="auto"/>
          <w:sz w:val="24"/>
          <w:u w:val="none"/>
          <w:lang w:eastAsia="zh-CN"/>
        </w:rPr>
        <w:t>为了实施可持续发展战略，国务院于1996年8月3日颁布了《关于环境保护若干问题的决定》（国发[1996]31号），对严格控制建设项目新污染作了规定。根据《建设项目环境保护管理条例》（国务院第253号令）“……建设产生污染的建设项目，必须遵守污染物排放的国家标准和地方标准；在实施重点污染物排放总量控制的区域内，还必须符合重点污染物排放总量的要求”。</w:t>
      </w:r>
    </w:p>
    <w:p>
      <w:pPr>
        <w:spacing w:line="360" w:lineRule="auto"/>
        <w:ind w:firstLine="480" w:firstLineChars="200"/>
        <w:rPr>
          <w:rFonts w:hint="eastAsia"/>
          <w:color w:val="auto"/>
          <w:sz w:val="24"/>
          <w:u w:val="none"/>
          <w:lang w:eastAsia="zh-CN"/>
        </w:rPr>
      </w:pPr>
      <w:r>
        <w:rPr>
          <w:rFonts w:hint="eastAsia"/>
          <w:color w:val="auto"/>
          <w:sz w:val="24"/>
          <w:u w:val="none"/>
          <w:lang w:eastAsia="zh-CN"/>
        </w:rPr>
        <w:t>总量控制的实质在于分配容量，对各排污单位科学地分配环境容量，实现区域工业布局趋于合理。污染物的总量控制应在满足指令性指标的前提下，贯彻“达标排放”、“集中控制”的原则，其目的是通过制定本企业的污染物消减方案，采取切实可行的环保措施来保证总量指标的实现。</w:t>
      </w:r>
    </w:p>
    <w:p>
      <w:pPr>
        <w:spacing w:line="360" w:lineRule="auto"/>
        <w:ind w:firstLine="480" w:firstLineChars="200"/>
        <w:rPr>
          <w:rFonts w:hint="eastAsia"/>
          <w:color w:val="auto"/>
          <w:sz w:val="24"/>
          <w:u w:val="none"/>
          <w:lang w:eastAsia="zh-CN"/>
        </w:rPr>
      </w:pPr>
      <w:r>
        <w:rPr>
          <w:rFonts w:hint="eastAsia"/>
          <w:color w:val="auto"/>
          <w:sz w:val="24"/>
          <w:u w:val="none"/>
          <w:lang w:eastAsia="zh-CN"/>
        </w:rPr>
        <w:t>本评价采用污染物总量控制的方法，以当地环境主管部门下达的总量控制限值，限指令性总量控制值为准。因此，本节所确定的污染物排放总量控制值仅作为建议值。</w:t>
      </w:r>
    </w:p>
    <w:p>
      <w:pPr>
        <w:pStyle w:val="3"/>
        <w:rPr>
          <w:rFonts w:hint="eastAsia" w:ascii="Times New Roman" w:hAnsi="Times New Roman"/>
          <w:sz w:val="28"/>
          <w:szCs w:val="28"/>
          <w:u w:val="none"/>
          <w:lang w:val="en-US" w:eastAsia="zh-CN"/>
        </w:rPr>
      </w:pPr>
      <w:bookmarkStart w:id="46" w:name="_Toc12328"/>
      <w:r>
        <w:rPr>
          <w:rFonts w:hint="eastAsia" w:ascii="Times New Roman" w:hAnsi="Times New Roman"/>
          <w:sz w:val="28"/>
          <w:szCs w:val="28"/>
          <w:u w:val="none"/>
          <w:lang w:val="en-US" w:eastAsia="zh-CN"/>
        </w:rPr>
        <w:t>4.2污染物控制种类</w:t>
      </w:r>
      <w:bookmarkEnd w:id="46"/>
    </w:p>
    <w:p>
      <w:pPr>
        <w:spacing w:line="360" w:lineRule="auto"/>
        <w:ind w:firstLine="480" w:firstLineChars="200"/>
        <w:rPr>
          <w:rFonts w:hint="eastAsia"/>
          <w:u w:val="none"/>
          <w:lang w:val="en-US" w:eastAsia="zh-CN"/>
        </w:rPr>
      </w:pPr>
      <w:r>
        <w:rPr>
          <w:rFonts w:hint="eastAsia"/>
          <w:color w:val="auto"/>
          <w:sz w:val="24"/>
          <w:u w:val="none"/>
          <w:lang w:eastAsia="zh-CN"/>
        </w:rPr>
        <w:t>本项目主要污染物总量控制种类为化学需氧量、氨氮和挥发性有机物</w:t>
      </w:r>
      <w:r>
        <w:rPr>
          <w:rFonts w:hint="eastAsia"/>
          <w:color w:val="auto"/>
          <w:sz w:val="24"/>
          <w:u w:val="none"/>
          <w:lang w:val="en-US" w:eastAsia="zh-CN"/>
        </w:rPr>
        <w:t>。</w:t>
      </w:r>
    </w:p>
    <w:p>
      <w:pPr>
        <w:pStyle w:val="3"/>
        <w:rPr>
          <w:rFonts w:hint="eastAsia" w:ascii="Times New Roman" w:hAnsi="Times New Roman"/>
          <w:sz w:val="28"/>
          <w:szCs w:val="28"/>
          <w:u w:val="none"/>
          <w:lang w:val="en-US" w:eastAsia="zh-CN"/>
        </w:rPr>
      </w:pPr>
      <w:bookmarkStart w:id="47" w:name="_Toc21777"/>
      <w:r>
        <w:rPr>
          <w:rFonts w:hint="eastAsia" w:ascii="Times New Roman" w:hAnsi="Times New Roman"/>
          <w:sz w:val="28"/>
          <w:szCs w:val="28"/>
          <w:u w:val="none"/>
          <w:lang w:val="en-US" w:eastAsia="zh-CN"/>
        </w:rPr>
        <w:t>4.3项目排污总量</w:t>
      </w:r>
      <w:bookmarkEnd w:id="47"/>
    </w:p>
    <w:p>
      <w:pPr>
        <w:topLinePunct/>
        <w:spacing w:line="360" w:lineRule="auto"/>
        <w:rPr>
          <w:rFonts w:hint="eastAsia"/>
          <w:b/>
          <w:sz w:val="24"/>
          <w:u w:val="none"/>
          <w:lang w:val="en-US" w:eastAsia="zh-CN"/>
        </w:rPr>
      </w:pPr>
      <w:r>
        <w:rPr>
          <w:rFonts w:hint="eastAsia"/>
          <w:b/>
          <w:sz w:val="24"/>
          <w:u w:val="none"/>
          <w:lang w:val="en-US" w:eastAsia="zh-CN"/>
        </w:rPr>
        <w:t>4.3.2总量控制指标排放总量核定</w:t>
      </w:r>
    </w:p>
    <w:p>
      <w:pPr>
        <w:topLinePunct/>
        <w:spacing w:line="360" w:lineRule="auto"/>
        <w:ind w:firstLine="480" w:firstLineChars="200"/>
        <w:jc w:val="left"/>
        <w:rPr>
          <w:rFonts w:hint="eastAsia"/>
          <w:color w:val="auto"/>
          <w:sz w:val="24"/>
          <w:u w:val="none"/>
          <w:lang w:eastAsia="zh-CN"/>
        </w:rPr>
      </w:pPr>
      <w:r>
        <w:rPr>
          <w:rFonts w:hint="eastAsia"/>
          <w:color w:val="auto"/>
          <w:sz w:val="24"/>
          <w:u w:val="none"/>
          <w:lang w:eastAsia="zh-CN"/>
        </w:rPr>
        <w:t>根据《建设项目主要污染物排放总量指标审核及管理暂行办法》（环发【</w:t>
      </w:r>
      <w:r>
        <w:rPr>
          <w:rFonts w:hint="eastAsia"/>
          <w:color w:val="auto"/>
          <w:sz w:val="24"/>
          <w:u w:val="none"/>
          <w:lang w:val="en-US" w:eastAsia="zh-CN"/>
        </w:rPr>
        <w:t>2014</w:t>
      </w:r>
      <w:r>
        <w:rPr>
          <w:rFonts w:hint="eastAsia"/>
          <w:color w:val="auto"/>
          <w:sz w:val="24"/>
          <w:u w:val="none"/>
          <w:lang w:eastAsia="zh-CN"/>
        </w:rPr>
        <w:t>】</w:t>
      </w:r>
      <w:r>
        <w:rPr>
          <w:rFonts w:hint="eastAsia"/>
          <w:color w:val="auto"/>
          <w:sz w:val="24"/>
          <w:u w:val="none"/>
          <w:lang w:val="en-US" w:eastAsia="zh-CN"/>
        </w:rPr>
        <w:t>197号</w:t>
      </w:r>
      <w:r>
        <w:rPr>
          <w:rFonts w:hint="eastAsia"/>
          <w:color w:val="auto"/>
          <w:sz w:val="24"/>
          <w:u w:val="none"/>
          <w:lang w:eastAsia="zh-CN"/>
        </w:rPr>
        <w:t>）在污染物排放总量指标审核中明确“火电、钢铁、水泥、造纸、印染行业建设项目所需替代的主要污染物排放总量指标采用绩效方法核定。其他行业依照国家或地方污染物排放标准及单位产品基准排水量（行业最高允许排水量）、烟气量等予以核定”，本项目主要污染物核定排放量总量计算如下：</w:t>
      </w:r>
    </w:p>
    <w:p>
      <w:pPr>
        <w:pStyle w:val="71"/>
        <w:rPr>
          <w:rFonts w:hint="eastAsia"/>
          <w:color w:val="auto"/>
          <w:sz w:val="24"/>
          <w:u w:val="none"/>
          <w:lang w:val="en-US" w:eastAsia="zh-CN"/>
        </w:rPr>
      </w:pPr>
      <w:r>
        <w:rPr>
          <w:rFonts w:hint="eastAsia"/>
          <w:color w:val="auto"/>
          <w:sz w:val="24"/>
          <w:u w:val="none"/>
          <w:lang w:val="en-US" w:eastAsia="zh-CN"/>
        </w:rPr>
        <w:t>1、废水污染物总量控制指标</w:t>
      </w:r>
    </w:p>
    <w:p>
      <w:pPr>
        <w:pStyle w:val="71"/>
        <w:rPr>
          <w:rFonts w:hint="eastAsia"/>
          <w:sz w:val="24"/>
          <w:u w:val="none"/>
          <w:lang w:val="en-US" w:eastAsia="zh-CN"/>
        </w:rPr>
      </w:pPr>
      <w:r>
        <w:rPr>
          <w:rFonts w:hint="eastAsia"/>
          <w:color w:val="auto"/>
          <w:sz w:val="24"/>
          <w:u w:val="none"/>
          <w:lang w:val="en-US" w:eastAsia="zh-CN"/>
        </w:rPr>
        <w:t>本项目运营期间废水经厂区污水处理站处理达标后回用于生产，项目废水不外排</w:t>
      </w:r>
      <w:r>
        <w:rPr>
          <w:rFonts w:hint="eastAsia"/>
          <w:sz w:val="24"/>
          <w:u w:val="none"/>
          <w:lang w:val="en-US" w:eastAsia="zh-CN"/>
        </w:rPr>
        <w:t>。因此，本次评价不对废水污染物总量控制指标进行核算。</w:t>
      </w:r>
    </w:p>
    <w:p>
      <w:pPr>
        <w:pStyle w:val="71"/>
        <w:rPr>
          <w:rFonts w:hint="eastAsia"/>
          <w:sz w:val="24"/>
          <w:u w:val="none"/>
          <w:lang w:val="en-US" w:eastAsia="zh-CN"/>
        </w:rPr>
      </w:pPr>
      <w:r>
        <w:rPr>
          <w:rFonts w:hint="eastAsia"/>
          <w:sz w:val="24"/>
          <w:u w:val="none"/>
          <w:lang w:val="en-US" w:eastAsia="zh-CN"/>
        </w:rPr>
        <w:t>2、本项目废气污染物总量控制指标</w:t>
      </w:r>
    </w:p>
    <w:p>
      <w:pPr>
        <w:pStyle w:val="71"/>
        <w:rPr>
          <w:rFonts w:hint="eastAsia"/>
          <w:color w:val="auto"/>
          <w:sz w:val="24"/>
          <w:u w:val="none"/>
          <w:lang w:val="en-US" w:eastAsia="zh-CN"/>
        </w:rPr>
      </w:pPr>
      <w:r>
        <w:rPr>
          <w:rFonts w:hint="eastAsia"/>
          <w:color w:val="auto"/>
          <w:sz w:val="24"/>
          <w:u w:val="none"/>
          <w:lang w:val="en-US" w:eastAsia="zh-CN"/>
        </w:rPr>
        <w:t>根据工程分析，本项目建成后，VOCs排放控制总量为0.0858t/a。</w:t>
      </w:r>
    </w:p>
    <w:p>
      <w:pPr>
        <w:topLinePunct/>
        <w:spacing w:line="360" w:lineRule="auto"/>
        <w:rPr>
          <w:rFonts w:hint="eastAsia"/>
          <w:b/>
          <w:sz w:val="24"/>
          <w:u w:val="none"/>
          <w:lang w:val="en-US" w:eastAsia="zh-CN"/>
        </w:rPr>
      </w:pPr>
      <w:r>
        <w:rPr>
          <w:rFonts w:hint="eastAsia"/>
          <w:b/>
          <w:sz w:val="24"/>
          <w:u w:val="none"/>
          <w:lang w:val="en-US" w:eastAsia="zh-CN"/>
        </w:rPr>
        <w:t>4.3.3总量控制指标来源</w:t>
      </w:r>
    </w:p>
    <w:p>
      <w:pPr>
        <w:pStyle w:val="71"/>
        <w:rPr>
          <w:rFonts w:hint="eastAsia"/>
          <w:sz w:val="24"/>
          <w:u w:val="none"/>
          <w:lang w:val="en-US" w:eastAsia="zh-CN"/>
        </w:rPr>
      </w:pPr>
      <w:r>
        <w:rPr>
          <w:rFonts w:hint="eastAsia"/>
          <w:sz w:val="24"/>
          <w:u w:val="none"/>
          <w:lang w:val="en-US" w:eastAsia="zh-CN"/>
        </w:rPr>
        <w:t>根据《建设项目主要污染物排放总量指标审核及管理暂行办法》（川环办发[2015]333号）文相关要求“……医疗废物处置厂等建设项目不需要提供替代方案，但须核定排放量”。</w:t>
      </w:r>
    </w:p>
    <w:p>
      <w:pPr>
        <w:topLinePunct/>
        <w:spacing w:line="360" w:lineRule="auto"/>
        <w:rPr>
          <w:rFonts w:hint="eastAsia"/>
          <w:b/>
          <w:sz w:val="24"/>
          <w:u w:val="none"/>
          <w:lang w:val="en-US" w:eastAsia="zh-CN"/>
        </w:rPr>
      </w:pPr>
      <w:r>
        <w:rPr>
          <w:rFonts w:hint="eastAsia"/>
          <w:b/>
          <w:sz w:val="24"/>
          <w:u w:val="none"/>
          <w:lang w:val="en-US" w:eastAsia="zh-CN"/>
        </w:rPr>
        <w:t>4.3.4总量控制指标汇总</w:t>
      </w:r>
    </w:p>
    <w:p>
      <w:pPr>
        <w:pStyle w:val="71"/>
        <w:rPr>
          <w:rFonts w:hint="eastAsia"/>
          <w:sz w:val="24"/>
          <w:u w:val="none"/>
          <w:lang w:val="en-US" w:eastAsia="zh-CN"/>
        </w:rPr>
      </w:pPr>
      <w:r>
        <w:rPr>
          <w:rFonts w:hint="eastAsia"/>
          <w:sz w:val="24"/>
          <w:u w:val="none"/>
          <w:lang w:val="en-US" w:eastAsia="zh-CN"/>
        </w:rPr>
        <w:t>综上，本项目污染物总量控制指标汇总见下表。</w:t>
      </w:r>
    </w:p>
    <w:p>
      <w:pPr>
        <w:pStyle w:val="352"/>
        <w:rPr>
          <w:rFonts w:hint="eastAsia"/>
          <w:b/>
          <w:bCs/>
          <w:u w:val="none"/>
          <w:lang w:val="en-US" w:eastAsia="zh-CN"/>
        </w:rPr>
      </w:pPr>
      <w:r>
        <w:rPr>
          <w:rFonts w:hint="eastAsia"/>
          <w:b/>
          <w:bCs/>
          <w:u w:val="none"/>
          <w:lang w:val="en-US" w:eastAsia="zh-CN"/>
        </w:rPr>
        <w:t>表4-1  项目总量控制指标汇总表</w:t>
      </w:r>
    </w:p>
    <w:tbl>
      <w:tblPr>
        <w:tblStyle w:val="59"/>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341"/>
        <w:gridCol w:w="806"/>
        <w:gridCol w:w="1694"/>
        <w:gridCol w:w="3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55"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bookmarkStart w:id="48" w:name="OLE_LINK8"/>
            <w:r>
              <w:rPr>
                <w:rFonts w:hint="eastAsia"/>
                <w:b/>
                <w:bCs/>
                <w:u w:val="none"/>
                <w:lang w:val="en-US" w:eastAsia="zh-CN"/>
              </w:rPr>
              <w:t>类别</w:t>
            </w:r>
          </w:p>
        </w:tc>
        <w:tc>
          <w:tcPr>
            <w:tcW w:w="2341"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污染物</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单位</w:t>
            </w:r>
          </w:p>
        </w:tc>
        <w:tc>
          <w:tcPr>
            <w:tcW w:w="1694"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申请排放总量</w:t>
            </w:r>
          </w:p>
        </w:tc>
        <w:tc>
          <w:tcPr>
            <w:tcW w:w="3768"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废气</w:t>
            </w:r>
          </w:p>
        </w:tc>
        <w:tc>
          <w:tcPr>
            <w:tcW w:w="2341"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VOCs</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0.0858</w:t>
            </w:r>
          </w:p>
        </w:tc>
        <w:tc>
          <w:tcPr>
            <w:tcW w:w="3768"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restart"/>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废水</w:t>
            </w:r>
          </w:p>
        </w:tc>
        <w:tc>
          <w:tcPr>
            <w:tcW w:w="2341"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COD</w:t>
            </w:r>
            <w:r>
              <w:rPr>
                <w:rFonts w:hint="eastAsia"/>
                <w:b w:val="0"/>
                <w:bCs/>
                <w:u w:val="none"/>
                <w:vertAlign w:val="subscript"/>
                <w:lang w:val="en-US" w:eastAsia="zh-CN"/>
              </w:rPr>
              <w:t>5</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3768" w:type="dxa"/>
            <w:vMerge w:val="restart"/>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本项目废水不外排，不需申请总量指标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c>
          <w:tcPr>
            <w:tcW w:w="2341"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NH</w:t>
            </w:r>
            <w:r>
              <w:rPr>
                <w:rFonts w:hint="eastAsia"/>
                <w:b w:val="0"/>
                <w:bCs/>
                <w:u w:val="none"/>
                <w:vertAlign w:val="subscript"/>
                <w:lang w:val="en-US" w:eastAsia="zh-CN"/>
              </w:rPr>
              <w:t>3</w:t>
            </w:r>
            <w:r>
              <w:rPr>
                <w:rFonts w:hint="eastAsia"/>
                <w:b w:val="0"/>
                <w:bCs/>
                <w:u w:val="none"/>
                <w:lang w:val="en-US" w:eastAsia="zh-CN"/>
              </w:rPr>
              <w:t>-N</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376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bookmarkEnd w:id="48"/>
    </w:tbl>
    <w:p>
      <w:pPr>
        <w:pStyle w:val="71"/>
        <w:spacing w:line="240" w:lineRule="auto"/>
        <w:ind w:left="0" w:leftChars="0" w:firstLine="0" w:firstLineChars="0"/>
        <w:jc w:val="center"/>
        <w:rPr>
          <w:rFonts w:hint="eastAsia"/>
          <w:b/>
          <w:bCs/>
          <w:sz w:val="21"/>
          <w:szCs w:val="21"/>
          <w:u w:val="none"/>
          <w:lang w:val="en-US" w:eastAsia="zh-CN"/>
        </w:rPr>
      </w:pPr>
    </w:p>
    <w:p>
      <w:pPr>
        <w:pStyle w:val="2"/>
        <w:topLinePunct/>
        <w:spacing w:before="120" w:after="360"/>
        <w:rPr>
          <w:sz w:val="36"/>
          <w:szCs w:val="36"/>
          <w:u w:val="none"/>
        </w:rPr>
      </w:pPr>
      <w:bookmarkStart w:id="49" w:name="_Toc4477"/>
      <w:r>
        <w:rPr>
          <w:rFonts w:hint="eastAsia"/>
          <w:sz w:val="36"/>
          <w:szCs w:val="36"/>
          <w:u w:val="none"/>
          <w:lang w:val="en-US" w:eastAsia="zh-CN"/>
        </w:rPr>
        <w:t>5</w:t>
      </w:r>
      <w:r>
        <w:rPr>
          <w:sz w:val="36"/>
          <w:szCs w:val="36"/>
          <w:u w:val="none"/>
        </w:rPr>
        <w:t>、建设项目</w:t>
      </w:r>
      <w:bookmarkEnd w:id="44"/>
      <w:r>
        <w:rPr>
          <w:sz w:val="36"/>
          <w:szCs w:val="36"/>
          <w:u w:val="none"/>
        </w:rPr>
        <w:t>所在地自然环境概况</w:t>
      </w:r>
      <w:bookmarkEnd w:id="49"/>
    </w:p>
    <w:p>
      <w:pPr>
        <w:pStyle w:val="3"/>
        <w:rPr>
          <w:rFonts w:hint="eastAsia" w:ascii="Times New Roman" w:hAnsi="Times New Roman" w:eastAsia="宋体"/>
          <w:sz w:val="28"/>
          <w:szCs w:val="28"/>
          <w:u w:val="none"/>
          <w:lang w:eastAsia="zh-CN"/>
        </w:rPr>
      </w:pPr>
      <w:bookmarkStart w:id="50" w:name="_Toc21355"/>
      <w:bookmarkStart w:id="51" w:name="_Toc15348"/>
      <w:r>
        <w:rPr>
          <w:rFonts w:hint="eastAsia" w:ascii="Times New Roman" w:hAnsi="Times New Roman"/>
          <w:sz w:val="28"/>
          <w:szCs w:val="28"/>
          <w:u w:val="none"/>
          <w:lang w:val="en-US" w:eastAsia="zh-CN"/>
        </w:rPr>
        <w:t>5</w:t>
      </w:r>
      <w:r>
        <w:rPr>
          <w:rFonts w:ascii="Times New Roman" w:hAnsi="Times New Roman"/>
          <w:sz w:val="28"/>
          <w:szCs w:val="28"/>
          <w:u w:val="none"/>
        </w:rPr>
        <w:t>.1</w:t>
      </w:r>
      <w:bookmarkEnd w:id="50"/>
      <w:r>
        <w:rPr>
          <w:rFonts w:hint="eastAsia" w:ascii="Times New Roman" w:hAnsi="Times New Roman"/>
          <w:sz w:val="28"/>
          <w:szCs w:val="28"/>
          <w:u w:val="none"/>
          <w:lang w:eastAsia="zh-CN"/>
        </w:rPr>
        <w:t>自然环境概况</w:t>
      </w:r>
      <w:bookmarkEnd w:id="51"/>
    </w:p>
    <w:p>
      <w:pPr>
        <w:topLinePunct/>
        <w:spacing w:line="360" w:lineRule="auto"/>
        <w:rPr>
          <w:rFonts w:hint="eastAsia"/>
          <w:b/>
          <w:sz w:val="24"/>
          <w:u w:val="none"/>
          <w:lang w:val="en-US" w:eastAsia="zh-CN"/>
        </w:rPr>
      </w:pPr>
      <w:r>
        <w:rPr>
          <w:rFonts w:hint="eastAsia"/>
          <w:b/>
          <w:sz w:val="24"/>
          <w:u w:val="none"/>
          <w:lang w:val="en-US" w:eastAsia="zh-CN"/>
        </w:rPr>
        <w:t>5.1.1地理位置</w:t>
      </w:r>
    </w:p>
    <w:p>
      <w:pPr>
        <w:pStyle w:val="15"/>
        <w:spacing w:line="360" w:lineRule="auto"/>
        <w:ind w:firstLine="480"/>
        <w:rPr>
          <w:rFonts w:ascii="Times New Roman" w:hAnsi="Times New Roman" w:eastAsia="宋体"/>
        </w:rPr>
      </w:pPr>
      <w:r>
        <w:rPr>
          <w:rFonts w:ascii="Times New Roman" w:hAnsi="Times New Roman" w:eastAsia="宋体"/>
        </w:rPr>
        <w:t>旺苍县位于</w:t>
      </w:r>
      <w:r>
        <w:rPr>
          <w:rFonts w:hint="eastAsia" w:ascii="Times New Roman" w:hAnsi="Times New Roman"/>
          <w:lang w:eastAsia="zh-CN"/>
        </w:rPr>
        <w:t>四川盆地北缘，</w:t>
      </w:r>
      <w:r>
        <w:rPr>
          <w:rFonts w:ascii="Times New Roman" w:hAnsi="Times New Roman" w:eastAsia="宋体"/>
        </w:rPr>
        <w:t>米仓山南麓，隶属广元市</w:t>
      </w:r>
      <w:r>
        <w:rPr>
          <w:rFonts w:hint="eastAsia" w:ascii="Times New Roman" w:hAnsi="Times New Roman"/>
          <w:lang w:eastAsia="zh-CN"/>
        </w:rPr>
        <w:t>管辖，西通广元市元坝区，南连广元市苍溪县，东接巴中市南江县，北与陕西省汉中地区相邻。全县东西长</w:t>
      </w:r>
      <w:r>
        <w:rPr>
          <w:rFonts w:hint="eastAsia" w:ascii="Times New Roman" w:hAnsi="Times New Roman"/>
          <w:lang w:val="en-US" w:eastAsia="zh-CN"/>
        </w:rPr>
        <w:t>74.8km，南北宽79.9km，幅员面积3004km²，辖35个乡镇、357个行政村，</w:t>
      </w:r>
      <w:r>
        <w:rPr>
          <w:rFonts w:ascii="Times New Roman" w:hAnsi="Times New Roman" w:eastAsia="宋体"/>
        </w:rPr>
        <w:t>地理坐标为东经105°58′24″至106°46′2″，北纬31°58′45″至32°42′24″。</w:t>
      </w:r>
    </w:p>
    <w:p>
      <w:pPr>
        <w:pStyle w:val="15"/>
        <w:spacing w:line="360" w:lineRule="auto"/>
        <w:ind w:firstLine="480"/>
        <w:rPr>
          <w:rFonts w:hint="eastAsia"/>
          <w:sz w:val="24"/>
          <w:u w:val="none"/>
          <w:lang w:val="en-US" w:eastAsia="zh-CN"/>
        </w:rPr>
      </w:pPr>
      <w:r>
        <w:rPr>
          <w:rFonts w:hint="eastAsia" w:ascii="宋体" w:hAnsi="宋体" w:eastAsia="宋体" w:cs="宋体"/>
          <w:sz w:val="24"/>
          <w:szCs w:val="24"/>
          <w:shd w:val="clear" w:color="auto" w:fill="auto"/>
          <w:lang w:eastAsia="zh-CN"/>
        </w:rPr>
        <w:t>拟建</w:t>
      </w:r>
      <w:r>
        <w:rPr>
          <w:rFonts w:hint="eastAsia"/>
          <w:sz w:val="24"/>
          <w:szCs w:val="24"/>
        </w:rPr>
        <w:t>场地位于</w:t>
      </w:r>
      <w:r>
        <w:rPr>
          <w:rFonts w:hint="eastAsia"/>
          <w:sz w:val="24"/>
          <w:szCs w:val="24"/>
          <w:lang w:eastAsia="zh-CN"/>
        </w:rPr>
        <w:t>旺苍县嘉川镇石桥村</w:t>
      </w:r>
      <w:r>
        <w:rPr>
          <w:rFonts w:ascii="宋体" w:hAnsi="宋体" w:cs="宋体"/>
          <w:color w:val="auto"/>
          <w:kern w:val="1"/>
          <w:sz w:val="24"/>
          <w:szCs w:val="24"/>
        </w:rPr>
        <w:t>，</w:t>
      </w:r>
      <w:r>
        <w:rPr>
          <w:rFonts w:hint="eastAsia"/>
          <w:sz w:val="24"/>
          <w:szCs w:val="24"/>
          <w:lang w:val="en-US" w:eastAsia="zh-CN"/>
        </w:rPr>
        <w:t>该项目建设用地位置处于规划区范围以外，北面距规划环城路约180米，东北距县垃圾填埋场约180米，南侧距规划居住区直线距离约235米</w:t>
      </w:r>
      <w:r>
        <w:rPr>
          <w:rFonts w:hint="eastAsia"/>
          <w:sz w:val="24"/>
          <w:szCs w:val="24"/>
          <w:lang w:eastAsia="zh-CN"/>
        </w:rPr>
        <w:t>。</w:t>
      </w:r>
      <w:r>
        <w:rPr>
          <w:rFonts w:hint="eastAsia" w:ascii="Times New Roman" w:hAnsi="Times New Roman"/>
          <w:color w:val="auto"/>
          <w:lang w:eastAsia="zh-CN"/>
        </w:rPr>
        <w:t>项目</w:t>
      </w:r>
      <w:r>
        <w:rPr>
          <w:rFonts w:ascii="Times New Roman" w:hAnsi="Times New Roman" w:eastAsia="宋体"/>
          <w:color w:val="auto"/>
        </w:rPr>
        <w:t>中心地理坐标为：东经：</w:t>
      </w:r>
      <w:r>
        <w:rPr>
          <w:rFonts w:hint="eastAsia" w:ascii="Times New Roman" w:hAnsi="Times New Roman" w:eastAsia="宋体"/>
          <w:color w:val="auto"/>
        </w:rPr>
        <w:t>106.230249140</w:t>
      </w:r>
      <w:r>
        <w:rPr>
          <w:rFonts w:hint="eastAsia" w:ascii="Times New Roman" w:hAnsi="Times New Roman"/>
          <w:color w:val="auto"/>
          <w:lang w:val="en-US" w:eastAsia="zh-CN"/>
        </w:rPr>
        <w:t>°</w:t>
      </w:r>
      <w:r>
        <w:rPr>
          <w:rFonts w:ascii="Times New Roman" w:hAnsi="Times New Roman" w:eastAsia="宋体"/>
          <w:color w:val="auto"/>
        </w:rPr>
        <w:t>，北纬：</w:t>
      </w:r>
      <w:r>
        <w:rPr>
          <w:rFonts w:hint="eastAsia" w:ascii="Times New Roman" w:hAnsi="Times New Roman" w:eastAsia="宋体"/>
          <w:color w:val="auto"/>
        </w:rPr>
        <w:t>32.225890921</w:t>
      </w:r>
      <w:r>
        <w:rPr>
          <w:rFonts w:hint="eastAsia" w:ascii="Times New Roman" w:hAnsi="Times New Roman"/>
          <w:color w:val="auto"/>
          <w:lang w:val="en-US" w:eastAsia="zh-CN"/>
        </w:rPr>
        <w:t>°</w:t>
      </w:r>
      <w:r>
        <w:rPr>
          <w:rFonts w:hint="eastAsia" w:ascii="Times New Roman" w:hAnsi="Times New Roman"/>
          <w:color w:val="auto"/>
          <w:lang w:eastAsia="zh-CN"/>
        </w:rPr>
        <w:t>，</w:t>
      </w:r>
      <w:r>
        <w:rPr>
          <w:rFonts w:ascii="Times New Roman" w:hAnsi="Times New Roman" w:eastAsia="宋体"/>
          <w:color w:val="auto"/>
        </w:rPr>
        <w:t>项目地理位置</w:t>
      </w:r>
      <w:r>
        <w:rPr>
          <w:rFonts w:hint="eastAsia"/>
          <w:color w:val="auto"/>
          <w:sz w:val="24"/>
          <w:u w:val="none"/>
          <w:lang w:val="en-US" w:eastAsia="zh-CN"/>
        </w:rPr>
        <w:t>见附图1。</w:t>
      </w:r>
    </w:p>
    <w:p>
      <w:pPr>
        <w:topLinePunct/>
        <w:spacing w:line="360" w:lineRule="auto"/>
        <w:rPr>
          <w:b/>
          <w:sz w:val="24"/>
          <w:u w:val="none"/>
        </w:rPr>
      </w:pPr>
      <w:r>
        <w:rPr>
          <w:rFonts w:hint="eastAsia"/>
          <w:b/>
          <w:sz w:val="24"/>
          <w:u w:val="none"/>
          <w:lang w:val="en-US" w:eastAsia="zh-CN"/>
        </w:rPr>
        <w:t>5</w:t>
      </w:r>
      <w:r>
        <w:rPr>
          <w:b/>
          <w:sz w:val="24"/>
          <w:u w:val="none"/>
        </w:rPr>
        <w:t>.</w:t>
      </w:r>
      <w:r>
        <w:rPr>
          <w:rFonts w:hint="eastAsia"/>
          <w:b/>
          <w:sz w:val="24"/>
          <w:u w:val="none"/>
          <w:lang w:val="en-US" w:eastAsia="zh-CN"/>
        </w:rPr>
        <w:t>1</w:t>
      </w:r>
      <w:r>
        <w:rPr>
          <w:b/>
          <w:sz w:val="24"/>
          <w:u w:val="none"/>
        </w:rPr>
        <w:t>.</w:t>
      </w:r>
      <w:r>
        <w:rPr>
          <w:rFonts w:hint="eastAsia"/>
          <w:b/>
          <w:sz w:val="24"/>
          <w:u w:val="none"/>
          <w:lang w:val="en-US" w:eastAsia="zh-CN"/>
        </w:rPr>
        <w:t>2</w:t>
      </w:r>
      <w:r>
        <w:rPr>
          <w:b/>
          <w:sz w:val="24"/>
          <w:u w:val="none"/>
        </w:rPr>
        <w:t>地形</w:t>
      </w:r>
      <w:r>
        <w:rPr>
          <w:rFonts w:hint="eastAsia"/>
          <w:b/>
          <w:sz w:val="24"/>
          <w:u w:val="none"/>
          <w:lang w:eastAsia="zh-CN"/>
        </w:rPr>
        <w:t>、</w:t>
      </w:r>
      <w:r>
        <w:rPr>
          <w:b/>
          <w:sz w:val="24"/>
          <w:u w:val="none"/>
        </w:rPr>
        <w:t>地貌</w:t>
      </w:r>
      <w:r>
        <w:rPr>
          <w:rFonts w:hint="eastAsia"/>
          <w:b/>
          <w:sz w:val="24"/>
          <w:u w:val="none"/>
          <w:lang w:eastAsia="zh-CN"/>
        </w:rPr>
        <w:t>、</w:t>
      </w:r>
      <w:r>
        <w:rPr>
          <w:b/>
          <w:sz w:val="24"/>
          <w:u w:val="none"/>
        </w:rPr>
        <w:t>地质</w:t>
      </w:r>
    </w:p>
    <w:p>
      <w:pPr>
        <w:pStyle w:val="15"/>
        <w:spacing w:line="360" w:lineRule="auto"/>
        <w:ind w:firstLine="480"/>
        <w:rPr>
          <w:rFonts w:hint="eastAsia" w:ascii="Times New Roman" w:hAnsi="Times New Roman"/>
          <w:lang w:val="en-US" w:eastAsia="zh-CN"/>
        </w:rPr>
      </w:pPr>
      <w:r>
        <w:rPr>
          <w:rFonts w:hint="eastAsia" w:ascii="Times New Roman" w:hAnsi="Times New Roman"/>
          <w:lang w:eastAsia="zh-CN"/>
        </w:rPr>
        <w:t>旺苍县位于大巴山西脉米仓山山地与四川盆地的相接处，以中部白水——嘉川——三江槽型谷地为界，北部地区中山地形为主，南部地区是低山地形。地势北高南低，河谷切割较深，相对高差大，最高点事北部的光头山，海拔高程达到</w:t>
      </w:r>
      <w:r>
        <w:rPr>
          <w:rFonts w:hint="eastAsia" w:ascii="Times New Roman" w:hAnsi="Times New Roman"/>
          <w:lang w:val="en-US" w:eastAsia="zh-CN"/>
        </w:rPr>
        <w:t>2276m，最低点为西南部东河谷地张家湾，海拔高程约460m，最大相对高差为1816m。区域地形以山地为主，占幅员面积的97.3%，谷地及平坝占2.7%，山脉走向总体呈东西向，与地质构造线基本一致。</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依据旺苍县区域地貌形态特征和成因，旺苍县地貌分为四种类型，分别是构造侵蚀中山、构造侵蚀溶蚀中山、构造剥蚀低山和侵蚀堆积河谷平坝，具体如下：</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1、地形地貌</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（1）构造侵蚀中山</w:t>
      </w:r>
    </w:p>
    <w:p>
      <w:pPr>
        <w:pStyle w:val="15"/>
        <w:spacing w:line="360" w:lineRule="auto"/>
        <w:ind w:firstLine="480"/>
        <w:rPr>
          <w:rFonts w:hint="default" w:ascii="Times New Roman" w:hAnsi="Times New Roman"/>
          <w:lang w:val="en-US" w:eastAsia="zh-CN"/>
        </w:rPr>
      </w:pPr>
      <w:r>
        <w:rPr>
          <w:rFonts w:hint="eastAsia" w:ascii="Times New Roman" w:hAnsi="Times New Roman"/>
          <w:lang w:val="en-US" w:eastAsia="zh-CN"/>
        </w:rPr>
        <w:t>主要分布在西河以东及正源、水磨至大河以北地区，总面积820km²，占总面积的27.3%。山脊高程1300~2200m，相对高差600~1000m，走向近东西向，地势北高南低，山坡高陡，河谷切割较深，峡谷地貌，地形坡度30°以上，主要由岩浆岩和变质岩组成，植被覆盖率一般为30~50%，地貌形态受构造控制，可分为块状山、断块山、褶皱山、单斜山。</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（2）构造侵蚀溶蚀中山</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主要分布在白水、旺苍以北，西河以西地区，以及高阳，大两至五权一带，总面积1218km²，占总面积的40.5%。山脊高层1300~2000m，相对高差700~1200m，走向近东西向，地势北高南低，山坡高陡，河谷狭窄，地形坡度30°以上，由碳酸盐岩及碎屑岩互层组成，受岩溶作用，发育溶洞、漏斗岩溶洼地、落水洞、暗河等岩溶地貌，植被覆盖率30%左右。</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（3）构造剥蚀低山</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主要分布在白水、嘉川、旺苍、三江、金溪一带以南地区，总面积884km²，占总面积的29.5%。山顶高程800~1200m，相对高差300~700m，地势北东高南西低，河谷纵横，山体零碎，形态不一，以桌状山和单面山为主，由侏罗系、白垩系碎屑岩组成，地形坡度通常在20°以上，植被覆盖率一般为20~30%。</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（4）侵蚀堆积河谷平坝</w:t>
      </w:r>
    </w:p>
    <w:p>
      <w:pPr>
        <w:pStyle w:val="15"/>
        <w:spacing w:line="360" w:lineRule="auto"/>
        <w:ind w:firstLine="480"/>
        <w:rPr>
          <w:rFonts w:hint="eastAsia" w:ascii="Times New Roman" w:hAnsi="Times New Roman"/>
          <w:lang w:val="en-US" w:eastAsia="zh-CN"/>
        </w:rPr>
      </w:pPr>
      <w:r>
        <w:rPr>
          <w:rFonts w:hint="eastAsia" w:ascii="Times New Roman" w:hAnsi="Times New Roman"/>
          <w:lang w:val="en-US" w:eastAsia="zh-CN"/>
        </w:rPr>
        <w:t>主要分布在旺苍、嘉川、尚武及三江等河谷宽谷地段，总面积82km²，占总面积的2.7%。河流宽谷地段发育，由漫滩和一级阶地组成，地势平缓，地形坡度小于10°，地面高程500m左右。漫滩平面形态为月牙形，宽50~200m不等，高出河水为0~3m，由砂砾卵石层组成，阶地前缘高出河水位5m左右，表层岩性为粘性土，下部为砂砾卵石层。</w:t>
      </w:r>
    </w:p>
    <w:p>
      <w:pPr>
        <w:pStyle w:val="15"/>
        <w:spacing w:line="360" w:lineRule="auto"/>
        <w:ind w:firstLine="480"/>
        <w:rPr>
          <w:rFonts w:ascii="Times New Roman" w:hAnsi="Times New Roman" w:eastAsia="宋体"/>
        </w:rPr>
      </w:pPr>
      <w:r>
        <w:rPr>
          <w:rFonts w:hint="eastAsia"/>
          <w:spacing w:val="0"/>
          <w:sz w:val="24"/>
          <w:szCs w:val="24"/>
          <w:lang w:eastAsia="zh-CN"/>
        </w:rPr>
        <w:t>拟建厂区选址于嘉川镇石桥村，属于构造剥蚀低山和侵蚀堆积河谷平坝地貌形态，详见下图</w:t>
      </w:r>
      <w:r>
        <w:rPr>
          <w:rFonts w:hint="eastAsia"/>
          <w:spacing w:val="0"/>
          <w:kern w:val="1"/>
          <w:sz w:val="24"/>
          <w:szCs w:val="24"/>
        </w:rPr>
        <w:t>。</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pStyle w:val="352"/>
              <w:keepNext w:val="0"/>
              <w:keepLines w:val="0"/>
              <w:suppressLineNumbers w:val="0"/>
              <w:spacing w:before="0" w:beforeAutospacing="0" w:after="0" w:afterAutospacing="0"/>
              <w:ind w:left="0" w:right="0"/>
              <w:rPr>
                <w:rFonts w:hint="eastAsia"/>
                <w:b/>
                <w:bCs/>
                <w:u w:val="none"/>
                <w:vertAlign w:val="baseline"/>
                <w:lang w:val="en-US" w:eastAsia="zh-CN"/>
              </w:rPr>
            </w:pPr>
            <w:r>
              <w:rPr>
                <w:rFonts w:hint="eastAsia"/>
                <w:b/>
                <w:bCs/>
                <w:u w:val="none"/>
                <w:vertAlign w:val="baseline"/>
                <w:lang w:val="en-US" w:eastAsia="zh-CN"/>
              </w:rPr>
              <w:drawing>
                <wp:inline distT="0" distB="0" distL="114300" distR="114300">
                  <wp:extent cx="3200400" cy="2581275"/>
                  <wp:effectExtent l="0" t="0" r="0" b="9525"/>
                  <wp:docPr id="8"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2" descr="IMG_256"/>
                          <pic:cNvPicPr>
                            <a:picLocks noChangeAspect="1"/>
                          </pic:cNvPicPr>
                        </pic:nvPicPr>
                        <pic:blipFill>
                          <a:blip r:embed="rId30"/>
                          <a:stretch>
                            <a:fillRect/>
                          </a:stretch>
                        </pic:blipFill>
                        <pic:spPr>
                          <a:xfrm>
                            <a:off x="0" y="0"/>
                            <a:ext cx="3200400" cy="2581275"/>
                          </a:xfrm>
                          <a:prstGeom prst="rect">
                            <a:avLst/>
                          </a:prstGeom>
                          <a:noFill/>
                          <a:ln w="9525">
                            <a:noFill/>
                          </a:ln>
                        </pic:spPr>
                      </pic:pic>
                    </a:graphicData>
                  </a:graphic>
                </wp:inline>
              </w:drawing>
            </w:r>
          </w:p>
        </w:tc>
      </w:tr>
    </w:tbl>
    <w:p>
      <w:pPr>
        <w:pStyle w:val="352"/>
        <w:rPr>
          <w:rFonts w:hint="eastAsia"/>
          <w:b/>
          <w:bCs/>
          <w:u w:val="none"/>
          <w:lang w:val="en-US" w:eastAsia="zh-CN"/>
        </w:rPr>
      </w:pPr>
      <w:r>
        <w:rPr>
          <w:rFonts w:hint="eastAsia"/>
          <w:b/>
          <w:bCs/>
          <w:u w:val="none"/>
          <w:lang w:val="en-US" w:eastAsia="zh-CN"/>
        </w:rPr>
        <w:t>图5-1  项目区及周边地形、地貌影像图</w:t>
      </w:r>
    </w:p>
    <w:p>
      <w:pPr>
        <w:topLinePunct/>
        <w:spacing w:line="360" w:lineRule="auto"/>
        <w:rPr>
          <w:rFonts w:hint="eastAsia"/>
          <w:b w:val="0"/>
          <w:bCs/>
          <w:sz w:val="24"/>
          <w:u w:val="none"/>
          <w:lang w:val="en-US" w:eastAsia="zh-CN"/>
        </w:rPr>
      </w:pPr>
      <w:r>
        <w:rPr>
          <w:rFonts w:hint="eastAsia"/>
          <w:b w:val="0"/>
          <w:bCs/>
          <w:sz w:val="24"/>
          <w:u w:val="none"/>
          <w:lang w:val="en-US" w:eastAsia="zh-CN"/>
        </w:rPr>
        <w:t>2、地质条件</w:t>
      </w:r>
    </w:p>
    <w:p>
      <w:pPr>
        <w:topLinePunct/>
        <w:spacing w:line="360" w:lineRule="auto"/>
        <w:rPr>
          <w:rFonts w:hint="default"/>
          <w:b w:val="0"/>
          <w:bCs/>
          <w:sz w:val="24"/>
          <w:u w:val="none"/>
          <w:lang w:val="en-US" w:eastAsia="zh-CN"/>
        </w:rPr>
      </w:pPr>
      <w:r>
        <w:rPr>
          <w:rFonts w:hint="eastAsia"/>
          <w:b w:val="0"/>
          <w:bCs/>
          <w:sz w:val="24"/>
          <w:u w:val="none"/>
          <w:lang w:val="en-US" w:eastAsia="zh-CN"/>
        </w:rPr>
        <w:t>（1）地层岩性</w:t>
      </w:r>
    </w:p>
    <w:p>
      <w:pPr>
        <w:topLinePunct/>
        <w:spacing w:line="360" w:lineRule="auto"/>
        <w:rPr>
          <w:rFonts w:hint="eastAsia"/>
          <w:b w:val="0"/>
          <w:bCs/>
          <w:sz w:val="24"/>
          <w:u w:val="none"/>
          <w:lang w:val="en-US" w:eastAsia="zh-CN"/>
        </w:rPr>
      </w:pPr>
      <w:r>
        <w:rPr>
          <w:rFonts w:hint="eastAsia"/>
          <w:b w:val="0"/>
          <w:bCs/>
          <w:sz w:val="24"/>
          <w:u w:val="none"/>
          <w:lang w:val="en-US" w:eastAsia="zh-CN"/>
        </w:rPr>
        <w:t>旺苍县境内地质构造主体为米仓山东西向构造带，其次是四川盆地边缘弧形构造带，二者特征如下：</w:t>
      </w:r>
    </w:p>
    <w:p>
      <w:pPr>
        <w:topLinePunct/>
        <w:spacing w:line="360" w:lineRule="auto"/>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1 \* GB3 \* MERGEFORMAT </w:instrText>
      </w:r>
      <w:r>
        <w:rPr>
          <w:rFonts w:hint="eastAsia"/>
          <w:b w:val="0"/>
          <w:bCs/>
          <w:sz w:val="24"/>
          <w:u w:val="none"/>
          <w:lang w:val="en-US" w:eastAsia="zh-CN"/>
        </w:rPr>
        <w:fldChar w:fldCharType="separate"/>
      </w:r>
      <w:r>
        <w:t>①</w:t>
      </w:r>
      <w:r>
        <w:rPr>
          <w:rFonts w:hint="eastAsia"/>
          <w:b w:val="0"/>
          <w:bCs/>
          <w:sz w:val="24"/>
          <w:u w:val="none"/>
          <w:lang w:val="en-US" w:eastAsia="zh-CN"/>
        </w:rPr>
        <w:fldChar w:fldCharType="end"/>
      </w:r>
      <w:r>
        <w:rPr>
          <w:rFonts w:hint="eastAsia"/>
          <w:b w:val="0"/>
          <w:bCs/>
          <w:sz w:val="24"/>
          <w:u w:val="none"/>
          <w:lang w:val="en-US" w:eastAsia="zh-CN"/>
        </w:rPr>
        <w:t>米仓山东西构造带</w:t>
      </w:r>
    </w:p>
    <w:p>
      <w:pPr>
        <w:topLinePunct/>
        <w:spacing w:line="360" w:lineRule="auto"/>
        <w:rPr>
          <w:rFonts w:hint="eastAsia"/>
          <w:b w:val="0"/>
          <w:bCs/>
          <w:sz w:val="24"/>
          <w:u w:val="none"/>
          <w:lang w:val="en-US" w:eastAsia="zh-CN"/>
        </w:rPr>
      </w:pPr>
      <w:r>
        <w:rPr>
          <w:rFonts w:hint="eastAsia"/>
          <w:b w:val="0"/>
          <w:bCs/>
          <w:sz w:val="24"/>
          <w:u w:val="none"/>
          <w:lang w:val="en-US" w:eastAsia="zh-CN"/>
        </w:rPr>
        <w:t>米仓山东西向构造带在旺苍县北部地区，属秦岭东西向构造体系南缘的组成部分，主要是一系列东西向不对称的短轴褶曲，部分为复式褶皱，同时在东北部基底古老地段边缘伴生了东西向压性冲断层。</w:t>
      </w:r>
    </w:p>
    <w:p>
      <w:pPr>
        <w:topLinePunct/>
        <w:spacing w:line="360" w:lineRule="auto"/>
        <w:rPr>
          <w:rFonts w:hint="eastAsia"/>
          <w:b w:val="0"/>
          <w:bCs/>
          <w:sz w:val="24"/>
          <w:u w:val="none"/>
          <w:lang w:val="en-US" w:eastAsia="zh-CN"/>
        </w:rPr>
      </w:pPr>
      <w:r>
        <w:rPr>
          <w:rFonts w:hint="eastAsia"/>
          <w:b w:val="0"/>
          <w:bCs/>
          <w:sz w:val="24"/>
          <w:u w:val="none"/>
          <w:lang w:val="en-US" w:eastAsia="zh-CN"/>
        </w:rPr>
        <w:t>主要褶皱构造有：福庆场复背斜、吴家垭背斜、中子山复背斜和大两会背斜等，褶皱轴线走向为东西向，轴面倾向北。主要断裂为干河坝断裂和大河坝断裂，走向北60~70°东或近东西向，以压性或扭性为主，断裂面一般倾向北。</w:t>
      </w:r>
    </w:p>
    <w:p>
      <w:pPr>
        <w:topLinePunct/>
        <w:spacing w:line="360" w:lineRule="auto"/>
        <w:rPr>
          <w:rFonts w:hint="eastAsia"/>
          <w:b w:val="0"/>
          <w:bCs/>
          <w:sz w:val="24"/>
          <w:u w:val="none"/>
          <w:lang w:val="en-US" w:eastAsia="zh-CN"/>
        </w:rPr>
      </w:pPr>
      <w:r>
        <w:rPr>
          <w:rFonts w:hint="default"/>
          <w:b w:val="0"/>
          <w:bCs/>
          <w:sz w:val="24"/>
          <w:u w:val="none"/>
          <w:lang w:val="en-US" w:eastAsia="zh-CN"/>
        </w:rPr>
        <w:fldChar w:fldCharType="begin"/>
      </w:r>
      <w:r>
        <w:rPr>
          <w:rFonts w:hint="default"/>
          <w:b w:val="0"/>
          <w:bCs/>
          <w:sz w:val="24"/>
          <w:u w:val="none"/>
          <w:lang w:val="en-US" w:eastAsia="zh-CN"/>
        </w:rPr>
        <w:instrText xml:space="preserve"> = 2 \* GB3 \* MERGEFORMAT </w:instrText>
      </w:r>
      <w:r>
        <w:rPr>
          <w:rFonts w:hint="default"/>
          <w:b w:val="0"/>
          <w:bCs/>
          <w:sz w:val="24"/>
          <w:u w:val="none"/>
          <w:lang w:val="en-US" w:eastAsia="zh-CN"/>
        </w:rPr>
        <w:fldChar w:fldCharType="separate"/>
      </w:r>
      <w:r>
        <w:t>②</w:t>
      </w:r>
      <w:r>
        <w:rPr>
          <w:rFonts w:hint="default"/>
          <w:b w:val="0"/>
          <w:bCs/>
          <w:sz w:val="24"/>
          <w:u w:val="none"/>
          <w:lang w:val="en-US" w:eastAsia="zh-CN"/>
        </w:rPr>
        <w:fldChar w:fldCharType="end"/>
      </w:r>
      <w:r>
        <w:rPr>
          <w:rFonts w:hint="eastAsia"/>
          <w:b w:val="0"/>
          <w:bCs/>
          <w:sz w:val="24"/>
          <w:u w:val="none"/>
          <w:lang w:val="en-US" w:eastAsia="zh-CN"/>
        </w:rPr>
        <w:t>四川盆地边缘弧形构造带</w:t>
      </w:r>
    </w:p>
    <w:p>
      <w:pPr>
        <w:topLinePunct/>
        <w:spacing w:line="360" w:lineRule="auto"/>
        <w:rPr>
          <w:rFonts w:hint="eastAsia"/>
          <w:b w:val="0"/>
          <w:bCs/>
          <w:sz w:val="24"/>
          <w:u w:val="none"/>
          <w:lang w:val="en-US" w:eastAsia="zh-CN"/>
        </w:rPr>
      </w:pPr>
      <w:r>
        <w:rPr>
          <w:rFonts w:hint="eastAsia"/>
          <w:b w:val="0"/>
          <w:bCs/>
          <w:sz w:val="24"/>
          <w:u w:val="none"/>
          <w:lang w:val="en-US" w:eastAsia="zh-CN"/>
        </w:rPr>
        <w:t>四川盆地边缘弧形构造带在旺苍县南部地区，为四川盆地弧形构造体系北缘组成部分。主要是走向北70°东左右的宽缓褶皱，构造简单。岩层产状平缓，断裂不发育，主要发育两组构造裂隙，北东-北东动向裂隙为压（扭）性，北西-北北西向裂隙为张性，两组裂隙相互切割。</w:t>
      </w:r>
    </w:p>
    <w:p>
      <w:pPr>
        <w:topLinePunct/>
        <w:spacing w:line="360" w:lineRule="auto"/>
        <w:rPr>
          <w:rFonts w:hint="eastAsia"/>
          <w:b w:val="0"/>
          <w:bCs/>
          <w:sz w:val="24"/>
          <w:u w:val="none"/>
          <w:lang w:val="en-US" w:eastAsia="zh-CN"/>
        </w:rPr>
      </w:pPr>
      <w:r>
        <w:rPr>
          <w:rFonts w:hint="eastAsia"/>
          <w:b w:val="0"/>
          <w:bCs/>
          <w:sz w:val="24"/>
          <w:u w:val="none"/>
          <w:lang w:val="en-US" w:eastAsia="zh-CN"/>
        </w:rPr>
        <w:t>本项目选址于嘉川镇石桥村，地质构造属于四川盆地边缘弧形构造带，构造简单，岩层产状平缓，断裂不发育。</w:t>
      </w:r>
    </w:p>
    <w:p>
      <w:pPr>
        <w:topLinePunct/>
        <w:spacing w:line="360" w:lineRule="auto"/>
        <w:rPr>
          <w:b/>
          <w:sz w:val="24"/>
          <w:u w:val="none"/>
        </w:rPr>
      </w:pPr>
      <w:r>
        <w:rPr>
          <w:rFonts w:hint="eastAsia"/>
          <w:b/>
          <w:sz w:val="24"/>
          <w:u w:val="none"/>
          <w:lang w:val="en-US" w:eastAsia="zh-CN"/>
        </w:rPr>
        <w:t>5</w:t>
      </w:r>
      <w:r>
        <w:rPr>
          <w:b/>
          <w:sz w:val="24"/>
          <w:u w:val="none"/>
        </w:rPr>
        <w:t>.</w:t>
      </w:r>
      <w:r>
        <w:rPr>
          <w:rFonts w:hint="eastAsia"/>
          <w:b/>
          <w:sz w:val="24"/>
          <w:u w:val="none"/>
          <w:lang w:val="en-US" w:eastAsia="zh-CN"/>
        </w:rPr>
        <w:t>1</w:t>
      </w:r>
      <w:r>
        <w:rPr>
          <w:b/>
          <w:sz w:val="24"/>
          <w:u w:val="none"/>
        </w:rPr>
        <w:t>.</w:t>
      </w:r>
      <w:r>
        <w:rPr>
          <w:rFonts w:hint="eastAsia"/>
          <w:b/>
          <w:sz w:val="24"/>
          <w:u w:val="none"/>
          <w:lang w:val="en-US" w:eastAsia="zh-CN"/>
        </w:rPr>
        <w:t>3</w:t>
      </w:r>
      <w:r>
        <w:rPr>
          <w:b/>
          <w:sz w:val="24"/>
          <w:u w:val="none"/>
        </w:rPr>
        <w:t>气候</w:t>
      </w:r>
      <w:r>
        <w:rPr>
          <w:rFonts w:hint="eastAsia"/>
          <w:b/>
          <w:sz w:val="24"/>
          <w:u w:val="none"/>
          <w:lang w:eastAsia="zh-CN"/>
        </w:rPr>
        <w:t>、</w:t>
      </w:r>
      <w:r>
        <w:rPr>
          <w:b/>
          <w:sz w:val="24"/>
          <w:u w:val="none"/>
        </w:rPr>
        <w:t>气象</w:t>
      </w:r>
    </w:p>
    <w:p>
      <w:pPr>
        <w:spacing w:line="360" w:lineRule="auto"/>
        <w:ind w:firstLine="480" w:firstLineChars="200"/>
        <w:rPr>
          <w:rFonts w:ascii="Times New Roman" w:hAnsi="Times New Roman" w:eastAsia="宋体"/>
        </w:rPr>
      </w:pPr>
      <w:r>
        <w:rPr>
          <w:rFonts w:ascii="Times New Roman" w:hAnsi="Times New Roman" w:eastAsia="宋体"/>
        </w:rPr>
        <w:t>根据广元气象站近30 年资料分析提供的情况表明，该地区属亚热带湿润季风气候，冬季寒冷，夏季炎热，四季分明，多年平均气温为16</w:t>
      </w:r>
      <w:r>
        <w:rPr>
          <w:rFonts w:hint="eastAsia" w:hAnsi="宋体" w:eastAsia="宋体" w:cs="宋体"/>
        </w:rPr>
        <w:t>℃</w:t>
      </w:r>
      <w:r>
        <w:rPr>
          <w:rFonts w:ascii="Times New Roman" w:hAnsi="Times New Roman" w:eastAsia="宋体"/>
        </w:rPr>
        <w:t>，年平均降水量1058.4毫米。多风是广元地区气候的主要特征之一，风的季节性较强，冬春风大。持续时间长，常年主要导风向为N、NNE。平均风速为1.2米/秒，最大风速28.7米/秒，静风频率47.8%，多年平均相对湿度为68%，平均无霜期270天。旺苍属中亚热带湿润季风气候，因特殊的地理地貌影响，四季分明，雨量充沛，光热资源丰富,无霜期较长，山地气候明显。</w:t>
      </w:r>
    </w:p>
    <w:p>
      <w:pPr>
        <w:spacing w:line="360" w:lineRule="auto"/>
        <w:ind w:firstLine="480" w:firstLineChars="200"/>
        <w:rPr>
          <w:rFonts w:ascii="Times New Roman" w:hAnsi="Times New Roman" w:eastAsia="宋体"/>
        </w:rPr>
      </w:pPr>
      <w:r>
        <w:rPr>
          <w:rFonts w:ascii="Times New Roman" w:hAnsi="Times New Roman" w:eastAsia="宋体"/>
        </w:rPr>
        <w:t>全年平均气温16.1</w:t>
      </w:r>
      <w:r>
        <w:rPr>
          <w:rFonts w:hint="eastAsia" w:hAnsi="宋体" w:eastAsia="宋体" w:cs="宋体"/>
        </w:rPr>
        <w:t>℃</w:t>
      </w:r>
      <w:r>
        <w:rPr>
          <w:rFonts w:ascii="Times New Roman" w:hAnsi="Times New Roman" w:eastAsia="宋体"/>
        </w:rPr>
        <w:t>，历年最高气温39.0</w:t>
      </w:r>
      <w:r>
        <w:rPr>
          <w:rFonts w:hint="eastAsia" w:hAnsi="宋体" w:eastAsia="宋体" w:cs="宋体"/>
        </w:rPr>
        <w:t>℃</w:t>
      </w:r>
      <w:r>
        <w:rPr>
          <w:rFonts w:ascii="Times New Roman" w:hAnsi="Times New Roman" w:eastAsia="宋体"/>
        </w:rPr>
        <w:t>，出现在二零零一年七月十四日；历年最低气温为－7.2</w:t>
      </w:r>
      <w:r>
        <w:rPr>
          <w:rFonts w:hint="eastAsia" w:hAnsi="宋体" w:eastAsia="宋体" w:cs="宋体"/>
        </w:rPr>
        <w:t>℃</w:t>
      </w:r>
      <w:r>
        <w:rPr>
          <w:rFonts w:ascii="Times New Roman" w:hAnsi="Times New Roman" w:eastAsia="宋体"/>
        </w:rPr>
        <w:t>，出现在一九七五年十二月十五日；全年无霜期260天，年平均降雨量1058.4mm，年最多降雨量为2092.4mm，出现在一九八一年，年最少降雨量为728.8mm，出现在一九七九年，历年年平均日照时数为1355.3小时。</w:t>
      </w:r>
    </w:p>
    <w:p>
      <w:pPr>
        <w:spacing w:line="360" w:lineRule="auto"/>
        <w:ind w:firstLine="480" w:firstLineChars="200"/>
        <w:rPr>
          <w:rFonts w:ascii="Times New Roman" w:hAnsi="Times New Roman" w:eastAsia="宋体"/>
        </w:rPr>
      </w:pPr>
      <w:r>
        <w:rPr>
          <w:rFonts w:ascii="Times New Roman" w:hAnsi="Times New Roman" w:eastAsia="宋体"/>
        </w:rPr>
        <w:t>项目区气象要素及暴雨特征值见下表</w:t>
      </w:r>
      <w:r>
        <w:rPr>
          <w:rFonts w:hint="eastAsia" w:ascii="Times New Roman" w:hAnsi="Times New Roman" w:eastAsia="宋体"/>
          <w:lang w:val="en-US" w:eastAsia="zh-CN"/>
        </w:rPr>
        <w:t>5-1</w:t>
      </w:r>
      <w:r>
        <w:rPr>
          <w:rFonts w:ascii="Times New Roman" w:hAnsi="Times New Roman" w:eastAsia="宋体"/>
        </w:rPr>
        <w:t>。</w:t>
      </w:r>
    </w:p>
    <w:p>
      <w:pPr>
        <w:pStyle w:val="352"/>
        <w:rPr>
          <w:rFonts w:hint="eastAsia"/>
          <w:b/>
          <w:bCs/>
          <w:u w:val="none"/>
          <w:lang w:val="en-US" w:eastAsia="zh-CN"/>
        </w:rPr>
      </w:pPr>
      <w:r>
        <w:rPr>
          <w:rFonts w:hint="eastAsia"/>
          <w:b/>
          <w:bCs/>
          <w:u w:val="none"/>
          <w:lang w:val="en-US" w:eastAsia="zh-CN"/>
        </w:rPr>
        <w:t>表5-1  项目区气象特征表</w:t>
      </w:r>
    </w:p>
    <w:tbl>
      <w:tblPr>
        <w:tblStyle w:val="58"/>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气象因子</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年平均气温（</w:t>
            </w:r>
            <w:r>
              <w:rPr>
                <w:rFonts w:hint="eastAsia"/>
              </w:rPr>
              <w:t>℃</w:t>
            </w:r>
            <w:r>
              <w:rPr>
                <w:rFonts w:hint="default"/>
              </w:rPr>
              <w:t>）</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极端最高气温（</w:t>
            </w:r>
            <w:r>
              <w:rPr>
                <w:rFonts w:hint="eastAsia"/>
              </w:rPr>
              <w:t>℃</w:t>
            </w:r>
            <w:r>
              <w:rPr>
                <w:rFonts w:hint="default"/>
              </w:rPr>
              <w:t>）</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极端最低气温（</w:t>
            </w:r>
            <w:r>
              <w:rPr>
                <w:rFonts w:hint="eastAsia"/>
              </w:rPr>
              <w:t>℃</w:t>
            </w:r>
            <w:r>
              <w:rPr>
                <w:rFonts w:hint="default"/>
              </w:rPr>
              <w:t>）</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≥10</w:t>
            </w:r>
            <w:r>
              <w:rPr>
                <w:rFonts w:hint="eastAsia"/>
              </w:rPr>
              <w:t>℃</w:t>
            </w:r>
            <w:r>
              <w:rPr>
                <w:rFonts w:hint="default"/>
              </w:rPr>
              <w:t>积温（</w:t>
            </w:r>
            <w:r>
              <w:rPr>
                <w:rFonts w:hint="eastAsia"/>
              </w:rPr>
              <w:t>℃</w:t>
            </w:r>
            <w:r>
              <w:rPr>
                <w:rFonts w:hint="default"/>
              </w:rPr>
              <w:t>）</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5083.1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无霜期（天）</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年平均降雨量（mm）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1058.4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年最多降雨量（mm）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年最少降雨量（mm）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10年一遇24h特征降水量（mm）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10年一遇6h特征降水量（mm）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10年一遇1h特征降水量（mm）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10年一遇1/6h特征降水量（mm）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20年一遇24h特征降水量（mm）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20年一遇6h特征降水量（mm）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20年一遇1h特征降水量（mm）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20年一遇1/6h特征降水量（mm）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年均蒸发量（mm）</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1480.2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年平均风速（m/s）</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最大风速（m/s）</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980" w:type="dxa"/>
            <w:noWrap w:val="0"/>
            <w:vAlign w:val="center"/>
          </w:tcPr>
          <w:p>
            <w:pPr>
              <w:pStyle w:val="352"/>
              <w:keepNext w:val="0"/>
              <w:keepLines w:val="0"/>
              <w:suppressLineNumbers w:val="0"/>
              <w:bidi w:val="0"/>
              <w:spacing w:before="0" w:beforeAutospacing="0" w:after="0" w:afterAutospacing="0"/>
              <w:ind w:left="0" w:right="0"/>
              <w:rPr>
                <w:rFonts w:hint="default"/>
              </w:rPr>
            </w:pPr>
            <w:r>
              <w:rPr>
                <w:rFonts w:hint="default"/>
              </w:rPr>
              <w:t>主导风向</w:t>
            </w:r>
          </w:p>
        </w:tc>
        <w:tc>
          <w:tcPr>
            <w:tcW w:w="4360" w:type="dxa"/>
            <w:noWrap w:val="0"/>
            <w:vAlign w:val="center"/>
          </w:tcPr>
          <w:p>
            <w:pPr>
              <w:pStyle w:val="352"/>
              <w:keepNext w:val="0"/>
              <w:keepLines w:val="0"/>
              <w:suppressLineNumbers w:val="0"/>
              <w:bidi w:val="0"/>
              <w:spacing w:before="0" w:beforeAutospacing="0" w:after="0" w:afterAutospacing="0"/>
              <w:ind w:left="0" w:right="0"/>
              <w:rPr>
                <w:rFonts w:hint="default"/>
                <w:b w:val="0"/>
                <w:bCs/>
              </w:rPr>
            </w:pPr>
            <w:r>
              <w:rPr>
                <w:rFonts w:hint="default"/>
                <w:b w:val="0"/>
                <w:bCs/>
              </w:rPr>
              <w:t>偏北风</w:t>
            </w:r>
          </w:p>
        </w:tc>
      </w:tr>
    </w:tbl>
    <w:p>
      <w:pPr>
        <w:rPr>
          <w:rFonts w:ascii="Times New Roman" w:hAnsi="Times New Roman" w:eastAsia="宋体"/>
          <w:b/>
          <w:sz w:val="21"/>
          <w:szCs w:val="21"/>
        </w:rPr>
      </w:pPr>
      <w:r>
        <w:rPr>
          <w:rFonts w:ascii="Times New Roman" w:hAnsi="Times New Roman" w:eastAsia="宋体"/>
          <w:b/>
          <w:sz w:val="21"/>
          <w:szCs w:val="21"/>
        </w:rPr>
        <w:t>说明：暴雨特征值参考《四川省中小流域暴雨洪水计算手册》计算得出。</w:t>
      </w:r>
    </w:p>
    <w:p>
      <w:pPr>
        <w:topLinePunct/>
        <w:spacing w:line="360" w:lineRule="auto"/>
        <w:rPr>
          <w:b/>
          <w:sz w:val="24"/>
          <w:u w:val="none"/>
        </w:rPr>
      </w:pPr>
      <w:r>
        <w:rPr>
          <w:rFonts w:hint="eastAsia"/>
          <w:b/>
          <w:sz w:val="24"/>
          <w:u w:val="none"/>
          <w:lang w:val="en-US" w:eastAsia="zh-CN"/>
        </w:rPr>
        <w:t>5</w:t>
      </w:r>
      <w:r>
        <w:rPr>
          <w:b/>
          <w:sz w:val="24"/>
          <w:u w:val="none"/>
        </w:rPr>
        <w:t>.</w:t>
      </w:r>
      <w:r>
        <w:rPr>
          <w:rFonts w:hint="eastAsia"/>
          <w:b/>
          <w:sz w:val="24"/>
          <w:u w:val="none"/>
          <w:lang w:val="en-US" w:eastAsia="zh-CN"/>
        </w:rPr>
        <w:t>1</w:t>
      </w:r>
      <w:r>
        <w:rPr>
          <w:b/>
          <w:sz w:val="24"/>
          <w:u w:val="none"/>
        </w:rPr>
        <w:t>.</w:t>
      </w:r>
      <w:r>
        <w:rPr>
          <w:rFonts w:hint="eastAsia"/>
          <w:b/>
          <w:sz w:val="24"/>
          <w:u w:val="none"/>
          <w:lang w:val="en-US" w:eastAsia="zh-CN"/>
        </w:rPr>
        <w:t>4</w:t>
      </w:r>
      <w:r>
        <w:rPr>
          <w:b/>
          <w:sz w:val="24"/>
          <w:u w:val="none"/>
        </w:rPr>
        <w:t>河流与水文特征</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1、地表水</w:t>
      </w:r>
    </w:p>
    <w:p>
      <w:pPr>
        <w:spacing w:line="360" w:lineRule="auto"/>
        <w:ind w:firstLine="469"/>
        <w:rPr>
          <w:rFonts w:hint="eastAsia"/>
          <w:spacing w:val="0"/>
          <w:kern w:val="1"/>
          <w:sz w:val="24"/>
          <w:szCs w:val="24"/>
          <w:lang w:val="en-US" w:eastAsia="zh-CN"/>
        </w:rPr>
      </w:pPr>
      <w:r>
        <w:rPr>
          <w:rFonts w:hint="eastAsia"/>
          <w:spacing w:val="0"/>
          <w:kern w:val="1"/>
          <w:sz w:val="24"/>
          <w:szCs w:val="24"/>
          <w:lang w:eastAsia="zh-CN"/>
        </w:rPr>
        <w:t>旺苍县境内沟谷发育，水网密布，河流主要有东河、木门河和寨巴河，前者汇入嘉陵江干流，后两者汇入渠江干流。根据收集到的水文资料，旺苍县境内河流流域面积共</w:t>
      </w:r>
      <w:r>
        <w:rPr>
          <w:rFonts w:hint="eastAsia"/>
          <w:spacing w:val="0"/>
          <w:kern w:val="1"/>
          <w:sz w:val="24"/>
          <w:szCs w:val="24"/>
          <w:lang w:val="en-US" w:eastAsia="zh-CN"/>
        </w:rPr>
        <w:t>2976km²，占幅员面积的99.1%。</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（1）东河</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纵贯县境中、西部，源分两支，东支名东河，发源于四川省南江县境，西支名西河，发源于陕西省南郑县，经宁强县东南隅后入境，在双汇镇与东支汇合后称东河，至张华镇张家湾出境入苍溪县境。东河全长266.2km，流域面积约4752.8km²，多年平均流量约97.72m³/s，年径流深约648mm，在县境内干流长151km，流域面积210.7km²，占幅员面积的70.1%，平均比降为6.83‰。</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（2）木门河</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纵穿县境东部，发源于县境东北九指山，经大两、三江后在木门镇汇入白河，至张家河入南江县境，县境内干流长46km，流域面积791km²，占幅员面积的26.3%，多年平均流量17.47m³/s。</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（3）寨巴河</w:t>
      </w:r>
    </w:p>
    <w:p>
      <w:pPr>
        <w:spacing w:line="360" w:lineRule="auto"/>
        <w:ind w:firstLine="469"/>
        <w:rPr>
          <w:rFonts w:hint="eastAsia"/>
          <w:spacing w:val="0"/>
          <w:kern w:val="1"/>
          <w:sz w:val="24"/>
          <w:szCs w:val="24"/>
          <w:lang w:val="en-US" w:eastAsia="zh-CN"/>
        </w:rPr>
      </w:pPr>
      <w:r>
        <w:rPr>
          <w:rFonts w:hint="eastAsia"/>
          <w:spacing w:val="0"/>
          <w:kern w:val="1"/>
          <w:sz w:val="24"/>
          <w:szCs w:val="24"/>
          <w:lang w:val="en-US" w:eastAsia="zh-CN"/>
        </w:rPr>
        <w:t>纵穿县境东北隅，发源于县境东北云家梁上，经五权、金溪后在东坝入南江县境。县境内干流长22km，流域面积78km²，占幅员面积的2.6%，多年平均流量0.39m³/s。</w:t>
      </w:r>
    </w:p>
    <w:p>
      <w:pPr>
        <w:spacing w:line="360" w:lineRule="auto"/>
        <w:ind w:firstLine="469"/>
        <w:rPr>
          <w:color w:val="000000"/>
        </w:rPr>
      </w:pPr>
      <w:r>
        <w:rPr>
          <w:rFonts w:hint="eastAsia"/>
          <w:spacing w:val="0"/>
          <w:kern w:val="1"/>
          <w:sz w:val="24"/>
          <w:szCs w:val="24"/>
        </w:rPr>
        <w:t>项目处于四川省东北部旺苍县</w:t>
      </w:r>
      <w:r>
        <w:rPr>
          <w:rFonts w:hint="eastAsia"/>
          <w:spacing w:val="0"/>
          <w:kern w:val="1"/>
          <w:sz w:val="24"/>
          <w:szCs w:val="24"/>
          <w:lang w:eastAsia="zh-CN"/>
        </w:rPr>
        <w:t>嘉川镇石桥村</w:t>
      </w:r>
      <w:r>
        <w:rPr>
          <w:rFonts w:hint="eastAsia"/>
          <w:spacing w:val="0"/>
          <w:kern w:val="1"/>
          <w:sz w:val="24"/>
          <w:szCs w:val="24"/>
        </w:rPr>
        <w:t>，</w:t>
      </w:r>
      <w:r>
        <w:rPr>
          <w:color w:val="000000"/>
        </w:rPr>
        <w:t>本项目所在地地表水体为小沟渠，流经约1km后进入东河，其评价河段水体功能为工农业用水</w:t>
      </w:r>
      <w:r>
        <w:rPr>
          <w:rFonts w:hint="eastAsia"/>
          <w:color w:val="000000"/>
          <w:lang w:eastAsia="zh-CN"/>
        </w:rPr>
        <w:t>，周边水系情况详见下图</w:t>
      </w:r>
      <w:r>
        <w:rPr>
          <w:color w:val="000000"/>
        </w:rPr>
        <w:t>。</w:t>
      </w:r>
    </w:p>
    <w:tbl>
      <w:tblPr>
        <w:tblStyle w:val="5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drawing>
                <wp:inline distT="0" distB="0" distL="114300" distR="114300">
                  <wp:extent cx="4030980" cy="3239770"/>
                  <wp:effectExtent l="9525" t="9525" r="17145" b="27305"/>
                  <wp:docPr id="6" name="图片 6" descr="周边水系——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边水系——制图"/>
                          <pic:cNvPicPr>
                            <a:picLocks noChangeAspect="1"/>
                          </pic:cNvPicPr>
                        </pic:nvPicPr>
                        <pic:blipFill>
                          <a:blip r:embed="rId31"/>
                          <a:srcRect t="5147" b="5554"/>
                          <a:stretch>
                            <a:fillRect/>
                          </a:stretch>
                        </pic:blipFill>
                        <pic:spPr>
                          <a:xfrm>
                            <a:off x="0" y="0"/>
                            <a:ext cx="4030980" cy="3239770"/>
                          </a:xfrm>
                          <a:prstGeom prst="rect">
                            <a:avLst/>
                          </a:prstGeom>
                          <a:ln>
                            <a:solidFill>
                              <a:srgbClr val="0000FF"/>
                            </a:solidFill>
                          </a:ln>
                        </pic:spPr>
                      </pic:pic>
                    </a:graphicData>
                  </a:graphic>
                </wp:inline>
              </w:drawing>
            </w:r>
          </w:p>
        </w:tc>
      </w:tr>
    </w:tbl>
    <w:p>
      <w:pPr>
        <w:pStyle w:val="352"/>
        <w:rPr>
          <w:rFonts w:hint="default"/>
          <w:b/>
          <w:bCs/>
          <w:u w:val="none"/>
          <w:lang w:val="en-US" w:eastAsia="zh-CN"/>
        </w:rPr>
      </w:pPr>
      <w:r>
        <w:rPr>
          <w:rFonts w:hint="eastAsia"/>
          <w:b/>
          <w:bCs/>
          <w:u w:val="none"/>
          <w:lang w:val="en-US" w:eastAsia="zh-CN"/>
        </w:rPr>
        <w:t>图5-2  项目周边水系图</w:t>
      </w:r>
    </w:p>
    <w:p>
      <w:pPr>
        <w:spacing w:line="360" w:lineRule="auto"/>
        <w:ind w:firstLine="469"/>
        <w:rPr>
          <w:color w:val="000000"/>
        </w:rPr>
      </w:pPr>
      <w:r>
        <w:rPr>
          <w:rFonts w:hint="eastAsia"/>
          <w:color w:val="000000"/>
          <w:lang w:eastAsia="zh-CN"/>
        </w:rPr>
        <w:t>根据调查，拟建</w:t>
      </w:r>
      <w:r>
        <w:rPr>
          <w:color w:val="000000"/>
        </w:rPr>
        <w:t>项目</w:t>
      </w:r>
      <w:r>
        <w:rPr>
          <w:rFonts w:hint="eastAsia"/>
          <w:color w:val="000000"/>
          <w:lang w:eastAsia="zh-CN"/>
        </w:rPr>
        <w:t>所在水体</w:t>
      </w:r>
      <w:r>
        <w:rPr>
          <w:color w:val="000000"/>
        </w:rPr>
        <w:t>下游无地表水集中饮用水取水口，不属于河流溯源地、饮用水源保护区；不属于自然保护区、风景区、旅游度假区；不属于文物保护区；不属于重要资源丰富区。</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2、地下水</w:t>
      </w:r>
    </w:p>
    <w:p>
      <w:pPr>
        <w:snapToGrid w:val="0"/>
        <w:spacing w:line="360" w:lineRule="auto"/>
        <w:ind w:firstLine="480" w:firstLineChars="200"/>
        <w:jc w:val="left"/>
        <w:rPr>
          <w:rFonts w:hint="eastAsia"/>
          <w:sz w:val="24"/>
          <w:szCs w:val="24"/>
          <w:lang w:eastAsia="zh-CN"/>
        </w:rPr>
      </w:pPr>
      <w:r>
        <w:rPr>
          <w:rFonts w:hint="eastAsia"/>
          <w:sz w:val="24"/>
          <w:szCs w:val="24"/>
          <w:lang w:eastAsia="zh-CN"/>
        </w:rPr>
        <w:t>旺苍县境内地下水类型主要是碳酸盐岩裂隙岩溶水和碎屑岩裂隙水，少量松散堆积层孔隙水、变质岩裂隙水和岩浆岩裂隙水。碳酸盐岩裂隙岩溶水集中分布在北部的米仓山地区，碎屑岩裂隙水主要部分在南部的四川盆地区。</w:t>
      </w:r>
    </w:p>
    <w:p>
      <w:pPr>
        <w:snapToGrid w:val="0"/>
        <w:spacing w:line="360" w:lineRule="auto"/>
        <w:ind w:firstLine="480" w:firstLineChars="200"/>
        <w:jc w:val="left"/>
        <w:rPr>
          <w:rFonts w:hint="eastAsia"/>
          <w:sz w:val="24"/>
          <w:szCs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）碳酸盐岩裂隙水</w:t>
      </w:r>
    </w:p>
    <w:p>
      <w:pPr>
        <w:snapToGrid w:val="0"/>
        <w:spacing w:line="360" w:lineRule="auto"/>
        <w:ind w:firstLine="480" w:firstLineChars="200"/>
        <w:jc w:val="left"/>
        <w:rPr>
          <w:rFonts w:hint="eastAsia"/>
          <w:sz w:val="24"/>
          <w:szCs w:val="24"/>
          <w:lang w:val="en-US" w:eastAsia="zh-CN"/>
        </w:rPr>
      </w:pPr>
      <w:r>
        <w:rPr>
          <w:rFonts w:hint="eastAsia"/>
          <w:sz w:val="24"/>
          <w:szCs w:val="24"/>
          <w:lang w:eastAsia="zh-CN"/>
        </w:rPr>
        <w:t>主要分布在东河以西地区及高阳镇、大两乡至五权镇一带，含水层集中在古生界至中生界三叠系的碳酸盐岩，大气降水补给为主，受岩溶作用，浅部水文交替较强，深部水循环缓慢甚至停止，地下水变化快，通常向境内的侵蚀基准面排泄。在岩溶强发育地段，泉水泄量一般</w:t>
      </w:r>
      <w:r>
        <w:rPr>
          <w:rFonts w:hint="eastAsia"/>
          <w:sz w:val="24"/>
          <w:szCs w:val="24"/>
          <w:lang w:val="en-US" w:eastAsia="zh-CN"/>
        </w:rPr>
        <w:t>10L/s，单井涌水量1000m³/d。</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由于碳酸盐岩的可溶性，地下水赋存条件好，地下水量较为丰富，在地下水的运移、径流、排泄过程中，碳酸盐岩受到溶蚀作用影响，容易形成溶洞、暗河、漏斗、洼地等岩溶地貌，在自然或认为因素作用下，松散土石体覆盖在溶蚀洞穴发育的可溶性岩层之上，在向洞穴转移过程中导致地面变形破坏，发生岩溶地面塌陷。</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（2）碎屑岩裂隙水</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大面积分布在南部的四川盆地区，含水层为侏罗系和白垩系砂、泥岩，主要受大气降水补给，地下水贮存在风化带裂隙、构造裂隙中，富水性差，水量贫乏，单井涌水量一般在50m³/d以下。北部米仓山区古生界至中生界三叠系碎屑岩裂隙水由于受构造作用，裂隙发育，岩石较破碎，地下水水富水性中等，泉水流量一般大于1L/s，单井涌水量100~500m³/d。</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县境内的低山丘陵地貌区大面积分布侏罗系、白垩系砾岩、砂岩、泥岩，地下水赋存条件差，地下水量贫乏。由于岩层风化作用强，风化裂隙发育，浅层风化裂隙水与大气降雨密不可分，地下水在浅层风化裂隙带相对活跃，因此，风化带裂隙水对斜坡表层的岩土体有较大的影响，对地质灾害特别是滑坡的发育起到重要作用。</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（3）松散堆积层孔隙水</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多数分布在嘉川镇、东河镇、三江镇等地区，主要是中部槽谷地带及其河流两侧的台地及斜坡地带，含水层为第四系冲洪积成因的砂砾卵石层、含泥的砂砾卵石层和中上更新统冰水堆积的含泥砾卵石层和残坡、崩坡积层碎块石土，这些地层岩性松散，易于大气降雨的渗透，地下水的补给主要来自大气降水和河水补给，沿斜坡向地势低洼的地方排泄，地下水水位变化大。</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斜坡表层堆积的残坡、崩坡积层碎块石土，因为岩性松散，渗透性佳，雨季降雨下渗，在下伏地层界面堆积，形成地下水活跃带，导致该界面岩土软化，抗剪强度削弱从而形成滑动面，使斜坡向不稳定方向发展而导致滑坡。</w:t>
      </w:r>
    </w:p>
    <w:p>
      <w:pPr>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（4）变质岩和岩浆岩裂隙水</w:t>
      </w:r>
    </w:p>
    <w:p>
      <w:pPr>
        <w:snapToGrid w:val="0"/>
        <w:spacing w:line="360" w:lineRule="auto"/>
        <w:ind w:firstLine="480" w:firstLineChars="200"/>
        <w:jc w:val="left"/>
        <w:rPr>
          <w:rFonts w:hint="default"/>
          <w:sz w:val="24"/>
          <w:szCs w:val="24"/>
          <w:lang w:val="en-US" w:eastAsia="zh-CN"/>
        </w:rPr>
      </w:pPr>
      <w:r>
        <w:rPr>
          <w:rFonts w:hint="eastAsia"/>
          <w:sz w:val="24"/>
          <w:szCs w:val="24"/>
          <w:lang w:val="en-US" w:eastAsia="zh-CN"/>
        </w:rPr>
        <w:t>集中分布在米仓山区东北部，变质岩裂隙水含水层为元古界千枚岩、板岩和变质砂岩、大理岩，富水性由岩性和构造影响，富水性通常是变质砂岩＞板岩＞千枚岩吗，构造作用强，裂隙发育地段地下水相对富集。泉流量一般为0.1~1L/s。岩浆岩裂隙水含水层为花岗岩、石英闪长岩等，主要由大气降水补给，地下水贫乏，泉流量一般为0.1L/s左右。</w:t>
      </w:r>
    </w:p>
    <w:p>
      <w:pPr>
        <w:snapToGrid w:val="0"/>
        <w:spacing w:line="360" w:lineRule="auto"/>
        <w:ind w:firstLine="480" w:firstLineChars="200"/>
        <w:jc w:val="left"/>
        <w:rPr>
          <w:rFonts w:hint="eastAsia"/>
          <w:sz w:val="24"/>
          <w:u w:val="none"/>
          <w:lang w:val="en-US" w:eastAsia="zh-CN"/>
        </w:rPr>
      </w:pPr>
      <w:r>
        <w:rPr>
          <w:rFonts w:hint="eastAsia"/>
          <w:sz w:val="24"/>
          <w:szCs w:val="24"/>
          <w:lang w:eastAsia="zh-CN"/>
        </w:rPr>
        <w:t>本项目选址</w:t>
      </w:r>
      <w:r>
        <w:rPr>
          <w:sz w:val="24"/>
          <w:szCs w:val="24"/>
        </w:rPr>
        <w:t>场地地下水主要为上部松散土层中的</w:t>
      </w:r>
      <w:r>
        <w:rPr>
          <w:rFonts w:hint="eastAsia"/>
          <w:sz w:val="24"/>
          <w:szCs w:val="24"/>
        </w:rPr>
        <w:t>少量</w:t>
      </w:r>
      <w:r>
        <w:rPr>
          <w:sz w:val="24"/>
          <w:szCs w:val="24"/>
        </w:rPr>
        <w:t>上层滞水</w:t>
      </w:r>
      <w:r>
        <w:rPr>
          <w:rFonts w:hint="eastAsia"/>
          <w:sz w:val="24"/>
          <w:szCs w:val="24"/>
        </w:rPr>
        <w:t>及</w:t>
      </w:r>
      <w:r>
        <w:rPr>
          <w:sz w:val="24"/>
          <w:szCs w:val="24"/>
        </w:rPr>
        <w:t>下伏基岩中的裂隙水</w:t>
      </w:r>
      <w:r>
        <w:rPr>
          <w:rFonts w:hint="eastAsia"/>
          <w:sz w:val="24"/>
          <w:szCs w:val="24"/>
        </w:rPr>
        <w:t>。</w:t>
      </w:r>
      <w:r>
        <w:rPr>
          <w:sz w:val="24"/>
          <w:szCs w:val="24"/>
        </w:rPr>
        <w:t>上层滞水靠大气降水补给，以蒸发和向下渗透方式排泄，其水量一般</w:t>
      </w:r>
      <w:r>
        <w:rPr>
          <w:rFonts w:hint="eastAsia"/>
          <w:sz w:val="24"/>
          <w:szCs w:val="24"/>
        </w:rPr>
        <w:t>不</w:t>
      </w:r>
      <w:r>
        <w:rPr>
          <w:sz w:val="24"/>
          <w:szCs w:val="24"/>
        </w:rPr>
        <w:t>大</w:t>
      </w:r>
      <w:r>
        <w:rPr>
          <w:rFonts w:hint="eastAsia"/>
          <w:sz w:val="24"/>
          <w:szCs w:val="24"/>
        </w:rPr>
        <w:t>，</w:t>
      </w:r>
      <w:r>
        <w:rPr>
          <w:sz w:val="24"/>
          <w:szCs w:val="24"/>
        </w:rPr>
        <w:t>受大气降水的影响，</w:t>
      </w:r>
      <w:r>
        <w:rPr>
          <w:rFonts w:hint="eastAsia"/>
          <w:sz w:val="24"/>
          <w:szCs w:val="24"/>
        </w:rPr>
        <w:t>季节性强，水位不连续、不稳定；</w:t>
      </w:r>
      <w:r>
        <w:rPr>
          <w:sz w:val="24"/>
          <w:szCs w:val="24"/>
        </w:rPr>
        <w:t>基岩裂隙水主要</w:t>
      </w:r>
      <w:r>
        <w:rPr>
          <w:rFonts w:hint="eastAsia"/>
          <w:sz w:val="24"/>
          <w:szCs w:val="24"/>
        </w:rPr>
        <w:t>分布于下伏基岩强风化层中，主要在地势较低地段分布，通过</w:t>
      </w:r>
      <w:r>
        <w:rPr>
          <w:sz w:val="24"/>
          <w:szCs w:val="24"/>
        </w:rPr>
        <w:t>地下径流方式补给</w:t>
      </w:r>
      <w:r>
        <w:rPr>
          <w:rFonts w:hint="eastAsia"/>
          <w:sz w:val="24"/>
          <w:szCs w:val="24"/>
        </w:rPr>
        <w:t>及</w:t>
      </w:r>
      <w:r>
        <w:rPr>
          <w:sz w:val="24"/>
          <w:szCs w:val="24"/>
        </w:rPr>
        <w:t>排泄，</w:t>
      </w:r>
      <w:r>
        <w:rPr>
          <w:rFonts w:hint="eastAsia"/>
          <w:sz w:val="24"/>
          <w:szCs w:val="24"/>
        </w:rPr>
        <w:t>其</w:t>
      </w:r>
      <w:r>
        <w:rPr>
          <w:sz w:val="24"/>
          <w:szCs w:val="24"/>
        </w:rPr>
        <w:t>水量受</w:t>
      </w:r>
      <w:r>
        <w:rPr>
          <w:rFonts w:hint="eastAsia"/>
          <w:sz w:val="24"/>
          <w:szCs w:val="24"/>
        </w:rPr>
        <w:t>地势及</w:t>
      </w:r>
      <w:r>
        <w:rPr>
          <w:sz w:val="24"/>
          <w:szCs w:val="24"/>
        </w:rPr>
        <w:t>裂隙</w:t>
      </w:r>
      <w:r>
        <w:rPr>
          <w:rFonts w:hint="eastAsia"/>
          <w:sz w:val="24"/>
          <w:szCs w:val="24"/>
        </w:rPr>
        <w:t>发育</w:t>
      </w:r>
      <w:r>
        <w:rPr>
          <w:sz w:val="24"/>
          <w:szCs w:val="24"/>
        </w:rPr>
        <w:t>程度</w:t>
      </w:r>
      <w:r>
        <w:rPr>
          <w:rFonts w:hint="eastAsia"/>
          <w:sz w:val="24"/>
          <w:szCs w:val="24"/>
        </w:rPr>
        <w:t>影响。</w:t>
      </w:r>
    </w:p>
    <w:p>
      <w:pPr>
        <w:topLinePunct/>
        <w:spacing w:line="360" w:lineRule="auto"/>
        <w:jc w:val="left"/>
        <w:rPr>
          <w:b/>
          <w:sz w:val="24"/>
          <w:u w:val="none"/>
        </w:rPr>
      </w:pPr>
      <w:r>
        <w:rPr>
          <w:rFonts w:hint="eastAsia"/>
          <w:b/>
          <w:sz w:val="24"/>
          <w:u w:val="none"/>
          <w:lang w:val="en-US" w:eastAsia="zh-CN"/>
        </w:rPr>
        <w:t>5</w:t>
      </w:r>
      <w:r>
        <w:rPr>
          <w:b/>
          <w:sz w:val="24"/>
          <w:u w:val="none"/>
        </w:rPr>
        <w:t>.</w:t>
      </w:r>
      <w:r>
        <w:rPr>
          <w:rFonts w:hint="eastAsia"/>
          <w:b/>
          <w:sz w:val="24"/>
          <w:u w:val="none"/>
          <w:lang w:val="en-US" w:eastAsia="zh-CN"/>
        </w:rPr>
        <w:t>1</w:t>
      </w:r>
      <w:r>
        <w:rPr>
          <w:b/>
          <w:sz w:val="24"/>
          <w:u w:val="none"/>
        </w:rPr>
        <w:t>.</w:t>
      </w:r>
      <w:r>
        <w:rPr>
          <w:rFonts w:hint="eastAsia"/>
          <w:b/>
          <w:sz w:val="24"/>
          <w:u w:val="none"/>
          <w:lang w:val="en-US" w:eastAsia="zh-CN"/>
        </w:rPr>
        <w:t>5土壤、植被、生物多样性等</w:t>
      </w:r>
    </w:p>
    <w:p>
      <w:pPr>
        <w:spacing w:line="360" w:lineRule="auto"/>
        <w:ind w:firstLine="482"/>
        <w:rPr>
          <w:rFonts w:ascii="Times New Roman" w:hAnsi="Times New Roman" w:eastAsia="宋体"/>
        </w:rPr>
      </w:pPr>
      <w:r>
        <w:rPr>
          <w:rFonts w:ascii="Times New Roman" w:hAnsi="Times New Roman" w:eastAsia="宋体"/>
        </w:rPr>
        <w:t>2017年，旺苍县自然保护区面积2.34万公顷。全县森林面积达到20.84万公顷，森林覆盖率为57.1%，比上年提高0.7个百分点。旺苍有植物4940种，其中灌木408种，经济林木17种，药材1500种（可收购318种）。名贵药材有天麻、麝香、熊胆等，杜仲、黄柏、厚朴质优量大，1998年被国家林业局命名为“全国名特优经济林杜仲之乡”。有7000余公顷的原始水青冈林，是世界水青冈属植物的起源和现代分布中心。根据调查，区内植被以灌木、乔木为主，覆盖率约85%。植被属亚热带中部常绿阔叶林，主要树种有马尾松、马桑、黄荆、红籽、山茶子等灌木，有芭茅、黄茅、丝草、蒿等草本植物。区内农作物主要以玉米、水稻、大豆及红薯为主。</w:t>
      </w:r>
    </w:p>
    <w:p>
      <w:pPr>
        <w:topLinePunct/>
        <w:spacing w:line="360" w:lineRule="auto"/>
        <w:jc w:val="left"/>
        <w:rPr>
          <w:rFonts w:hint="eastAsia"/>
          <w:b/>
          <w:sz w:val="24"/>
          <w:u w:val="none"/>
          <w:lang w:val="en-US" w:eastAsia="zh-CN"/>
        </w:rPr>
      </w:pPr>
      <w:r>
        <w:rPr>
          <w:rFonts w:hint="eastAsia"/>
          <w:b/>
          <w:sz w:val="24"/>
          <w:u w:val="none"/>
          <w:lang w:val="en-US" w:eastAsia="zh-CN"/>
        </w:rPr>
        <w:t>5.1.6自然资源</w:t>
      </w:r>
    </w:p>
    <w:p>
      <w:pPr>
        <w:spacing w:line="360" w:lineRule="auto"/>
        <w:ind w:firstLine="482"/>
        <w:rPr>
          <w:rFonts w:ascii="Times New Roman" w:hAnsi="Times New Roman" w:eastAsia="宋体"/>
          <w:b/>
        </w:rPr>
      </w:pPr>
      <w:r>
        <w:rPr>
          <w:rFonts w:hint="eastAsia" w:hAnsi="宋体" w:eastAsia="宋体" w:cs="宋体"/>
          <w:b/>
          <w:lang w:val="en-US" w:eastAsia="zh-CN"/>
        </w:rPr>
        <w:t>1、</w:t>
      </w:r>
      <w:r>
        <w:rPr>
          <w:rFonts w:ascii="Times New Roman" w:hAnsi="Times New Roman" w:eastAsia="宋体"/>
          <w:b/>
        </w:rPr>
        <w:t>水资源</w:t>
      </w:r>
    </w:p>
    <w:p>
      <w:pPr>
        <w:spacing w:line="360" w:lineRule="auto"/>
        <w:ind w:firstLine="482"/>
        <w:rPr>
          <w:rFonts w:ascii="Times New Roman" w:hAnsi="Times New Roman" w:eastAsia="宋体"/>
        </w:rPr>
      </w:pPr>
      <w:r>
        <w:rPr>
          <w:rFonts w:ascii="Times New Roman" w:hAnsi="Times New Roman" w:eastAsia="宋体"/>
        </w:rPr>
        <w:t>旺苍有主要河流8条，水能蕴藏量45万多千瓦，可开发量在10万千瓦以上。地表有人工小型水库31座，塘1408口。境内属嘉陵江水系的有东河、西河、黄洋河、白水河、李家河及其支流，属渠江水系的有三江河、清江、寨坝河、洛平河及其支流。</w:t>
      </w:r>
    </w:p>
    <w:p>
      <w:pPr>
        <w:spacing w:line="360" w:lineRule="auto"/>
        <w:ind w:firstLine="482"/>
        <w:rPr>
          <w:rFonts w:ascii="Times New Roman" w:hAnsi="Times New Roman" w:eastAsia="宋体"/>
          <w:b/>
        </w:rPr>
      </w:pPr>
      <w:r>
        <w:rPr>
          <w:rFonts w:hint="eastAsia" w:hAnsi="宋体" w:eastAsia="宋体" w:cs="宋体"/>
          <w:b/>
          <w:lang w:val="en-US" w:eastAsia="zh-CN"/>
        </w:rPr>
        <w:t>2、</w:t>
      </w:r>
      <w:r>
        <w:rPr>
          <w:rFonts w:ascii="Times New Roman" w:hAnsi="Times New Roman" w:eastAsia="宋体"/>
          <w:b/>
        </w:rPr>
        <w:t>植物资源</w:t>
      </w:r>
    </w:p>
    <w:p>
      <w:pPr>
        <w:spacing w:line="360" w:lineRule="auto"/>
        <w:ind w:firstLine="482"/>
        <w:rPr>
          <w:rFonts w:ascii="Times New Roman" w:hAnsi="Times New Roman" w:eastAsia="宋体"/>
        </w:rPr>
      </w:pPr>
      <w:r>
        <w:rPr>
          <w:rFonts w:ascii="Times New Roman" w:hAnsi="Times New Roman" w:eastAsia="宋体"/>
        </w:rPr>
        <w:t>旺苍有植物4940种，其中灌木408种，经济林木17种，药材1500种(可收购318种)。名贵药材有天麻、麝香、熊胆等，杜仲、黄柏、厚朴质优量大，1998年被国家林业局命名为"全国名特优经济林杜仲之乡"。全县森林覆盖率达53.98%，有面积多达320平方公里的原始生态植被，有7000余公顷的原始水青冈林，是世界水青冈属植物的起源和现代分布中心。</w:t>
      </w:r>
    </w:p>
    <w:p>
      <w:pPr>
        <w:spacing w:line="360" w:lineRule="auto"/>
        <w:ind w:firstLine="482"/>
        <w:rPr>
          <w:rFonts w:ascii="Times New Roman" w:hAnsi="Times New Roman" w:eastAsia="宋体"/>
          <w:b/>
        </w:rPr>
      </w:pPr>
      <w:r>
        <w:rPr>
          <w:rFonts w:hint="eastAsia" w:hAnsi="宋体" w:eastAsia="宋体" w:cs="宋体"/>
          <w:b/>
          <w:lang w:val="en-US" w:eastAsia="zh-CN"/>
        </w:rPr>
        <w:t>3、</w:t>
      </w:r>
      <w:r>
        <w:rPr>
          <w:rFonts w:ascii="Times New Roman" w:hAnsi="Times New Roman" w:eastAsia="宋体"/>
          <w:b/>
        </w:rPr>
        <w:t>动物资源</w:t>
      </w:r>
    </w:p>
    <w:p>
      <w:pPr>
        <w:spacing w:line="360" w:lineRule="auto"/>
        <w:ind w:firstLine="482"/>
        <w:rPr>
          <w:rFonts w:ascii="Times New Roman" w:hAnsi="Times New Roman" w:eastAsia="宋体"/>
        </w:rPr>
      </w:pPr>
      <w:r>
        <w:rPr>
          <w:rFonts w:ascii="Times New Roman" w:hAnsi="Times New Roman" w:eastAsia="宋体"/>
        </w:rPr>
        <w:t>旺苍有动物307种，具有较大开发价值的有50种(野生兽类46种)。熊、金猫、豹、云豹、林麝、猕猴、大灵猫、斑羚、大鲵、红腹角雉、白尾长冠雉、红腹锦鸡等14种属国家二、三类保护动物，光雾臭蛙是全国独有品种。</w:t>
      </w:r>
    </w:p>
    <w:p>
      <w:pPr>
        <w:spacing w:line="360" w:lineRule="auto"/>
        <w:ind w:firstLine="482"/>
        <w:rPr>
          <w:rFonts w:ascii="Times New Roman" w:hAnsi="Times New Roman" w:eastAsia="宋体"/>
          <w:b/>
        </w:rPr>
      </w:pPr>
      <w:r>
        <w:rPr>
          <w:rFonts w:hint="eastAsia" w:hAnsi="宋体" w:eastAsia="宋体" w:cs="宋体"/>
          <w:b/>
          <w:lang w:val="en-US" w:eastAsia="zh-CN"/>
        </w:rPr>
        <w:t>4、</w:t>
      </w:r>
      <w:r>
        <w:rPr>
          <w:rFonts w:ascii="Times New Roman" w:hAnsi="Times New Roman" w:eastAsia="宋体"/>
          <w:b/>
        </w:rPr>
        <w:t>矿藏资源</w:t>
      </w:r>
    </w:p>
    <w:p>
      <w:pPr>
        <w:spacing w:line="360" w:lineRule="auto"/>
        <w:ind w:firstLine="482"/>
        <w:rPr>
          <w:rFonts w:ascii="Times New Roman" w:hAnsi="Times New Roman" w:eastAsia="宋体"/>
        </w:rPr>
      </w:pPr>
      <w:r>
        <w:rPr>
          <w:rFonts w:ascii="Times New Roman" w:hAnsi="Times New Roman" w:eastAsia="宋体"/>
        </w:rPr>
        <w:t>截至2007年，旺苍探明矿产70余种，主要矿种有煤、铁、石灰石、天然气、石墨、石棉、白云母、钾长石、花岗石、大理石等。其中煤炭储量4.6亿吨，花岗石10亿立方米，大理石1亿立方米，石灰石340余亿吨，铁矿上亿吨。</w:t>
      </w:r>
    </w:p>
    <w:p>
      <w:pPr>
        <w:spacing w:line="360" w:lineRule="auto"/>
        <w:ind w:firstLine="482"/>
        <w:rPr>
          <w:rFonts w:ascii="Times New Roman" w:hAnsi="Times New Roman" w:eastAsia="宋体"/>
        </w:rPr>
      </w:pPr>
      <w:r>
        <w:rPr>
          <w:rFonts w:ascii="Times New Roman" w:hAnsi="Times New Roman" w:eastAsia="宋体"/>
        </w:rPr>
        <w:t>本项目评价区域范围内无自然保护区、风景名胜区、无列入国家及地方保护名录的珍稀濒危动植物及古、大、珍、奇树木分布，也无社会关注的具有历史、科学、民族、文化意义的保护地。</w:t>
      </w:r>
    </w:p>
    <w:p>
      <w:pPr>
        <w:pStyle w:val="2"/>
        <w:topLinePunct/>
        <w:spacing w:before="0" w:after="0" w:line="360" w:lineRule="auto"/>
        <w:rPr>
          <w:sz w:val="36"/>
          <w:szCs w:val="36"/>
          <w:u w:val="none"/>
        </w:rPr>
      </w:pPr>
      <w:bookmarkStart w:id="52" w:name="_Toc21926"/>
      <w:bookmarkStart w:id="53" w:name="_Toc14795"/>
      <w:r>
        <w:rPr>
          <w:rFonts w:hint="eastAsia"/>
          <w:sz w:val="36"/>
          <w:szCs w:val="36"/>
          <w:u w:val="none"/>
          <w:lang w:val="en-US" w:eastAsia="zh-CN"/>
        </w:rPr>
        <w:t>6</w:t>
      </w:r>
      <w:r>
        <w:rPr>
          <w:sz w:val="36"/>
          <w:szCs w:val="36"/>
          <w:u w:val="none"/>
        </w:rPr>
        <w:t>、环境质量现状评价</w:t>
      </w:r>
      <w:bookmarkEnd w:id="52"/>
      <w:bookmarkEnd w:id="53"/>
    </w:p>
    <w:p>
      <w:pPr>
        <w:pStyle w:val="3"/>
        <w:rPr>
          <w:rFonts w:hint="eastAsia" w:ascii="Times New Roman" w:hAnsi="Times New Roman"/>
          <w:sz w:val="28"/>
          <w:szCs w:val="28"/>
          <w:u w:val="none"/>
          <w:lang w:eastAsia="zh-CN"/>
        </w:rPr>
      </w:pPr>
      <w:bookmarkStart w:id="54" w:name="_Toc13123"/>
      <w:bookmarkStart w:id="55" w:name="_Toc2929"/>
      <w:r>
        <w:rPr>
          <w:rFonts w:hint="eastAsia" w:ascii="Times New Roman" w:hAnsi="Times New Roman"/>
          <w:sz w:val="28"/>
          <w:szCs w:val="28"/>
          <w:u w:val="none"/>
          <w:lang w:val="en-US" w:eastAsia="zh-CN"/>
        </w:rPr>
        <w:t>6</w:t>
      </w:r>
      <w:r>
        <w:rPr>
          <w:rFonts w:hint="eastAsia" w:ascii="Times New Roman" w:hAnsi="Times New Roman"/>
          <w:sz w:val="28"/>
          <w:szCs w:val="28"/>
          <w:u w:val="none"/>
          <w:lang w:eastAsia="zh-CN"/>
        </w:rPr>
        <w:t>.1地表水环境质量现状监测及评价</w:t>
      </w:r>
      <w:bookmarkEnd w:id="54"/>
      <w:bookmarkEnd w:id="55"/>
    </w:p>
    <w:p>
      <w:pPr>
        <w:topLinePunct/>
        <w:spacing w:line="360" w:lineRule="auto"/>
        <w:rPr>
          <w:rFonts w:hint="eastAsia"/>
          <w:b/>
          <w:color w:val="auto"/>
          <w:sz w:val="24"/>
          <w:u w:val="none"/>
          <w:lang w:val="en-US" w:eastAsia="zh-CN"/>
        </w:rPr>
      </w:pPr>
      <w:r>
        <w:rPr>
          <w:rFonts w:hint="eastAsia"/>
          <w:b/>
          <w:color w:val="auto"/>
          <w:sz w:val="24"/>
          <w:u w:val="none"/>
          <w:lang w:val="en-US" w:eastAsia="zh-CN"/>
        </w:rPr>
        <w:t>6.1.1旺苍县主要河流水环境质量现状</w:t>
      </w:r>
    </w:p>
    <w:p>
      <w:pPr>
        <w:adjustRightInd w:val="0"/>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根据旺苍县环境监测站发布的《2018年旺苍县环境质量公告》，旺苍县主要河流水质状况详见下表。</w:t>
      </w:r>
    </w:p>
    <w:p>
      <w:pPr>
        <w:pStyle w:val="352"/>
        <w:rPr>
          <w:rFonts w:hint="eastAsia"/>
          <w:b/>
          <w:bCs/>
          <w:u w:val="none"/>
          <w:lang w:val="en-US" w:eastAsia="zh-CN"/>
        </w:rPr>
      </w:pPr>
      <w:r>
        <w:rPr>
          <w:rFonts w:hint="eastAsia"/>
          <w:b/>
          <w:bCs/>
          <w:u w:val="none"/>
          <w:lang w:val="en-US" w:eastAsia="zh-CN"/>
        </w:rPr>
        <w:t>表6-1  2018年各月份旺苍县主要河流水质状况统计表</w:t>
      </w:r>
    </w:p>
    <w:tbl>
      <w:tblPr>
        <w:tblStyle w:val="58"/>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095"/>
        <w:gridCol w:w="1470"/>
        <w:gridCol w:w="1470"/>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280" w:type="dxa"/>
            <w:gridSpan w:val="2"/>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河流</w:t>
            </w:r>
          </w:p>
        </w:tc>
        <w:tc>
          <w:tcPr>
            <w:tcW w:w="4410" w:type="dxa"/>
            <w:gridSpan w:val="3"/>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东河</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厚坝河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80" w:type="dxa"/>
            <w:gridSpan w:val="2"/>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断面</w:t>
            </w:r>
          </w:p>
        </w:tc>
        <w:tc>
          <w:tcPr>
            <w:tcW w:w="1470" w:type="dxa"/>
            <w:noWrap w:val="0"/>
            <w:tcMar>
              <w:left w:w="11" w:type="dxa"/>
              <w:right w:w="11"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田河坝</w:t>
            </w:r>
          </w:p>
        </w:tc>
        <w:tc>
          <w:tcPr>
            <w:tcW w:w="1470" w:type="dxa"/>
            <w:noWrap w:val="0"/>
            <w:tcMar>
              <w:left w:w="11" w:type="dxa"/>
              <w:right w:w="11"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苍旺坝渡口</w:t>
            </w:r>
          </w:p>
        </w:tc>
        <w:tc>
          <w:tcPr>
            <w:tcW w:w="1470" w:type="dxa"/>
            <w:tcBorders>
              <w:right w:val="single" w:color="auto" w:sz="4" w:space="0"/>
            </w:tcBorders>
            <w:noWrap w:val="0"/>
            <w:tcMar>
              <w:left w:w="11" w:type="dxa"/>
              <w:right w:w="11"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喻家咀</w:t>
            </w:r>
          </w:p>
        </w:tc>
        <w:tc>
          <w:tcPr>
            <w:tcW w:w="1470" w:type="dxa"/>
            <w:noWrap w:val="0"/>
            <w:tcMar>
              <w:left w:w="11" w:type="dxa"/>
              <w:right w:w="11" w:type="dxa"/>
            </w:tcMar>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拱河桥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80" w:type="dxa"/>
            <w:gridSpan w:val="2"/>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规定水功能类别</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Ⅲ</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Ⅲ</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实测类别</w:t>
            </w: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7月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8月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10月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11月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12月</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5"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0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全年</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tcBorders>
              <w:right w:val="single" w:color="auto" w:sz="4" w:space="0"/>
            </w:tcBorders>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c>
          <w:tcPr>
            <w:tcW w:w="147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60" w:type="dxa"/>
            <w:gridSpan w:val="6"/>
            <w:noWrap w:val="0"/>
            <w:vAlign w:val="center"/>
          </w:tcPr>
          <w:p>
            <w:pPr>
              <w:pStyle w:val="352"/>
              <w:keepNext w:val="0"/>
              <w:keepLines w:val="0"/>
              <w:suppressLineNumbers w:val="0"/>
              <w:spacing w:before="0" w:beforeAutospacing="0" w:after="0" w:afterAutospacing="0"/>
              <w:ind w:left="0" w:right="0"/>
              <w:jc w:val="left"/>
              <w:rPr>
                <w:rFonts w:hint="default"/>
                <w:b w:val="0"/>
                <w:bCs w:val="0"/>
                <w:u w:val="none"/>
                <w:lang w:val="en-US" w:eastAsia="zh-CN"/>
              </w:rPr>
            </w:pPr>
            <w:r>
              <w:rPr>
                <w:rFonts w:hint="eastAsia"/>
                <w:b w:val="0"/>
                <w:bCs w:val="0"/>
                <w:u w:val="none"/>
                <w:lang w:val="en-US" w:eastAsia="zh-CN"/>
              </w:rPr>
              <w:t>依据《地表水环境质量标准》（GB3838-2002）26项指标评价。</w:t>
            </w:r>
          </w:p>
        </w:tc>
      </w:tr>
    </w:tbl>
    <w:p>
      <w:pPr>
        <w:adjustRightInd w:val="0"/>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由上表可知，旺苍县主要河流共设监测断面4个，按照《地表水环境质量标准》（GB3838-2002），各监测断面水质均达到规定水域环境功能的要求。</w:t>
      </w:r>
    </w:p>
    <w:p>
      <w:pPr>
        <w:topLinePunct/>
        <w:spacing w:line="360" w:lineRule="auto"/>
        <w:rPr>
          <w:rFonts w:hint="eastAsia" w:eastAsia="宋体"/>
          <w:b/>
          <w:color w:val="auto"/>
          <w:sz w:val="24"/>
          <w:u w:val="none"/>
          <w:lang w:eastAsia="zh-CN"/>
        </w:rPr>
      </w:pPr>
      <w:r>
        <w:rPr>
          <w:rFonts w:hint="eastAsia"/>
          <w:b/>
          <w:color w:val="auto"/>
          <w:sz w:val="24"/>
          <w:u w:val="none"/>
          <w:lang w:val="en-US" w:eastAsia="zh-CN"/>
        </w:rPr>
        <w:t>6</w:t>
      </w:r>
      <w:r>
        <w:rPr>
          <w:b/>
          <w:color w:val="auto"/>
          <w:sz w:val="24"/>
          <w:u w:val="none"/>
        </w:rPr>
        <w:t>.1.2</w:t>
      </w:r>
      <w:r>
        <w:rPr>
          <w:rFonts w:hint="eastAsia"/>
          <w:b/>
          <w:color w:val="auto"/>
          <w:sz w:val="24"/>
          <w:u w:val="none"/>
          <w:lang w:eastAsia="zh-CN"/>
        </w:rPr>
        <w:t>东河</w:t>
      </w:r>
      <w:r>
        <w:rPr>
          <w:b/>
          <w:color w:val="auto"/>
          <w:sz w:val="24"/>
          <w:u w:val="none"/>
        </w:rPr>
        <w:t>环境质量现状</w:t>
      </w:r>
      <w:r>
        <w:rPr>
          <w:rFonts w:hint="eastAsia"/>
          <w:b/>
          <w:color w:val="auto"/>
          <w:sz w:val="24"/>
          <w:u w:val="none"/>
          <w:lang w:eastAsia="zh-CN"/>
        </w:rPr>
        <w:t>监测</w:t>
      </w:r>
    </w:p>
    <w:p>
      <w:pPr>
        <w:adjustRightInd w:val="0"/>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本项目废水经厂区污水处理站处理后回用，当回用不完时，由密闭罐车运至旺苍县污水处理厂处理达标后外排至东河。根据调查，项目所在地区主要地表水体东河规划水质类别为</w:t>
      </w:r>
      <w:r>
        <w:rPr>
          <w:rFonts w:hint="eastAsia"/>
          <w:color w:val="auto"/>
          <w:sz w:val="24"/>
          <w:u w:val="none"/>
          <w:lang w:val="en-US" w:eastAsia="zh-CN"/>
        </w:rPr>
        <w:fldChar w:fldCharType="begin"/>
      </w:r>
      <w:r>
        <w:rPr>
          <w:rFonts w:hint="eastAsia"/>
          <w:color w:val="auto"/>
          <w:sz w:val="24"/>
          <w:u w:val="none"/>
          <w:lang w:val="en-US" w:eastAsia="zh-CN"/>
        </w:rPr>
        <w:instrText xml:space="preserve"> = 3 \* ROMAN \* MERGEFORMAT </w:instrText>
      </w:r>
      <w:r>
        <w:rPr>
          <w:rFonts w:hint="eastAsia"/>
          <w:color w:val="auto"/>
          <w:sz w:val="24"/>
          <w:u w:val="none"/>
          <w:lang w:val="en-US" w:eastAsia="zh-CN"/>
        </w:rPr>
        <w:fldChar w:fldCharType="separate"/>
      </w:r>
      <w:r>
        <w:rPr>
          <w:rFonts w:hint="eastAsia"/>
          <w:color w:val="auto"/>
          <w:sz w:val="24"/>
          <w:u w:val="none"/>
          <w:lang w:val="en-US" w:eastAsia="zh-CN"/>
        </w:rPr>
        <w:t>III</w:t>
      </w:r>
      <w:r>
        <w:rPr>
          <w:rFonts w:hint="eastAsia"/>
          <w:color w:val="auto"/>
          <w:sz w:val="24"/>
          <w:u w:val="none"/>
          <w:lang w:val="en-US" w:eastAsia="zh-CN"/>
        </w:rPr>
        <w:fldChar w:fldCharType="end"/>
      </w:r>
      <w:r>
        <w:rPr>
          <w:rFonts w:hint="eastAsia"/>
          <w:color w:val="auto"/>
          <w:sz w:val="24"/>
          <w:u w:val="none"/>
          <w:lang w:val="en-US" w:eastAsia="zh-CN"/>
        </w:rPr>
        <w:t>类，地表水环境质量执行《地表水环境质量标准》（GB3838-2002）中的</w:t>
      </w:r>
      <w:r>
        <w:rPr>
          <w:rFonts w:hint="eastAsia"/>
          <w:color w:val="auto"/>
          <w:sz w:val="24"/>
          <w:u w:val="none"/>
          <w:lang w:val="en-US" w:eastAsia="zh-CN"/>
        </w:rPr>
        <w:fldChar w:fldCharType="begin"/>
      </w:r>
      <w:r>
        <w:rPr>
          <w:rFonts w:hint="eastAsia"/>
          <w:color w:val="auto"/>
          <w:sz w:val="24"/>
          <w:u w:val="none"/>
          <w:lang w:val="en-US" w:eastAsia="zh-CN"/>
        </w:rPr>
        <w:instrText xml:space="preserve"> = 3 \* ROMAN \* MERGEFORMAT </w:instrText>
      </w:r>
      <w:r>
        <w:rPr>
          <w:rFonts w:hint="eastAsia"/>
          <w:color w:val="auto"/>
          <w:sz w:val="24"/>
          <w:u w:val="none"/>
          <w:lang w:val="en-US" w:eastAsia="zh-CN"/>
        </w:rPr>
        <w:fldChar w:fldCharType="separate"/>
      </w:r>
      <w:r>
        <w:rPr>
          <w:rFonts w:hint="eastAsia"/>
          <w:color w:val="auto"/>
          <w:sz w:val="24"/>
          <w:u w:val="none"/>
          <w:lang w:val="en-US" w:eastAsia="zh-CN"/>
        </w:rPr>
        <w:t>III</w:t>
      </w:r>
      <w:r>
        <w:rPr>
          <w:rFonts w:hint="eastAsia"/>
          <w:color w:val="auto"/>
          <w:sz w:val="24"/>
          <w:u w:val="none"/>
          <w:lang w:val="en-US" w:eastAsia="zh-CN"/>
        </w:rPr>
        <w:fldChar w:fldCharType="end"/>
      </w:r>
      <w:r>
        <w:rPr>
          <w:rFonts w:hint="eastAsia"/>
          <w:color w:val="auto"/>
          <w:sz w:val="24"/>
          <w:u w:val="none"/>
          <w:lang w:val="en-US" w:eastAsia="zh-CN"/>
        </w:rPr>
        <w:t>类标准。</w:t>
      </w:r>
    </w:p>
    <w:p>
      <w:pPr>
        <w:adjustRightInd w:val="0"/>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一、补充监测</w:t>
      </w:r>
    </w:p>
    <w:p>
      <w:pPr>
        <w:adjustRightInd w:val="0"/>
        <w:snapToGrid w:val="0"/>
        <w:spacing w:line="360" w:lineRule="auto"/>
        <w:ind w:firstLine="480" w:firstLineChars="200"/>
        <w:jc w:val="left"/>
        <w:rPr>
          <w:rFonts w:hint="eastAsia" w:eastAsia="宋体"/>
          <w:color w:val="auto"/>
          <w:sz w:val="24"/>
          <w:u w:val="none"/>
          <w:lang w:eastAsia="zh-CN"/>
        </w:rPr>
      </w:pPr>
      <w:r>
        <w:rPr>
          <w:rFonts w:hint="eastAsia"/>
          <w:color w:val="auto"/>
          <w:sz w:val="24"/>
          <w:u w:val="none"/>
          <w:lang w:val="en-US" w:eastAsia="zh-CN"/>
        </w:rPr>
        <w:t>2019年6月29日至2019年7月01日，建设单位</w:t>
      </w:r>
      <w:r>
        <w:rPr>
          <w:rFonts w:hint="eastAsia"/>
          <w:color w:val="auto"/>
          <w:sz w:val="24"/>
          <w:u w:val="none"/>
          <w:lang w:eastAsia="zh-CN"/>
        </w:rPr>
        <w:t>委托四川立明检测技术有限公司</w:t>
      </w:r>
      <w:r>
        <w:rPr>
          <w:rFonts w:hint="eastAsia"/>
          <w:color w:val="auto"/>
          <w:sz w:val="24"/>
          <w:u w:val="none"/>
          <w:lang w:val="en-US" w:eastAsia="zh-CN"/>
        </w:rPr>
        <w:t>对本项目旺苍县污水处理厂排口上下游地表水环境质量现状进行了现场监测</w:t>
      </w:r>
      <w:r>
        <w:rPr>
          <w:rFonts w:hint="eastAsia"/>
          <w:color w:val="auto"/>
          <w:sz w:val="24"/>
          <w:u w:val="none"/>
          <w:lang w:eastAsia="zh-CN"/>
        </w:rPr>
        <w:t>，监测情况如下：</w:t>
      </w:r>
    </w:p>
    <w:p>
      <w:pPr>
        <w:adjustRightInd w:val="0"/>
        <w:snapToGrid w:val="0"/>
        <w:spacing w:line="360" w:lineRule="auto"/>
        <w:ind w:firstLine="480" w:firstLineChars="200"/>
        <w:jc w:val="left"/>
        <w:rPr>
          <w:color w:val="auto"/>
          <w:sz w:val="24"/>
          <w:u w:val="none"/>
        </w:rPr>
      </w:pPr>
      <w:r>
        <w:rPr>
          <w:color w:val="auto"/>
          <w:sz w:val="24"/>
          <w:u w:val="none"/>
        </w:rPr>
        <w:t>（1）监测断面</w:t>
      </w:r>
      <w:r>
        <w:rPr>
          <w:rFonts w:hint="eastAsia"/>
          <w:color w:val="auto"/>
          <w:sz w:val="24"/>
          <w:u w:val="none"/>
          <w:lang w:eastAsia="zh-CN"/>
        </w:rPr>
        <w:t>：</w:t>
      </w:r>
      <w:r>
        <w:rPr>
          <w:color w:val="auto"/>
          <w:sz w:val="24"/>
          <w:u w:val="none"/>
        </w:rPr>
        <w:t>监测断面为</w:t>
      </w:r>
      <w:r>
        <w:rPr>
          <w:rFonts w:hint="eastAsia"/>
          <w:color w:val="auto"/>
          <w:sz w:val="24"/>
          <w:u w:val="none"/>
          <w:lang w:eastAsia="zh-CN"/>
        </w:rPr>
        <w:t>旺苍县污水处理厂排口上游（</w:t>
      </w:r>
      <w:r>
        <w:rPr>
          <w:rFonts w:hint="eastAsia"/>
          <w:color w:val="auto"/>
          <w:sz w:val="24"/>
          <w:u w:val="none"/>
          <w:lang w:val="en-US" w:eastAsia="zh-CN"/>
        </w:rPr>
        <w:t>500m</w:t>
      </w:r>
      <w:r>
        <w:rPr>
          <w:rFonts w:hint="eastAsia"/>
          <w:color w:val="auto"/>
          <w:sz w:val="24"/>
          <w:u w:val="none"/>
          <w:lang w:eastAsia="zh-CN"/>
        </w:rPr>
        <w:t>）和下游（</w:t>
      </w:r>
      <w:r>
        <w:rPr>
          <w:rFonts w:hint="eastAsia"/>
          <w:color w:val="auto"/>
          <w:sz w:val="24"/>
          <w:u w:val="none"/>
          <w:lang w:val="en-US" w:eastAsia="zh-CN"/>
        </w:rPr>
        <w:t>1500m</w:t>
      </w:r>
      <w:r>
        <w:rPr>
          <w:rFonts w:hint="eastAsia"/>
          <w:color w:val="auto"/>
          <w:sz w:val="24"/>
          <w:u w:val="none"/>
          <w:lang w:eastAsia="zh-CN"/>
        </w:rPr>
        <w:t>）</w:t>
      </w:r>
      <w:r>
        <w:rPr>
          <w:color w:val="auto"/>
          <w:sz w:val="24"/>
          <w:u w:val="none"/>
        </w:rPr>
        <w:t>。</w:t>
      </w:r>
    </w:p>
    <w:p>
      <w:pPr>
        <w:adjustRightInd w:val="0"/>
        <w:snapToGrid w:val="0"/>
        <w:spacing w:line="360" w:lineRule="auto"/>
        <w:ind w:firstLine="480" w:firstLineChars="200"/>
        <w:jc w:val="left"/>
        <w:rPr>
          <w:color w:val="auto"/>
          <w:sz w:val="24"/>
          <w:u w:val="none"/>
        </w:rPr>
      </w:pPr>
      <w:r>
        <w:rPr>
          <w:color w:val="auto"/>
          <w:sz w:val="24"/>
          <w:u w:val="none"/>
        </w:rPr>
        <w:t>（2）监测项目</w:t>
      </w:r>
      <w:r>
        <w:rPr>
          <w:rFonts w:hint="eastAsia"/>
          <w:color w:val="auto"/>
          <w:sz w:val="24"/>
          <w:u w:val="none"/>
          <w:lang w:eastAsia="zh-CN"/>
        </w:rPr>
        <w:t>：</w:t>
      </w:r>
      <w:r>
        <w:rPr>
          <w:color w:val="auto"/>
          <w:sz w:val="24"/>
          <w:u w:val="none"/>
        </w:rPr>
        <w:t>pH、CODcr、BOD</w:t>
      </w:r>
      <w:r>
        <w:rPr>
          <w:color w:val="auto"/>
          <w:sz w:val="24"/>
          <w:u w:val="none"/>
          <w:vertAlign w:val="subscript"/>
        </w:rPr>
        <w:t>5</w:t>
      </w:r>
      <w:r>
        <w:rPr>
          <w:color w:val="auto"/>
          <w:sz w:val="24"/>
          <w:u w:val="none"/>
        </w:rPr>
        <w:t>、NH</w:t>
      </w:r>
      <w:r>
        <w:rPr>
          <w:color w:val="auto"/>
          <w:sz w:val="24"/>
          <w:u w:val="none"/>
          <w:vertAlign w:val="subscript"/>
        </w:rPr>
        <w:t>3</w:t>
      </w:r>
      <w:r>
        <w:rPr>
          <w:color w:val="auto"/>
          <w:sz w:val="24"/>
          <w:u w:val="none"/>
        </w:rPr>
        <w:t>-N、</w:t>
      </w:r>
      <w:r>
        <w:rPr>
          <w:rFonts w:hint="eastAsia"/>
          <w:color w:val="auto"/>
          <w:sz w:val="24"/>
          <w:u w:val="none"/>
          <w:lang w:eastAsia="zh-CN"/>
        </w:rPr>
        <w:t>总磷、氰化物、总氮、</w:t>
      </w:r>
      <w:r>
        <w:rPr>
          <w:rFonts w:hint="eastAsia"/>
          <w:color w:val="auto"/>
          <w:sz w:val="24"/>
          <w:u w:val="none"/>
          <w:lang w:val="en-US" w:eastAsia="zh-CN"/>
        </w:rPr>
        <w:t>LAS、、挥发酚、石油类、硫化物、六价铬、铜、锌、铅、镉、砷、汞、硒、粪大肠菌群</w:t>
      </w:r>
      <w:r>
        <w:rPr>
          <w:color w:val="auto"/>
          <w:sz w:val="24"/>
          <w:u w:val="none"/>
        </w:rPr>
        <w:t>。</w:t>
      </w:r>
    </w:p>
    <w:p>
      <w:pPr>
        <w:adjustRightInd w:val="0"/>
        <w:snapToGrid w:val="0"/>
        <w:spacing w:line="360" w:lineRule="auto"/>
        <w:ind w:firstLine="480" w:firstLineChars="200"/>
        <w:jc w:val="left"/>
        <w:rPr>
          <w:color w:val="auto"/>
          <w:sz w:val="24"/>
          <w:u w:val="none"/>
        </w:rPr>
      </w:pPr>
      <w:r>
        <w:rPr>
          <w:color w:val="auto"/>
          <w:sz w:val="24"/>
          <w:u w:val="none"/>
        </w:rPr>
        <w:t>（3）监测时间和频率</w:t>
      </w:r>
      <w:r>
        <w:rPr>
          <w:rFonts w:hint="eastAsia"/>
          <w:color w:val="auto"/>
          <w:sz w:val="24"/>
          <w:u w:val="none"/>
          <w:lang w:eastAsia="zh-CN"/>
        </w:rPr>
        <w:t>：</w:t>
      </w:r>
      <w:r>
        <w:rPr>
          <w:color w:val="auto"/>
          <w:sz w:val="24"/>
          <w:u w:val="none"/>
        </w:rPr>
        <w:t>监测</w:t>
      </w:r>
      <w:r>
        <w:rPr>
          <w:rFonts w:hint="eastAsia"/>
          <w:color w:val="auto"/>
          <w:sz w:val="24"/>
          <w:u w:val="none"/>
          <w:lang w:val="en-US" w:eastAsia="zh-CN"/>
        </w:rPr>
        <w:t>3</w:t>
      </w:r>
      <w:r>
        <w:rPr>
          <w:color w:val="auto"/>
          <w:sz w:val="24"/>
          <w:u w:val="none"/>
        </w:rPr>
        <w:t>天，每天采样分析</w:t>
      </w:r>
      <w:r>
        <w:rPr>
          <w:rFonts w:hint="eastAsia"/>
          <w:color w:val="auto"/>
          <w:sz w:val="24"/>
          <w:u w:val="none"/>
          <w:lang w:val="en-US" w:eastAsia="zh-CN"/>
        </w:rPr>
        <w:t>1</w:t>
      </w:r>
      <w:r>
        <w:rPr>
          <w:color w:val="auto"/>
          <w:sz w:val="24"/>
          <w:u w:val="none"/>
        </w:rPr>
        <w:t>次。</w:t>
      </w:r>
    </w:p>
    <w:p>
      <w:pPr>
        <w:adjustRightInd w:val="0"/>
        <w:snapToGrid w:val="0"/>
        <w:spacing w:line="360" w:lineRule="auto"/>
        <w:ind w:firstLine="480" w:firstLineChars="200"/>
        <w:jc w:val="left"/>
        <w:rPr>
          <w:color w:val="auto"/>
          <w:sz w:val="24"/>
          <w:u w:val="none"/>
        </w:rPr>
      </w:pPr>
      <w:r>
        <w:rPr>
          <w:color w:val="auto"/>
          <w:sz w:val="24"/>
          <w:u w:val="none"/>
        </w:rPr>
        <w:t>（4）监测结果</w:t>
      </w:r>
    </w:p>
    <w:p>
      <w:pPr>
        <w:adjustRightInd w:val="0"/>
        <w:snapToGrid w:val="0"/>
        <w:spacing w:line="360" w:lineRule="auto"/>
        <w:ind w:firstLine="480" w:firstLineChars="200"/>
        <w:jc w:val="left"/>
        <w:rPr>
          <w:color w:val="auto"/>
          <w:sz w:val="24"/>
          <w:u w:val="none"/>
        </w:rPr>
      </w:pPr>
      <w:r>
        <w:rPr>
          <w:color w:val="auto"/>
          <w:sz w:val="24"/>
          <w:u w:val="none"/>
        </w:rPr>
        <w:t>地表水监测结果见</w:t>
      </w:r>
      <w:r>
        <w:rPr>
          <w:rFonts w:hint="eastAsia"/>
          <w:color w:val="auto"/>
          <w:sz w:val="24"/>
          <w:u w:val="none"/>
        </w:rPr>
        <w:t>下表</w:t>
      </w:r>
      <w:r>
        <w:rPr>
          <w:color w:val="auto"/>
          <w:sz w:val="24"/>
          <w:u w:val="none"/>
        </w:rPr>
        <w:t>。</w:t>
      </w:r>
    </w:p>
    <w:p>
      <w:pPr>
        <w:pStyle w:val="352"/>
        <w:bidi w:val="0"/>
        <w:rPr>
          <w:rFonts w:hint="eastAsia"/>
          <w:lang w:val="en-US" w:eastAsia="zh-CN"/>
        </w:rPr>
      </w:pPr>
      <w:r>
        <w:rPr>
          <w:rFonts w:hint="eastAsia"/>
          <w:lang w:val="en-US" w:eastAsia="zh-CN"/>
        </w:rPr>
        <w:t>表6-2  评价区域水质监测结果统计表          单位mg/L</w:t>
      </w:r>
    </w:p>
    <w:tbl>
      <w:tblPr>
        <w:tblStyle w:val="59"/>
        <w:tblW w:w="9230"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200"/>
        <w:gridCol w:w="1067"/>
        <w:gridCol w:w="1100"/>
        <w:gridCol w:w="700"/>
        <w:gridCol w:w="1100"/>
        <w:gridCol w:w="110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采样日期</w:t>
            </w:r>
          </w:p>
        </w:tc>
        <w:tc>
          <w:tcPr>
            <w:tcW w:w="2200" w:type="dxa"/>
            <w:vMerge w:val="restart"/>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检测项目</w:t>
            </w:r>
          </w:p>
        </w:tc>
        <w:tc>
          <w:tcPr>
            <w:tcW w:w="2867" w:type="dxa"/>
            <w:gridSpan w:val="3"/>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vertAlign w:val="baseline"/>
                <w:lang w:val="en-US" w:eastAsia="zh-CN"/>
              </w:rPr>
            </w:pPr>
            <w:r>
              <w:rPr>
                <w:rFonts w:hint="eastAsia"/>
                <w:vertAlign w:val="baseline"/>
                <w:lang w:val="en-US" w:eastAsia="zh-CN"/>
              </w:rPr>
              <w:t>旺苍县污水处理厂排口上游500m</w:t>
            </w:r>
          </w:p>
        </w:tc>
        <w:tc>
          <w:tcPr>
            <w:tcW w:w="2930" w:type="dxa"/>
            <w:gridSpan w:val="3"/>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旺苍县污水处理厂排口下游1500m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p>
        </w:tc>
        <w:tc>
          <w:tcPr>
            <w:tcW w:w="2200"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检测结果</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标准限值</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vertAlign w:val="baseline"/>
                <w:lang w:val="en-US" w:eastAsia="zh-CN"/>
              </w:rPr>
            </w:pPr>
            <w:r>
              <w:rPr>
                <w:rFonts w:hint="eastAsia"/>
                <w:vertAlign w:val="baseline"/>
                <w:lang w:val="en-US" w:eastAsia="zh-CN"/>
              </w:rPr>
              <w:t>评价</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vertAlign w:val="baseline"/>
                <w:lang w:val="en-US" w:eastAsia="zh-CN"/>
              </w:rPr>
            </w:pPr>
            <w:r>
              <w:rPr>
                <w:rFonts w:hint="eastAsia"/>
                <w:vertAlign w:val="baseline"/>
                <w:lang w:val="en-US" w:eastAsia="zh-CN"/>
              </w:rPr>
              <w:t>检测结果</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vertAlign w:val="baseline"/>
                <w:lang w:val="en-US" w:eastAsia="zh-CN"/>
              </w:rPr>
            </w:pPr>
            <w:r>
              <w:rPr>
                <w:rFonts w:hint="eastAsia"/>
                <w:vertAlign w:val="baseline"/>
                <w:lang w:val="en-US" w:eastAsia="zh-CN"/>
              </w:rPr>
              <w:t>标准限值</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vertAlign w:val="baseline"/>
                <w:lang w:val="en-US" w:eastAsia="zh-CN"/>
              </w:rPr>
            </w:pPr>
            <w:r>
              <w:rPr>
                <w:rFonts w:hint="eastAsia"/>
                <w:vertAlign w:val="baseli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2019.6.29</w:t>
            </w: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pH（无量纲）</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7.67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6~9</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7.72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6~9</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COD</w:t>
            </w:r>
            <w:r>
              <w:rPr>
                <w:rFonts w:hint="eastAsia"/>
                <w:b w:val="0"/>
                <w:bCs/>
                <w:vertAlign w:val="subscript"/>
                <w:lang w:val="en-US" w:eastAsia="zh-CN"/>
              </w:rPr>
              <w:t>Cr</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BOD</w:t>
            </w:r>
            <w:r>
              <w:rPr>
                <w:rFonts w:hint="eastAsia"/>
                <w:b w:val="0"/>
                <w:bCs/>
                <w:vertAlign w:val="subscript"/>
                <w:lang w:val="en-US" w:eastAsia="zh-CN"/>
              </w:rPr>
              <w:t>5</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2.3</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氨氮（mg/L）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0.205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0.282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总磷（mg/L）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0.09</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总氮（mg/L）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0.58</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0.69</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LAS（mg/L）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铜（mg/L）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锌（mg/L）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0.078</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氟化物（mg/L）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0.720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0.947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硒</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砷</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汞</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镉（mg/L）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六价铬（mg/L）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铅</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2.20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4.12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氰化物（mg/L）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挥发酚（mg/L）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石油类（mg/L）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硫化物（mg/L）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粪大肠菌群（MPN/L）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10000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10000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2019.6.30</w:t>
            </w: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pH（无量纲）</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7.69</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6~9</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7.75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6~9</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COD</w:t>
            </w:r>
            <w:r>
              <w:rPr>
                <w:rFonts w:hint="eastAsia"/>
                <w:b w:val="0"/>
                <w:bCs/>
                <w:vertAlign w:val="subscript"/>
                <w:lang w:val="en-US" w:eastAsia="zh-CN"/>
              </w:rPr>
              <w:t>Cr</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20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18</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20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BOD</w:t>
            </w:r>
            <w:r>
              <w:rPr>
                <w:rFonts w:hint="eastAsia"/>
                <w:b w:val="0"/>
                <w:bCs/>
                <w:vertAlign w:val="subscript"/>
                <w:lang w:val="en-US" w:eastAsia="zh-CN"/>
              </w:rPr>
              <w:t>5</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4</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4</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氨氮（mg/L）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0.247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0.310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总磷（mg/L）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总氮（mg/L）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0.59</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0.71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LAS（mg/L）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铜（mg/L）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锌（mg/L）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硒</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砷</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汞</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0.1</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0.1</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镉（mg/L）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六价铬（mg/L）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铅</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2.26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4.05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氰化物（mg/L）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挥发酚（mg/L）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石油类（mg/L）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硫化物（mg/L）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粪大肠菌群（MPN/L）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10000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10000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2019.7.1</w:t>
            </w: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pH（无量纲）</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7.73</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6~9</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7.83</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6~9</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COD</w:t>
            </w:r>
            <w:r>
              <w:rPr>
                <w:rFonts w:hint="eastAsia"/>
                <w:b w:val="0"/>
                <w:bCs/>
                <w:vertAlign w:val="subscript"/>
                <w:lang w:val="en-US" w:eastAsia="zh-CN"/>
              </w:rPr>
              <w:t>Cr</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20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16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20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BOD</w:t>
            </w:r>
            <w:r>
              <w:rPr>
                <w:rFonts w:hint="eastAsia"/>
                <w:b w:val="0"/>
                <w:bCs/>
                <w:vertAlign w:val="subscript"/>
                <w:lang w:val="en-US" w:eastAsia="zh-CN"/>
              </w:rPr>
              <w:t>5</w:t>
            </w:r>
            <w:r>
              <w:rPr>
                <w:rFonts w:hint="eastAsia"/>
                <w:b w:val="0"/>
                <w:bCs/>
                <w:vertAlign w:val="baseline"/>
                <w:lang w:val="en-US" w:eastAsia="zh-CN"/>
              </w:rPr>
              <w:t>（mg/L）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4</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2.9</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4</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氨氮（mg/L）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0.317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0.380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总磷（mg/L）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0.12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总氮（mg/L）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0.58</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LAS（mg/L）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铜（mg/L）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锌（mg/L）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0.073</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硒</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0.5</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0.7</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砷</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汞</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0.1</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0.04</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0.1</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镉（mg/L）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六价铬（mg/L）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铅</w:t>
            </w:r>
            <w:r>
              <w:rPr>
                <w:rFonts w:hint="default" w:ascii="Times New Roman" w:hAnsi="Times New Roman" w:cs="Times New Roman"/>
                <w:b w:val="0"/>
                <w:bCs/>
                <w:vertAlign w:val="baseline"/>
                <w:lang w:val="en-US" w:eastAsia="zh-CN"/>
              </w:rPr>
              <w:t>（μg/L）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2.16</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4.28</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50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氰化物（mg/L）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挥发酚（mg/L）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石油类（mg/L）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0.01</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0.02</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0.05</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硫化物（mg/L）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r>
              <w:rPr>
                <w:rFonts w:hint="eastAsia"/>
                <w:b w:val="0"/>
                <w:bCs/>
                <w:vertAlign w:val="baseline"/>
                <w:lang w:val="en-US" w:eastAsia="zh-CN"/>
              </w:rPr>
              <w:t>未检出</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0.2</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b w:val="0"/>
                <w:bCs/>
                <w:vertAlign w:val="baseline"/>
                <w:lang w:val="en-US" w:eastAsia="zh-CN"/>
              </w:rPr>
            </w:pPr>
          </w:p>
        </w:tc>
        <w:tc>
          <w:tcPr>
            <w:tcW w:w="22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粪大肠菌群（MPN/L）</w:t>
            </w:r>
          </w:p>
        </w:tc>
        <w:tc>
          <w:tcPr>
            <w:tcW w:w="106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200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10000</w:t>
            </w:r>
          </w:p>
        </w:tc>
        <w:tc>
          <w:tcPr>
            <w:tcW w:w="7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val="0"/>
                <w:bCs/>
                <w:vertAlign w:val="baseline"/>
                <w:lang w:val="en-US" w:eastAsia="zh-CN"/>
              </w:rPr>
            </w:pPr>
            <w:r>
              <w:rPr>
                <w:rFonts w:hint="eastAsia"/>
                <w:b w:val="0"/>
                <w:bCs/>
                <w:vertAlign w:val="baseline"/>
                <w:lang w:val="en-US" w:eastAsia="zh-CN"/>
              </w:rPr>
              <w:t>400</w:t>
            </w:r>
          </w:p>
        </w:tc>
        <w:tc>
          <w:tcPr>
            <w:tcW w:w="110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10000</w:t>
            </w:r>
          </w:p>
        </w:tc>
        <w:tc>
          <w:tcPr>
            <w:tcW w:w="730"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val="0"/>
                <w:bCs/>
                <w:vertAlign w:val="baseline"/>
                <w:lang w:val="en-US" w:eastAsia="zh-CN"/>
              </w:rPr>
            </w:pPr>
            <w:r>
              <w:rPr>
                <w:rFonts w:hint="eastAsia"/>
                <w:b w:val="0"/>
                <w:bCs/>
                <w:vertAlign w:val="baseline"/>
                <w:lang w:val="en-US" w:eastAsia="zh-CN"/>
              </w:rPr>
              <w:t>达标</w:t>
            </w:r>
          </w:p>
        </w:tc>
      </w:tr>
    </w:tbl>
    <w:p>
      <w:pPr>
        <w:adjustRightInd w:val="0"/>
        <w:snapToGrid w:val="0"/>
        <w:spacing w:line="360" w:lineRule="auto"/>
        <w:ind w:firstLine="480" w:firstLineChars="200"/>
        <w:jc w:val="left"/>
        <w:rPr>
          <w:rFonts w:hint="eastAsia"/>
          <w:color w:val="auto"/>
          <w:sz w:val="24"/>
          <w:u w:val="none"/>
          <w:lang w:eastAsia="zh-CN"/>
        </w:rPr>
      </w:pPr>
      <w:r>
        <w:rPr>
          <w:rFonts w:hint="eastAsia"/>
          <w:color w:val="auto"/>
          <w:sz w:val="24"/>
          <w:u w:val="none"/>
          <w:lang w:eastAsia="zh-CN"/>
        </w:rPr>
        <w:t>二、水环境质量现状评价</w:t>
      </w:r>
    </w:p>
    <w:p>
      <w:pPr>
        <w:adjustRightInd w:val="0"/>
        <w:snapToGrid w:val="0"/>
        <w:spacing w:line="360" w:lineRule="auto"/>
        <w:ind w:firstLine="480" w:firstLineChars="200"/>
        <w:jc w:val="left"/>
        <w:rPr>
          <w:rFonts w:hint="eastAsia"/>
          <w:color w:val="auto"/>
          <w:sz w:val="24"/>
          <w:u w:val="none"/>
          <w:lang w:eastAsia="zh-CN"/>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）评价标准</w:t>
      </w:r>
    </w:p>
    <w:p>
      <w:pPr>
        <w:adjustRightInd w:val="0"/>
        <w:snapToGrid w:val="0"/>
        <w:spacing w:line="360" w:lineRule="auto"/>
        <w:ind w:firstLine="480" w:firstLineChars="200"/>
        <w:jc w:val="left"/>
        <w:rPr>
          <w:color w:val="auto"/>
          <w:sz w:val="24"/>
          <w:u w:val="none"/>
        </w:rPr>
      </w:pPr>
      <w:r>
        <w:rPr>
          <w:rFonts w:hint="eastAsia"/>
          <w:color w:val="auto"/>
          <w:sz w:val="24"/>
          <w:u w:val="none"/>
          <w:lang w:eastAsia="zh-CN"/>
        </w:rPr>
        <w:t>根据项目所在区域地表水环境功能区划，本项目所在区域地表水体东河</w:t>
      </w:r>
      <w:r>
        <w:rPr>
          <w:color w:val="auto"/>
          <w:sz w:val="24"/>
          <w:u w:val="none"/>
        </w:rPr>
        <w:t>环境质量</w:t>
      </w:r>
      <w:r>
        <w:rPr>
          <w:rFonts w:hint="eastAsia"/>
          <w:color w:val="auto"/>
          <w:sz w:val="24"/>
          <w:u w:val="none"/>
          <w:lang w:eastAsia="zh-CN"/>
        </w:rPr>
        <w:t>水质标准，参照</w:t>
      </w:r>
      <w:r>
        <w:rPr>
          <w:color w:val="auto"/>
          <w:sz w:val="24"/>
          <w:u w:val="none"/>
        </w:rPr>
        <w:t>《地表水环境质量标准》（GB3838-2002）中Ⅲ类标准</w:t>
      </w:r>
      <w:r>
        <w:rPr>
          <w:rFonts w:hint="eastAsia"/>
          <w:color w:val="auto"/>
          <w:sz w:val="24"/>
          <w:u w:val="none"/>
          <w:lang w:eastAsia="zh-CN"/>
        </w:rPr>
        <w:t>执行</w:t>
      </w:r>
      <w:r>
        <w:rPr>
          <w:color w:val="auto"/>
          <w:sz w:val="24"/>
          <w:u w:val="none"/>
        </w:rPr>
        <w:t>。</w:t>
      </w:r>
    </w:p>
    <w:p>
      <w:pPr>
        <w:adjustRightInd w:val="0"/>
        <w:snapToGrid w:val="0"/>
        <w:spacing w:line="360" w:lineRule="auto"/>
        <w:ind w:firstLine="480" w:firstLineChars="200"/>
        <w:jc w:val="left"/>
        <w:rPr>
          <w:color w:val="auto"/>
          <w:sz w:val="24"/>
          <w:u w:val="none"/>
        </w:rPr>
      </w:pPr>
      <w:r>
        <w:rPr>
          <w:rFonts w:hint="eastAsia" w:ascii="宋体" w:hAnsi="宋体" w:cs="宋体"/>
          <w:color w:val="auto"/>
          <w:sz w:val="24"/>
          <w:u w:val="none"/>
        </w:rPr>
        <w:t>（2）</w:t>
      </w:r>
      <w:r>
        <w:rPr>
          <w:color w:val="auto"/>
          <w:sz w:val="24"/>
          <w:u w:val="none"/>
        </w:rPr>
        <w:t>评价方法</w:t>
      </w:r>
    </w:p>
    <w:p>
      <w:pPr>
        <w:adjustRightInd w:val="0"/>
        <w:snapToGrid w:val="0"/>
        <w:spacing w:line="360" w:lineRule="auto"/>
        <w:ind w:firstLine="480" w:firstLineChars="200"/>
        <w:jc w:val="left"/>
        <w:rPr>
          <w:color w:val="auto"/>
          <w:sz w:val="24"/>
          <w:u w:val="none"/>
        </w:rPr>
      </w:pPr>
      <w:r>
        <w:rPr>
          <w:color w:val="auto"/>
          <w:sz w:val="24"/>
          <w:u w:val="none"/>
        </w:rPr>
        <w:t>采用标准指数评价法，其计算公式如下：</w:t>
      </w:r>
    </w:p>
    <w:p>
      <w:pPr>
        <w:jc w:val="center"/>
        <w:rPr>
          <w:b/>
          <w:bCs/>
          <w:color w:val="auto"/>
          <w:u w:val="none"/>
        </w:rPr>
      </w:pPr>
      <m:oMathPara>
        <m:oMath>
          <m:sSub>
            <m:sSubPr>
              <m:ctrlPr>
                <w:rPr>
                  <w:rFonts w:ascii="Cambria Math" w:hAnsi="Cambria Math"/>
                  <w:color w:val="auto"/>
                  <w:sz w:val="24"/>
                  <w:u w:val="none"/>
                </w:rPr>
              </m:ctrlPr>
            </m:sSubPr>
            <m:e>
              <m:r>
                <w:rPr>
                  <w:rFonts w:ascii="Cambria Math" w:hAnsi="Cambria Math"/>
                  <w:color w:val="auto"/>
                  <w:sz w:val="24"/>
                  <w:u w:val="none"/>
                </w:rPr>
                <m:t>P</m:t>
              </m:r>
              <m:ctrlPr>
                <w:rPr>
                  <w:rFonts w:ascii="Cambria Math" w:hAnsi="Cambria Math"/>
                  <w:color w:val="auto"/>
                  <w:sz w:val="24"/>
                  <w:u w:val="none"/>
                </w:rPr>
              </m:ctrlPr>
            </m:e>
            <m:sub>
              <m:r>
                <w:rPr>
                  <w:rFonts w:ascii="Cambria Math" w:hAnsi="Cambria Math"/>
                  <w:color w:val="auto"/>
                  <w:sz w:val="24"/>
                  <w:u w:val="none"/>
                </w:rPr>
                <m:t>i</m:t>
              </m:r>
              <m:ctrlPr>
                <w:rPr>
                  <w:rFonts w:ascii="Cambria Math" w:hAnsi="Cambria Math"/>
                  <w:color w:val="auto"/>
                  <w:sz w:val="24"/>
                  <w:u w:val="none"/>
                </w:rPr>
              </m:ctrlPr>
            </m:sub>
          </m:sSub>
          <m:r>
            <w:rPr>
              <w:rFonts w:ascii="Cambria Math" w:hAnsi="Cambria Math"/>
              <w:color w:val="auto"/>
              <w:sz w:val="24"/>
              <w:u w:val="none"/>
            </w:rPr>
            <m:t>=</m:t>
          </m:r>
          <m:f>
            <m:fPr>
              <m:ctrlPr>
                <w:rPr>
                  <w:rFonts w:ascii="Cambria Math" w:hAnsi="Cambria Math"/>
                  <w:i/>
                  <w:color w:val="auto"/>
                  <w:sz w:val="24"/>
                  <w:u w:val="none"/>
                </w:rPr>
              </m:ctrlPr>
            </m:fPr>
            <m:num>
              <m:sSub>
                <m:sSubPr>
                  <m:ctrlPr>
                    <w:rPr>
                      <w:rFonts w:ascii="Cambria Math" w:hAnsi="Cambria Math"/>
                      <w:i/>
                      <w:color w:val="auto"/>
                      <w:sz w:val="24"/>
                      <w:u w:val="none"/>
                    </w:rPr>
                  </m:ctrlPr>
                </m:sSubPr>
                <m:e>
                  <m:r>
                    <w:rPr>
                      <w:rFonts w:ascii="Cambria Math" w:hAnsi="Cambria Math"/>
                      <w:color w:val="auto"/>
                      <w:sz w:val="24"/>
                      <w:u w:val="none"/>
                    </w:rPr>
                    <m:t>C</m:t>
                  </m:r>
                  <m:ctrlPr>
                    <w:rPr>
                      <w:rFonts w:ascii="Cambria Math" w:hAnsi="Cambria Math"/>
                      <w:i/>
                      <w:color w:val="auto"/>
                      <w:sz w:val="24"/>
                      <w:u w:val="none"/>
                    </w:rPr>
                  </m:ctrlPr>
                </m:e>
                <m:sub>
                  <m:r>
                    <w:rPr>
                      <w:rFonts w:ascii="Cambria Math" w:hAnsi="Cambria Math"/>
                      <w:color w:val="auto"/>
                      <w:sz w:val="24"/>
                      <w:u w:val="none"/>
                    </w:rPr>
                    <m:t>i</m:t>
                  </m:r>
                  <m:ctrlPr>
                    <w:rPr>
                      <w:rFonts w:ascii="Cambria Math" w:hAnsi="Cambria Math"/>
                      <w:i/>
                      <w:color w:val="auto"/>
                      <w:sz w:val="24"/>
                      <w:u w:val="none"/>
                    </w:rPr>
                  </m:ctrlPr>
                </m:sub>
              </m:sSub>
              <m:ctrlPr>
                <w:rPr>
                  <w:rFonts w:ascii="Cambria Math" w:hAnsi="Cambria Math"/>
                  <w:i/>
                  <w:color w:val="auto"/>
                  <w:sz w:val="24"/>
                  <w:u w:val="none"/>
                </w:rPr>
              </m:ctrlPr>
            </m:num>
            <m:den>
              <m:sSub>
                <m:sSubPr>
                  <m:ctrlPr>
                    <w:rPr>
                      <w:rFonts w:ascii="Cambria Math" w:hAnsi="Cambria Math"/>
                      <w:i/>
                      <w:color w:val="auto"/>
                      <w:sz w:val="24"/>
                      <w:u w:val="none"/>
                    </w:rPr>
                  </m:ctrlPr>
                </m:sSubPr>
                <m:e>
                  <m:r>
                    <w:rPr>
                      <w:rFonts w:ascii="Cambria Math" w:hAnsi="Cambria Math"/>
                      <w:color w:val="auto"/>
                      <w:sz w:val="24"/>
                      <w:u w:val="none"/>
                    </w:rPr>
                    <m:t>S</m:t>
                  </m:r>
                  <m:ctrlPr>
                    <w:rPr>
                      <w:rFonts w:ascii="Cambria Math" w:hAnsi="Cambria Math"/>
                      <w:i/>
                      <w:color w:val="auto"/>
                      <w:sz w:val="24"/>
                      <w:u w:val="none"/>
                    </w:rPr>
                  </m:ctrlPr>
                </m:e>
                <m:sub>
                  <m:r>
                    <w:rPr>
                      <w:rFonts w:ascii="Cambria Math" w:hAnsi="Cambria Math"/>
                      <w:color w:val="auto"/>
                      <w:sz w:val="24"/>
                      <w:u w:val="none"/>
                    </w:rPr>
                    <m:t>i</m:t>
                  </m:r>
                  <m:ctrlPr>
                    <w:rPr>
                      <w:rFonts w:ascii="Cambria Math" w:hAnsi="Cambria Math"/>
                      <w:i/>
                      <w:color w:val="auto"/>
                      <w:sz w:val="24"/>
                      <w:u w:val="none"/>
                    </w:rPr>
                  </m:ctrlPr>
                </m:sub>
              </m:sSub>
              <m:ctrlPr>
                <w:rPr>
                  <w:rFonts w:ascii="Cambria Math" w:hAnsi="Cambria Math"/>
                  <w:i/>
                  <w:color w:val="auto"/>
                  <w:sz w:val="24"/>
                  <w:u w:val="none"/>
                </w:rPr>
              </m:ctrlPr>
            </m:den>
          </m:f>
        </m:oMath>
      </m:oMathPara>
    </w:p>
    <w:p>
      <w:pPr>
        <w:spacing w:line="360" w:lineRule="auto"/>
        <w:ind w:firstLine="480"/>
        <w:rPr>
          <w:color w:val="auto"/>
          <w:sz w:val="24"/>
          <w:u w:val="none"/>
        </w:rPr>
      </w:pPr>
      <w:r>
        <w:rPr>
          <w:color w:val="auto"/>
          <w:sz w:val="24"/>
          <w:u w:val="none"/>
        </w:rPr>
        <w:t>式中：</w:t>
      </w:r>
      <m:oMath>
        <m:sSub>
          <m:sSubPr>
            <m:ctrlPr>
              <w:rPr>
                <w:rFonts w:ascii="Cambria Math" w:hAnsi="Cambria Math"/>
                <w:color w:val="auto"/>
                <w:sz w:val="24"/>
                <w:u w:val="none"/>
              </w:rPr>
            </m:ctrlPr>
          </m:sSubPr>
          <m:e>
            <m:r>
              <w:rPr>
                <w:rFonts w:ascii="Cambria Math" w:hAnsi="Cambria Math"/>
                <w:color w:val="auto"/>
                <w:sz w:val="24"/>
                <w:u w:val="none"/>
              </w:rPr>
              <m:t>P</m:t>
            </m:r>
            <m:ctrlPr>
              <w:rPr>
                <w:rFonts w:ascii="Cambria Math" w:hAnsi="Cambria Math"/>
                <w:color w:val="auto"/>
                <w:sz w:val="24"/>
                <w:u w:val="none"/>
              </w:rPr>
            </m:ctrlPr>
          </m:e>
          <m:sub>
            <m:r>
              <w:rPr>
                <w:rFonts w:ascii="Cambria Math" w:hAnsi="Cambria Math"/>
                <w:color w:val="auto"/>
                <w:sz w:val="24"/>
                <w:u w:val="none"/>
              </w:rPr>
              <m:t>i</m:t>
            </m:r>
            <m:ctrlPr>
              <w:rPr>
                <w:rFonts w:ascii="Cambria Math" w:hAnsi="Cambria Math"/>
                <w:color w:val="auto"/>
                <w:sz w:val="24"/>
                <w:u w:val="none"/>
              </w:rPr>
            </m:ctrlPr>
          </m:sub>
        </m:sSub>
      </m:oMath>
      <w:r>
        <w:rPr>
          <w:color w:val="auto"/>
          <w:sz w:val="24"/>
          <w:u w:val="none"/>
        </w:rPr>
        <w:t>——i种污染物的标准指数；</w:t>
      </w:r>
    </w:p>
    <w:p>
      <w:pPr>
        <w:spacing w:line="360" w:lineRule="auto"/>
        <w:ind w:firstLine="1147" w:firstLineChars="478"/>
        <w:rPr>
          <w:color w:val="auto"/>
          <w:sz w:val="24"/>
          <w:u w:val="none"/>
        </w:rPr>
      </w:pPr>
      <m:oMath>
        <m:sSub>
          <m:sSubPr>
            <m:ctrlPr>
              <w:rPr>
                <w:rFonts w:ascii="Cambria Math" w:hAnsi="Cambria Math"/>
                <w:color w:val="auto"/>
                <w:sz w:val="24"/>
                <w:u w:val="none"/>
              </w:rPr>
            </m:ctrlPr>
          </m:sSubPr>
          <m:e>
            <m:r>
              <m:rPr>
                <m:sty m:val="p"/>
              </m:rPr>
              <w:rPr>
                <w:rFonts w:ascii="Cambria Math" w:hAnsi="Cambria Math"/>
                <w:color w:val="auto"/>
                <w:sz w:val="24"/>
                <w:u w:val="none"/>
              </w:rPr>
              <m:t>C</m:t>
            </m:r>
            <m:ctrlPr>
              <w:rPr>
                <w:rFonts w:ascii="Cambria Math" w:hAnsi="Cambria Math"/>
                <w:color w:val="auto"/>
                <w:sz w:val="24"/>
                <w:u w:val="none"/>
              </w:rPr>
            </m:ctrlPr>
          </m:e>
          <m:sub>
            <m:r>
              <w:rPr>
                <w:rFonts w:ascii="Cambria Math" w:hAnsi="Cambria Math"/>
                <w:color w:val="auto"/>
                <w:sz w:val="24"/>
                <w:u w:val="none"/>
              </w:rPr>
              <m:t>i</m:t>
            </m:r>
            <m:ctrlPr>
              <w:rPr>
                <w:rFonts w:ascii="Cambria Math" w:hAnsi="Cambria Math"/>
                <w:color w:val="auto"/>
                <w:sz w:val="24"/>
                <w:u w:val="none"/>
              </w:rPr>
            </m:ctrlPr>
          </m:sub>
        </m:sSub>
      </m:oMath>
      <w:r>
        <w:rPr>
          <w:color w:val="auto"/>
          <w:sz w:val="24"/>
          <w:u w:val="none"/>
        </w:rPr>
        <w:t>——i种污染物的实测值（mg/L）；</w:t>
      </w:r>
    </w:p>
    <w:p>
      <w:pPr>
        <w:spacing w:line="360" w:lineRule="auto"/>
        <w:ind w:firstLine="1147" w:firstLineChars="478"/>
        <w:rPr>
          <w:color w:val="auto"/>
          <w:sz w:val="24"/>
          <w:u w:val="none"/>
        </w:rPr>
      </w:pPr>
      <m:oMath>
        <m:sSub>
          <m:sSubPr>
            <m:ctrlPr>
              <w:rPr>
                <w:rFonts w:ascii="Cambria Math" w:hAnsi="Cambria Math"/>
                <w:color w:val="auto"/>
                <w:sz w:val="24"/>
                <w:u w:val="none"/>
              </w:rPr>
            </m:ctrlPr>
          </m:sSubPr>
          <m:e>
            <m:r>
              <m:rPr>
                <m:sty m:val="p"/>
              </m:rPr>
              <w:rPr>
                <w:rFonts w:ascii="Cambria Math" w:hAnsi="Cambria Math"/>
                <w:color w:val="auto"/>
                <w:sz w:val="24"/>
                <w:u w:val="none"/>
              </w:rPr>
              <m:t>C</m:t>
            </m:r>
            <m:ctrlPr>
              <w:rPr>
                <w:rFonts w:ascii="Cambria Math" w:hAnsi="Cambria Math"/>
                <w:color w:val="auto"/>
                <w:sz w:val="24"/>
                <w:u w:val="none"/>
              </w:rPr>
            </m:ctrlPr>
          </m:e>
          <m:sub>
            <m:r>
              <w:rPr>
                <w:rFonts w:ascii="Cambria Math" w:hAnsi="Cambria Math"/>
                <w:color w:val="auto"/>
                <w:sz w:val="24"/>
                <w:u w:val="none"/>
              </w:rPr>
              <m:t>Si</m:t>
            </m:r>
            <m:ctrlPr>
              <w:rPr>
                <w:rFonts w:ascii="Cambria Math" w:hAnsi="Cambria Math"/>
                <w:color w:val="auto"/>
                <w:sz w:val="24"/>
                <w:u w:val="none"/>
              </w:rPr>
            </m:ctrlPr>
          </m:sub>
        </m:sSub>
      </m:oMath>
      <w:r>
        <w:rPr>
          <w:color w:val="auto"/>
          <w:sz w:val="24"/>
          <w:u w:val="none"/>
        </w:rPr>
        <w:t>——i种污染物的评价标准值（mg/L）。</w:t>
      </w:r>
    </w:p>
    <w:p>
      <w:pPr>
        <w:adjustRightInd w:val="0"/>
        <w:snapToGrid w:val="0"/>
        <w:spacing w:line="360" w:lineRule="auto"/>
        <w:ind w:left="480"/>
        <w:rPr>
          <w:color w:val="auto"/>
          <w:sz w:val="24"/>
          <w:u w:val="none"/>
        </w:rPr>
      </w:pPr>
      <w:r>
        <w:rPr>
          <w:color w:val="auto"/>
          <w:sz w:val="24"/>
          <w:u w:val="none"/>
        </w:rPr>
        <w:t>pH污染物指数为：</w:t>
      </w:r>
    </w:p>
    <w:p>
      <w:pPr>
        <w:adjustRightInd w:val="0"/>
        <w:snapToGrid w:val="0"/>
        <w:spacing w:line="360" w:lineRule="auto"/>
        <w:ind w:left="480"/>
        <w:jc w:val="center"/>
        <w:rPr>
          <w:color w:val="auto"/>
          <w:sz w:val="24"/>
          <w:u w:val="none"/>
        </w:rPr>
      </w:pPr>
      <m:oMath>
        <m:sSub>
          <m:sSubPr>
            <m:ctrlPr>
              <w:rPr>
                <w:rFonts w:ascii="Cambria Math" w:hAnsi="Cambria Math"/>
                <w:color w:val="auto"/>
                <w:sz w:val="24"/>
                <w:u w:val="none"/>
              </w:rPr>
            </m:ctrlPr>
          </m:sSubPr>
          <m:e>
            <m:r>
              <m:rPr>
                <m:sty m:val="p"/>
              </m:rPr>
              <w:rPr>
                <w:rFonts w:ascii="Cambria Math" w:hAnsi="Cambria Math"/>
                <w:color w:val="auto"/>
                <w:sz w:val="24"/>
                <w:u w:val="none"/>
              </w:rPr>
              <m:t>S</m:t>
            </m:r>
            <m:ctrlPr>
              <w:rPr>
                <w:rFonts w:ascii="Cambria Math" w:hAnsi="Cambria Math"/>
                <w:color w:val="auto"/>
                <w:sz w:val="24"/>
                <w:u w:val="none"/>
              </w:rPr>
            </m:ctrlPr>
          </m:e>
          <m:sub>
            <m:r>
              <w:rPr>
                <w:rFonts w:hint="eastAsia" w:ascii="Cambria Math" w:hAnsi="Cambria Math"/>
                <w:color w:val="auto"/>
                <w:sz w:val="24"/>
                <w:u w:val="none"/>
              </w:rPr>
              <m:t>p</m:t>
            </m:r>
            <m:r>
              <w:rPr>
                <w:rFonts w:ascii="Cambria Math" w:hAnsi="Cambria Math"/>
                <w:color w:val="auto"/>
                <w:sz w:val="24"/>
                <w:u w:val="none"/>
              </w:rPr>
              <m:t>H</m:t>
            </m:r>
            <m:ctrlPr>
              <w:rPr>
                <w:rFonts w:ascii="Cambria Math" w:hAnsi="Cambria Math"/>
                <w:color w:val="auto"/>
                <w:sz w:val="24"/>
                <w:u w:val="none"/>
              </w:rPr>
            </m:ctrlPr>
          </m:sub>
        </m:sSub>
        <m:r>
          <w:rPr>
            <w:rFonts w:hint="eastAsia" w:ascii="Cambria Math" w:hAnsi="Cambria Math"/>
            <w:color w:val="auto"/>
            <w:sz w:val="24"/>
            <w:u w:val="none"/>
          </w:rPr>
          <m:t>=</m:t>
        </m:r>
        <m:d>
          <m:dPr>
            <m:ctrlPr>
              <w:rPr>
                <w:rFonts w:ascii="Cambria Math" w:hAnsi="Cambria Math"/>
                <w:i/>
                <w:color w:val="auto"/>
                <w:sz w:val="24"/>
                <w:u w:val="none"/>
              </w:rPr>
            </m:ctrlPr>
          </m:dPr>
          <m:e>
            <m:r>
              <w:rPr>
                <w:rFonts w:ascii="Cambria Math" w:hAnsi="Cambria Math"/>
                <w:color w:val="auto"/>
                <w:sz w:val="24"/>
                <w:u w:val="none"/>
              </w:rPr>
              <m:t>7.0-</m:t>
            </m:r>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j</m:t>
                </m:r>
                <m:ctrlPr>
                  <w:rPr>
                    <w:rFonts w:ascii="Cambria Math" w:hAnsi="Cambria Math"/>
                    <w:i/>
                    <w:color w:val="auto"/>
                    <w:sz w:val="24"/>
                    <w:u w:val="none"/>
                  </w:rPr>
                </m:ctrlPr>
              </m:sub>
            </m:sSub>
            <m:ctrlPr>
              <w:rPr>
                <w:rFonts w:ascii="Cambria Math" w:hAnsi="Cambria Math"/>
                <w:i/>
                <w:color w:val="auto"/>
                <w:sz w:val="24"/>
                <w:u w:val="none"/>
              </w:rPr>
            </m:ctrlPr>
          </m:e>
        </m:d>
        <m:r>
          <w:rPr>
            <w:rFonts w:ascii="Cambria Math" w:hAnsi="Cambria Math"/>
            <w:color w:val="auto"/>
            <w:sz w:val="24"/>
            <w:u w:val="none"/>
          </w:rPr>
          <m:t>/</m:t>
        </m:r>
        <m:d>
          <m:dPr>
            <m:ctrlPr>
              <w:rPr>
                <w:rFonts w:ascii="Cambria Math" w:hAnsi="Cambria Math"/>
                <w:i/>
                <w:color w:val="auto"/>
                <w:sz w:val="24"/>
                <w:u w:val="none"/>
              </w:rPr>
            </m:ctrlPr>
          </m:dPr>
          <m:e>
            <m:r>
              <w:rPr>
                <w:rFonts w:ascii="Cambria Math" w:hAnsi="Cambria Math"/>
                <w:color w:val="auto"/>
                <w:sz w:val="24"/>
                <w:u w:val="none"/>
              </w:rPr>
              <m:t>7.0-</m:t>
            </m:r>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sd</m:t>
                </m:r>
                <m:ctrlPr>
                  <w:rPr>
                    <w:rFonts w:ascii="Cambria Math" w:hAnsi="Cambria Math"/>
                    <w:i/>
                    <w:color w:val="auto"/>
                    <w:sz w:val="24"/>
                    <w:u w:val="none"/>
                  </w:rPr>
                </m:ctrlPr>
              </m:sub>
            </m:sSub>
            <m:ctrlPr>
              <w:rPr>
                <w:rFonts w:ascii="Cambria Math" w:hAnsi="Cambria Math"/>
                <w:i/>
                <w:color w:val="auto"/>
                <w:sz w:val="24"/>
                <w:u w:val="none"/>
              </w:rPr>
            </m:ctrlPr>
          </m:e>
        </m:d>
      </m:oMath>
      <w:r>
        <w:rPr>
          <w:color w:val="auto"/>
          <w:sz w:val="24"/>
          <w:u w:val="none"/>
        </w:rPr>
        <w:t xml:space="preserve">         （当</w:t>
      </w:r>
      <m:oMath>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j</m:t>
            </m:r>
            <m:ctrlPr>
              <w:rPr>
                <w:rFonts w:ascii="Cambria Math" w:hAnsi="Cambria Math"/>
                <w:i/>
                <w:color w:val="auto"/>
                <w:sz w:val="24"/>
                <w:u w:val="none"/>
              </w:rPr>
            </m:ctrlPr>
          </m:sub>
        </m:sSub>
      </m:oMath>
      <w:r>
        <w:rPr>
          <w:color w:val="auto"/>
          <w:sz w:val="24"/>
          <w:u w:val="none"/>
        </w:rPr>
        <w:t>≤7.0时）；</w:t>
      </w:r>
    </w:p>
    <w:p>
      <w:pPr>
        <w:adjustRightInd w:val="0"/>
        <w:snapToGrid w:val="0"/>
        <w:spacing w:line="360" w:lineRule="auto"/>
        <w:ind w:left="480"/>
        <w:jc w:val="center"/>
        <w:rPr>
          <w:color w:val="auto"/>
          <w:sz w:val="24"/>
          <w:u w:val="none"/>
        </w:rPr>
      </w:pPr>
      <m:oMath>
        <m:sSub>
          <m:sSubPr>
            <m:ctrlPr>
              <w:rPr>
                <w:rFonts w:ascii="Cambria Math" w:hAnsi="Cambria Math"/>
                <w:color w:val="auto"/>
                <w:sz w:val="24"/>
                <w:u w:val="none"/>
              </w:rPr>
            </m:ctrlPr>
          </m:sSubPr>
          <m:e>
            <m:r>
              <m:rPr>
                <m:sty m:val="p"/>
              </m:rPr>
              <w:rPr>
                <w:rFonts w:ascii="Cambria Math" w:hAnsi="Cambria Math"/>
                <w:color w:val="auto"/>
                <w:sz w:val="24"/>
                <w:u w:val="none"/>
              </w:rPr>
              <m:t>S</m:t>
            </m:r>
            <m:ctrlPr>
              <w:rPr>
                <w:rFonts w:ascii="Cambria Math" w:hAnsi="Cambria Math"/>
                <w:color w:val="auto"/>
                <w:sz w:val="24"/>
                <w:u w:val="none"/>
              </w:rPr>
            </m:ctrlPr>
          </m:e>
          <m:sub>
            <m:r>
              <w:rPr>
                <w:rFonts w:hint="eastAsia" w:ascii="Cambria Math" w:hAnsi="Cambria Math"/>
                <w:color w:val="auto"/>
                <w:sz w:val="24"/>
                <w:u w:val="none"/>
              </w:rPr>
              <m:t>p</m:t>
            </m:r>
            <m:r>
              <w:rPr>
                <w:rFonts w:ascii="Cambria Math" w:hAnsi="Cambria Math"/>
                <w:color w:val="auto"/>
                <w:sz w:val="24"/>
                <w:u w:val="none"/>
              </w:rPr>
              <m:t>H</m:t>
            </m:r>
            <m:ctrlPr>
              <w:rPr>
                <w:rFonts w:ascii="Cambria Math" w:hAnsi="Cambria Math"/>
                <w:color w:val="auto"/>
                <w:sz w:val="24"/>
                <w:u w:val="none"/>
              </w:rPr>
            </m:ctrlPr>
          </m:sub>
        </m:sSub>
        <m:r>
          <w:rPr>
            <w:rFonts w:hint="eastAsia" w:ascii="Cambria Math" w:hAnsi="Cambria Math"/>
            <w:color w:val="auto"/>
            <w:sz w:val="24"/>
            <w:u w:val="none"/>
          </w:rPr>
          <m:t>=</m:t>
        </m:r>
        <m:d>
          <m:dPr>
            <m:ctrlPr>
              <w:rPr>
                <w:rFonts w:ascii="Cambria Math" w:hAnsi="Cambria Math"/>
                <w:i/>
                <w:color w:val="auto"/>
                <w:sz w:val="24"/>
                <w:u w:val="none"/>
              </w:rPr>
            </m:ctrlPr>
          </m:dPr>
          <m:e>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j</m:t>
                </m:r>
                <m:ctrlPr>
                  <w:rPr>
                    <w:rFonts w:ascii="Cambria Math" w:hAnsi="Cambria Math"/>
                    <w:i/>
                    <w:color w:val="auto"/>
                    <w:sz w:val="24"/>
                    <w:u w:val="none"/>
                  </w:rPr>
                </m:ctrlPr>
              </m:sub>
            </m:sSub>
            <m:r>
              <w:rPr>
                <w:rFonts w:hint="eastAsia" w:ascii="MS Gothic" w:hAnsi="MS Gothic" w:eastAsia="MS Gothic" w:cs="MS Gothic"/>
                <w:color w:val="auto"/>
                <w:sz w:val="24"/>
                <w:u w:val="none"/>
              </w:rPr>
              <m:t>-</m:t>
            </m:r>
            <m:r>
              <w:rPr>
                <w:rFonts w:ascii="Cambria Math" w:hAnsi="Cambria Math"/>
                <w:color w:val="auto"/>
                <w:sz w:val="24"/>
                <w:u w:val="none"/>
              </w:rPr>
              <m:t>7.0</m:t>
            </m:r>
            <m:ctrlPr>
              <w:rPr>
                <w:rFonts w:ascii="Cambria Math" w:hAnsi="Cambria Math"/>
                <w:i/>
                <w:color w:val="auto"/>
                <w:sz w:val="24"/>
                <w:u w:val="none"/>
              </w:rPr>
            </m:ctrlPr>
          </m:e>
        </m:d>
        <m:r>
          <w:rPr>
            <w:rFonts w:ascii="Cambria Math" w:hAnsi="Cambria Math"/>
            <w:color w:val="auto"/>
            <w:sz w:val="24"/>
            <w:u w:val="none"/>
          </w:rPr>
          <m:t>/</m:t>
        </m:r>
        <m:d>
          <m:dPr>
            <m:ctrlPr>
              <w:rPr>
                <w:rFonts w:ascii="Cambria Math" w:hAnsi="Cambria Math"/>
                <w:i/>
                <w:color w:val="auto"/>
                <w:sz w:val="24"/>
                <w:u w:val="none"/>
              </w:rPr>
            </m:ctrlPr>
          </m:dPr>
          <m:e>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su</m:t>
                </m:r>
                <m:ctrlPr>
                  <w:rPr>
                    <w:rFonts w:ascii="Cambria Math" w:hAnsi="Cambria Math"/>
                    <w:i/>
                    <w:color w:val="auto"/>
                    <w:sz w:val="24"/>
                    <w:u w:val="none"/>
                  </w:rPr>
                </m:ctrlPr>
              </m:sub>
            </m:sSub>
            <m:r>
              <w:rPr>
                <w:rFonts w:ascii="Cambria Math" w:hAnsi="Cambria Math"/>
                <w:color w:val="auto"/>
                <w:sz w:val="24"/>
                <w:u w:val="none"/>
              </w:rPr>
              <m:t>-7.0</m:t>
            </m:r>
            <m:ctrlPr>
              <w:rPr>
                <w:rFonts w:ascii="Cambria Math" w:hAnsi="Cambria Math"/>
                <w:i/>
                <w:color w:val="auto"/>
                <w:sz w:val="24"/>
                <w:u w:val="none"/>
              </w:rPr>
            </m:ctrlPr>
          </m:e>
        </m:d>
      </m:oMath>
      <w:r>
        <w:rPr>
          <w:color w:val="auto"/>
          <w:sz w:val="24"/>
          <w:u w:val="none"/>
        </w:rPr>
        <w:t xml:space="preserve">         （当</w:t>
      </w:r>
      <m:oMath>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j</m:t>
            </m:r>
            <m:ctrlPr>
              <w:rPr>
                <w:rFonts w:ascii="Cambria Math" w:hAnsi="Cambria Math"/>
                <w:i/>
                <w:color w:val="auto"/>
                <w:sz w:val="24"/>
                <w:u w:val="none"/>
              </w:rPr>
            </m:ctrlPr>
          </m:sub>
        </m:sSub>
      </m:oMath>
      <w:r>
        <w:rPr>
          <w:color w:val="auto"/>
          <w:sz w:val="24"/>
          <w:u w:val="none"/>
        </w:rPr>
        <w:t>＞7.0时）；</w:t>
      </w:r>
    </w:p>
    <w:p>
      <w:pPr>
        <w:adjustRightInd w:val="0"/>
        <w:snapToGrid w:val="0"/>
        <w:spacing w:line="360" w:lineRule="auto"/>
        <w:ind w:left="480"/>
        <w:rPr>
          <w:color w:val="auto"/>
          <w:sz w:val="24"/>
          <w:u w:val="none"/>
        </w:rPr>
      </w:pPr>
      <w:r>
        <w:rPr>
          <w:color w:val="auto"/>
          <w:sz w:val="24"/>
          <w:u w:val="none"/>
        </w:rPr>
        <w:t>试中：</w:t>
      </w:r>
      <m:oMath>
        <m:sSub>
          <m:sSubPr>
            <m:ctrlPr>
              <w:rPr>
                <w:rFonts w:ascii="Cambria Math" w:hAnsi="Cambria Math"/>
                <w:color w:val="auto"/>
                <w:sz w:val="24"/>
                <w:u w:val="none"/>
              </w:rPr>
            </m:ctrlPr>
          </m:sSubPr>
          <m:e>
            <m:r>
              <m:rPr>
                <m:sty m:val="p"/>
              </m:rPr>
              <w:rPr>
                <w:rFonts w:ascii="Cambria Math" w:hAnsi="Cambria Math"/>
                <w:color w:val="auto"/>
                <w:sz w:val="24"/>
                <w:u w:val="none"/>
              </w:rPr>
              <m:t>S</m:t>
            </m:r>
            <m:ctrlPr>
              <w:rPr>
                <w:rFonts w:ascii="Cambria Math" w:hAnsi="Cambria Math"/>
                <w:color w:val="auto"/>
                <w:sz w:val="24"/>
                <w:u w:val="none"/>
              </w:rPr>
            </m:ctrlPr>
          </m:e>
          <m:sub>
            <m:r>
              <w:rPr>
                <w:rFonts w:hint="eastAsia" w:ascii="Cambria Math" w:hAnsi="Cambria Math"/>
                <w:color w:val="auto"/>
                <w:sz w:val="24"/>
                <w:u w:val="none"/>
              </w:rPr>
              <m:t>p</m:t>
            </m:r>
            <m:r>
              <w:rPr>
                <w:rFonts w:ascii="Cambria Math" w:hAnsi="Cambria Math"/>
                <w:color w:val="auto"/>
                <w:sz w:val="24"/>
                <w:u w:val="none"/>
              </w:rPr>
              <m:t>H</m:t>
            </m:r>
            <m:ctrlPr>
              <w:rPr>
                <w:rFonts w:ascii="Cambria Math" w:hAnsi="Cambria Math"/>
                <w:color w:val="auto"/>
                <w:sz w:val="24"/>
                <w:u w:val="none"/>
              </w:rPr>
            </m:ctrlPr>
          </m:sub>
        </m:sSub>
      </m:oMath>
      <w:r>
        <w:rPr>
          <w:color w:val="auto"/>
          <w:sz w:val="24"/>
          <w:u w:val="none"/>
        </w:rPr>
        <w:t>——pH值的标准指数；</w:t>
      </w:r>
    </w:p>
    <w:p>
      <w:pPr>
        <w:adjustRightInd w:val="0"/>
        <w:snapToGrid w:val="0"/>
        <w:spacing w:line="360" w:lineRule="auto"/>
        <w:ind w:left="480" w:firstLine="1200" w:firstLineChars="500"/>
        <w:rPr>
          <w:color w:val="auto"/>
          <w:sz w:val="24"/>
          <w:u w:val="none"/>
        </w:rPr>
      </w:pPr>
      <m:oMath>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j</m:t>
            </m:r>
            <m:ctrlPr>
              <w:rPr>
                <w:rFonts w:ascii="Cambria Math" w:hAnsi="Cambria Math"/>
                <w:i/>
                <w:color w:val="auto"/>
                <w:sz w:val="24"/>
                <w:u w:val="none"/>
              </w:rPr>
            </m:ctrlPr>
          </m:sub>
        </m:sSub>
      </m:oMath>
      <w:r>
        <w:rPr>
          <w:color w:val="auto"/>
          <w:sz w:val="24"/>
          <w:u w:val="none"/>
        </w:rPr>
        <w:t>——pH实测值；</w:t>
      </w:r>
    </w:p>
    <w:p>
      <w:pPr>
        <w:adjustRightInd w:val="0"/>
        <w:snapToGrid w:val="0"/>
        <w:spacing w:line="360" w:lineRule="auto"/>
        <w:ind w:firstLine="1680" w:firstLineChars="700"/>
        <w:rPr>
          <w:color w:val="auto"/>
          <w:sz w:val="24"/>
          <w:u w:val="none"/>
        </w:rPr>
      </w:pPr>
      <m:oMath>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sd</m:t>
            </m:r>
            <m:ctrlPr>
              <w:rPr>
                <w:rFonts w:ascii="Cambria Math" w:hAnsi="Cambria Math"/>
                <w:i/>
                <w:color w:val="auto"/>
                <w:sz w:val="24"/>
                <w:u w:val="none"/>
              </w:rPr>
            </m:ctrlPr>
          </m:sub>
        </m:sSub>
      </m:oMath>
      <w:r>
        <w:rPr>
          <w:color w:val="auto"/>
          <w:sz w:val="24"/>
          <w:u w:val="none"/>
        </w:rPr>
        <w:t>——pH值评价标准的下限值；</w:t>
      </w:r>
    </w:p>
    <w:p>
      <w:pPr>
        <w:adjustRightInd w:val="0"/>
        <w:snapToGrid w:val="0"/>
        <w:spacing w:line="360" w:lineRule="auto"/>
        <w:ind w:left="480" w:firstLine="1200" w:firstLineChars="500"/>
        <w:rPr>
          <w:color w:val="auto"/>
          <w:sz w:val="24"/>
          <w:u w:val="none"/>
        </w:rPr>
      </w:pPr>
      <m:oMath>
        <m:sSub>
          <m:sSubPr>
            <m:ctrlPr>
              <w:rPr>
                <w:rFonts w:ascii="Cambria Math" w:hAnsi="Cambria Math"/>
                <w:i/>
                <w:color w:val="auto"/>
                <w:sz w:val="24"/>
                <w:u w:val="none"/>
              </w:rPr>
            </m:ctrlPr>
          </m:sSubPr>
          <m:e>
            <m:r>
              <w:rPr>
                <w:rFonts w:ascii="Cambria Math" w:hAnsi="Cambria Math"/>
                <w:color w:val="auto"/>
                <w:sz w:val="24"/>
                <w:u w:val="none"/>
              </w:rPr>
              <m:t>pH</m:t>
            </m:r>
            <m:ctrlPr>
              <w:rPr>
                <w:rFonts w:ascii="Cambria Math" w:hAnsi="Cambria Math"/>
                <w:i/>
                <w:color w:val="auto"/>
                <w:sz w:val="24"/>
                <w:u w:val="none"/>
              </w:rPr>
            </m:ctrlPr>
          </m:e>
          <m:sub>
            <m:r>
              <w:rPr>
                <w:rFonts w:ascii="Cambria Math" w:hAnsi="Cambria Math"/>
                <w:color w:val="auto"/>
                <w:sz w:val="24"/>
                <w:u w:val="none"/>
              </w:rPr>
              <m:t>su</m:t>
            </m:r>
            <m:ctrlPr>
              <w:rPr>
                <w:rFonts w:ascii="Cambria Math" w:hAnsi="Cambria Math"/>
                <w:i/>
                <w:color w:val="auto"/>
                <w:sz w:val="24"/>
                <w:u w:val="none"/>
              </w:rPr>
            </m:ctrlPr>
          </m:sub>
        </m:sSub>
      </m:oMath>
      <w:r>
        <w:rPr>
          <w:color w:val="auto"/>
          <w:sz w:val="24"/>
          <w:u w:val="none"/>
        </w:rPr>
        <w:t>——pH值评价标准的上限值。</w:t>
      </w:r>
    </w:p>
    <w:p>
      <w:pPr>
        <w:adjustRightInd w:val="0"/>
        <w:snapToGrid w:val="0"/>
        <w:spacing w:line="360" w:lineRule="auto"/>
        <w:rPr>
          <w:color w:val="auto"/>
          <w:sz w:val="24"/>
          <w:u w:val="none"/>
        </w:rPr>
      </w:pPr>
      <w:r>
        <w:rPr>
          <w:rFonts w:hint="eastAsia" w:ascii="宋体" w:hAnsi="宋体" w:cs="宋体"/>
          <w:color w:val="auto"/>
          <w:sz w:val="24"/>
          <w:u w:val="none"/>
        </w:rPr>
        <w:t>（3）</w:t>
      </w:r>
      <w:r>
        <w:rPr>
          <w:color w:val="auto"/>
          <w:sz w:val="24"/>
          <w:u w:val="none"/>
        </w:rPr>
        <w:t>评价结果</w:t>
      </w:r>
    </w:p>
    <w:p>
      <w:pPr>
        <w:spacing w:line="360" w:lineRule="auto"/>
        <w:ind w:firstLine="480" w:firstLineChars="200"/>
        <w:jc w:val="left"/>
        <w:rPr>
          <w:rFonts w:hint="eastAsia"/>
          <w:color w:val="auto"/>
          <w:sz w:val="24"/>
          <w:u w:val="none"/>
          <w:lang w:eastAsia="zh-CN"/>
        </w:rPr>
      </w:pPr>
      <w:r>
        <w:rPr>
          <w:rFonts w:hint="eastAsia"/>
          <w:color w:val="auto"/>
          <w:sz w:val="24"/>
          <w:u w:val="none"/>
          <w:lang w:eastAsia="zh-CN"/>
        </w:rPr>
        <w:t>补充监测期间，旺苍县污水处理厂排口上下游</w:t>
      </w:r>
      <w:r>
        <w:rPr>
          <w:rFonts w:hint="eastAsia"/>
          <w:color w:val="auto"/>
          <w:sz w:val="24"/>
          <w:u w:val="none"/>
        </w:rPr>
        <w:t>各</w:t>
      </w:r>
      <w:r>
        <w:rPr>
          <w:rFonts w:hint="eastAsia"/>
          <w:color w:val="auto"/>
          <w:sz w:val="24"/>
          <w:u w:val="none"/>
          <w:lang w:eastAsia="zh-CN"/>
        </w:rPr>
        <w:t>项监测</w:t>
      </w:r>
      <w:r>
        <w:rPr>
          <w:rFonts w:hint="eastAsia"/>
          <w:color w:val="auto"/>
          <w:sz w:val="24"/>
          <w:u w:val="none"/>
        </w:rPr>
        <w:t>指标均未出现超标现象，能满足</w:t>
      </w:r>
      <w:r>
        <w:rPr>
          <w:color w:val="auto"/>
          <w:sz w:val="24"/>
          <w:u w:val="none"/>
        </w:rPr>
        <w:t>《地表水环境质量标准》(GB3838-2002)表1中Ⅲ类水域水质标准要求</w:t>
      </w:r>
      <w:r>
        <w:rPr>
          <w:rFonts w:hint="eastAsia"/>
          <w:color w:val="auto"/>
          <w:sz w:val="24"/>
          <w:u w:val="none"/>
          <w:lang w:eastAsia="zh-CN"/>
        </w:rPr>
        <w:t>。</w:t>
      </w:r>
    </w:p>
    <w:p>
      <w:pPr>
        <w:spacing w:line="360" w:lineRule="auto"/>
        <w:ind w:firstLine="480" w:firstLineChars="200"/>
        <w:jc w:val="left"/>
        <w:rPr>
          <w:rFonts w:hint="eastAsia" w:eastAsia="宋体"/>
          <w:color w:val="auto"/>
          <w:sz w:val="24"/>
          <w:u w:val="none"/>
          <w:lang w:val="en-US" w:eastAsia="zh-CN"/>
        </w:rPr>
      </w:pPr>
      <w:r>
        <w:rPr>
          <w:rFonts w:hint="eastAsia"/>
          <w:color w:val="auto"/>
          <w:sz w:val="24"/>
          <w:u w:val="none"/>
          <w:lang w:val="en-US" w:eastAsia="zh-CN"/>
        </w:rPr>
        <w:t>综上所述，从《2018年旺苍县环境质量公告》以及现场监测情况来看，本项目所在区域东河水质水环境质量现状良好，有足够的环境容量容纳本项目的建设。</w:t>
      </w:r>
    </w:p>
    <w:p>
      <w:pPr>
        <w:pStyle w:val="3"/>
        <w:rPr>
          <w:rFonts w:ascii="Times New Roman" w:hAnsi="Times New Roman"/>
          <w:sz w:val="28"/>
          <w:szCs w:val="28"/>
          <w:u w:val="none"/>
        </w:rPr>
      </w:pPr>
      <w:bookmarkStart w:id="56" w:name="_Toc400875796"/>
      <w:bookmarkStart w:id="57" w:name="_Toc28110"/>
      <w:bookmarkStart w:id="58" w:name="_Toc31068"/>
      <w:r>
        <w:rPr>
          <w:rFonts w:hint="eastAsia" w:ascii="Times New Roman" w:hAnsi="Times New Roman"/>
          <w:sz w:val="28"/>
          <w:szCs w:val="28"/>
          <w:u w:val="none"/>
          <w:lang w:val="en-US" w:eastAsia="zh-CN"/>
        </w:rPr>
        <w:t>6</w:t>
      </w:r>
      <w:r>
        <w:rPr>
          <w:rFonts w:ascii="Times New Roman" w:hAnsi="Times New Roman"/>
          <w:sz w:val="28"/>
          <w:szCs w:val="28"/>
          <w:u w:val="none"/>
        </w:rPr>
        <w:t>.2</w:t>
      </w:r>
      <w:bookmarkEnd w:id="56"/>
      <w:r>
        <w:rPr>
          <w:rFonts w:ascii="Times New Roman" w:hAnsi="Times New Roman"/>
          <w:sz w:val="28"/>
          <w:szCs w:val="28"/>
          <w:u w:val="none"/>
        </w:rPr>
        <w:t>大气环境质量现状监测与评价</w:t>
      </w:r>
      <w:bookmarkEnd w:id="57"/>
      <w:bookmarkEnd w:id="58"/>
    </w:p>
    <w:p>
      <w:pPr>
        <w:topLinePunct/>
        <w:spacing w:line="360" w:lineRule="auto"/>
        <w:rPr>
          <w:b/>
          <w:sz w:val="24"/>
          <w:u w:val="none"/>
        </w:rPr>
      </w:pPr>
      <w:r>
        <w:rPr>
          <w:rFonts w:hint="eastAsia"/>
          <w:b/>
          <w:sz w:val="24"/>
          <w:u w:val="none"/>
          <w:lang w:val="en-US" w:eastAsia="zh-CN"/>
        </w:rPr>
        <w:t>6</w:t>
      </w:r>
      <w:r>
        <w:rPr>
          <w:b/>
          <w:sz w:val="24"/>
          <w:u w:val="none"/>
        </w:rPr>
        <w:t>.2.1大气</w:t>
      </w:r>
      <w:r>
        <w:rPr>
          <w:rFonts w:hint="eastAsia"/>
          <w:b/>
          <w:sz w:val="24"/>
          <w:u w:val="none"/>
          <w:lang w:eastAsia="zh-CN"/>
        </w:rPr>
        <w:t>基本</w:t>
      </w:r>
      <w:r>
        <w:rPr>
          <w:b/>
          <w:sz w:val="24"/>
          <w:u w:val="none"/>
        </w:rPr>
        <w:t>污染物环境现状监测</w:t>
      </w:r>
    </w:p>
    <w:p>
      <w:pPr>
        <w:adjustRightInd w:val="0"/>
        <w:snapToGrid w:val="0"/>
        <w:spacing w:line="360" w:lineRule="auto"/>
        <w:ind w:firstLine="480" w:firstLineChars="200"/>
        <w:jc w:val="left"/>
        <w:rPr>
          <w:rFonts w:hint="eastAsia" w:eastAsia="宋体"/>
          <w:sz w:val="24"/>
          <w:u w:val="none"/>
          <w:lang w:eastAsia="zh-CN"/>
        </w:rPr>
      </w:pPr>
      <w:bookmarkStart w:id="59" w:name="_Toc9383"/>
      <w:r>
        <w:rPr>
          <w:rFonts w:hint="eastAsia"/>
          <w:sz w:val="24"/>
          <w:u w:val="none"/>
          <w:lang w:eastAsia="zh-CN"/>
        </w:rPr>
        <w:t>根据《</w:t>
      </w:r>
      <w:r>
        <w:rPr>
          <w:rFonts w:hint="eastAsia"/>
          <w:color w:val="auto"/>
          <w:sz w:val="24"/>
          <w:u w:val="none"/>
          <w:lang w:val="en-US" w:eastAsia="zh-CN"/>
        </w:rPr>
        <w:t>2018年旺苍县环境质量公告</w:t>
      </w:r>
      <w:r>
        <w:rPr>
          <w:rFonts w:hint="eastAsia"/>
          <w:sz w:val="24"/>
          <w:u w:val="none"/>
          <w:lang w:eastAsia="zh-CN"/>
        </w:rPr>
        <w:t>》，2018年全年对红军城、新城、松米山三个监测点位按照《环境空气质量自动监测技术规范》要求进行自动连续监测。监测项目为二氧化硫、二氧化氮、可吸入颗粒物、一氧化碳、臭氧和细颗粒物共六个项目，监测结果详见下表</w:t>
      </w:r>
      <w:r>
        <w:rPr>
          <w:rFonts w:hint="eastAsia"/>
          <w:sz w:val="24"/>
          <w:u w:val="none"/>
          <w:lang w:val="en-US" w:eastAsia="zh-CN"/>
        </w:rPr>
        <w:t>6-4和表6-5。</w:t>
      </w:r>
    </w:p>
    <w:p>
      <w:pPr>
        <w:pStyle w:val="352"/>
        <w:bidi w:val="0"/>
        <w:rPr>
          <w:rFonts w:hint="eastAsia"/>
          <w:vertAlign w:val="superscript"/>
          <w:lang w:val="en-US" w:eastAsia="zh-CN"/>
        </w:rPr>
      </w:pPr>
      <w:r>
        <w:rPr>
          <w:rFonts w:hint="eastAsia"/>
          <w:lang w:val="en-US" w:eastAsia="zh-CN"/>
        </w:rPr>
        <w:t>表6-4  2018年旺苍县环境空气优良天数统计表</w:t>
      </w:r>
    </w:p>
    <w:tbl>
      <w:tblPr>
        <w:tblStyle w:val="58"/>
        <w:tblW w:w="10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31"/>
        <w:gridCol w:w="629"/>
        <w:gridCol w:w="630"/>
        <w:gridCol w:w="636"/>
        <w:gridCol w:w="631"/>
        <w:gridCol w:w="634"/>
        <w:gridCol w:w="632"/>
        <w:gridCol w:w="634"/>
        <w:gridCol w:w="633"/>
        <w:gridCol w:w="633"/>
        <w:gridCol w:w="633"/>
        <w:gridCol w:w="637"/>
        <w:gridCol w:w="661"/>
        <w:gridCol w:w="664"/>
        <w:gridCol w:w="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90" w:hRule="atLeast"/>
          <w:jc w:val="center"/>
        </w:trPr>
        <w:tc>
          <w:tcPr>
            <w:tcW w:w="1119" w:type="dxa"/>
            <w:vMerge w:val="restart"/>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年度</w:t>
            </w:r>
          </w:p>
        </w:tc>
        <w:tc>
          <w:tcPr>
            <w:tcW w:w="1360"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一级(优)</w:t>
            </w:r>
          </w:p>
        </w:tc>
        <w:tc>
          <w:tcPr>
            <w:tcW w:w="1266"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二级(良)</w:t>
            </w:r>
          </w:p>
        </w:tc>
        <w:tc>
          <w:tcPr>
            <w:tcW w:w="1265"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三级</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(轻度污染)</w:t>
            </w:r>
          </w:p>
        </w:tc>
        <w:tc>
          <w:tcPr>
            <w:tcW w:w="1266"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四级</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(中度污染)</w:t>
            </w:r>
          </w:p>
        </w:tc>
        <w:tc>
          <w:tcPr>
            <w:tcW w:w="1266"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五级</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(重度污染)</w:t>
            </w:r>
          </w:p>
        </w:tc>
        <w:tc>
          <w:tcPr>
            <w:tcW w:w="1270"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六级</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(严重污染)</w:t>
            </w:r>
          </w:p>
        </w:tc>
        <w:tc>
          <w:tcPr>
            <w:tcW w:w="1325" w:type="dxa"/>
            <w:gridSpan w:val="2"/>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环境空气质量达标情况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19" w:type="dxa"/>
            <w:vMerge w:val="continue"/>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p>
        </w:tc>
        <w:tc>
          <w:tcPr>
            <w:tcW w:w="731"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29"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30"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36"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31"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34"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32"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34"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33"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33"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33"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天数(天)</w:t>
            </w:r>
          </w:p>
        </w:tc>
        <w:tc>
          <w:tcPr>
            <w:tcW w:w="637" w:type="dxa"/>
            <w:noWrap w:val="0"/>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比例(%)</w:t>
            </w:r>
          </w:p>
        </w:tc>
        <w:tc>
          <w:tcPr>
            <w:tcW w:w="661"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达标天数(天)</w:t>
            </w:r>
          </w:p>
        </w:tc>
        <w:tc>
          <w:tcPr>
            <w:tcW w:w="687" w:type="dxa"/>
            <w:gridSpan w:val="2"/>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2018年</w:t>
            </w:r>
          </w:p>
        </w:tc>
        <w:tc>
          <w:tcPr>
            <w:tcW w:w="731"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47</w:t>
            </w:r>
          </w:p>
        </w:tc>
        <w:tc>
          <w:tcPr>
            <w:tcW w:w="629"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13.0</w:t>
            </w:r>
          </w:p>
        </w:tc>
        <w:tc>
          <w:tcPr>
            <w:tcW w:w="630"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265</w:t>
            </w:r>
          </w:p>
        </w:tc>
        <w:tc>
          <w:tcPr>
            <w:tcW w:w="636"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73.2</w:t>
            </w:r>
          </w:p>
        </w:tc>
        <w:tc>
          <w:tcPr>
            <w:tcW w:w="631"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41</w:t>
            </w:r>
          </w:p>
        </w:tc>
        <w:tc>
          <w:tcPr>
            <w:tcW w:w="634"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11.3</w:t>
            </w:r>
          </w:p>
        </w:tc>
        <w:tc>
          <w:tcPr>
            <w:tcW w:w="632"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8</w:t>
            </w:r>
          </w:p>
        </w:tc>
        <w:tc>
          <w:tcPr>
            <w:tcW w:w="634"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2.2</w:t>
            </w:r>
          </w:p>
        </w:tc>
        <w:tc>
          <w:tcPr>
            <w:tcW w:w="633"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w:t>
            </w:r>
          </w:p>
        </w:tc>
        <w:tc>
          <w:tcPr>
            <w:tcW w:w="633"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0.3</w:t>
            </w:r>
          </w:p>
        </w:tc>
        <w:tc>
          <w:tcPr>
            <w:tcW w:w="633"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0</w:t>
            </w:r>
          </w:p>
        </w:tc>
        <w:tc>
          <w:tcPr>
            <w:tcW w:w="637"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0</w:t>
            </w:r>
          </w:p>
        </w:tc>
        <w:tc>
          <w:tcPr>
            <w:tcW w:w="661" w:type="dxa"/>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312</w:t>
            </w:r>
          </w:p>
        </w:tc>
        <w:tc>
          <w:tcPr>
            <w:tcW w:w="687" w:type="dxa"/>
            <w:gridSpan w:val="2"/>
            <w:noWrap w:val="0"/>
            <w:tcMar>
              <w:left w:w="0" w:type="dxa"/>
              <w:right w:w="0" w:type="dxa"/>
            </w:tcMar>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86.2</w:t>
            </w:r>
          </w:p>
        </w:tc>
      </w:tr>
    </w:tbl>
    <w:p>
      <w:pPr>
        <w:pStyle w:val="352"/>
        <w:bidi w:val="0"/>
        <w:rPr>
          <w:rFonts w:hint="eastAsia"/>
          <w:lang w:val="en-US" w:eastAsia="zh-CN"/>
        </w:rPr>
      </w:pPr>
      <w:r>
        <w:rPr>
          <w:rFonts w:hint="eastAsia"/>
          <w:lang w:val="en-US" w:eastAsia="zh-CN"/>
        </w:rPr>
        <w:t>表6-5  主要污染物环境质量现状</w:t>
      </w:r>
    </w:p>
    <w:tbl>
      <w:tblPr>
        <w:tblStyle w:val="5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154"/>
        <w:gridCol w:w="1843"/>
        <w:gridCol w:w="1843"/>
        <w:gridCol w:w="198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污染物</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评价指标</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评价标准（μg/m³）</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最大</w:t>
            </w:r>
            <w:r>
              <w:rPr>
                <w:rFonts w:hint="default"/>
                <w:lang w:val="en-US" w:eastAsia="zh-CN"/>
              </w:rPr>
              <w:t>浓度（μg/m³）</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最大浓度占标率%</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SO</w:t>
            </w:r>
            <w:r>
              <w:rPr>
                <w:rFonts w:hint="default"/>
                <w:b w:val="0"/>
                <w:bCs/>
                <w:vertAlign w:val="subscript"/>
                <w:lang w:val="en-US" w:eastAsia="zh-CN"/>
              </w:rPr>
              <w:t>2</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日均值</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150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34</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22.67</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154" w:type="dxa"/>
            <w:noWrap w:val="0"/>
            <w:vAlign w:val="center"/>
          </w:tcPr>
          <w:p>
            <w:pPr>
              <w:pStyle w:val="352"/>
              <w:keepNext w:val="0"/>
              <w:keepLines w:val="0"/>
              <w:suppressLineNumbers w:val="0"/>
              <w:bidi w:val="0"/>
              <w:spacing w:before="0" w:beforeAutospacing="0" w:after="0" w:afterAutospacing="0"/>
              <w:ind w:left="0" w:right="0" w:firstLine="0" w:firstLineChars="0"/>
              <w:rPr>
                <w:rFonts w:hint="default"/>
                <w:b w:val="0"/>
                <w:bCs/>
                <w:lang w:val="en-US" w:eastAsia="zh-CN"/>
              </w:rPr>
            </w:pPr>
            <w:r>
              <w:rPr>
                <w:rFonts w:hint="default"/>
                <w:b w:val="0"/>
                <w:bCs/>
                <w:lang w:val="en-US" w:eastAsia="zh-CN"/>
              </w:rPr>
              <w:t>年均值</w:t>
            </w:r>
          </w:p>
        </w:tc>
        <w:tc>
          <w:tcPr>
            <w:tcW w:w="1843" w:type="dxa"/>
            <w:noWrap w:val="0"/>
            <w:vAlign w:val="center"/>
          </w:tcPr>
          <w:p>
            <w:pPr>
              <w:pStyle w:val="352"/>
              <w:keepNext w:val="0"/>
              <w:keepLines w:val="0"/>
              <w:suppressLineNumbers w:val="0"/>
              <w:bidi w:val="0"/>
              <w:spacing w:before="0" w:beforeAutospacing="0" w:after="0" w:afterAutospacing="0"/>
              <w:ind w:left="0" w:right="0" w:firstLine="0" w:firstLineChars="0"/>
              <w:rPr>
                <w:rFonts w:hint="default"/>
                <w:b w:val="0"/>
                <w:bCs/>
                <w:lang w:val="en-US" w:eastAsia="zh-CN"/>
              </w:rPr>
            </w:pPr>
            <w:r>
              <w:rPr>
                <w:rFonts w:hint="default"/>
                <w:b w:val="0"/>
                <w:bCs/>
                <w:lang w:val="en-US" w:eastAsia="zh-CN"/>
              </w:rPr>
              <w:t>60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13</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21.67</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NO</w:t>
            </w:r>
            <w:r>
              <w:rPr>
                <w:rFonts w:hint="default"/>
                <w:b w:val="0"/>
                <w:bCs/>
                <w:vertAlign w:val="subscript"/>
                <w:lang w:val="en-US" w:eastAsia="zh-CN"/>
              </w:rPr>
              <w:t>2</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日均值</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80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46</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57.5</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6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154" w:type="dxa"/>
            <w:noWrap w:val="0"/>
            <w:vAlign w:val="center"/>
          </w:tcPr>
          <w:p>
            <w:pPr>
              <w:pStyle w:val="352"/>
              <w:keepNext w:val="0"/>
              <w:keepLines w:val="0"/>
              <w:suppressLineNumbers w:val="0"/>
              <w:bidi w:val="0"/>
              <w:spacing w:before="0" w:beforeAutospacing="0" w:after="0" w:afterAutospacing="0"/>
              <w:ind w:left="0" w:right="0" w:firstLine="0" w:firstLineChars="0"/>
              <w:rPr>
                <w:rFonts w:hint="default"/>
                <w:b w:val="0"/>
                <w:bCs/>
                <w:lang w:val="en-US" w:eastAsia="zh-CN"/>
              </w:rPr>
            </w:pPr>
            <w:r>
              <w:rPr>
                <w:rFonts w:hint="default"/>
                <w:b w:val="0"/>
                <w:bCs/>
                <w:lang w:val="en-US" w:eastAsia="zh-CN"/>
              </w:rPr>
              <w:t>年均值</w:t>
            </w:r>
          </w:p>
        </w:tc>
        <w:tc>
          <w:tcPr>
            <w:tcW w:w="1843" w:type="dxa"/>
            <w:noWrap w:val="0"/>
            <w:vAlign w:val="center"/>
          </w:tcPr>
          <w:p>
            <w:pPr>
              <w:pStyle w:val="352"/>
              <w:keepNext w:val="0"/>
              <w:keepLines w:val="0"/>
              <w:suppressLineNumbers w:val="0"/>
              <w:bidi w:val="0"/>
              <w:spacing w:before="0" w:beforeAutospacing="0" w:after="0" w:afterAutospacing="0"/>
              <w:ind w:left="0" w:right="0" w:firstLine="0" w:firstLineChars="0"/>
              <w:rPr>
                <w:rFonts w:hint="default"/>
                <w:b w:val="0"/>
                <w:bCs/>
                <w:lang w:val="en-US" w:eastAsia="zh-CN"/>
              </w:rPr>
            </w:pPr>
            <w:r>
              <w:rPr>
                <w:rFonts w:hint="default"/>
                <w:b w:val="0"/>
                <w:bCs/>
                <w:lang w:val="en-US" w:eastAsia="zh-CN"/>
              </w:rPr>
              <w:t>40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20</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50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CO</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日均值</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4.0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w:t>
            </w:r>
            <w:r>
              <w:rPr>
                <w:rFonts w:hint="eastAsia"/>
                <w:b w:val="0"/>
                <w:bCs/>
                <w:lang w:val="en-US" w:eastAsia="zh-CN"/>
              </w:rPr>
              <w:t>692</w:t>
            </w:r>
            <w:r>
              <w:rPr>
                <w:rFonts w:hint="default"/>
                <w:b w:val="0"/>
                <w:bCs/>
                <w:lang w:val="en-US" w:eastAsia="zh-CN"/>
              </w:rPr>
              <w:t>mg/m</w:t>
            </w:r>
            <w:r>
              <w:rPr>
                <w:rFonts w:hint="default"/>
                <w:b w:val="0"/>
                <w:bCs/>
                <w:vertAlign w:val="superscript"/>
                <w:lang w:val="en-US" w:eastAsia="zh-CN"/>
              </w:rPr>
              <w:t>3</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42.3</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O</w:t>
            </w:r>
            <w:r>
              <w:rPr>
                <w:rFonts w:hint="default"/>
                <w:b w:val="0"/>
                <w:bCs/>
                <w:vertAlign w:val="subscript"/>
                <w:lang w:val="en-US" w:eastAsia="zh-CN"/>
              </w:rPr>
              <w:t>3</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8小时</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160</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144</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90.0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PM</w:t>
            </w:r>
            <w:r>
              <w:rPr>
                <w:rFonts w:hint="default"/>
                <w:b w:val="0"/>
                <w:bCs/>
                <w:vertAlign w:val="subscript"/>
                <w:lang w:val="en-US" w:eastAsia="zh-CN"/>
              </w:rPr>
              <w:t>2.5</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日</w:t>
            </w:r>
            <w:r>
              <w:rPr>
                <w:rFonts w:hint="default"/>
                <w:b w:val="0"/>
                <w:bCs/>
                <w:lang w:val="en-US" w:eastAsia="zh-CN"/>
              </w:rPr>
              <w:t>均值</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75</w:t>
            </w:r>
          </w:p>
        </w:tc>
        <w:tc>
          <w:tcPr>
            <w:tcW w:w="184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198</w:t>
            </w:r>
          </w:p>
        </w:tc>
        <w:tc>
          <w:tcPr>
            <w:tcW w:w="198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264.0</w:t>
            </w:r>
          </w:p>
        </w:tc>
        <w:tc>
          <w:tcPr>
            <w:tcW w:w="109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超标</w:t>
            </w:r>
          </w:p>
        </w:tc>
      </w:tr>
    </w:tbl>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eastAsia="zh-CN"/>
        </w:rPr>
        <w:t>根据《</w:t>
      </w:r>
      <w:r>
        <w:rPr>
          <w:rFonts w:hint="eastAsia"/>
          <w:color w:val="auto"/>
          <w:sz w:val="24"/>
          <w:u w:val="none"/>
          <w:lang w:val="en-US" w:eastAsia="zh-CN"/>
        </w:rPr>
        <w:t>2018年旺苍县环境质量公告</w:t>
      </w:r>
      <w:r>
        <w:rPr>
          <w:rFonts w:hint="eastAsia"/>
          <w:sz w:val="24"/>
          <w:u w:val="none"/>
          <w:lang w:eastAsia="zh-CN"/>
        </w:rPr>
        <w:t>》</w:t>
      </w:r>
      <w:r>
        <w:rPr>
          <w:rFonts w:hint="eastAsia"/>
          <w:sz w:val="24"/>
          <w:u w:val="none"/>
          <w:lang w:val="en-US" w:eastAsia="zh-CN"/>
        </w:rPr>
        <w:t>，2018年旺苍县环境空气质量良好，空气质量优、良天数达标率为86.2%，首要污染物为颗粒物和细颗粒物，由此判定，项目所在评价区域为不达标区。</w:t>
      </w:r>
    </w:p>
    <w:p>
      <w:pPr>
        <w:topLinePunct/>
        <w:spacing w:line="360" w:lineRule="auto"/>
        <w:rPr>
          <w:rFonts w:hint="eastAsia" w:ascii="Times New Roman" w:hAnsi="Times New Roman" w:cs="Times New Roman"/>
          <w:b/>
          <w:sz w:val="24"/>
          <w:u w:val="none"/>
          <w:lang w:eastAsia="zh-CN"/>
        </w:rPr>
      </w:pPr>
      <w:r>
        <w:rPr>
          <w:rFonts w:hint="eastAsia" w:cs="Times New Roman"/>
          <w:b/>
          <w:sz w:val="24"/>
          <w:u w:val="none"/>
          <w:lang w:val="en-US" w:eastAsia="zh-CN"/>
        </w:rPr>
        <w:t>6</w:t>
      </w:r>
      <w:r>
        <w:rPr>
          <w:rFonts w:hint="eastAsia" w:ascii="Times New Roman" w:hAnsi="Times New Roman" w:cs="Times New Roman"/>
          <w:b/>
          <w:sz w:val="24"/>
          <w:u w:val="none"/>
          <w:lang w:eastAsia="zh-CN"/>
        </w:rPr>
        <w:t>.2.2本项目</w:t>
      </w:r>
      <w:r>
        <w:rPr>
          <w:rFonts w:hint="eastAsia" w:cs="Times New Roman"/>
          <w:b/>
          <w:sz w:val="24"/>
          <w:u w:val="none"/>
          <w:lang w:eastAsia="zh-CN"/>
        </w:rPr>
        <w:t>所在区域</w:t>
      </w:r>
      <w:r>
        <w:rPr>
          <w:rFonts w:hint="eastAsia" w:ascii="Times New Roman" w:hAnsi="Times New Roman" w:cs="Times New Roman"/>
          <w:b/>
          <w:sz w:val="24"/>
          <w:u w:val="none"/>
          <w:lang w:eastAsia="zh-CN"/>
        </w:rPr>
        <w:t>大气其他污染物现状监测</w:t>
      </w:r>
    </w:p>
    <w:p>
      <w:pPr>
        <w:snapToGrid w:val="0"/>
        <w:spacing w:line="360" w:lineRule="auto"/>
        <w:ind w:firstLine="480" w:firstLineChars="200"/>
        <w:jc w:val="left"/>
        <w:rPr>
          <w:rFonts w:hint="eastAsia" w:eastAsia="宋体"/>
          <w:sz w:val="24"/>
          <w:u w:val="none"/>
          <w:lang w:eastAsia="zh-CN"/>
        </w:rPr>
      </w:pPr>
      <w:r>
        <w:rPr>
          <w:sz w:val="24"/>
          <w:u w:val="none"/>
        </w:rPr>
        <w:t>本项目涉及</w:t>
      </w:r>
      <w:r>
        <w:rPr>
          <w:rFonts w:hint="eastAsia"/>
          <w:sz w:val="24"/>
          <w:u w:val="none"/>
          <w:lang w:eastAsia="zh-CN"/>
        </w:rPr>
        <w:t>其他污染物有硫化氢、氨、</w:t>
      </w:r>
      <w:r>
        <w:rPr>
          <w:rFonts w:hint="eastAsia"/>
          <w:sz w:val="24"/>
          <w:u w:val="none"/>
          <w:lang w:val="en-US" w:eastAsia="zh-CN"/>
        </w:rPr>
        <w:t>TSP以及挥发性有机污染物</w:t>
      </w:r>
      <w:r>
        <w:rPr>
          <w:sz w:val="24"/>
          <w:u w:val="none"/>
        </w:rPr>
        <w:t>，</w:t>
      </w:r>
      <w:r>
        <w:rPr>
          <w:rFonts w:hint="eastAsia"/>
          <w:sz w:val="24"/>
          <w:u w:val="none"/>
          <w:lang w:eastAsia="zh-CN"/>
        </w:rPr>
        <w:t>本次评价筛选硫化氢、氨、</w:t>
      </w:r>
      <w:r>
        <w:rPr>
          <w:rFonts w:hint="eastAsia"/>
          <w:sz w:val="24"/>
          <w:u w:val="none"/>
          <w:lang w:val="en-US" w:eastAsia="zh-CN"/>
        </w:rPr>
        <w:t>TVOC和TSP作为现状评价因子。</w:t>
      </w:r>
      <w:r>
        <w:rPr>
          <w:sz w:val="24"/>
          <w:u w:val="none"/>
        </w:rPr>
        <w:t>201</w:t>
      </w:r>
      <w:r>
        <w:rPr>
          <w:rFonts w:hint="eastAsia"/>
          <w:sz w:val="24"/>
          <w:u w:val="none"/>
          <w:lang w:val="en-US" w:eastAsia="zh-CN"/>
        </w:rPr>
        <w:t>9</w:t>
      </w:r>
      <w:r>
        <w:rPr>
          <w:sz w:val="24"/>
          <w:u w:val="none"/>
        </w:rPr>
        <w:t>年</w:t>
      </w:r>
      <w:r>
        <w:rPr>
          <w:rFonts w:hint="eastAsia"/>
          <w:sz w:val="24"/>
          <w:u w:val="none"/>
          <w:lang w:val="en-US" w:eastAsia="zh-CN"/>
        </w:rPr>
        <w:t>6</w:t>
      </w:r>
      <w:r>
        <w:rPr>
          <w:sz w:val="24"/>
          <w:u w:val="none"/>
        </w:rPr>
        <w:t>月</w:t>
      </w:r>
      <w:r>
        <w:rPr>
          <w:rFonts w:hint="eastAsia"/>
          <w:sz w:val="24"/>
          <w:u w:val="none"/>
          <w:lang w:val="en-US" w:eastAsia="zh-CN"/>
        </w:rPr>
        <w:t>29</w:t>
      </w:r>
      <w:r>
        <w:rPr>
          <w:sz w:val="24"/>
          <w:u w:val="none"/>
        </w:rPr>
        <w:t>日</w:t>
      </w:r>
      <w:r>
        <w:rPr>
          <w:rFonts w:hint="eastAsia"/>
          <w:sz w:val="24"/>
          <w:u w:val="none"/>
          <w:lang w:val="en-US" w:eastAsia="zh-CN"/>
        </w:rPr>
        <w:t>~2019年7月5日，受建设单位委托</w:t>
      </w:r>
      <w:r>
        <w:rPr>
          <w:rFonts w:hint="eastAsia"/>
          <w:color w:val="auto"/>
          <w:sz w:val="24"/>
          <w:u w:val="none"/>
          <w:lang w:eastAsia="zh-CN"/>
        </w:rPr>
        <w:t>四川立明检测技术有限公司</w:t>
      </w:r>
      <w:r>
        <w:rPr>
          <w:sz w:val="24"/>
          <w:u w:val="none"/>
        </w:rPr>
        <w:t>对本项目</w:t>
      </w:r>
      <w:r>
        <w:rPr>
          <w:rFonts w:hint="eastAsia"/>
          <w:sz w:val="24"/>
          <w:u w:val="none"/>
          <w:lang w:eastAsia="zh-CN"/>
        </w:rPr>
        <w:t>场址下风向</w:t>
      </w:r>
      <w:r>
        <w:rPr>
          <w:sz w:val="24"/>
          <w:u w:val="none"/>
        </w:rPr>
        <w:t>的环境空气</w:t>
      </w:r>
      <w:r>
        <w:rPr>
          <w:rFonts w:hint="eastAsia"/>
          <w:sz w:val="24"/>
          <w:u w:val="none"/>
          <w:lang w:eastAsia="zh-CN"/>
        </w:rPr>
        <w:t>中其他污染因子硫化氢、氨、</w:t>
      </w:r>
      <w:r>
        <w:rPr>
          <w:rFonts w:hint="eastAsia"/>
          <w:sz w:val="24"/>
          <w:u w:val="none"/>
          <w:lang w:val="en-US" w:eastAsia="zh-CN"/>
        </w:rPr>
        <w:t>TVOC和TSP</w:t>
      </w:r>
      <w:r>
        <w:rPr>
          <w:sz w:val="24"/>
          <w:u w:val="none"/>
        </w:rPr>
        <w:t>进行了现状监测</w:t>
      </w:r>
      <w:r>
        <w:rPr>
          <w:rFonts w:hint="eastAsia"/>
          <w:sz w:val="24"/>
          <w:u w:val="none"/>
          <w:lang w:eastAsia="zh-CN"/>
        </w:rPr>
        <w:t>，监测情况如下：</w:t>
      </w:r>
    </w:p>
    <w:p>
      <w:pPr>
        <w:snapToGrid w:val="0"/>
        <w:spacing w:line="360" w:lineRule="auto"/>
        <w:ind w:firstLine="480" w:firstLineChars="200"/>
        <w:jc w:val="left"/>
        <w:rPr>
          <w:rFonts w:hint="eastAsia" w:eastAsia="宋体"/>
          <w:sz w:val="24"/>
          <w:u w:val="none"/>
          <w:lang w:eastAsia="zh-CN"/>
        </w:rPr>
      </w:pPr>
      <w:r>
        <w:rPr>
          <w:rFonts w:hint="eastAsia" w:ascii="宋体" w:hAnsi="宋体" w:cs="宋体"/>
          <w:sz w:val="24"/>
          <w:u w:val="none"/>
        </w:rPr>
        <w:t>①</w:t>
      </w:r>
      <w:r>
        <w:rPr>
          <w:sz w:val="24"/>
          <w:u w:val="none"/>
        </w:rPr>
        <w:t>监测</w:t>
      </w:r>
      <w:r>
        <w:rPr>
          <w:rFonts w:hint="eastAsia"/>
          <w:sz w:val="24"/>
          <w:u w:val="none"/>
          <w:lang w:eastAsia="zh-CN"/>
        </w:rPr>
        <w:t>内容</w:t>
      </w:r>
    </w:p>
    <w:p>
      <w:pPr>
        <w:snapToGrid w:val="0"/>
        <w:spacing w:line="360" w:lineRule="auto"/>
        <w:ind w:firstLine="480" w:firstLineChars="200"/>
        <w:jc w:val="left"/>
        <w:rPr>
          <w:sz w:val="24"/>
          <w:u w:val="none"/>
        </w:rPr>
      </w:pPr>
      <w:r>
        <w:rPr>
          <w:rFonts w:hint="eastAsia"/>
          <w:sz w:val="24"/>
          <w:u w:val="none"/>
          <w:lang w:eastAsia="zh-CN"/>
        </w:rPr>
        <w:t>本项目具体监测内容详见下表</w:t>
      </w:r>
      <w:r>
        <w:rPr>
          <w:sz w:val="24"/>
          <w:u w:val="none"/>
        </w:rPr>
        <w:t>。</w:t>
      </w:r>
    </w:p>
    <w:p>
      <w:pPr>
        <w:pStyle w:val="352"/>
        <w:bidi w:val="0"/>
        <w:rPr>
          <w:rFonts w:hint="eastAsia"/>
          <w:lang w:val="en-US" w:eastAsia="zh-CN"/>
        </w:rPr>
      </w:pPr>
      <w:r>
        <w:rPr>
          <w:rFonts w:hint="eastAsia"/>
          <w:lang w:val="en-US" w:eastAsia="zh-CN"/>
        </w:rPr>
        <w:t>表6-6  本项目现状监测内容一览表</w:t>
      </w:r>
    </w:p>
    <w:tbl>
      <w:tblPr>
        <w:tblStyle w:val="59"/>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54"/>
        <w:gridCol w:w="1366"/>
        <w:gridCol w:w="667"/>
        <w:gridCol w:w="1080"/>
        <w:gridCol w:w="1483"/>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监测点位</w:t>
            </w:r>
          </w:p>
        </w:tc>
        <w:tc>
          <w:tcPr>
            <w:tcW w:w="1154"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监测因子</w:t>
            </w:r>
          </w:p>
        </w:tc>
        <w:tc>
          <w:tcPr>
            <w:tcW w:w="136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评价指标</w:t>
            </w:r>
          </w:p>
        </w:tc>
        <w:tc>
          <w:tcPr>
            <w:tcW w:w="667"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监测周期</w:t>
            </w:r>
          </w:p>
        </w:tc>
        <w:tc>
          <w:tcPr>
            <w:tcW w:w="108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采样频次</w:t>
            </w:r>
          </w:p>
        </w:tc>
        <w:tc>
          <w:tcPr>
            <w:tcW w:w="1483"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评价标准</w:t>
            </w:r>
          </w:p>
        </w:tc>
        <w:tc>
          <w:tcPr>
            <w:tcW w:w="3015" w:type="dxa"/>
            <w:vAlign w:val="center"/>
          </w:tcPr>
          <w:p>
            <w:pPr>
              <w:pStyle w:val="352"/>
              <w:keepNext w:val="0"/>
              <w:keepLines w:val="0"/>
              <w:suppressLineNumbers w:val="0"/>
              <w:bidi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场地下风向</w:t>
            </w:r>
          </w:p>
        </w:tc>
        <w:tc>
          <w:tcPr>
            <w:tcW w:w="1154"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硫化氢</w:t>
            </w:r>
          </w:p>
        </w:tc>
        <w:tc>
          <w:tcPr>
            <w:tcW w:w="136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小时均值</w:t>
            </w:r>
          </w:p>
        </w:tc>
        <w:tc>
          <w:tcPr>
            <w:tcW w:w="667" w:type="dxa"/>
            <w:vMerge w:val="restart"/>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连续监测7天</w:t>
            </w:r>
          </w:p>
        </w:tc>
        <w:tc>
          <w:tcPr>
            <w:tcW w:w="108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采样四次</w:t>
            </w:r>
          </w:p>
        </w:tc>
        <w:tc>
          <w:tcPr>
            <w:tcW w:w="148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0.010mg/m³</w:t>
            </w:r>
          </w:p>
        </w:tc>
        <w:tc>
          <w:tcPr>
            <w:tcW w:w="3015" w:type="dxa"/>
            <w:vMerge w:val="restart"/>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《环境影响评价技术导则  大气环境》（HJ2.2-2018）表D.1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154"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氨氮</w:t>
            </w:r>
          </w:p>
        </w:tc>
        <w:tc>
          <w:tcPr>
            <w:tcW w:w="136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小时均值</w:t>
            </w:r>
          </w:p>
        </w:tc>
        <w:tc>
          <w:tcPr>
            <w:tcW w:w="667"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08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采样四次</w:t>
            </w:r>
          </w:p>
        </w:tc>
        <w:tc>
          <w:tcPr>
            <w:tcW w:w="148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0.200mg/m³</w:t>
            </w:r>
          </w:p>
        </w:tc>
        <w:tc>
          <w:tcPr>
            <w:tcW w:w="3015"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154"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TVOC</w:t>
            </w:r>
          </w:p>
        </w:tc>
        <w:tc>
          <w:tcPr>
            <w:tcW w:w="136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8小时均值</w:t>
            </w:r>
          </w:p>
        </w:tc>
        <w:tc>
          <w:tcPr>
            <w:tcW w:w="667"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08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连续采样</w:t>
            </w:r>
          </w:p>
        </w:tc>
        <w:tc>
          <w:tcPr>
            <w:tcW w:w="148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0.600mg/m³</w:t>
            </w:r>
          </w:p>
        </w:tc>
        <w:tc>
          <w:tcPr>
            <w:tcW w:w="3015" w:type="dxa"/>
            <w:vMerge w:val="continue"/>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154"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TSP</w:t>
            </w:r>
          </w:p>
        </w:tc>
        <w:tc>
          <w:tcPr>
            <w:tcW w:w="1366"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24小时均值</w:t>
            </w:r>
          </w:p>
        </w:tc>
        <w:tc>
          <w:tcPr>
            <w:tcW w:w="667" w:type="dxa"/>
            <w:vMerge w:val="continue"/>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p>
        </w:tc>
        <w:tc>
          <w:tcPr>
            <w:tcW w:w="108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连续采样</w:t>
            </w:r>
          </w:p>
        </w:tc>
        <w:tc>
          <w:tcPr>
            <w:tcW w:w="148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0.300mg/m³</w:t>
            </w:r>
          </w:p>
        </w:tc>
        <w:tc>
          <w:tcPr>
            <w:tcW w:w="3015"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《环境空气质量标准》（GB3095-2012）</w:t>
            </w:r>
          </w:p>
        </w:tc>
      </w:tr>
    </w:tbl>
    <w:p>
      <w:pPr>
        <w:snapToGrid w:val="0"/>
        <w:spacing w:line="360" w:lineRule="auto"/>
        <w:ind w:firstLine="480" w:firstLineChars="200"/>
        <w:jc w:val="left"/>
        <w:rPr>
          <w:sz w:val="24"/>
          <w:u w:val="none"/>
        </w:rPr>
      </w:pPr>
      <w:r>
        <w:rPr>
          <w:rFonts w:hint="eastAsia" w:ascii="宋体" w:hAnsi="宋体" w:cs="宋体"/>
          <w:sz w:val="24"/>
          <w:u w:val="none"/>
        </w:rPr>
        <w:t>②</w:t>
      </w:r>
      <w:r>
        <w:rPr>
          <w:sz w:val="24"/>
          <w:u w:val="none"/>
        </w:rPr>
        <w:t>监测结果</w:t>
      </w:r>
    </w:p>
    <w:p>
      <w:pPr>
        <w:pStyle w:val="352"/>
        <w:bidi w:val="0"/>
        <w:rPr>
          <w:rFonts w:hint="eastAsia"/>
          <w:lang w:val="en-US" w:eastAsia="zh-CN"/>
        </w:rPr>
      </w:pPr>
      <w:r>
        <w:rPr>
          <w:rFonts w:hint="eastAsia"/>
          <w:lang w:val="en-US" w:eastAsia="zh-CN"/>
        </w:rPr>
        <w:t>表6-7   其他污染物监测结果                    单位：mg/m³</w:t>
      </w:r>
    </w:p>
    <w:tbl>
      <w:tblPr>
        <w:tblStyle w:val="5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42"/>
        <w:gridCol w:w="1550"/>
        <w:gridCol w:w="2133"/>
        <w:gridCol w:w="2250"/>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点位</w:t>
            </w:r>
          </w:p>
        </w:tc>
        <w:tc>
          <w:tcPr>
            <w:tcW w:w="124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kern w:val="0"/>
                <w:sz w:val="21"/>
                <w:szCs w:val="21"/>
                <w:u w:val="none"/>
              </w:rPr>
            </w:pPr>
            <w:r>
              <w:rPr>
                <w:rFonts w:hint="eastAsia" w:cs="Times New Roman"/>
                <w:b/>
                <w:bCs/>
                <w:color w:val="auto"/>
                <w:kern w:val="0"/>
                <w:sz w:val="21"/>
                <w:szCs w:val="21"/>
                <w:u w:val="none"/>
                <w:lang w:eastAsia="zh-CN"/>
              </w:rPr>
              <w:t>检测</w:t>
            </w:r>
            <w:r>
              <w:rPr>
                <w:rFonts w:hint="default" w:ascii="Times New Roman" w:hAnsi="Times New Roman" w:cs="Times New Roman"/>
                <w:b/>
                <w:bCs/>
                <w:color w:val="auto"/>
                <w:kern w:val="0"/>
                <w:sz w:val="21"/>
                <w:szCs w:val="21"/>
                <w:u w:val="none"/>
              </w:rPr>
              <w:t>项目</w:t>
            </w: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u w:val="none"/>
                <w:lang w:eastAsia="zh-CN"/>
              </w:rPr>
            </w:pPr>
            <w:r>
              <w:rPr>
                <w:rFonts w:hint="default" w:ascii="Times New Roman" w:hAnsi="Times New Roman" w:cs="Times New Roman"/>
                <w:b/>
                <w:bCs/>
                <w:color w:val="auto"/>
                <w:kern w:val="0"/>
                <w:sz w:val="21"/>
                <w:szCs w:val="21"/>
                <w:u w:val="none"/>
                <w:lang w:eastAsia="zh-CN"/>
              </w:rPr>
              <w:t>监测时间</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监测结果</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标准限值</w:t>
            </w: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u w:val="none"/>
                <w:lang w:eastAsia="zh-CN"/>
              </w:rPr>
            </w:pPr>
            <w:r>
              <w:rPr>
                <w:rFonts w:hint="eastAsia" w:cs="Times New Roman"/>
                <w:b/>
                <w:bCs/>
                <w:color w:val="auto"/>
                <w:kern w:val="0"/>
                <w:sz w:val="21"/>
                <w:szCs w:val="21"/>
                <w:u w:val="none"/>
                <w:lang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4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项目所在场地下风向</w:t>
            </w:r>
          </w:p>
        </w:tc>
        <w:tc>
          <w:tcPr>
            <w:tcW w:w="124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硫化氢（mg/m³）</w:t>
            </w: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bCs/>
                <w:sz w:val="21"/>
                <w:szCs w:val="21"/>
                <w:highlight w:val="none"/>
                <w:u w:val="none"/>
                <w:lang w:val="en-US" w:eastAsia="zh-CN"/>
              </w:rPr>
              <w:t>2019.</w:t>
            </w:r>
            <w:r>
              <w:rPr>
                <w:rFonts w:hint="eastAsia" w:cs="Times New Roman"/>
                <w:bCs/>
                <w:sz w:val="21"/>
                <w:szCs w:val="21"/>
                <w:highlight w:val="none"/>
                <w:u w:val="none"/>
                <w:lang w:val="en-US" w:eastAsia="zh-CN"/>
              </w:rPr>
              <w:t>06.29</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0.010（1h平均）</w:t>
            </w: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w:t>
            </w:r>
            <w:r>
              <w:rPr>
                <w:rFonts w:hint="eastAsia" w:cs="Times New Roman"/>
                <w:sz w:val="21"/>
                <w:u w:val="none"/>
                <w:lang w:val="en-US" w:eastAsia="zh-CN"/>
              </w:rPr>
              <w:t>06.30</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7.01</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7.02</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7.03</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7.04</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7.05</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00.002~0.003</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kern w:val="0"/>
                <w:sz w:val="21"/>
                <w:szCs w:val="21"/>
                <w:u w:val="none"/>
                <w:lang w:eastAsia="zh-CN"/>
              </w:rPr>
              <w:t>氨（</w:t>
            </w:r>
            <w:r>
              <w:rPr>
                <w:rFonts w:hint="eastAsia" w:cs="Times New Roman"/>
                <w:color w:val="auto"/>
                <w:kern w:val="0"/>
                <w:sz w:val="21"/>
                <w:szCs w:val="21"/>
                <w:u w:val="none"/>
                <w:lang w:val="en-US" w:eastAsia="zh-CN"/>
              </w:rPr>
              <w:t>mg/m³</w:t>
            </w:r>
            <w:r>
              <w:rPr>
                <w:rFonts w:hint="eastAsia" w:cs="Times New Roman"/>
                <w:color w:val="auto"/>
                <w:kern w:val="0"/>
                <w:sz w:val="21"/>
                <w:szCs w:val="21"/>
                <w:u w:val="none"/>
                <w:lang w:eastAsia="zh-CN"/>
              </w:rPr>
              <w:t>）</w:t>
            </w: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bCs/>
                <w:sz w:val="21"/>
                <w:szCs w:val="21"/>
                <w:highlight w:val="none"/>
                <w:u w:val="none"/>
                <w:lang w:val="en-US" w:eastAsia="zh-CN"/>
              </w:rPr>
              <w:t>2019.</w:t>
            </w:r>
            <w:r>
              <w:rPr>
                <w:rFonts w:hint="eastAsia" w:cs="Times New Roman"/>
                <w:bCs/>
                <w:sz w:val="21"/>
                <w:szCs w:val="21"/>
                <w:highlight w:val="none"/>
                <w:u w:val="none"/>
                <w:lang w:val="en-US" w:eastAsia="zh-CN"/>
              </w:rPr>
              <w:t>06.29</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0.039~0.041</w:t>
            </w:r>
          </w:p>
        </w:tc>
        <w:tc>
          <w:tcPr>
            <w:tcW w:w="225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w:t>
            </w:r>
            <w:r>
              <w:rPr>
                <w:rFonts w:hint="default" w:ascii="Times New Roman" w:hAnsi="Times New Roman" w:cs="Times New Roman"/>
                <w:color w:val="auto"/>
                <w:kern w:val="0"/>
                <w:sz w:val="21"/>
                <w:szCs w:val="21"/>
                <w:u w:val="none"/>
                <w:lang w:val="en-US" w:eastAsia="zh-CN"/>
              </w:rPr>
              <w:t>2</w:t>
            </w:r>
            <w:r>
              <w:rPr>
                <w:rFonts w:hint="eastAsia" w:cs="Times New Roman"/>
                <w:color w:val="auto"/>
                <w:kern w:val="0"/>
                <w:sz w:val="21"/>
                <w:szCs w:val="21"/>
                <w:u w:val="none"/>
                <w:lang w:val="en-US" w:eastAsia="zh-CN"/>
              </w:rPr>
              <w:t>00</w:t>
            </w:r>
            <w:r>
              <w:rPr>
                <w:rFonts w:hint="default" w:ascii="Times New Roman" w:hAnsi="Times New Roman" w:cs="Times New Roman"/>
                <w:color w:val="auto"/>
                <w:kern w:val="0"/>
                <w:sz w:val="21"/>
                <w:szCs w:val="21"/>
                <w:u w:val="none"/>
              </w:rPr>
              <w:t>（</w:t>
            </w:r>
            <w:r>
              <w:rPr>
                <w:rFonts w:hint="default" w:ascii="Times New Roman" w:hAnsi="Times New Roman" w:cs="Times New Roman"/>
                <w:color w:val="auto"/>
                <w:kern w:val="0"/>
                <w:sz w:val="21"/>
                <w:szCs w:val="21"/>
                <w:u w:val="none"/>
                <w:lang w:val="en-US" w:eastAsia="zh-CN"/>
              </w:rPr>
              <w:t>1h平均</w:t>
            </w:r>
            <w:r>
              <w:rPr>
                <w:rFonts w:hint="default" w:ascii="Times New Roman" w:hAnsi="Times New Roman" w:cs="Times New Roman"/>
                <w:color w:val="auto"/>
                <w:kern w:val="0"/>
                <w:sz w:val="21"/>
                <w:szCs w:val="21"/>
                <w:u w:val="none"/>
              </w:rPr>
              <w:t>）</w:t>
            </w: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w:t>
            </w:r>
            <w:r>
              <w:rPr>
                <w:rFonts w:hint="eastAsia" w:cs="Times New Roman"/>
                <w:sz w:val="21"/>
                <w:u w:val="none"/>
                <w:lang w:val="en-US" w:eastAsia="zh-CN"/>
              </w:rPr>
              <w:t>06.30</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0.043~0.046</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7.01</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0.042~0.046</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7.02</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0.042~0.047</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7.03</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0.042~0.048</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7.04</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0.041~0.046</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7.05</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0.044~0.049</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u w:val="none"/>
                <w:lang w:val="en-US" w:eastAsia="zh-CN"/>
              </w:rPr>
            </w:pPr>
            <w:r>
              <w:rPr>
                <w:rFonts w:hint="default" w:ascii="Times New Roman" w:hAnsi="Times New Roman" w:cs="Times New Roman"/>
                <w:color w:val="auto"/>
                <w:sz w:val="21"/>
                <w:u w:val="none"/>
                <w:lang w:val="en-US" w:eastAsia="zh-CN"/>
              </w:rPr>
              <w:t>TVOC</w:t>
            </w:r>
            <w:r>
              <w:rPr>
                <w:rFonts w:hint="eastAsia" w:cs="Times New Roman"/>
                <w:color w:val="auto"/>
                <w:sz w:val="21"/>
                <w:u w:val="none"/>
                <w:lang w:val="en-US" w:eastAsia="zh-CN"/>
              </w:rPr>
              <w:t>（mg/m³）</w:t>
            </w: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bCs/>
                <w:sz w:val="21"/>
                <w:szCs w:val="21"/>
                <w:highlight w:val="none"/>
                <w:u w:val="none"/>
                <w:lang w:val="en-US" w:eastAsia="zh-CN"/>
              </w:rPr>
              <w:t>2019.</w:t>
            </w:r>
            <w:r>
              <w:rPr>
                <w:rFonts w:hint="eastAsia" w:cs="Times New Roman"/>
                <w:bCs/>
                <w:sz w:val="21"/>
                <w:szCs w:val="21"/>
                <w:highlight w:val="none"/>
                <w:u w:val="none"/>
                <w:lang w:val="en-US" w:eastAsia="zh-CN"/>
              </w:rPr>
              <w:t>06.29</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b w:val="0"/>
                <w:bCs w:val="0"/>
                <w:sz w:val="21"/>
                <w:u w:val="none"/>
                <w:lang w:val="en-US" w:eastAsia="zh-CN"/>
              </w:rPr>
              <w:t>0.0048</w:t>
            </w:r>
          </w:p>
        </w:tc>
        <w:tc>
          <w:tcPr>
            <w:tcW w:w="225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lang w:val="en-US" w:eastAsia="zh-CN"/>
              </w:rPr>
              <w:t>0.6</w:t>
            </w:r>
            <w:r>
              <w:rPr>
                <w:rFonts w:hint="eastAsia" w:cs="Times New Roman"/>
                <w:color w:val="auto"/>
                <w:kern w:val="0"/>
                <w:sz w:val="21"/>
                <w:szCs w:val="21"/>
                <w:u w:val="none"/>
                <w:lang w:val="en-US" w:eastAsia="zh-CN"/>
              </w:rPr>
              <w:t>00</w:t>
            </w:r>
            <w:r>
              <w:rPr>
                <w:rFonts w:hint="default" w:ascii="Times New Roman" w:hAnsi="Times New Roman" w:cs="Times New Roman"/>
                <w:color w:val="auto"/>
                <w:kern w:val="0"/>
                <w:sz w:val="21"/>
                <w:szCs w:val="21"/>
                <w:u w:val="none"/>
                <w:lang w:val="en-US" w:eastAsia="zh-CN"/>
              </w:rPr>
              <w:t>（8小时均值）</w:t>
            </w: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w:t>
            </w:r>
            <w:r>
              <w:rPr>
                <w:rFonts w:hint="eastAsia" w:cs="Times New Roman"/>
                <w:sz w:val="21"/>
                <w:u w:val="none"/>
                <w:lang w:val="en-US" w:eastAsia="zh-CN"/>
              </w:rPr>
              <w:t>06.30</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w:t>
            </w:r>
            <w:r>
              <w:rPr>
                <w:rFonts w:hint="eastAsia" w:cs="Times New Roman"/>
                <w:b w:val="0"/>
                <w:bCs w:val="0"/>
                <w:sz w:val="21"/>
                <w:u w:val="none"/>
                <w:lang w:val="en-US" w:eastAsia="zh-CN"/>
              </w:rPr>
              <w:t>42</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7.01</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0.0076</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7.02</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w:t>
            </w:r>
            <w:r>
              <w:rPr>
                <w:rFonts w:hint="eastAsia" w:cs="Times New Roman"/>
                <w:b w:val="0"/>
                <w:bCs w:val="0"/>
                <w:sz w:val="21"/>
                <w:u w:val="none"/>
                <w:lang w:val="en-US" w:eastAsia="zh-CN"/>
              </w:rPr>
              <w:t>67</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7.03</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w:t>
            </w:r>
            <w:r>
              <w:rPr>
                <w:rFonts w:hint="eastAsia" w:cs="Times New Roman"/>
                <w:b w:val="0"/>
                <w:bCs w:val="0"/>
                <w:sz w:val="21"/>
                <w:u w:val="none"/>
                <w:lang w:val="en-US" w:eastAsia="zh-CN"/>
              </w:rPr>
              <w:t>51</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7.04</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w:t>
            </w:r>
            <w:r>
              <w:rPr>
                <w:rFonts w:hint="eastAsia" w:cs="Times New Roman"/>
                <w:b w:val="0"/>
                <w:bCs w:val="0"/>
                <w:sz w:val="21"/>
                <w:u w:val="none"/>
                <w:lang w:val="en-US" w:eastAsia="zh-CN"/>
              </w:rPr>
              <w:t>51</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7.05</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cs="Times New Roman"/>
                <w:b w:val="0"/>
                <w:bCs w:val="0"/>
                <w:sz w:val="21"/>
                <w:u w:val="none"/>
                <w:lang w:val="en-US" w:eastAsia="zh-CN"/>
              </w:rPr>
              <w:t>0.00</w:t>
            </w:r>
            <w:r>
              <w:rPr>
                <w:rFonts w:hint="eastAsia" w:cs="Times New Roman"/>
                <w:b w:val="0"/>
                <w:bCs w:val="0"/>
                <w:sz w:val="21"/>
                <w:u w:val="none"/>
                <w:lang w:val="en-US" w:eastAsia="zh-CN"/>
              </w:rPr>
              <w:t>66</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u w:val="none"/>
                <w:lang w:val="en-US" w:eastAsia="zh-CN"/>
              </w:rPr>
            </w:pPr>
            <w:r>
              <w:rPr>
                <w:rFonts w:hint="eastAsia" w:cs="Times New Roman"/>
                <w:color w:val="auto"/>
                <w:kern w:val="0"/>
                <w:sz w:val="21"/>
                <w:szCs w:val="21"/>
                <w:u w:val="none"/>
                <w:lang w:val="en-US" w:eastAsia="zh-CN"/>
              </w:rPr>
              <w:t>TSP</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（mg/m³）</w:t>
            </w: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bCs/>
                <w:sz w:val="21"/>
                <w:szCs w:val="21"/>
                <w:highlight w:val="none"/>
                <w:u w:val="none"/>
                <w:lang w:val="en-US" w:eastAsia="zh-CN"/>
              </w:rPr>
              <w:t>2019.</w:t>
            </w:r>
            <w:r>
              <w:rPr>
                <w:rFonts w:hint="eastAsia" w:cs="Times New Roman"/>
                <w:bCs/>
                <w:sz w:val="21"/>
                <w:szCs w:val="21"/>
                <w:highlight w:val="none"/>
                <w:u w:val="none"/>
                <w:lang w:val="en-US" w:eastAsia="zh-CN"/>
              </w:rPr>
              <w:t>06.29</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0.110</w:t>
            </w:r>
          </w:p>
        </w:tc>
        <w:tc>
          <w:tcPr>
            <w:tcW w:w="225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0.300（24小时均值）</w:t>
            </w: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w:t>
            </w:r>
            <w:r>
              <w:rPr>
                <w:rFonts w:hint="eastAsia" w:cs="Times New Roman"/>
                <w:sz w:val="21"/>
                <w:u w:val="none"/>
                <w:lang w:val="en-US" w:eastAsia="zh-CN"/>
              </w:rPr>
              <w:t>06.30</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0.102</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7.01</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0.108</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7.02</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0.112</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7.03</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0.115</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7.04</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0.107</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2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u w:val="none"/>
                <w:lang w:val="en-US" w:eastAsia="zh-CN"/>
              </w:rPr>
            </w:pPr>
            <w:r>
              <w:rPr>
                <w:rFonts w:hint="default" w:ascii="Times New Roman" w:hAnsi="Times New Roman" w:eastAsia="宋体" w:cs="Times New Roman"/>
                <w:sz w:val="21"/>
                <w:u w:val="none"/>
                <w:lang w:val="en-US" w:eastAsia="zh-CN"/>
              </w:rPr>
              <w:t>2019.0</w:t>
            </w:r>
            <w:r>
              <w:rPr>
                <w:rFonts w:hint="eastAsia" w:cs="Times New Roman"/>
                <w:sz w:val="21"/>
                <w:u w:val="none"/>
                <w:lang w:val="en-US" w:eastAsia="zh-CN"/>
              </w:rPr>
              <w:t>7.05</w:t>
            </w:r>
          </w:p>
        </w:tc>
        <w:tc>
          <w:tcPr>
            <w:tcW w:w="213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z w:val="21"/>
                <w:u w:val="none"/>
                <w:lang w:val="en-US" w:eastAsia="zh-CN"/>
              </w:rPr>
            </w:pPr>
            <w:r>
              <w:rPr>
                <w:rFonts w:hint="eastAsia" w:cs="Times New Roman"/>
                <w:b w:val="0"/>
                <w:bCs w:val="0"/>
                <w:sz w:val="21"/>
                <w:u w:val="none"/>
                <w:lang w:val="en-US" w:eastAsia="zh-CN"/>
              </w:rPr>
              <w:t>0.110</w:t>
            </w:r>
          </w:p>
        </w:tc>
        <w:tc>
          <w:tcPr>
            <w:tcW w:w="225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p>
        </w:tc>
        <w:tc>
          <w:tcPr>
            <w:tcW w:w="153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u w:val="none"/>
              </w:rPr>
            </w:pPr>
            <w:r>
              <w:rPr>
                <w:rFonts w:hint="eastAsia" w:cs="Times New Roman"/>
                <w:color w:val="auto"/>
                <w:sz w:val="21"/>
                <w:szCs w:val="21"/>
                <w:u w:val="none"/>
                <w:lang w:val="en-US" w:eastAsia="zh-CN"/>
              </w:rPr>
              <w:t>达标</w:t>
            </w:r>
          </w:p>
        </w:tc>
      </w:tr>
    </w:tbl>
    <w:p>
      <w:pPr>
        <w:snapToGrid w:val="0"/>
        <w:spacing w:line="360" w:lineRule="auto"/>
        <w:ind w:firstLine="480" w:firstLineChars="200"/>
        <w:rPr>
          <w:sz w:val="24"/>
          <w:u w:val="none"/>
        </w:rPr>
      </w:pPr>
      <w:r>
        <w:rPr>
          <w:sz w:val="24"/>
          <w:u w:val="none"/>
        </w:rPr>
        <w:t>由</w:t>
      </w:r>
      <w:r>
        <w:rPr>
          <w:rFonts w:hint="eastAsia"/>
          <w:sz w:val="24"/>
          <w:u w:val="none"/>
          <w:lang w:eastAsia="zh-CN"/>
        </w:rPr>
        <w:t>上表</w:t>
      </w:r>
      <w:r>
        <w:rPr>
          <w:sz w:val="24"/>
          <w:u w:val="none"/>
        </w:rPr>
        <w:t>监测结果可知，本项目</w:t>
      </w:r>
      <w:r>
        <w:rPr>
          <w:rFonts w:hint="eastAsia"/>
          <w:sz w:val="24"/>
          <w:u w:val="none"/>
          <w:lang w:eastAsia="zh-CN"/>
        </w:rPr>
        <w:t>监测期间硫化氢、氨、</w:t>
      </w:r>
      <w:r>
        <w:rPr>
          <w:rFonts w:hint="eastAsia"/>
          <w:sz w:val="24"/>
          <w:u w:val="none"/>
          <w:lang w:val="en-US" w:eastAsia="zh-CN"/>
        </w:rPr>
        <w:t>TVOC和TSP环境空气质量浓度均</w:t>
      </w:r>
      <w:r>
        <w:rPr>
          <w:sz w:val="24"/>
          <w:u w:val="none"/>
        </w:rPr>
        <w:t>满足相应标准限值要求</w:t>
      </w:r>
      <w:r>
        <w:rPr>
          <w:rFonts w:hint="eastAsia"/>
          <w:sz w:val="24"/>
          <w:u w:val="none"/>
          <w:lang w:eastAsia="zh-CN"/>
        </w:rPr>
        <w:t>，</w:t>
      </w:r>
      <w:r>
        <w:rPr>
          <w:sz w:val="24"/>
          <w:u w:val="none"/>
        </w:rPr>
        <w:t>表明</w:t>
      </w:r>
      <w:r>
        <w:rPr>
          <w:rFonts w:hint="eastAsia"/>
          <w:sz w:val="24"/>
          <w:u w:val="none"/>
          <w:lang w:eastAsia="zh-CN"/>
        </w:rPr>
        <w:t>拟建项目评价范围内大气其他污染物</w:t>
      </w:r>
      <w:r>
        <w:rPr>
          <w:sz w:val="24"/>
          <w:u w:val="none"/>
        </w:rPr>
        <w:t>空气环境质量现状良好。</w:t>
      </w:r>
    </w:p>
    <w:p>
      <w:pPr>
        <w:snapToGrid w:val="0"/>
        <w:spacing w:line="360" w:lineRule="auto"/>
        <w:ind w:firstLine="480" w:firstLineChars="200"/>
        <w:rPr>
          <w:rFonts w:hint="eastAsia" w:eastAsia="宋体"/>
          <w:sz w:val="24"/>
          <w:u w:val="none"/>
          <w:lang w:eastAsia="zh-CN"/>
        </w:rPr>
      </w:pPr>
      <w:r>
        <w:rPr>
          <w:rFonts w:hint="eastAsia"/>
          <w:sz w:val="24"/>
          <w:u w:val="none"/>
          <w:lang w:eastAsia="zh-CN"/>
        </w:rPr>
        <w:t>综上所述，根据《</w:t>
      </w:r>
      <w:r>
        <w:rPr>
          <w:rFonts w:hint="eastAsia"/>
          <w:color w:val="auto"/>
          <w:sz w:val="24"/>
          <w:u w:val="none"/>
          <w:lang w:val="en-US" w:eastAsia="zh-CN"/>
        </w:rPr>
        <w:t>2018年旺苍县环境质量公告</w:t>
      </w:r>
      <w:r>
        <w:rPr>
          <w:rFonts w:hint="eastAsia"/>
          <w:sz w:val="24"/>
          <w:u w:val="none"/>
          <w:lang w:eastAsia="zh-CN"/>
        </w:rPr>
        <w:t>》，本项目所在区域颗粒物和细颗粒物存在不同程度的超标，项目所在评价区域为不达标区。而本项目外排废气污染物主要为硫化氢、氨、挥发性有机污染物</w:t>
      </w:r>
      <w:r>
        <w:rPr>
          <w:rFonts w:hint="eastAsia"/>
          <w:sz w:val="24"/>
          <w:u w:val="none"/>
          <w:lang w:val="en-US" w:eastAsia="zh-CN"/>
        </w:rPr>
        <w:t>和颗粒物，根据补充监测结果可知，</w:t>
      </w:r>
      <w:r>
        <w:rPr>
          <w:rFonts w:hint="eastAsia"/>
          <w:sz w:val="24"/>
          <w:u w:val="none"/>
          <w:lang w:eastAsia="zh-CN"/>
        </w:rPr>
        <w:t>拟建项目评价范围内大气其他污染物</w:t>
      </w:r>
      <w:r>
        <w:rPr>
          <w:sz w:val="24"/>
          <w:u w:val="none"/>
        </w:rPr>
        <w:t>空气环境质量现状良好</w:t>
      </w:r>
      <w:r>
        <w:rPr>
          <w:rFonts w:hint="eastAsia"/>
          <w:sz w:val="24"/>
          <w:u w:val="none"/>
          <w:lang w:eastAsia="zh-CN"/>
        </w:rPr>
        <w:t>，表明评价范围内有足够的环境容量容纳本项目的建设。</w:t>
      </w:r>
    </w:p>
    <w:p>
      <w:pPr>
        <w:pStyle w:val="3"/>
        <w:rPr>
          <w:rFonts w:ascii="Times New Roman" w:hAnsi="Times New Roman" w:cs="Times New Roman"/>
          <w:sz w:val="28"/>
          <w:szCs w:val="28"/>
          <w:u w:val="none"/>
        </w:rPr>
      </w:pPr>
      <w:bookmarkStart w:id="60" w:name="_Toc2437"/>
      <w:r>
        <w:rPr>
          <w:rFonts w:hint="eastAsia" w:ascii="Times New Roman" w:hAnsi="Times New Roman" w:cs="Times New Roman"/>
          <w:sz w:val="28"/>
          <w:szCs w:val="28"/>
          <w:u w:val="none"/>
          <w:lang w:val="en-US" w:eastAsia="zh-CN"/>
        </w:rPr>
        <w:t>6</w:t>
      </w:r>
      <w:r>
        <w:rPr>
          <w:rFonts w:ascii="Times New Roman" w:hAnsi="Times New Roman" w:cs="Times New Roman"/>
          <w:sz w:val="28"/>
          <w:szCs w:val="28"/>
          <w:u w:val="none"/>
        </w:rPr>
        <w:t>.3声环境质量现状监测与评价</w:t>
      </w:r>
      <w:bookmarkEnd w:id="59"/>
      <w:bookmarkEnd w:id="60"/>
    </w:p>
    <w:p>
      <w:pPr>
        <w:snapToGrid w:val="0"/>
        <w:spacing w:line="360" w:lineRule="auto"/>
        <w:ind w:firstLine="480" w:firstLineChars="200"/>
        <w:jc w:val="left"/>
        <w:rPr>
          <w:rFonts w:hint="eastAsia"/>
          <w:sz w:val="24"/>
          <w:u w:val="none"/>
          <w:lang w:eastAsia="zh-CN"/>
        </w:rPr>
      </w:pPr>
      <w:r>
        <w:rPr>
          <w:rFonts w:hint="eastAsia"/>
          <w:sz w:val="24"/>
          <w:u w:val="none"/>
          <w:lang w:val="en-US" w:eastAsia="zh-CN"/>
        </w:rPr>
        <w:t>1、</w:t>
      </w:r>
      <w:r>
        <w:rPr>
          <w:sz w:val="24"/>
          <w:u w:val="none"/>
        </w:rPr>
        <w:t>声环境质量</w:t>
      </w:r>
      <w:r>
        <w:rPr>
          <w:rFonts w:hint="eastAsia"/>
          <w:sz w:val="24"/>
          <w:u w:val="none"/>
          <w:lang w:eastAsia="zh-CN"/>
        </w:rPr>
        <w:t>现状监测</w:t>
      </w:r>
    </w:p>
    <w:p>
      <w:pPr>
        <w:snapToGrid w:val="0"/>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1</w:t>
      </w:r>
      <w:r>
        <w:rPr>
          <w:rFonts w:hint="eastAsia"/>
          <w:sz w:val="24"/>
          <w:u w:val="none"/>
          <w:lang w:eastAsia="zh-CN"/>
        </w:rPr>
        <w:t>）噪声监测点位布设</w:t>
      </w:r>
    </w:p>
    <w:p>
      <w:pPr>
        <w:snapToGrid w:val="0"/>
        <w:spacing w:line="360" w:lineRule="auto"/>
        <w:ind w:firstLine="480" w:firstLineChars="200"/>
        <w:jc w:val="left"/>
        <w:rPr>
          <w:rFonts w:hint="eastAsia"/>
          <w:sz w:val="24"/>
          <w:u w:val="none"/>
          <w:lang w:val="en-US" w:eastAsia="zh-CN"/>
        </w:rPr>
      </w:pPr>
      <w:r>
        <w:rPr>
          <w:rFonts w:hint="eastAsia"/>
          <w:sz w:val="24"/>
          <w:u w:val="none"/>
          <w:lang w:eastAsia="zh-CN"/>
        </w:rPr>
        <w:t>本项目噪声监测布点为项目厂址周围，总计布设</w:t>
      </w:r>
      <w:r>
        <w:rPr>
          <w:rFonts w:hint="eastAsia"/>
          <w:sz w:val="24"/>
          <w:u w:val="none"/>
          <w:lang w:val="en-US" w:eastAsia="zh-CN"/>
        </w:rPr>
        <w:t>5个点位，具体位置详见附图。</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（2）监测单位、监测时间及频次</w:t>
      </w:r>
    </w:p>
    <w:p>
      <w:pPr>
        <w:snapToGrid w:val="0"/>
        <w:spacing w:line="360" w:lineRule="auto"/>
        <w:ind w:firstLine="480" w:firstLineChars="200"/>
        <w:jc w:val="left"/>
        <w:rPr>
          <w:rFonts w:hint="eastAsia"/>
          <w:color w:val="auto"/>
          <w:sz w:val="24"/>
          <w:u w:val="none"/>
          <w:lang w:eastAsia="zh-CN"/>
        </w:rPr>
      </w:pPr>
      <w:r>
        <w:rPr>
          <w:rFonts w:hint="eastAsia"/>
          <w:sz w:val="24"/>
          <w:u w:val="none"/>
          <w:lang w:val="en-US" w:eastAsia="zh-CN"/>
        </w:rPr>
        <w:t>监测单位：</w:t>
      </w:r>
      <w:r>
        <w:rPr>
          <w:rFonts w:hint="eastAsia"/>
          <w:color w:val="auto"/>
          <w:sz w:val="24"/>
          <w:u w:val="none"/>
          <w:lang w:eastAsia="zh-CN"/>
        </w:rPr>
        <w:t>四川立明检测技术有限公司；</w:t>
      </w:r>
    </w:p>
    <w:p>
      <w:pPr>
        <w:snapToGrid w:val="0"/>
        <w:spacing w:line="360" w:lineRule="auto"/>
        <w:ind w:firstLine="480" w:firstLineChars="200"/>
        <w:jc w:val="left"/>
        <w:rPr>
          <w:rFonts w:hint="eastAsia"/>
          <w:sz w:val="24"/>
          <w:u w:val="none"/>
          <w:lang w:val="en-US" w:eastAsia="zh-CN"/>
        </w:rPr>
      </w:pPr>
      <w:r>
        <w:rPr>
          <w:rFonts w:hint="eastAsia"/>
          <w:color w:val="auto"/>
          <w:sz w:val="24"/>
          <w:u w:val="none"/>
          <w:lang w:eastAsia="zh-CN"/>
        </w:rPr>
        <w:t>监测时间及频次：</w:t>
      </w:r>
      <w:r>
        <w:rPr>
          <w:rFonts w:hint="eastAsia"/>
          <w:sz w:val="24"/>
          <w:u w:val="none"/>
          <w:lang w:val="en-US" w:eastAsia="zh-CN"/>
        </w:rPr>
        <w:t>2019.6.29~2019.6.30，</w:t>
      </w:r>
      <w:r>
        <w:rPr>
          <w:rFonts w:hint="eastAsia"/>
          <w:sz w:val="24"/>
          <w:u w:val="none"/>
          <w:lang w:eastAsia="zh-CN"/>
        </w:rPr>
        <w:t>连续监测</w:t>
      </w:r>
      <w:r>
        <w:rPr>
          <w:rFonts w:hint="eastAsia"/>
          <w:sz w:val="24"/>
          <w:u w:val="none"/>
          <w:lang w:val="en-US" w:eastAsia="zh-CN"/>
        </w:rPr>
        <w:t>2天，每天昼夜各监测1次。</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（3）监测内容</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测定各点位昼间、夜间等效连续A声级。</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（4）监测方法</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按照《声环境质量标准》（GB3096-2008）的规定进行监测。</w:t>
      </w:r>
    </w:p>
    <w:p>
      <w:pPr>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（5）监测结果</w:t>
      </w:r>
    </w:p>
    <w:p>
      <w:pPr>
        <w:snapToGrid w:val="0"/>
        <w:spacing w:line="360" w:lineRule="auto"/>
        <w:ind w:firstLine="480" w:firstLineChars="200"/>
        <w:jc w:val="left"/>
        <w:rPr>
          <w:sz w:val="24"/>
          <w:u w:val="none"/>
        </w:rPr>
      </w:pPr>
      <w:r>
        <w:rPr>
          <w:sz w:val="24"/>
          <w:u w:val="none"/>
        </w:rPr>
        <w:t>监测结果</w:t>
      </w:r>
      <w:r>
        <w:rPr>
          <w:rFonts w:hint="eastAsia"/>
          <w:sz w:val="24"/>
          <w:u w:val="none"/>
          <w:lang w:eastAsia="zh-CN"/>
        </w:rPr>
        <w:t>详见</w:t>
      </w:r>
      <w:r>
        <w:rPr>
          <w:sz w:val="24"/>
          <w:u w:val="none"/>
        </w:rPr>
        <w:t>下表：</w:t>
      </w:r>
    </w:p>
    <w:p>
      <w:pPr>
        <w:pStyle w:val="352"/>
        <w:bidi w:val="0"/>
        <w:rPr>
          <w:rFonts w:hint="eastAsia"/>
          <w:lang w:val="en-US" w:eastAsia="zh-CN"/>
        </w:rPr>
      </w:pPr>
      <w:r>
        <w:rPr>
          <w:rFonts w:hint="eastAsia"/>
          <w:lang w:val="en-US" w:eastAsia="zh-CN"/>
        </w:rPr>
        <w:t>表6-8   噪声监测布点及监测结果表             dB（A）</w:t>
      </w:r>
    </w:p>
    <w:tbl>
      <w:tblPr>
        <w:tblStyle w:val="58"/>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008"/>
        <w:gridCol w:w="1704"/>
        <w:gridCol w:w="1705"/>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blHeader/>
          <w:jc w:val="center"/>
        </w:trPr>
        <w:tc>
          <w:tcPr>
            <w:tcW w:w="2181" w:type="dxa"/>
            <w:vMerge w:val="restart"/>
            <w:tcBorders>
              <w:top w:val="single" w:color="auto" w:sz="4" w:space="0"/>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r>
              <w:rPr>
                <w:rFonts w:hint="default" w:ascii="Times New Roman" w:hAnsi="Times New Roman" w:eastAsia="宋体"/>
                <w:b/>
                <w:bCs/>
                <w:u w:val="none"/>
                <w:lang w:eastAsia="zh-CN"/>
              </w:rPr>
              <w:t>点位</w:t>
            </w:r>
          </w:p>
        </w:tc>
        <w:tc>
          <w:tcPr>
            <w:tcW w:w="2008" w:type="dxa"/>
            <w:vMerge w:val="restart"/>
            <w:tcBorders>
              <w:top w:val="single" w:color="auto" w:sz="4" w:space="0"/>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r>
              <w:rPr>
                <w:rFonts w:hint="default" w:ascii="Times New Roman" w:hAnsi="Times New Roman" w:eastAsia="宋体"/>
                <w:b/>
                <w:bCs/>
                <w:u w:val="none"/>
                <w:lang w:eastAsia="zh-CN"/>
              </w:rPr>
              <w:t>测量时间</w:t>
            </w:r>
          </w:p>
        </w:tc>
        <w:tc>
          <w:tcPr>
            <w:tcW w:w="34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r>
              <w:rPr>
                <w:rFonts w:hint="default" w:ascii="Times New Roman" w:hAnsi="Times New Roman" w:eastAsia="宋体"/>
                <w:b/>
                <w:bCs/>
                <w:u w:val="none"/>
                <w:lang w:eastAsia="zh-CN"/>
              </w:rPr>
              <w:t>监测结果</w:t>
            </w:r>
          </w:p>
        </w:tc>
        <w:tc>
          <w:tcPr>
            <w:tcW w:w="1662" w:type="dxa"/>
            <w:vMerge w:val="restart"/>
            <w:tcBorders>
              <w:top w:val="single" w:color="auto" w:sz="4" w:space="0"/>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r>
              <w:rPr>
                <w:rFonts w:hint="default" w:ascii="Times New Roman" w:hAnsi="Times New Roman" w:eastAsia="宋体"/>
                <w:b/>
                <w:bCs/>
                <w:u w:val="none"/>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blHeader/>
          <w:jc w:val="center"/>
        </w:trPr>
        <w:tc>
          <w:tcPr>
            <w:tcW w:w="2181" w:type="dxa"/>
            <w:vMerge w:val="continue"/>
            <w:tcBorders>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p>
        </w:tc>
        <w:tc>
          <w:tcPr>
            <w:tcW w:w="2008" w:type="dxa"/>
            <w:vMerge w:val="continue"/>
            <w:tcBorders>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val="en-US" w:eastAsia="zh-CN"/>
              </w:rPr>
            </w:pPr>
            <w:r>
              <w:rPr>
                <w:rFonts w:hint="eastAsia" w:ascii="Times New Roman" w:hAnsi="Times New Roman" w:eastAsia="宋体"/>
                <w:b/>
                <w:bCs/>
                <w:u w:val="none"/>
                <w:lang w:val="en-US" w:eastAsia="zh-CN"/>
              </w:rPr>
              <w:t>20</w:t>
            </w:r>
            <w:r>
              <w:rPr>
                <w:rFonts w:hint="eastAsia"/>
                <w:b/>
                <w:bCs/>
                <w:u w:val="none"/>
                <w:lang w:val="en-US" w:eastAsia="zh-CN"/>
              </w:rPr>
              <w:t>19.6.29</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val="en-US" w:eastAsia="zh-CN"/>
              </w:rPr>
            </w:pPr>
            <w:r>
              <w:rPr>
                <w:rFonts w:hint="eastAsia" w:ascii="Times New Roman" w:hAnsi="Times New Roman" w:eastAsia="宋体"/>
                <w:b/>
                <w:bCs/>
                <w:u w:val="none"/>
                <w:lang w:val="en-US" w:eastAsia="zh-CN"/>
              </w:rPr>
              <w:t>201</w:t>
            </w:r>
            <w:r>
              <w:rPr>
                <w:rFonts w:hint="eastAsia"/>
                <w:b/>
                <w:bCs/>
                <w:u w:val="none"/>
                <w:lang w:val="en-US" w:eastAsia="zh-CN"/>
              </w:rPr>
              <w:t>9.6.30</w:t>
            </w:r>
          </w:p>
        </w:tc>
        <w:tc>
          <w:tcPr>
            <w:tcW w:w="1662" w:type="dxa"/>
            <w:vMerge w:val="continue"/>
            <w:tcBorders>
              <w:left w:val="single" w:color="auto" w:sz="4" w:space="0"/>
              <w:right w:val="single" w:color="auto" w:sz="4" w:space="0"/>
            </w:tcBorders>
            <w:shd w:val="clear" w:color="auto" w:fill="auto"/>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bCs/>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restart"/>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eastAsia"/>
                <w:b w:val="0"/>
                <w:bCs w:val="0"/>
                <w:u w:val="none"/>
                <w:lang w:eastAsia="zh-CN"/>
              </w:rPr>
              <w:t>项目所在地西北侧</w:t>
            </w: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昼间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49.1</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52.6</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continue"/>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夜间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43.9</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43.6</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default" w:ascii="Times New Roman" w:hAnsi="Times New Roman" w:eastAsia="宋体"/>
                <w:b w:val="0"/>
                <w:bCs w:val="0"/>
                <w:u w:val="none"/>
                <w:lang w:eastAsia="zh-CN"/>
              </w:rPr>
              <w:t>5</w:t>
            </w:r>
            <w:r>
              <w:rPr>
                <w:rFonts w:hint="eastAsia"/>
                <w:b w:val="0"/>
                <w:bCs w:val="0"/>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restart"/>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eastAsia"/>
                <w:b w:val="0"/>
                <w:bCs w:val="0"/>
                <w:u w:val="none"/>
                <w:lang w:eastAsia="zh-CN"/>
              </w:rPr>
              <w:t>项目所在地北侧</w:t>
            </w: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昼间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50.7</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53.4</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eastAsia"/>
                <w:b w:val="0"/>
                <w:bCs w:val="0"/>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continue"/>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夜间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45.2</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44.6</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5</w:t>
            </w:r>
            <w:r>
              <w:rPr>
                <w:rFonts w:hint="eastAsia"/>
                <w:b w:val="0"/>
                <w:bCs w:val="0"/>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restart"/>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val="0"/>
                <w:u w:val="none"/>
                <w:lang w:eastAsia="zh-CN"/>
              </w:rPr>
            </w:pPr>
            <w:r>
              <w:rPr>
                <w:rFonts w:hint="eastAsia"/>
                <w:b w:val="0"/>
                <w:bCs w:val="0"/>
                <w:u w:val="none"/>
                <w:lang w:eastAsia="zh-CN"/>
              </w:rPr>
              <w:t>项目所在地东侧</w:t>
            </w: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昼间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54.8</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54.7</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eastAsia"/>
                <w:b w:val="0"/>
                <w:bCs w:val="0"/>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continue"/>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夜间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42.8</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45.4</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5</w:t>
            </w:r>
            <w:r>
              <w:rPr>
                <w:rFonts w:hint="eastAsia"/>
                <w:b w:val="0"/>
                <w:bCs w:val="0"/>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restart"/>
            <w:tcBorders>
              <w:top w:val="single" w:color="auto" w:sz="4" w:space="0"/>
              <w:left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eastAsia"/>
                <w:b w:val="0"/>
                <w:bCs w:val="0"/>
                <w:u w:val="none"/>
                <w:lang w:eastAsia="zh-CN"/>
              </w:rPr>
              <w:t>项目所在地东南侧</w:t>
            </w: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昼间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55.2</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55.4</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eastAsia"/>
                <w:b w:val="0"/>
                <w:bCs w:val="0"/>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continue"/>
            <w:tcBorders>
              <w:left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夜间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46.5</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46.3</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5</w:t>
            </w:r>
            <w:r>
              <w:rPr>
                <w:rFonts w:hint="eastAsia"/>
                <w:b w:val="0"/>
                <w:bCs w:val="0"/>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restart"/>
            <w:tcBorders>
              <w:left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r>
              <w:rPr>
                <w:rFonts w:hint="eastAsia"/>
                <w:b w:val="0"/>
                <w:bCs w:val="0"/>
                <w:u w:val="none"/>
                <w:lang w:eastAsia="zh-CN"/>
              </w:rPr>
              <w:t>项目所在地西侧</w:t>
            </w: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昼间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52.2</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52.8</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eastAsia"/>
                <w:b w:val="0"/>
                <w:bCs w:val="0"/>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1" w:type="dxa"/>
            <w:vMerge w:val="continue"/>
            <w:tcBorders>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eastAsia="zh-CN"/>
              </w:rPr>
            </w:pPr>
          </w:p>
        </w:tc>
        <w:tc>
          <w:tcPr>
            <w:tcW w:w="2008"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夜间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44.8</w:t>
            </w:r>
          </w:p>
        </w:tc>
        <w:tc>
          <w:tcPr>
            <w:tcW w:w="1705"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val="0"/>
                <w:u w:val="none"/>
                <w:lang w:val="en-US" w:eastAsia="zh-CN"/>
              </w:rPr>
            </w:pPr>
            <w:r>
              <w:rPr>
                <w:rFonts w:hint="eastAsia"/>
                <w:b w:val="0"/>
                <w:bCs w:val="0"/>
                <w:u w:val="none"/>
                <w:lang w:val="en-US" w:eastAsia="zh-CN"/>
              </w:rPr>
              <w:t>47.3</w:t>
            </w:r>
          </w:p>
        </w:tc>
        <w:tc>
          <w:tcPr>
            <w:tcW w:w="1662" w:type="dxa"/>
            <w:tcBorders>
              <w:top w:val="single" w:color="auto" w:sz="4" w:space="0"/>
              <w:left w:val="single" w:color="auto" w:sz="4" w:space="0"/>
              <w:bottom w:val="single" w:color="auto" w:sz="4" w:space="0"/>
              <w:right w:val="single" w:color="auto" w:sz="4" w:space="0"/>
            </w:tcBorders>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val="0"/>
                <w:u w:val="none"/>
                <w:lang w:eastAsia="zh-CN"/>
              </w:rPr>
            </w:pPr>
            <w:r>
              <w:rPr>
                <w:rFonts w:hint="default" w:ascii="Times New Roman" w:hAnsi="Times New Roman" w:eastAsia="宋体"/>
                <w:b w:val="0"/>
                <w:bCs w:val="0"/>
                <w:u w:val="none"/>
                <w:lang w:eastAsia="zh-CN"/>
              </w:rPr>
              <w:t>5</w:t>
            </w:r>
            <w:r>
              <w:rPr>
                <w:rFonts w:hint="eastAsia"/>
                <w:b w:val="0"/>
                <w:bCs w:val="0"/>
                <w:u w:val="none"/>
                <w:lang w:val="en-US" w:eastAsia="zh-CN"/>
              </w:rPr>
              <w:t>0</w:t>
            </w:r>
          </w:p>
        </w:tc>
      </w:tr>
    </w:tbl>
    <w:p>
      <w:pPr>
        <w:snapToGrid w:val="0"/>
        <w:spacing w:line="360" w:lineRule="auto"/>
        <w:ind w:firstLine="480" w:firstLineChars="200"/>
        <w:jc w:val="left"/>
        <w:rPr>
          <w:sz w:val="24"/>
          <w:u w:val="none"/>
        </w:rPr>
      </w:pPr>
      <w:r>
        <w:rPr>
          <w:rFonts w:hint="eastAsia"/>
          <w:sz w:val="24"/>
          <w:u w:val="none"/>
          <w:lang w:val="en-US" w:eastAsia="zh-CN"/>
        </w:rPr>
        <w:t>2、</w:t>
      </w:r>
      <w:r>
        <w:rPr>
          <w:sz w:val="24"/>
          <w:u w:val="none"/>
        </w:rPr>
        <w:t>声境质量评价</w:t>
      </w:r>
    </w:p>
    <w:p>
      <w:pPr>
        <w:snapToGrid w:val="0"/>
        <w:spacing w:line="360" w:lineRule="auto"/>
        <w:ind w:firstLine="480" w:firstLineChars="200"/>
        <w:jc w:val="left"/>
        <w:rPr>
          <w:sz w:val="24"/>
          <w:u w:val="none"/>
        </w:rPr>
      </w:pPr>
      <w:r>
        <w:rPr>
          <w:sz w:val="24"/>
          <w:u w:val="none"/>
        </w:rPr>
        <w:t>由上表监测数据可看出，各点位无超标现象，厂界外各点均能满足《声环境质量标准》（GB3096-2008）</w:t>
      </w:r>
      <w:r>
        <w:rPr>
          <w:rFonts w:hint="eastAsia"/>
          <w:sz w:val="24"/>
          <w:u w:val="none"/>
          <w:lang w:val="en-US" w:eastAsia="zh-CN"/>
        </w:rPr>
        <w:t>2</w:t>
      </w:r>
      <w:r>
        <w:rPr>
          <w:sz w:val="24"/>
          <w:u w:val="none"/>
        </w:rPr>
        <w:t>类标准，表明项目周边声环境较好，</w:t>
      </w:r>
      <w:r>
        <w:rPr>
          <w:rFonts w:hint="eastAsia"/>
          <w:sz w:val="24"/>
          <w:u w:val="none"/>
          <w:lang w:eastAsia="zh-CN"/>
        </w:rPr>
        <w:t>可以容纳项目的建设</w:t>
      </w:r>
      <w:r>
        <w:rPr>
          <w:sz w:val="24"/>
          <w:u w:val="none"/>
        </w:rPr>
        <w:t>。</w:t>
      </w:r>
    </w:p>
    <w:p>
      <w:pPr>
        <w:pStyle w:val="3"/>
        <w:rPr>
          <w:rFonts w:ascii="Times New Roman" w:hAnsi="Times New Roman" w:cs="Times New Roman"/>
          <w:sz w:val="28"/>
          <w:szCs w:val="28"/>
          <w:u w:val="none"/>
        </w:rPr>
      </w:pPr>
      <w:bookmarkStart w:id="61" w:name="_Toc21445"/>
      <w:r>
        <w:rPr>
          <w:rFonts w:hint="eastAsia" w:ascii="Times New Roman" w:hAnsi="Times New Roman" w:cs="Times New Roman"/>
          <w:sz w:val="28"/>
          <w:szCs w:val="28"/>
          <w:u w:val="none"/>
          <w:lang w:val="en-US" w:eastAsia="zh-CN"/>
        </w:rPr>
        <w:t>6</w:t>
      </w:r>
      <w:r>
        <w:rPr>
          <w:rFonts w:ascii="Times New Roman" w:hAnsi="Times New Roman" w:cs="Times New Roman"/>
          <w:sz w:val="28"/>
          <w:szCs w:val="28"/>
          <w:u w:val="none"/>
        </w:rPr>
        <w:t>.4地下水质量现状监测与评价</w:t>
      </w:r>
      <w:bookmarkEnd w:id="61"/>
    </w:p>
    <w:p>
      <w:pPr>
        <w:adjustRightInd w:val="0"/>
        <w:snapToGrid w:val="0"/>
        <w:spacing w:line="360" w:lineRule="auto"/>
        <w:ind w:firstLine="480" w:firstLineChars="200"/>
        <w:jc w:val="left"/>
        <w:rPr>
          <w:sz w:val="24"/>
          <w:u w:val="none"/>
        </w:rPr>
      </w:pPr>
      <w:r>
        <w:rPr>
          <w:rFonts w:hint="eastAsia"/>
          <w:sz w:val="24"/>
          <w:u w:val="none"/>
          <w:lang w:val="en-US" w:eastAsia="zh-CN"/>
        </w:rPr>
        <w:t>2019年6月29日，受建设单位委托</w:t>
      </w:r>
      <w:r>
        <w:rPr>
          <w:rFonts w:hint="eastAsia"/>
          <w:color w:val="auto"/>
          <w:sz w:val="24"/>
          <w:u w:val="none"/>
          <w:lang w:eastAsia="zh-CN"/>
        </w:rPr>
        <w:t>四川立明检测技术有限公司对项目所在厂区地下水质量进行了现场监测，监测情况如下</w:t>
      </w:r>
      <w:r>
        <w:rPr>
          <w:rFonts w:hint="eastAsia"/>
          <w:sz w:val="24"/>
          <w:u w:val="none"/>
          <w:lang w:val="en-US" w:eastAsia="zh-CN"/>
        </w:rPr>
        <w:t>。</w:t>
      </w:r>
    </w:p>
    <w:p>
      <w:pPr>
        <w:topLinePunct/>
        <w:spacing w:line="360" w:lineRule="auto"/>
        <w:rPr>
          <w:rFonts w:hint="eastAsia" w:ascii="Times New Roman" w:hAnsi="Times New Roman" w:cs="Times New Roman"/>
          <w:b/>
          <w:sz w:val="24"/>
          <w:u w:val="none"/>
          <w:lang w:eastAsia="zh-CN"/>
        </w:rPr>
      </w:pPr>
      <w:r>
        <w:rPr>
          <w:rFonts w:hint="eastAsia" w:cs="Times New Roman"/>
          <w:b/>
          <w:sz w:val="24"/>
          <w:u w:val="none"/>
          <w:lang w:val="en-US" w:eastAsia="zh-CN"/>
        </w:rPr>
        <w:t>6</w:t>
      </w:r>
      <w:r>
        <w:rPr>
          <w:rFonts w:hint="eastAsia" w:ascii="Times New Roman" w:hAnsi="Times New Roman" w:cs="Times New Roman"/>
          <w:b/>
          <w:sz w:val="24"/>
          <w:u w:val="none"/>
          <w:lang w:eastAsia="zh-CN"/>
        </w:rPr>
        <w:t>.4.1地</w:t>
      </w:r>
      <w:r>
        <w:rPr>
          <w:rFonts w:hint="eastAsia" w:cs="Times New Roman"/>
          <w:b/>
          <w:sz w:val="24"/>
          <w:u w:val="none"/>
          <w:lang w:eastAsia="zh-CN"/>
        </w:rPr>
        <w:t>下</w:t>
      </w:r>
      <w:r>
        <w:rPr>
          <w:rFonts w:hint="eastAsia" w:ascii="Times New Roman" w:hAnsi="Times New Roman" w:cs="Times New Roman"/>
          <w:b/>
          <w:sz w:val="24"/>
          <w:u w:val="none"/>
          <w:lang w:eastAsia="zh-CN"/>
        </w:rPr>
        <w:t>水环境质量现状监测</w:t>
      </w:r>
    </w:p>
    <w:p>
      <w:pPr>
        <w:adjustRightInd w:val="0"/>
        <w:snapToGrid w:val="0"/>
        <w:spacing w:line="360" w:lineRule="auto"/>
        <w:ind w:firstLine="480" w:firstLineChars="200"/>
        <w:jc w:val="left"/>
        <w:rPr>
          <w:sz w:val="24"/>
          <w:u w:val="none"/>
        </w:rPr>
      </w:pPr>
      <w:r>
        <w:rPr>
          <w:sz w:val="24"/>
          <w:u w:val="none"/>
        </w:rPr>
        <w:t>（1）监测项目</w:t>
      </w:r>
    </w:p>
    <w:p>
      <w:pPr>
        <w:adjustRightInd w:val="0"/>
        <w:snapToGrid w:val="0"/>
        <w:spacing w:line="360" w:lineRule="auto"/>
        <w:ind w:firstLine="480" w:firstLineChars="200"/>
        <w:jc w:val="left"/>
        <w:rPr>
          <w:rFonts w:hint="eastAsia" w:eastAsia="宋体"/>
          <w:sz w:val="24"/>
          <w:u w:val="none"/>
          <w:lang w:eastAsia="zh-CN"/>
        </w:rPr>
      </w:pPr>
      <w:r>
        <w:rPr>
          <w:sz w:val="24"/>
          <w:u w:val="none"/>
        </w:rPr>
        <w:t>pH、</w:t>
      </w:r>
      <w:r>
        <w:rPr>
          <w:rFonts w:hint="eastAsia"/>
          <w:sz w:val="24"/>
          <w:u w:val="none"/>
          <w:lang w:eastAsia="zh-CN"/>
        </w:rPr>
        <w:t>钾、钠、钙、镁、碳酸盐、重碳酸盐、氯化物、硫酸盐、总硬度、氨氮、硝酸盐氮、亚硝酸盐氮、挥发酚、氰化物、砷、汞、六价铬、铅、氟化物、镉、铁、锰、溶解性总固体、高锰酸盐指数、阴离子表面活性剂、铜、锌、硒、锑、细菌总数、总大肠菌群、铊、铍、钼、镍、钴。</w:t>
      </w:r>
    </w:p>
    <w:p>
      <w:pPr>
        <w:adjustRightInd w:val="0"/>
        <w:snapToGrid w:val="0"/>
        <w:spacing w:line="360" w:lineRule="auto"/>
        <w:ind w:firstLine="480" w:firstLineChars="200"/>
        <w:jc w:val="left"/>
        <w:rPr>
          <w:sz w:val="24"/>
          <w:u w:val="none"/>
        </w:rPr>
      </w:pPr>
      <w:r>
        <w:rPr>
          <w:sz w:val="24"/>
          <w:u w:val="none"/>
        </w:rPr>
        <w:t>（2）监测点位</w:t>
      </w:r>
    </w:p>
    <w:p>
      <w:pPr>
        <w:adjustRightInd w:val="0"/>
        <w:snapToGrid w:val="0"/>
        <w:spacing w:line="360" w:lineRule="auto"/>
        <w:ind w:firstLine="480" w:firstLineChars="200"/>
        <w:jc w:val="left"/>
        <w:rPr>
          <w:sz w:val="24"/>
          <w:u w:val="none"/>
        </w:rPr>
      </w:pPr>
      <w:r>
        <w:rPr>
          <w:rFonts w:hint="eastAsia"/>
          <w:sz w:val="24"/>
          <w:u w:val="none"/>
          <w:lang w:eastAsia="zh-CN"/>
        </w:rPr>
        <w:t>项目所在区域地下水径流上游、厂区、地下水径流下游、地下水径流东侧及地下水径流西侧</w:t>
      </w:r>
      <w:r>
        <w:rPr>
          <w:sz w:val="24"/>
          <w:u w:val="none"/>
        </w:rPr>
        <w:t>。</w:t>
      </w:r>
    </w:p>
    <w:p>
      <w:pPr>
        <w:adjustRightInd w:val="0"/>
        <w:snapToGrid w:val="0"/>
        <w:spacing w:line="360" w:lineRule="auto"/>
        <w:ind w:firstLine="480" w:firstLineChars="200"/>
        <w:jc w:val="left"/>
        <w:rPr>
          <w:rFonts w:hint="eastAsia"/>
          <w:sz w:val="24"/>
          <w:u w:val="none"/>
          <w:lang w:eastAsia="zh-CN"/>
        </w:rPr>
      </w:pPr>
      <w:r>
        <w:rPr>
          <w:sz w:val="24"/>
          <w:u w:val="none"/>
        </w:rPr>
        <w:t>（3）监测</w:t>
      </w:r>
      <w:r>
        <w:rPr>
          <w:rFonts w:hint="eastAsia"/>
          <w:sz w:val="24"/>
          <w:u w:val="none"/>
          <w:lang w:eastAsia="zh-CN"/>
        </w:rPr>
        <w:t>时间及频次</w:t>
      </w:r>
    </w:p>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监测时间为2019年6月29日，1天1次。</w:t>
      </w:r>
    </w:p>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（4）监测方法</w:t>
      </w:r>
    </w:p>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按照《地下水质量标准》（GB/T14848-2017）的规定进行监测。</w:t>
      </w:r>
    </w:p>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（5）监测结果</w:t>
      </w:r>
    </w:p>
    <w:p>
      <w:pPr>
        <w:adjustRightInd w:val="0"/>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地下水监测结果见下表：</w:t>
      </w:r>
    </w:p>
    <w:p>
      <w:pPr>
        <w:adjustRightInd w:val="0"/>
        <w:snapToGrid w:val="0"/>
        <w:spacing w:line="360" w:lineRule="auto"/>
        <w:ind w:firstLine="480" w:firstLineChars="200"/>
        <w:jc w:val="left"/>
        <w:rPr>
          <w:rFonts w:hint="eastAsia"/>
          <w:sz w:val="24"/>
          <w:u w:val="none"/>
          <w:lang w:val="en-US" w:eastAsia="zh-CN"/>
        </w:rPr>
        <w:sectPr>
          <w:pgSz w:w="11906" w:h="16838"/>
          <w:pgMar w:top="1361" w:right="1531" w:bottom="1247" w:left="1531" w:header="851" w:footer="992" w:gutter="0"/>
          <w:pgBorders>
            <w:top w:val="none" w:sz="0" w:space="0"/>
            <w:left w:val="none" w:sz="0" w:space="0"/>
            <w:bottom w:val="none" w:sz="0" w:space="0"/>
            <w:right w:val="none" w:sz="0" w:space="0"/>
          </w:pgBorders>
          <w:cols w:space="0" w:num="1"/>
          <w:rtlGutter w:val="0"/>
          <w:docGrid w:linePitch="0" w:charSpace="0"/>
        </w:sectPr>
      </w:pPr>
    </w:p>
    <w:p>
      <w:pPr>
        <w:pStyle w:val="352"/>
        <w:bidi w:val="0"/>
        <w:rPr>
          <w:rFonts w:hint="eastAsia"/>
          <w:lang w:val="en-US" w:eastAsia="zh-CN"/>
        </w:rPr>
      </w:pPr>
      <w:r>
        <w:rPr>
          <w:rFonts w:hint="eastAsia"/>
          <w:lang w:val="en-US" w:eastAsia="zh-CN"/>
        </w:rPr>
        <w:t>表6-9  地下水监测结果表                  单位：mg/L</w:t>
      </w:r>
    </w:p>
    <w:tbl>
      <w:tblPr>
        <w:tblStyle w:val="58"/>
        <w:tblW w:w="13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1"/>
        <w:gridCol w:w="2125"/>
        <w:gridCol w:w="932"/>
        <w:gridCol w:w="932"/>
        <w:gridCol w:w="932"/>
        <w:gridCol w:w="949"/>
        <w:gridCol w:w="1058"/>
        <w:gridCol w:w="801"/>
        <w:gridCol w:w="883"/>
        <w:gridCol w:w="800"/>
        <w:gridCol w:w="933"/>
        <w:gridCol w:w="733"/>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eastAsia="zh-CN"/>
              </w:rPr>
            </w:pPr>
            <w:r>
              <w:rPr>
                <w:rFonts w:hint="default"/>
                <w:b/>
                <w:bCs/>
                <w:sz w:val="21"/>
                <w:szCs w:val="21"/>
                <w:u w:val="none"/>
              </w:rPr>
              <w:t>检测</w:t>
            </w:r>
            <w:r>
              <w:rPr>
                <w:rFonts w:hint="default"/>
                <w:b/>
                <w:bCs/>
                <w:sz w:val="21"/>
                <w:szCs w:val="21"/>
                <w:u w:val="none"/>
                <w:lang w:eastAsia="zh-CN"/>
              </w:rPr>
              <w:t>日期</w:t>
            </w:r>
          </w:p>
        </w:tc>
        <w:tc>
          <w:tcPr>
            <w:tcW w:w="2125"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rPr>
              <w:t>检测项目</w:t>
            </w:r>
          </w:p>
        </w:tc>
        <w:tc>
          <w:tcPr>
            <w:tcW w:w="1864"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val="en-US" w:eastAsia="zh-CN"/>
              </w:rPr>
              <w:t>地下水径流上游</w:t>
            </w:r>
          </w:p>
        </w:tc>
        <w:tc>
          <w:tcPr>
            <w:tcW w:w="1881"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val="en-US" w:eastAsia="zh-CN"/>
              </w:rPr>
              <w:t>地下水径流下游</w:t>
            </w:r>
          </w:p>
        </w:tc>
        <w:tc>
          <w:tcPr>
            <w:tcW w:w="1859"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val="en-US" w:eastAsia="zh-CN"/>
              </w:rPr>
            </w:pPr>
            <w:r>
              <w:rPr>
                <w:rFonts w:hint="eastAsia"/>
                <w:b/>
                <w:bCs/>
                <w:sz w:val="21"/>
                <w:szCs w:val="21"/>
                <w:u w:val="none"/>
                <w:lang w:val="en-US" w:eastAsia="zh-CN"/>
              </w:rPr>
              <w:t>项目</w:t>
            </w:r>
            <w:r>
              <w:rPr>
                <w:rFonts w:hint="default"/>
                <w:b/>
                <w:bCs/>
                <w:sz w:val="21"/>
                <w:szCs w:val="21"/>
                <w:u w:val="none"/>
                <w:lang w:val="en-US" w:eastAsia="zh-CN"/>
              </w:rPr>
              <w:t>厂区</w:t>
            </w:r>
          </w:p>
        </w:tc>
        <w:tc>
          <w:tcPr>
            <w:tcW w:w="1683"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val="en-US" w:eastAsia="zh-CN"/>
              </w:rPr>
            </w:pPr>
            <w:r>
              <w:rPr>
                <w:rFonts w:hint="eastAsia"/>
                <w:b/>
                <w:bCs/>
                <w:sz w:val="21"/>
                <w:szCs w:val="21"/>
                <w:u w:val="none"/>
                <w:lang w:val="en-US" w:eastAsia="zh-CN"/>
              </w:rPr>
              <w:t>地下水径流东侧</w:t>
            </w:r>
          </w:p>
        </w:tc>
        <w:tc>
          <w:tcPr>
            <w:tcW w:w="1666"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val="en-US" w:eastAsia="zh-CN"/>
              </w:rPr>
            </w:pPr>
            <w:r>
              <w:rPr>
                <w:rFonts w:hint="eastAsia"/>
                <w:b/>
                <w:bCs/>
                <w:sz w:val="21"/>
                <w:szCs w:val="21"/>
                <w:u w:val="none"/>
                <w:lang w:val="en-US" w:eastAsia="zh-CN"/>
              </w:rPr>
              <w:t>地下水径流西侧</w:t>
            </w:r>
          </w:p>
        </w:tc>
        <w:tc>
          <w:tcPr>
            <w:tcW w:w="915"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p>
        </w:tc>
        <w:tc>
          <w:tcPr>
            <w:tcW w:w="2125" w:type="dxa"/>
            <w:vMerge w:val="continue"/>
            <w:tcBorders>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eastAsia="zh-CN"/>
              </w:rPr>
            </w:pPr>
            <w:r>
              <w:rPr>
                <w:rFonts w:hint="default"/>
                <w:b/>
                <w:bCs/>
                <w:sz w:val="21"/>
                <w:szCs w:val="21"/>
                <w:u w:val="none"/>
                <w:lang w:eastAsia="zh-CN"/>
              </w:rPr>
              <w:t>检测结果</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eastAsia="zh-CN"/>
              </w:rPr>
              <w:t>评价</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eastAsia="zh-CN"/>
              </w:rPr>
              <w:t>检测结果</w:t>
            </w:r>
          </w:p>
        </w:tc>
        <w:tc>
          <w:tcPr>
            <w:tcW w:w="949"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r>
              <w:rPr>
                <w:rFonts w:hint="default"/>
                <w:b/>
                <w:bCs/>
                <w:sz w:val="21"/>
                <w:szCs w:val="21"/>
                <w:u w:val="none"/>
                <w:lang w:eastAsia="zh-CN"/>
              </w:rPr>
              <w:t>评价</w:t>
            </w:r>
          </w:p>
        </w:tc>
        <w:tc>
          <w:tcPr>
            <w:tcW w:w="1058"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eastAsia="zh-CN"/>
              </w:rPr>
            </w:pPr>
            <w:r>
              <w:rPr>
                <w:rFonts w:hint="default"/>
                <w:b/>
                <w:bCs/>
                <w:sz w:val="21"/>
                <w:szCs w:val="21"/>
                <w:u w:val="none"/>
                <w:lang w:eastAsia="zh-CN"/>
              </w:rPr>
              <w:t>检测结果</w:t>
            </w:r>
          </w:p>
        </w:tc>
        <w:tc>
          <w:tcPr>
            <w:tcW w:w="801"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lang w:eastAsia="zh-CN"/>
              </w:rPr>
            </w:pPr>
            <w:r>
              <w:rPr>
                <w:rFonts w:hint="eastAsia"/>
                <w:b/>
                <w:bCs/>
                <w:sz w:val="21"/>
                <w:szCs w:val="21"/>
                <w:u w:val="none"/>
                <w:lang w:eastAsia="zh-CN"/>
              </w:rPr>
              <w:t>评价</w:t>
            </w:r>
          </w:p>
        </w:tc>
        <w:tc>
          <w:tcPr>
            <w:tcW w:w="883"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u w:val="none"/>
                <w:lang w:eastAsia="zh-CN"/>
              </w:rPr>
            </w:pPr>
            <w:r>
              <w:rPr>
                <w:rFonts w:hint="default"/>
                <w:b/>
                <w:bCs/>
                <w:sz w:val="21"/>
                <w:szCs w:val="21"/>
                <w:u w:val="none"/>
                <w:lang w:eastAsia="zh-CN"/>
              </w:rPr>
              <w:t>检测结果</w:t>
            </w:r>
          </w:p>
        </w:tc>
        <w:tc>
          <w:tcPr>
            <w:tcW w:w="800"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u w:val="none"/>
                <w:lang w:eastAsia="zh-CN"/>
              </w:rPr>
            </w:pPr>
            <w:r>
              <w:rPr>
                <w:rFonts w:hint="eastAsia"/>
                <w:b/>
                <w:bCs/>
                <w:sz w:val="21"/>
                <w:szCs w:val="21"/>
                <w:u w:val="none"/>
                <w:lang w:eastAsia="zh-CN"/>
              </w:rPr>
              <w:t>评价</w:t>
            </w:r>
          </w:p>
        </w:tc>
        <w:tc>
          <w:tcPr>
            <w:tcW w:w="933"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u w:val="none"/>
                <w:lang w:eastAsia="zh-CN"/>
              </w:rPr>
            </w:pPr>
            <w:r>
              <w:rPr>
                <w:rFonts w:hint="default"/>
                <w:b/>
                <w:bCs/>
                <w:sz w:val="21"/>
                <w:szCs w:val="21"/>
                <w:u w:val="none"/>
                <w:lang w:eastAsia="zh-CN"/>
              </w:rPr>
              <w:t>检测结果</w:t>
            </w:r>
          </w:p>
        </w:tc>
        <w:tc>
          <w:tcPr>
            <w:tcW w:w="733"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bCs/>
                <w:sz w:val="21"/>
                <w:szCs w:val="21"/>
                <w:u w:val="none"/>
                <w:lang w:eastAsia="zh-CN"/>
              </w:rPr>
            </w:pPr>
            <w:r>
              <w:rPr>
                <w:rFonts w:hint="eastAsia"/>
                <w:b/>
                <w:bCs/>
                <w:sz w:val="21"/>
                <w:szCs w:val="21"/>
                <w:u w:val="none"/>
                <w:lang w:eastAsia="zh-CN"/>
              </w:rPr>
              <w:t>评价</w:t>
            </w:r>
          </w:p>
        </w:tc>
        <w:tc>
          <w:tcPr>
            <w:tcW w:w="915"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restart"/>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2019.6.</w:t>
            </w:r>
            <w:r>
              <w:rPr>
                <w:rFonts w:hint="eastAsia"/>
                <w:sz w:val="21"/>
                <w:szCs w:val="21"/>
                <w:u w:val="none"/>
                <w:lang w:val="en-US" w:eastAsia="zh-CN"/>
              </w:rPr>
              <w:t>29</w:t>
            </w: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pH（无量纲）</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7.10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7.10</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7.32</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7.34</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7.11</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钾（</w:t>
            </w:r>
            <w:r>
              <w:rPr>
                <w:rFonts w:hint="eastAsia"/>
                <w:sz w:val="21"/>
                <w:szCs w:val="21"/>
                <w:u w:val="none"/>
                <w:lang w:val="en-US" w:eastAsia="zh-CN"/>
              </w:rPr>
              <w:t>mg/L</w:t>
            </w:r>
            <w:r>
              <w:rPr>
                <w:rFonts w:hint="eastAsia"/>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4.00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230</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285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4.30</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268</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钠</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26.5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20.8</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47.1</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22.4</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50.8</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钙</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72.1</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84.8</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93.3</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eastAsia"/>
                <w:sz w:val="21"/>
                <w:szCs w:val="21"/>
                <w:u w:val="none"/>
                <w:lang w:val="en-US" w:eastAsia="zh-CN"/>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69.1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101</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镁</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31.0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24.9</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35.0</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eastAsia"/>
                <w:sz w:val="21"/>
                <w:szCs w:val="21"/>
                <w:u w:val="none"/>
                <w:lang w:val="en-US" w:eastAsia="zh-CN"/>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29.3</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35.8</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碳酸盐</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eastAsia"/>
                <w:sz w:val="21"/>
                <w:szCs w:val="21"/>
                <w:u w:val="none"/>
                <w:lang w:val="en-US" w:eastAsia="zh-CN"/>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重碳酸盐</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104</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69.1</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109</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eastAsia"/>
                <w:sz w:val="21"/>
                <w:szCs w:val="21"/>
                <w:u w:val="none"/>
                <w:lang w:val="en-US" w:eastAsia="zh-CN"/>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77.1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87.1</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eastAsia="zh-CN"/>
              </w:rPr>
              <w:t>氯化物</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143</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111</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121</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153</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88.8</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eastAsia="zh-CN"/>
              </w:rPr>
            </w:pPr>
            <w:r>
              <w:rPr>
                <w:rFonts w:hint="eastAsia"/>
                <w:sz w:val="21"/>
                <w:szCs w:val="21"/>
                <w:u w:val="none"/>
                <w:lang w:eastAsia="zh-CN"/>
              </w:rPr>
              <w:t>硫酸盐</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15.1</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16.3</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15.9</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15.9</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16.6</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总硬度</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318</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325</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395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309</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415</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氨氮</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0.207</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0.118</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0.177</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0.135</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0.087</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硝酸盐氮</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2.06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3.62</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1.05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5.86</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1.50</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亚硝酸盐氮</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0.003</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挥发酚</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氰化物</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1"/>
                <w:szCs w:val="21"/>
                <w:u w:val="none"/>
                <w:lang w:eastAsia="zh-CN"/>
              </w:rPr>
            </w:pPr>
            <w:r>
              <w:rPr>
                <w:rFonts w:hint="eastAsia"/>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砷</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sz w:val="21"/>
                <w:szCs w:val="21"/>
                <w:u w:val="none"/>
                <w:lang w:eastAsia="zh-CN"/>
              </w:rPr>
            </w:pPr>
            <w:r>
              <w:rPr>
                <w:rFonts w:hint="eastAsia"/>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5.6</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2.1</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1.0</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2.2</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汞（μg/L）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六价铬</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铅（μg/L）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氟化物</w:t>
            </w:r>
            <w:r>
              <w:rPr>
                <w:rFonts w:hint="default"/>
                <w:sz w:val="21"/>
                <w:szCs w:val="21"/>
                <w:u w:val="none"/>
                <w:lang w:val="en-US" w:eastAsia="zh-CN"/>
              </w:rPr>
              <w:t>（mg/L）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0.587</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0.240</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0.259</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0.389</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0.440</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镉（μg/L）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铁（mg/L）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锰</w:t>
            </w:r>
            <w:r>
              <w:rPr>
                <w:rFonts w:hint="default"/>
                <w:sz w:val="21"/>
                <w:szCs w:val="21"/>
                <w:u w:val="none"/>
                <w:lang w:eastAsia="zh-CN"/>
              </w:rPr>
              <w:t>（</w:t>
            </w:r>
            <w:r>
              <w:rPr>
                <w:rFonts w:hint="default"/>
                <w:sz w:val="21"/>
                <w:szCs w:val="21"/>
                <w:u w:val="none"/>
                <w:lang w:val="en-US" w:eastAsia="zh-CN"/>
              </w:rPr>
              <w:t>mg/L</w:t>
            </w:r>
            <w:r>
              <w:rPr>
                <w:rFonts w:hint="default"/>
                <w:sz w:val="21"/>
                <w:szCs w:val="21"/>
                <w:u w:val="none"/>
                <w:lang w:eastAsia="zh-CN"/>
              </w:rPr>
              <w:t>）</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溶解性总固体（mg/L）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355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528</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620</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350</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596</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高锰酸盐指数</w:t>
            </w:r>
            <w:r>
              <w:rPr>
                <w:rFonts w:hint="default"/>
                <w:sz w:val="21"/>
                <w:szCs w:val="21"/>
                <w:u w:val="none"/>
                <w:lang w:val="en-US" w:eastAsia="zh-CN"/>
              </w:rPr>
              <w:t>（mg/L）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0.97</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1.11</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1.06</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1.02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1.16</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LAS</w:t>
            </w:r>
            <w:r>
              <w:rPr>
                <w:rFonts w:hint="default"/>
                <w:sz w:val="21"/>
                <w:szCs w:val="21"/>
                <w:u w:val="none"/>
                <w:lang w:val="en-US" w:eastAsia="zh-CN"/>
              </w:rPr>
              <w:t>（mg/L）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铜</w:t>
            </w:r>
            <w:r>
              <w:rPr>
                <w:rFonts w:hint="default"/>
                <w:sz w:val="21"/>
                <w:szCs w:val="21"/>
                <w:u w:val="none"/>
                <w:lang w:val="en-US" w:eastAsia="zh-CN"/>
              </w:rPr>
              <w:t>（mg/L）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锌</w:t>
            </w:r>
            <w:r>
              <w:rPr>
                <w:rFonts w:hint="default"/>
                <w:sz w:val="21"/>
                <w:szCs w:val="21"/>
                <w:u w:val="none"/>
                <w:lang w:val="en-US" w:eastAsia="zh-CN"/>
              </w:rPr>
              <w:t>（mg/L）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未检出</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0.106</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硒</w:t>
            </w:r>
            <w:r>
              <w:rPr>
                <w:rFonts w:hint="default"/>
                <w:sz w:val="21"/>
                <w:szCs w:val="21"/>
                <w:u w:val="none"/>
                <w:lang w:val="en-US" w:eastAsia="zh-CN"/>
              </w:rPr>
              <w:t>（μg/L）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default"/>
                <w:sz w:val="21"/>
                <w:szCs w:val="21"/>
                <w:u w:val="none"/>
                <w:lang w:val="en-US" w:eastAsia="zh-CN"/>
              </w:rPr>
              <w:t>未检出</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未检出</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eastAsia="zh-CN"/>
              </w:rPr>
            </w:pPr>
            <w:r>
              <w:rPr>
                <w:rFonts w:hint="default"/>
                <w:sz w:val="21"/>
                <w:szCs w:val="21"/>
                <w:u w:val="none"/>
                <w:lang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未检出</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未检出</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锑</w:t>
            </w:r>
            <w:r>
              <w:rPr>
                <w:rFonts w:hint="default"/>
                <w:sz w:val="21"/>
                <w:szCs w:val="21"/>
                <w:u w:val="none"/>
                <w:lang w:val="en-US" w:eastAsia="zh-CN"/>
              </w:rPr>
              <w:t>（μg/L）</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0.7</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0.4</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0.4</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0.6</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细菌总数（CFU/mL）</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z w:val="21"/>
                <w:szCs w:val="21"/>
                <w:u w:val="none"/>
                <w:lang w:val="en-US" w:eastAsia="zh-CN"/>
              </w:rPr>
            </w:pPr>
            <w:r>
              <w:rPr>
                <w:rFonts w:hint="eastAsia"/>
                <w:sz w:val="21"/>
                <w:szCs w:val="21"/>
                <w:u w:val="none"/>
                <w:lang w:val="en-US" w:eastAsia="zh-CN"/>
              </w:rPr>
              <w:t>＜1</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＜1</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＜1</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＜1</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sz w:val="21"/>
                <w:szCs w:val="21"/>
                <w:u w:val="none"/>
                <w:lang w:val="en-US" w:eastAsia="zh-CN"/>
              </w:rPr>
            </w:pPr>
            <w:r>
              <w:rPr>
                <w:rFonts w:hint="eastAsia"/>
                <w:sz w:val="21"/>
                <w:szCs w:val="21"/>
                <w:u w:val="none"/>
                <w:lang w:val="en-US" w:eastAsia="zh-CN"/>
              </w:rPr>
              <w:t>总大肠菌群（MPN/L）</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＜2</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＜2</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＜2</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＜2</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铊</w:t>
            </w:r>
            <w:r>
              <w:rPr>
                <w:rFonts w:hint="default"/>
                <w:sz w:val="21"/>
                <w:szCs w:val="21"/>
                <w:u w:val="none"/>
                <w:lang w:val="en-US" w:eastAsia="zh-CN"/>
              </w:rPr>
              <w:t>（μg/L）</w:t>
            </w:r>
          </w:p>
        </w:tc>
        <w:tc>
          <w:tcPr>
            <w:tcW w:w="93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＜0.02</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＜0.02</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＜0.02</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＜0.02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＜0.02</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铍</w:t>
            </w:r>
            <w:r>
              <w:rPr>
                <w:rFonts w:hint="default"/>
                <w:sz w:val="21"/>
                <w:szCs w:val="21"/>
                <w:u w:val="none"/>
                <w:lang w:val="en-US" w:eastAsia="zh-CN"/>
              </w:rPr>
              <w:t>（μg/L）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＜0.04</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eastAsia"/>
                <w:sz w:val="21"/>
                <w:szCs w:val="21"/>
                <w:u w:val="none"/>
                <w:lang w:val="en-US" w:eastAsia="zh-CN"/>
              </w:rPr>
              <w:t>＜0.04</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＜0.04</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＜0.04</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＜0.04</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sz w:val="21"/>
                <w:szCs w:val="21"/>
                <w:u w:val="none"/>
                <w:lang w:val="en-US" w:eastAsia="zh-CN"/>
              </w:rPr>
            </w:pPr>
            <w:r>
              <w:rPr>
                <w:rFonts w:hint="eastAsia"/>
                <w:sz w:val="21"/>
                <w:szCs w:val="21"/>
                <w:u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钼</w:t>
            </w:r>
            <w:r>
              <w:rPr>
                <w:rFonts w:hint="default"/>
                <w:sz w:val="21"/>
                <w:szCs w:val="21"/>
                <w:u w:val="none"/>
                <w:lang w:val="en-US" w:eastAsia="zh-CN"/>
              </w:rPr>
              <w:t>（μg/L）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8.45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rPr>
            </w:pPr>
            <w:r>
              <w:rPr>
                <w:rFonts w:hint="default"/>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3.02</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rPr>
            </w:pPr>
            <w:r>
              <w:rPr>
                <w:rFonts w:hint="default"/>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3.06</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default"/>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5.69</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3.02</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default"/>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rPr>
            </w:pPr>
            <w:r>
              <w:rPr>
                <w:rFonts w:hint="eastAsia"/>
                <w:sz w:val="21"/>
                <w:szCs w:val="21"/>
                <w:u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镍</w:t>
            </w:r>
            <w:r>
              <w:rPr>
                <w:rFonts w:hint="default"/>
                <w:sz w:val="21"/>
                <w:szCs w:val="21"/>
                <w:u w:val="none"/>
                <w:lang w:val="en-US" w:eastAsia="zh-CN"/>
              </w:rPr>
              <w:t>（μg/L）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1.59</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2.09</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0.47</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0.55</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0.51</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p>
        </w:tc>
        <w:tc>
          <w:tcPr>
            <w:tcW w:w="2125"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sz w:val="21"/>
                <w:szCs w:val="21"/>
                <w:u w:val="none"/>
                <w:lang w:val="en-US" w:eastAsia="zh-CN"/>
              </w:rPr>
            </w:pPr>
            <w:r>
              <w:rPr>
                <w:rFonts w:hint="eastAsia"/>
                <w:sz w:val="21"/>
                <w:szCs w:val="21"/>
                <w:u w:val="none"/>
                <w:lang w:val="en-US" w:eastAsia="zh-CN"/>
              </w:rPr>
              <w:t>钴</w:t>
            </w:r>
            <w:r>
              <w:rPr>
                <w:rFonts w:hint="default"/>
                <w:sz w:val="21"/>
                <w:szCs w:val="21"/>
                <w:u w:val="none"/>
                <w:lang w:val="en-US" w:eastAsia="zh-CN"/>
              </w:rPr>
              <w:t>（μg/L）</w:t>
            </w:r>
          </w:p>
        </w:tc>
        <w:tc>
          <w:tcPr>
            <w:tcW w:w="93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0.26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0.67</w:t>
            </w:r>
          </w:p>
        </w:tc>
        <w:tc>
          <w:tcPr>
            <w:tcW w:w="949"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none"/>
                <w:lang w:val="en-US" w:eastAsia="zh-CN"/>
              </w:rPr>
            </w:pPr>
            <w:r>
              <w:rPr>
                <w:rFonts w:hint="eastAsia"/>
                <w:sz w:val="21"/>
                <w:szCs w:val="21"/>
                <w:u w:val="none"/>
                <w:lang w:val="en-US" w:eastAsia="zh-CN"/>
              </w:rPr>
              <w:t>达标</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0.15</w:t>
            </w: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88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0.11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0.13</w:t>
            </w:r>
          </w:p>
        </w:tc>
        <w:tc>
          <w:tcPr>
            <w:tcW w:w="733"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none"/>
                <w:lang w:val="en-US" w:eastAsia="zh-CN"/>
              </w:rPr>
            </w:pPr>
            <w:r>
              <w:rPr>
                <w:rFonts w:hint="eastAsia"/>
                <w:sz w:val="21"/>
                <w:szCs w:val="21"/>
                <w:u w:val="none"/>
                <w:lang w:val="en-US" w:eastAsia="zh-CN"/>
              </w:rPr>
              <w:t>达标</w:t>
            </w:r>
          </w:p>
        </w:tc>
        <w:tc>
          <w:tcPr>
            <w:tcW w:w="915"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 w:val="21"/>
                <w:szCs w:val="21"/>
                <w:u w:val="none"/>
                <w:lang w:val="en-US" w:eastAsia="zh-CN"/>
              </w:rPr>
            </w:pPr>
            <w:r>
              <w:rPr>
                <w:rFonts w:hint="eastAsia"/>
                <w:sz w:val="21"/>
                <w:szCs w:val="21"/>
                <w:u w:val="none"/>
                <w:lang w:val="en-US" w:eastAsia="zh-CN"/>
              </w:rPr>
              <w:t>0.05</w:t>
            </w:r>
          </w:p>
        </w:tc>
      </w:tr>
    </w:tbl>
    <w:p>
      <w:pPr>
        <w:snapToGrid w:val="0"/>
        <w:rPr>
          <w:szCs w:val="21"/>
          <w:u w:val="none"/>
        </w:rPr>
        <w:sectPr>
          <w:type w:val="continuous"/>
          <w:pgSz w:w="16838" w:h="11906" w:orient="landscape"/>
          <w:pgMar w:top="1417" w:right="1797" w:bottom="1417" w:left="1797" w:header="851" w:footer="992" w:gutter="0"/>
          <w:pgBorders>
            <w:top w:val="none" w:sz="0" w:space="0"/>
            <w:left w:val="none" w:sz="0" w:space="0"/>
            <w:bottom w:val="none" w:sz="0" w:space="0"/>
            <w:right w:val="none" w:sz="0" w:space="0"/>
          </w:pgBorders>
          <w:cols w:space="0" w:num="1"/>
          <w:rtlGutter w:val="0"/>
          <w:docGrid w:linePitch="0" w:charSpace="0"/>
        </w:sectPr>
      </w:pPr>
      <w:r>
        <w:rPr>
          <w:szCs w:val="21"/>
          <w:u w:val="none"/>
        </w:rPr>
        <w:t>注：执行《地下水质量标准》（GB/T14848-</w:t>
      </w:r>
      <w:r>
        <w:rPr>
          <w:rFonts w:hint="eastAsia"/>
          <w:szCs w:val="21"/>
          <w:u w:val="none"/>
          <w:lang w:val="en-US" w:eastAsia="zh-CN"/>
        </w:rPr>
        <w:t>2017</w:t>
      </w:r>
      <w:r>
        <w:rPr>
          <w:szCs w:val="21"/>
          <w:u w:val="none"/>
        </w:rPr>
        <w:t>）</w:t>
      </w:r>
      <w:r>
        <w:rPr>
          <w:szCs w:val="21"/>
          <w:u w:val="none"/>
        </w:rPr>
        <w:fldChar w:fldCharType="begin"/>
      </w:r>
      <w:r>
        <w:rPr>
          <w:szCs w:val="21"/>
          <w:u w:val="none"/>
        </w:rPr>
        <w:instrText xml:space="preserve"> = 3 \* ROMAN \* MERGEFORMAT </w:instrText>
      </w:r>
      <w:r>
        <w:rPr>
          <w:szCs w:val="21"/>
          <w:u w:val="none"/>
        </w:rPr>
        <w:fldChar w:fldCharType="separate"/>
      </w:r>
      <w:r>
        <w:rPr>
          <w:szCs w:val="21"/>
          <w:u w:val="none"/>
        </w:rPr>
        <w:t>III</w:t>
      </w:r>
      <w:r>
        <w:rPr>
          <w:szCs w:val="21"/>
          <w:u w:val="none"/>
        </w:rPr>
        <w:fldChar w:fldCharType="end"/>
      </w:r>
      <w:r>
        <w:rPr>
          <w:szCs w:val="21"/>
          <w:u w:val="none"/>
        </w:rPr>
        <w:t>类标准。</w:t>
      </w:r>
    </w:p>
    <w:p>
      <w:pPr>
        <w:topLinePunct/>
        <w:spacing w:line="360" w:lineRule="auto"/>
        <w:rPr>
          <w:rFonts w:hint="eastAsia" w:ascii="Times New Roman" w:hAnsi="Times New Roman" w:cs="Times New Roman"/>
          <w:b/>
          <w:sz w:val="24"/>
          <w:u w:val="none"/>
          <w:lang w:eastAsia="zh-CN"/>
        </w:rPr>
      </w:pPr>
      <w:r>
        <w:rPr>
          <w:rFonts w:hint="eastAsia" w:cs="Times New Roman"/>
          <w:b/>
          <w:sz w:val="24"/>
          <w:u w:val="none"/>
          <w:lang w:val="en-US" w:eastAsia="zh-CN"/>
        </w:rPr>
        <w:t>6</w:t>
      </w:r>
      <w:r>
        <w:rPr>
          <w:rFonts w:hint="eastAsia" w:ascii="Times New Roman" w:hAnsi="Times New Roman" w:cs="Times New Roman"/>
          <w:b/>
          <w:sz w:val="24"/>
          <w:u w:val="none"/>
          <w:lang w:eastAsia="zh-CN"/>
        </w:rPr>
        <w:t>.4.2地下水质量现状评价</w:t>
      </w:r>
    </w:p>
    <w:p>
      <w:pPr>
        <w:adjustRightInd w:val="0"/>
        <w:snapToGrid w:val="0"/>
        <w:spacing w:line="360" w:lineRule="auto"/>
        <w:ind w:firstLine="480" w:firstLineChars="200"/>
        <w:jc w:val="left"/>
        <w:rPr>
          <w:rFonts w:hint="eastAsia"/>
          <w:sz w:val="24"/>
          <w:u w:val="none"/>
          <w:lang w:val="en-US" w:eastAsia="zh-CN"/>
        </w:rPr>
      </w:pPr>
      <w:r>
        <w:rPr>
          <w:sz w:val="24"/>
          <w:u w:val="none"/>
        </w:rPr>
        <w:t>（1）评价因子：</w:t>
      </w:r>
      <w:r>
        <w:rPr>
          <w:rFonts w:hint="eastAsia"/>
          <w:sz w:val="24"/>
          <w:u w:val="none"/>
          <w:lang w:val="en-US" w:eastAsia="zh-CN"/>
        </w:rPr>
        <w:t>pH、钾、钠、钙、镁、碳酸盐、重碳酸盐、氯化物、硫酸盐、总硬度、氨氮、硝酸盐氮、亚硝酸盐氮、挥发酚、氰化物、砷、汞、六价铬、铅、氟化物、镉、铁、锰、溶解性总固体、高锰酸盐指数、阴离子表面活性剂、铜、锌、硒、锑、细菌总数、总大肠菌群、铊、铍、钼、镍、钴。</w:t>
      </w:r>
    </w:p>
    <w:p>
      <w:pPr>
        <w:adjustRightInd w:val="0"/>
        <w:snapToGrid w:val="0"/>
        <w:spacing w:line="360" w:lineRule="auto"/>
        <w:ind w:firstLine="480" w:firstLineChars="200"/>
        <w:jc w:val="left"/>
        <w:rPr>
          <w:sz w:val="24"/>
          <w:u w:val="none"/>
        </w:rPr>
      </w:pPr>
      <w:r>
        <w:rPr>
          <w:sz w:val="24"/>
          <w:u w:val="none"/>
        </w:rPr>
        <w:t>（2）评价执行标准：执行《地下水质量标准》（GB/T14848-</w:t>
      </w:r>
      <w:r>
        <w:rPr>
          <w:rFonts w:hint="eastAsia"/>
          <w:sz w:val="24"/>
          <w:u w:val="none"/>
          <w:lang w:val="en-US" w:eastAsia="zh-CN"/>
        </w:rPr>
        <w:t>2017</w:t>
      </w:r>
      <w:r>
        <w:rPr>
          <w:sz w:val="24"/>
          <w:u w:val="none"/>
        </w:rPr>
        <w:t>）中</w:t>
      </w:r>
      <w:r>
        <w:rPr>
          <w:sz w:val="24"/>
          <w:u w:val="none"/>
        </w:rPr>
        <w:fldChar w:fldCharType="begin"/>
      </w:r>
      <w:r>
        <w:rPr>
          <w:sz w:val="24"/>
          <w:u w:val="none"/>
        </w:rPr>
        <w:instrText xml:space="preserve"> = 3 \* ROMAN \* MERGEFORMAT </w:instrText>
      </w:r>
      <w:r>
        <w:rPr>
          <w:sz w:val="24"/>
          <w:u w:val="none"/>
        </w:rPr>
        <w:fldChar w:fldCharType="separate"/>
      </w:r>
      <w:r>
        <w:rPr>
          <w:u w:val="none"/>
        </w:rPr>
        <w:t>III</w:t>
      </w:r>
      <w:r>
        <w:rPr>
          <w:sz w:val="24"/>
          <w:u w:val="none"/>
        </w:rPr>
        <w:fldChar w:fldCharType="end"/>
      </w:r>
      <w:r>
        <w:rPr>
          <w:sz w:val="24"/>
          <w:u w:val="none"/>
        </w:rPr>
        <w:t>类标准。</w:t>
      </w:r>
    </w:p>
    <w:p>
      <w:pPr>
        <w:adjustRightInd w:val="0"/>
        <w:snapToGrid w:val="0"/>
        <w:spacing w:line="360" w:lineRule="auto"/>
        <w:ind w:firstLine="480" w:firstLineChars="200"/>
        <w:jc w:val="left"/>
        <w:rPr>
          <w:sz w:val="24"/>
          <w:u w:val="none"/>
        </w:rPr>
      </w:pPr>
      <w:r>
        <w:rPr>
          <w:sz w:val="24"/>
          <w:u w:val="none"/>
        </w:rPr>
        <w:t>（3）评价方法：</w:t>
      </w:r>
    </w:p>
    <w:p>
      <w:pPr>
        <w:adjustRightInd w:val="0"/>
        <w:snapToGrid w:val="0"/>
        <w:spacing w:line="360" w:lineRule="auto"/>
        <w:ind w:firstLine="480" w:firstLineChars="200"/>
        <w:jc w:val="left"/>
        <w:rPr>
          <w:sz w:val="24"/>
          <w:u w:val="none"/>
        </w:rPr>
      </w:pPr>
      <w:r>
        <w:rPr>
          <w:sz w:val="24"/>
          <w:u w:val="none"/>
        </w:rPr>
        <w:t>采用标准指数评价法，其计算公式如下：</w:t>
      </w:r>
    </w:p>
    <w:p>
      <w:pPr>
        <w:jc w:val="center"/>
        <w:rPr>
          <w:b/>
          <w:bCs/>
          <w:u w:val="none"/>
        </w:rPr>
      </w:pPr>
      <m:oMathPara>
        <m:oMath>
          <m:sSub>
            <m:sSubPr>
              <m:ctrlPr>
                <w:rPr>
                  <w:rFonts w:ascii="Cambria Math" w:hAnsi="Cambria Math"/>
                  <w:sz w:val="24"/>
                  <w:u w:val="none"/>
                </w:rPr>
              </m:ctrlPr>
            </m:sSubPr>
            <m:e>
              <m:r>
                <w:rPr>
                  <w:rFonts w:ascii="Cambria Math" w:hAnsi="Cambria Math"/>
                  <w:sz w:val="24"/>
                  <w:u w:val="none"/>
                </w:rPr>
                <m:t>P</m:t>
              </m:r>
              <m:ctrlPr>
                <w:rPr>
                  <w:rFonts w:ascii="Cambria Math" w:hAnsi="Cambria Math"/>
                  <w:sz w:val="24"/>
                  <w:u w:val="none"/>
                </w:rPr>
              </m:ctrlPr>
            </m:e>
            <m:sub>
              <m:r>
                <w:rPr>
                  <w:rFonts w:ascii="Cambria Math" w:hAnsi="Cambria Math"/>
                  <w:sz w:val="24"/>
                  <w:u w:val="none"/>
                </w:rPr>
                <m:t>i</m:t>
              </m:r>
              <m:ctrlPr>
                <w:rPr>
                  <w:rFonts w:ascii="Cambria Math" w:hAnsi="Cambria Math"/>
                  <w:sz w:val="24"/>
                  <w:u w:val="none"/>
                </w:rPr>
              </m:ctrlPr>
            </m:sub>
          </m:sSub>
          <m:r>
            <w:rPr>
              <w:rFonts w:ascii="Cambria Math" w:hAnsi="Cambria Math"/>
              <w:sz w:val="24"/>
              <w:u w:val="none"/>
            </w:rPr>
            <m:t>=</m:t>
          </m:r>
          <m:f>
            <m:fPr>
              <m:ctrlPr>
                <w:rPr>
                  <w:rFonts w:ascii="Cambria Math" w:hAnsi="Cambria Math"/>
                  <w:i/>
                  <w:sz w:val="24"/>
                  <w:u w:val="none"/>
                </w:rPr>
              </m:ctrlPr>
            </m:fPr>
            <m:num>
              <m:sSub>
                <m:sSubPr>
                  <m:ctrlPr>
                    <w:rPr>
                      <w:rFonts w:ascii="Cambria Math" w:hAnsi="Cambria Math"/>
                      <w:i/>
                      <w:sz w:val="24"/>
                      <w:u w:val="none"/>
                    </w:rPr>
                  </m:ctrlPr>
                </m:sSubPr>
                <m:e>
                  <m:r>
                    <w:rPr>
                      <w:rFonts w:ascii="Cambria Math" w:hAnsi="Cambria Math"/>
                      <w:sz w:val="24"/>
                      <w:u w:val="none"/>
                    </w:rPr>
                    <m:t>C</m:t>
                  </m:r>
                  <m:ctrlPr>
                    <w:rPr>
                      <w:rFonts w:ascii="Cambria Math" w:hAnsi="Cambria Math"/>
                      <w:i/>
                      <w:sz w:val="24"/>
                      <w:u w:val="none"/>
                    </w:rPr>
                  </m:ctrlPr>
                </m:e>
                <m:sub>
                  <m:r>
                    <w:rPr>
                      <w:rFonts w:ascii="Cambria Math" w:hAnsi="Cambria Math"/>
                      <w:sz w:val="24"/>
                      <w:u w:val="none"/>
                    </w:rPr>
                    <m:t>i</m:t>
                  </m:r>
                  <m:ctrlPr>
                    <w:rPr>
                      <w:rFonts w:ascii="Cambria Math" w:hAnsi="Cambria Math"/>
                      <w:i/>
                      <w:sz w:val="24"/>
                      <w:u w:val="none"/>
                    </w:rPr>
                  </m:ctrlPr>
                </m:sub>
              </m:sSub>
              <m:ctrlPr>
                <w:rPr>
                  <w:rFonts w:ascii="Cambria Math" w:hAnsi="Cambria Math"/>
                  <w:i/>
                  <w:sz w:val="24"/>
                  <w:u w:val="none"/>
                </w:rPr>
              </m:ctrlPr>
            </m:num>
            <m:den>
              <m:sSub>
                <m:sSubPr>
                  <m:ctrlPr>
                    <w:rPr>
                      <w:rFonts w:ascii="Cambria Math" w:hAnsi="Cambria Math"/>
                      <w:i/>
                      <w:sz w:val="24"/>
                      <w:u w:val="none"/>
                    </w:rPr>
                  </m:ctrlPr>
                </m:sSubPr>
                <m:e>
                  <m:r>
                    <w:rPr>
                      <w:rFonts w:ascii="Cambria Math" w:hAnsi="Cambria Math"/>
                      <w:sz w:val="24"/>
                      <w:u w:val="none"/>
                    </w:rPr>
                    <m:t>S</m:t>
                  </m:r>
                  <m:ctrlPr>
                    <w:rPr>
                      <w:rFonts w:ascii="Cambria Math" w:hAnsi="Cambria Math"/>
                      <w:i/>
                      <w:sz w:val="24"/>
                      <w:u w:val="none"/>
                    </w:rPr>
                  </m:ctrlPr>
                </m:e>
                <m:sub>
                  <m:r>
                    <w:rPr>
                      <w:rFonts w:ascii="Cambria Math" w:hAnsi="Cambria Math"/>
                      <w:sz w:val="24"/>
                      <w:u w:val="none"/>
                    </w:rPr>
                    <m:t>i</m:t>
                  </m:r>
                  <m:ctrlPr>
                    <w:rPr>
                      <w:rFonts w:ascii="Cambria Math" w:hAnsi="Cambria Math"/>
                      <w:i/>
                      <w:sz w:val="24"/>
                      <w:u w:val="none"/>
                    </w:rPr>
                  </m:ctrlPr>
                </m:sub>
              </m:sSub>
              <m:ctrlPr>
                <w:rPr>
                  <w:rFonts w:ascii="Cambria Math" w:hAnsi="Cambria Math"/>
                  <w:i/>
                  <w:sz w:val="24"/>
                  <w:u w:val="none"/>
                </w:rPr>
              </m:ctrlPr>
            </m:den>
          </m:f>
        </m:oMath>
      </m:oMathPara>
    </w:p>
    <w:p>
      <w:pPr>
        <w:spacing w:line="360" w:lineRule="auto"/>
        <w:ind w:firstLine="480"/>
        <w:rPr>
          <w:sz w:val="24"/>
          <w:u w:val="none"/>
        </w:rPr>
      </w:pPr>
      <w:r>
        <w:rPr>
          <w:sz w:val="24"/>
          <w:u w:val="none"/>
        </w:rPr>
        <w:t>式中：</w:t>
      </w:r>
      <m:oMath>
        <m:sSub>
          <m:sSubPr>
            <m:ctrlPr>
              <w:rPr>
                <w:rFonts w:ascii="Cambria Math" w:hAnsi="Cambria Math"/>
                <w:sz w:val="24"/>
                <w:u w:val="none"/>
              </w:rPr>
            </m:ctrlPr>
          </m:sSubPr>
          <m:e>
            <m:r>
              <w:rPr>
                <w:rFonts w:ascii="Cambria Math" w:hAnsi="Cambria Math"/>
                <w:sz w:val="24"/>
                <w:u w:val="none"/>
              </w:rPr>
              <m:t>P</m:t>
            </m:r>
            <m:ctrlPr>
              <w:rPr>
                <w:rFonts w:ascii="Cambria Math" w:hAnsi="Cambria Math"/>
                <w:sz w:val="24"/>
                <w:u w:val="none"/>
              </w:rPr>
            </m:ctrlPr>
          </m:e>
          <m:sub>
            <m:r>
              <w:rPr>
                <w:rFonts w:ascii="Cambria Math" w:hAnsi="Cambria Math"/>
                <w:sz w:val="24"/>
                <w:u w:val="none"/>
              </w:rPr>
              <m:t>i</m:t>
            </m:r>
            <m:ctrlPr>
              <w:rPr>
                <w:rFonts w:ascii="Cambria Math" w:hAnsi="Cambria Math"/>
                <w:sz w:val="24"/>
                <w:u w:val="none"/>
              </w:rPr>
            </m:ctrlPr>
          </m:sub>
        </m:sSub>
      </m:oMath>
      <w:r>
        <w:rPr>
          <w:sz w:val="24"/>
          <w:u w:val="none"/>
        </w:rPr>
        <w:t>——i种污染物的标准指数；</w:t>
      </w:r>
    </w:p>
    <w:p>
      <w:pPr>
        <w:spacing w:line="360" w:lineRule="auto"/>
        <w:ind w:firstLine="1147" w:firstLineChars="478"/>
        <w:rPr>
          <w:sz w:val="24"/>
          <w:u w:val="none"/>
        </w:rPr>
      </w:pPr>
      <m:oMath>
        <m:sSub>
          <m:sSubPr>
            <m:ctrlPr>
              <w:rPr>
                <w:rFonts w:ascii="Cambria Math" w:hAnsi="Cambria Math"/>
                <w:sz w:val="24"/>
                <w:u w:val="none"/>
              </w:rPr>
            </m:ctrlPr>
          </m:sSubPr>
          <m:e>
            <m:r>
              <m:rPr>
                <m:sty m:val="p"/>
              </m:rPr>
              <w:rPr>
                <w:rFonts w:ascii="Cambria Math" w:hAnsi="Cambria Math"/>
                <w:sz w:val="24"/>
                <w:u w:val="none"/>
              </w:rPr>
              <m:t>C</m:t>
            </m:r>
            <m:ctrlPr>
              <w:rPr>
                <w:rFonts w:ascii="Cambria Math" w:hAnsi="Cambria Math"/>
                <w:sz w:val="24"/>
                <w:u w:val="none"/>
              </w:rPr>
            </m:ctrlPr>
          </m:e>
          <m:sub>
            <m:r>
              <w:rPr>
                <w:rFonts w:ascii="Cambria Math" w:hAnsi="Cambria Math"/>
                <w:sz w:val="24"/>
                <w:u w:val="none"/>
              </w:rPr>
              <m:t>i</m:t>
            </m:r>
            <m:ctrlPr>
              <w:rPr>
                <w:rFonts w:ascii="Cambria Math" w:hAnsi="Cambria Math"/>
                <w:sz w:val="24"/>
                <w:u w:val="none"/>
              </w:rPr>
            </m:ctrlPr>
          </m:sub>
        </m:sSub>
      </m:oMath>
      <w:r>
        <w:rPr>
          <w:sz w:val="24"/>
          <w:u w:val="none"/>
        </w:rPr>
        <w:t>——i种污染物的实测值（mg/L）；</w:t>
      </w:r>
    </w:p>
    <w:p>
      <w:pPr>
        <w:spacing w:line="360" w:lineRule="auto"/>
        <w:ind w:firstLine="1147" w:firstLineChars="478"/>
        <w:rPr>
          <w:sz w:val="24"/>
          <w:u w:val="none"/>
        </w:rPr>
      </w:pPr>
      <m:oMath>
        <m:sSub>
          <m:sSubPr>
            <m:ctrlPr>
              <w:rPr>
                <w:rFonts w:ascii="Cambria Math" w:hAnsi="Cambria Math"/>
                <w:sz w:val="24"/>
                <w:u w:val="none"/>
              </w:rPr>
            </m:ctrlPr>
          </m:sSubPr>
          <m:e>
            <m:r>
              <m:rPr>
                <m:sty m:val="p"/>
              </m:rPr>
              <w:rPr>
                <w:rFonts w:ascii="Cambria Math" w:hAnsi="Cambria Math"/>
                <w:sz w:val="24"/>
                <w:u w:val="none"/>
              </w:rPr>
              <m:t>C</m:t>
            </m:r>
            <m:ctrlPr>
              <w:rPr>
                <w:rFonts w:ascii="Cambria Math" w:hAnsi="Cambria Math"/>
                <w:sz w:val="24"/>
                <w:u w:val="none"/>
              </w:rPr>
            </m:ctrlPr>
          </m:e>
          <m:sub>
            <m:r>
              <w:rPr>
                <w:rFonts w:ascii="Cambria Math" w:hAnsi="Cambria Math"/>
                <w:sz w:val="24"/>
                <w:u w:val="none"/>
              </w:rPr>
              <m:t>Si</m:t>
            </m:r>
            <m:ctrlPr>
              <w:rPr>
                <w:rFonts w:ascii="Cambria Math" w:hAnsi="Cambria Math"/>
                <w:sz w:val="24"/>
                <w:u w:val="none"/>
              </w:rPr>
            </m:ctrlPr>
          </m:sub>
        </m:sSub>
      </m:oMath>
      <w:r>
        <w:rPr>
          <w:sz w:val="24"/>
          <w:u w:val="none"/>
        </w:rPr>
        <w:t>——i种污染物的评价标准值（mg/L）。</w:t>
      </w:r>
    </w:p>
    <w:p>
      <w:pPr>
        <w:adjustRightInd w:val="0"/>
        <w:snapToGrid w:val="0"/>
        <w:spacing w:line="360" w:lineRule="auto"/>
        <w:ind w:left="480"/>
        <w:rPr>
          <w:sz w:val="24"/>
          <w:u w:val="none"/>
        </w:rPr>
      </w:pPr>
      <w:r>
        <w:rPr>
          <w:sz w:val="24"/>
          <w:u w:val="none"/>
        </w:rPr>
        <w:t>pH污染物指数为：</w:t>
      </w:r>
    </w:p>
    <w:p>
      <w:pPr>
        <w:adjustRightInd w:val="0"/>
        <w:snapToGrid w:val="0"/>
        <w:spacing w:line="360" w:lineRule="auto"/>
        <w:ind w:left="480"/>
        <w:jc w:val="center"/>
        <w:rPr>
          <w:sz w:val="24"/>
          <w:u w:val="none"/>
        </w:rPr>
      </w:pPr>
      <m:oMath>
        <m:sSub>
          <m:sSubPr>
            <m:ctrlPr>
              <w:rPr>
                <w:rFonts w:ascii="Cambria Math" w:hAnsi="Cambria Math"/>
                <w:sz w:val="24"/>
                <w:u w:val="none"/>
              </w:rPr>
            </m:ctrlPr>
          </m:sSubPr>
          <m:e>
            <m:r>
              <m:rPr>
                <m:sty m:val="p"/>
              </m:rPr>
              <w:rPr>
                <w:rFonts w:ascii="Cambria Math" w:hAnsi="Cambria Math"/>
                <w:sz w:val="24"/>
                <w:u w:val="none"/>
              </w:rPr>
              <m:t>S</m:t>
            </m:r>
            <m:ctrlPr>
              <w:rPr>
                <w:rFonts w:ascii="Cambria Math" w:hAnsi="Cambria Math"/>
                <w:sz w:val="24"/>
                <w:u w:val="none"/>
              </w:rPr>
            </m:ctrlPr>
          </m:e>
          <m:sub>
            <m:r>
              <w:rPr>
                <w:rFonts w:hint="eastAsia" w:ascii="Cambria Math" w:hAnsi="Cambria Math"/>
                <w:sz w:val="24"/>
                <w:u w:val="none"/>
              </w:rPr>
              <m:t>p</m:t>
            </m:r>
            <m:r>
              <w:rPr>
                <w:rFonts w:ascii="Cambria Math" w:hAnsi="Cambria Math"/>
                <w:sz w:val="24"/>
                <w:u w:val="none"/>
              </w:rPr>
              <m:t>H</m:t>
            </m:r>
            <m:ctrlPr>
              <w:rPr>
                <w:rFonts w:ascii="Cambria Math" w:hAnsi="Cambria Math"/>
                <w:sz w:val="24"/>
                <w:u w:val="none"/>
              </w:rPr>
            </m:ctrlPr>
          </m:sub>
        </m:sSub>
        <m:r>
          <w:rPr>
            <w:rFonts w:hint="eastAsia" w:ascii="Cambria Math" w:hAnsi="Cambria Math"/>
            <w:sz w:val="24"/>
            <w:u w:val="none"/>
          </w:rPr>
          <m:t>=</m:t>
        </m:r>
        <m:d>
          <m:dPr>
            <m:ctrlPr>
              <w:rPr>
                <w:rFonts w:ascii="Cambria Math" w:hAnsi="Cambria Math"/>
                <w:i/>
                <w:sz w:val="24"/>
                <w:u w:val="none"/>
              </w:rPr>
            </m:ctrlPr>
          </m:dPr>
          <m:e>
            <m:r>
              <w:rPr>
                <w:rFonts w:ascii="Cambria Math" w:hAnsi="Cambria Math"/>
                <w:sz w:val="24"/>
                <w:u w:val="none"/>
              </w:rPr>
              <m:t>7.0-</m:t>
            </m:r>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j</m:t>
                </m:r>
                <m:ctrlPr>
                  <w:rPr>
                    <w:rFonts w:ascii="Cambria Math" w:hAnsi="Cambria Math"/>
                    <w:i/>
                    <w:sz w:val="24"/>
                    <w:u w:val="none"/>
                  </w:rPr>
                </m:ctrlPr>
              </m:sub>
            </m:sSub>
            <m:ctrlPr>
              <w:rPr>
                <w:rFonts w:ascii="Cambria Math" w:hAnsi="Cambria Math"/>
                <w:i/>
                <w:sz w:val="24"/>
                <w:u w:val="none"/>
              </w:rPr>
            </m:ctrlPr>
          </m:e>
        </m:d>
        <m:r>
          <w:rPr>
            <w:rFonts w:ascii="Cambria Math" w:hAnsi="Cambria Math"/>
            <w:sz w:val="24"/>
            <w:u w:val="none"/>
          </w:rPr>
          <m:t>/</m:t>
        </m:r>
        <m:d>
          <m:dPr>
            <m:ctrlPr>
              <w:rPr>
                <w:rFonts w:ascii="Cambria Math" w:hAnsi="Cambria Math"/>
                <w:i/>
                <w:sz w:val="24"/>
                <w:u w:val="none"/>
              </w:rPr>
            </m:ctrlPr>
          </m:dPr>
          <m:e>
            <m:r>
              <w:rPr>
                <w:rFonts w:ascii="Cambria Math" w:hAnsi="Cambria Math"/>
                <w:sz w:val="24"/>
                <w:u w:val="none"/>
              </w:rPr>
              <m:t>7.0-</m:t>
            </m:r>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sd</m:t>
                </m:r>
                <m:ctrlPr>
                  <w:rPr>
                    <w:rFonts w:ascii="Cambria Math" w:hAnsi="Cambria Math"/>
                    <w:i/>
                    <w:sz w:val="24"/>
                    <w:u w:val="none"/>
                  </w:rPr>
                </m:ctrlPr>
              </m:sub>
            </m:sSub>
            <m:ctrlPr>
              <w:rPr>
                <w:rFonts w:ascii="Cambria Math" w:hAnsi="Cambria Math"/>
                <w:i/>
                <w:sz w:val="24"/>
                <w:u w:val="none"/>
              </w:rPr>
            </m:ctrlPr>
          </m:e>
        </m:d>
      </m:oMath>
      <w:r>
        <w:rPr>
          <w:sz w:val="24"/>
          <w:u w:val="none"/>
        </w:rPr>
        <w:t xml:space="preserve">         （当</w:t>
      </w:r>
      <m:oMath>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j</m:t>
            </m:r>
            <m:ctrlPr>
              <w:rPr>
                <w:rFonts w:ascii="Cambria Math" w:hAnsi="Cambria Math"/>
                <w:i/>
                <w:sz w:val="24"/>
                <w:u w:val="none"/>
              </w:rPr>
            </m:ctrlPr>
          </m:sub>
        </m:sSub>
      </m:oMath>
      <w:r>
        <w:rPr>
          <w:sz w:val="24"/>
          <w:u w:val="none"/>
        </w:rPr>
        <w:t>≤7.0时）；</w:t>
      </w:r>
    </w:p>
    <w:p>
      <w:pPr>
        <w:adjustRightInd w:val="0"/>
        <w:snapToGrid w:val="0"/>
        <w:spacing w:line="360" w:lineRule="auto"/>
        <w:ind w:left="480"/>
        <w:jc w:val="center"/>
        <w:rPr>
          <w:sz w:val="24"/>
          <w:u w:val="none"/>
        </w:rPr>
      </w:pPr>
      <m:oMath>
        <m:sSub>
          <m:sSubPr>
            <m:ctrlPr>
              <w:rPr>
                <w:rFonts w:ascii="Cambria Math" w:hAnsi="Cambria Math"/>
                <w:sz w:val="24"/>
                <w:u w:val="none"/>
              </w:rPr>
            </m:ctrlPr>
          </m:sSubPr>
          <m:e>
            <m:r>
              <m:rPr>
                <m:sty m:val="p"/>
              </m:rPr>
              <w:rPr>
                <w:rFonts w:ascii="Cambria Math" w:hAnsi="Cambria Math"/>
                <w:sz w:val="24"/>
                <w:u w:val="none"/>
              </w:rPr>
              <m:t>S</m:t>
            </m:r>
            <m:ctrlPr>
              <w:rPr>
                <w:rFonts w:ascii="Cambria Math" w:hAnsi="Cambria Math"/>
                <w:sz w:val="24"/>
                <w:u w:val="none"/>
              </w:rPr>
            </m:ctrlPr>
          </m:e>
          <m:sub>
            <m:r>
              <w:rPr>
                <w:rFonts w:hint="eastAsia" w:ascii="Cambria Math" w:hAnsi="Cambria Math"/>
                <w:sz w:val="24"/>
                <w:u w:val="none"/>
              </w:rPr>
              <m:t>p</m:t>
            </m:r>
            <m:r>
              <w:rPr>
                <w:rFonts w:ascii="Cambria Math" w:hAnsi="Cambria Math"/>
                <w:sz w:val="24"/>
                <w:u w:val="none"/>
              </w:rPr>
              <m:t>H</m:t>
            </m:r>
            <m:ctrlPr>
              <w:rPr>
                <w:rFonts w:ascii="Cambria Math" w:hAnsi="Cambria Math"/>
                <w:sz w:val="24"/>
                <w:u w:val="none"/>
              </w:rPr>
            </m:ctrlPr>
          </m:sub>
        </m:sSub>
        <m:r>
          <w:rPr>
            <w:rFonts w:hint="eastAsia" w:ascii="Cambria Math" w:hAnsi="Cambria Math"/>
            <w:sz w:val="24"/>
            <w:u w:val="none"/>
          </w:rPr>
          <m:t>=</m:t>
        </m:r>
        <m:d>
          <m:dPr>
            <m:ctrlPr>
              <w:rPr>
                <w:rFonts w:ascii="Cambria Math" w:hAnsi="Cambria Math"/>
                <w:i/>
                <w:sz w:val="24"/>
                <w:u w:val="none"/>
              </w:rPr>
            </m:ctrlPr>
          </m:dPr>
          <m:e>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j</m:t>
                </m:r>
                <m:ctrlPr>
                  <w:rPr>
                    <w:rFonts w:ascii="Cambria Math" w:hAnsi="Cambria Math"/>
                    <w:i/>
                    <w:sz w:val="24"/>
                    <w:u w:val="none"/>
                  </w:rPr>
                </m:ctrlPr>
              </m:sub>
            </m:sSub>
            <m:r>
              <w:rPr>
                <w:rFonts w:hint="eastAsia" w:ascii="MS Gothic" w:hAnsi="MS Gothic" w:eastAsia="MS Gothic" w:cs="MS Gothic"/>
                <w:sz w:val="24"/>
                <w:u w:val="none"/>
              </w:rPr>
              <m:t>-</m:t>
            </m:r>
            <m:r>
              <w:rPr>
                <w:rFonts w:ascii="Cambria Math" w:hAnsi="Cambria Math"/>
                <w:sz w:val="24"/>
                <w:u w:val="none"/>
              </w:rPr>
              <m:t>7.0</m:t>
            </m:r>
            <m:ctrlPr>
              <w:rPr>
                <w:rFonts w:ascii="Cambria Math" w:hAnsi="Cambria Math"/>
                <w:i/>
                <w:sz w:val="24"/>
                <w:u w:val="none"/>
              </w:rPr>
            </m:ctrlPr>
          </m:e>
        </m:d>
        <m:r>
          <w:rPr>
            <w:rFonts w:ascii="Cambria Math" w:hAnsi="Cambria Math"/>
            <w:sz w:val="24"/>
            <w:u w:val="none"/>
          </w:rPr>
          <m:t>/</m:t>
        </m:r>
        <m:d>
          <m:dPr>
            <m:ctrlPr>
              <w:rPr>
                <w:rFonts w:ascii="Cambria Math" w:hAnsi="Cambria Math"/>
                <w:i/>
                <w:sz w:val="24"/>
                <w:u w:val="none"/>
              </w:rPr>
            </m:ctrlPr>
          </m:dPr>
          <m:e>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su</m:t>
                </m:r>
                <m:ctrlPr>
                  <w:rPr>
                    <w:rFonts w:ascii="Cambria Math" w:hAnsi="Cambria Math"/>
                    <w:i/>
                    <w:sz w:val="24"/>
                    <w:u w:val="none"/>
                  </w:rPr>
                </m:ctrlPr>
              </m:sub>
            </m:sSub>
            <m:r>
              <w:rPr>
                <w:rFonts w:ascii="Cambria Math" w:hAnsi="Cambria Math"/>
                <w:sz w:val="24"/>
                <w:u w:val="none"/>
              </w:rPr>
              <m:t>-7.0</m:t>
            </m:r>
            <m:ctrlPr>
              <w:rPr>
                <w:rFonts w:ascii="Cambria Math" w:hAnsi="Cambria Math"/>
                <w:i/>
                <w:sz w:val="24"/>
                <w:u w:val="none"/>
              </w:rPr>
            </m:ctrlPr>
          </m:e>
        </m:d>
      </m:oMath>
      <w:r>
        <w:rPr>
          <w:sz w:val="24"/>
          <w:u w:val="none"/>
        </w:rPr>
        <w:t xml:space="preserve">         （当</w:t>
      </w:r>
      <m:oMath>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j</m:t>
            </m:r>
            <m:ctrlPr>
              <w:rPr>
                <w:rFonts w:ascii="Cambria Math" w:hAnsi="Cambria Math"/>
                <w:i/>
                <w:sz w:val="24"/>
                <w:u w:val="none"/>
              </w:rPr>
            </m:ctrlPr>
          </m:sub>
        </m:sSub>
      </m:oMath>
      <w:r>
        <w:rPr>
          <w:sz w:val="24"/>
          <w:u w:val="none"/>
        </w:rPr>
        <w:t>＞7.0时）；</w:t>
      </w:r>
    </w:p>
    <w:p>
      <w:pPr>
        <w:adjustRightInd w:val="0"/>
        <w:snapToGrid w:val="0"/>
        <w:spacing w:line="360" w:lineRule="auto"/>
        <w:ind w:left="480"/>
        <w:rPr>
          <w:sz w:val="24"/>
          <w:u w:val="none"/>
        </w:rPr>
      </w:pPr>
      <w:r>
        <w:rPr>
          <w:sz w:val="24"/>
          <w:u w:val="none"/>
        </w:rPr>
        <w:t>试中：</w:t>
      </w:r>
      <m:oMath>
        <m:sSub>
          <m:sSubPr>
            <m:ctrlPr>
              <w:rPr>
                <w:rFonts w:ascii="Cambria Math" w:hAnsi="Cambria Math"/>
                <w:sz w:val="24"/>
                <w:u w:val="none"/>
              </w:rPr>
            </m:ctrlPr>
          </m:sSubPr>
          <m:e>
            <m:r>
              <m:rPr>
                <m:sty m:val="p"/>
              </m:rPr>
              <w:rPr>
                <w:rFonts w:ascii="Cambria Math" w:hAnsi="Cambria Math"/>
                <w:sz w:val="24"/>
                <w:u w:val="none"/>
              </w:rPr>
              <m:t>S</m:t>
            </m:r>
            <m:ctrlPr>
              <w:rPr>
                <w:rFonts w:ascii="Cambria Math" w:hAnsi="Cambria Math"/>
                <w:sz w:val="24"/>
                <w:u w:val="none"/>
              </w:rPr>
            </m:ctrlPr>
          </m:e>
          <m:sub>
            <m:r>
              <w:rPr>
                <w:rFonts w:hint="eastAsia" w:ascii="Cambria Math" w:hAnsi="Cambria Math"/>
                <w:sz w:val="24"/>
                <w:u w:val="none"/>
              </w:rPr>
              <m:t>p</m:t>
            </m:r>
            <m:r>
              <w:rPr>
                <w:rFonts w:ascii="Cambria Math" w:hAnsi="Cambria Math"/>
                <w:sz w:val="24"/>
                <w:u w:val="none"/>
              </w:rPr>
              <m:t>H</m:t>
            </m:r>
            <m:ctrlPr>
              <w:rPr>
                <w:rFonts w:ascii="Cambria Math" w:hAnsi="Cambria Math"/>
                <w:sz w:val="24"/>
                <w:u w:val="none"/>
              </w:rPr>
            </m:ctrlPr>
          </m:sub>
        </m:sSub>
      </m:oMath>
      <w:r>
        <w:rPr>
          <w:sz w:val="24"/>
          <w:u w:val="none"/>
        </w:rPr>
        <w:t>——pH值的标准指数；</w:t>
      </w:r>
    </w:p>
    <w:p>
      <w:pPr>
        <w:adjustRightInd w:val="0"/>
        <w:snapToGrid w:val="0"/>
        <w:spacing w:line="360" w:lineRule="auto"/>
        <w:ind w:left="480"/>
        <w:rPr>
          <w:sz w:val="24"/>
          <w:u w:val="none"/>
        </w:rPr>
      </w:pPr>
      <m:oMath>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j</m:t>
            </m:r>
            <m:ctrlPr>
              <w:rPr>
                <w:rFonts w:ascii="Cambria Math" w:hAnsi="Cambria Math"/>
                <w:i/>
                <w:sz w:val="24"/>
                <w:u w:val="none"/>
              </w:rPr>
            </m:ctrlPr>
          </m:sub>
        </m:sSub>
      </m:oMath>
      <w:r>
        <w:rPr>
          <w:sz w:val="24"/>
          <w:u w:val="none"/>
        </w:rPr>
        <w:t>——pH实测值；</w:t>
      </w:r>
    </w:p>
    <w:p>
      <w:pPr>
        <w:adjustRightInd w:val="0"/>
        <w:snapToGrid w:val="0"/>
        <w:spacing w:line="360" w:lineRule="auto"/>
        <w:ind w:left="1112" w:hanging="630"/>
        <w:rPr>
          <w:sz w:val="24"/>
          <w:u w:val="none"/>
        </w:rPr>
      </w:pPr>
      <m:oMath>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sd</m:t>
            </m:r>
            <m:ctrlPr>
              <w:rPr>
                <w:rFonts w:ascii="Cambria Math" w:hAnsi="Cambria Math"/>
                <w:i/>
                <w:sz w:val="24"/>
                <w:u w:val="none"/>
              </w:rPr>
            </m:ctrlPr>
          </m:sub>
        </m:sSub>
      </m:oMath>
      <w:r>
        <w:rPr>
          <w:sz w:val="24"/>
          <w:u w:val="none"/>
        </w:rPr>
        <w:t>——pH值评价标准的下限值；</w:t>
      </w:r>
    </w:p>
    <w:p>
      <w:pPr>
        <w:adjustRightInd w:val="0"/>
        <w:snapToGrid w:val="0"/>
        <w:spacing w:line="360" w:lineRule="auto"/>
        <w:ind w:left="480"/>
        <w:rPr>
          <w:sz w:val="24"/>
          <w:u w:val="none"/>
        </w:rPr>
      </w:pPr>
      <m:oMath>
        <m:sSub>
          <m:sSubPr>
            <m:ctrlPr>
              <w:rPr>
                <w:rFonts w:ascii="Cambria Math" w:hAnsi="Cambria Math"/>
                <w:i/>
                <w:sz w:val="24"/>
                <w:u w:val="none"/>
              </w:rPr>
            </m:ctrlPr>
          </m:sSubPr>
          <m:e>
            <m:r>
              <w:rPr>
                <w:rFonts w:ascii="Cambria Math" w:hAnsi="Cambria Math"/>
                <w:sz w:val="24"/>
                <w:u w:val="none"/>
              </w:rPr>
              <m:t>pH</m:t>
            </m:r>
            <m:ctrlPr>
              <w:rPr>
                <w:rFonts w:ascii="Cambria Math" w:hAnsi="Cambria Math"/>
                <w:i/>
                <w:sz w:val="24"/>
                <w:u w:val="none"/>
              </w:rPr>
            </m:ctrlPr>
          </m:e>
          <m:sub>
            <m:r>
              <w:rPr>
                <w:rFonts w:ascii="Cambria Math" w:hAnsi="Cambria Math"/>
                <w:sz w:val="24"/>
                <w:u w:val="none"/>
              </w:rPr>
              <m:t>su</m:t>
            </m:r>
            <m:ctrlPr>
              <w:rPr>
                <w:rFonts w:ascii="Cambria Math" w:hAnsi="Cambria Math"/>
                <w:i/>
                <w:sz w:val="24"/>
                <w:u w:val="none"/>
              </w:rPr>
            </m:ctrlPr>
          </m:sub>
        </m:sSub>
      </m:oMath>
      <w:r>
        <w:rPr>
          <w:sz w:val="24"/>
          <w:u w:val="none"/>
        </w:rPr>
        <w:t>——pH值评价标准的上限值。</w:t>
      </w:r>
    </w:p>
    <w:p>
      <w:pPr>
        <w:adjustRightInd w:val="0"/>
        <w:snapToGrid w:val="0"/>
        <w:spacing w:line="360" w:lineRule="auto"/>
        <w:ind w:firstLine="480" w:firstLineChars="200"/>
        <w:jc w:val="left"/>
        <w:rPr>
          <w:sz w:val="24"/>
          <w:u w:val="none"/>
        </w:rPr>
      </w:pPr>
      <w:r>
        <w:rPr>
          <w:sz w:val="24"/>
          <w:u w:val="none"/>
        </w:rPr>
        <w:t>当某水质评价参数的污染指数值大于1.0时，表明水质评价参数在该点上超过了规定的水质标准。</w:t>
      </w:r>
    </w:p>
    <w:p>
      <w:pPr>
        <w:adjustRightInd w:val="0"/>
        <w:snapToGrid w:val="0"/>
        <w:spacing w:line="360" w:lineRule="auto"/>
        <w:ind w:firstLine="480" w:firstLineChars="200"/>
        <w:jc w:val="left"/>
        <w:rPr>
          <w:sz w:val="24"/>
          <w:u w:val="none"/>
        </w:rPr>
      </w:pPr>
      <w:r>
        <w:rPr>
          <w:sz w:val="24"/>
          <w:u w:val="none"/>
        </w:rPr>
        <w:t>（4）评价结果</w:t>
      </w:r>
    </w:p>
    <w:p>
      <w:pPr>
        <w:adjustRightInd w:val="0"/>
        <w:snapToGrid w:val="0"/>
        <w:spacing w:line="360" w:lineRule="auto"/>
        <w:ind w:firstLine="480" w:firstLineChars="200"/>
        <w:jc w:val="left"/>
        <w:rPr>
          <w:sz w:val="24"/>
          <w:u w:val="none"/>
        </w:rPr>
      </w:pPr>
      <w:r>
        <w:rPr>
          <w:sz w:val="24"/>
          <w:u w:val="none"/>
        </w:rPr>
        <w:t>经计算，项目评价区域地下水</w:t>
      </w:r>
      <w:r>
        <w:rPr>
          <w:rFonts w:hint="eastAsia"/>
          <w:sz w:val="24"/>
          <w:u w:val="none"/>
          <w:lang w:eastAsia="zh-CN"/>
        </w:rPr>
        <w:t>质量</w:t>
      </w:r>
      <w:r>
        <w:rPr>
          <w:sz w:val="24"/>
          <w:u w:val="none"/>
        </w:rPr>
        <w:t>均满足《地下水质量标准》（GB/T14848-</w:t>
      </w:r>
      <w:r>
        <w:rPr>
          <w:rFonts w:hint="eastAsia"/>
          <w:sz w:val="24"/>
          <w:u w:val="none"/>
          <w:lang w:val="en-US" w:eastAsia="zh-CN"/>
        </w:rPr>
        <w:t>2017</w:t>
      </w:r>
      <w:r>
        <w:rPr>
          <w:sz w:val="24"/>
          <w:u w:val="none"/>
        </w:rPr>
        <w:t>）中</w:t>
      </w:r>
      <w:r>
        <w:rPr>
          <w:sz w:val="24"/>
          <w:u w:val="none"/>
        </w:rPr>
        <w:fldChar w:fldCharType="begin"/>
      </w:r>
      <w:r>
        <w:rPr>
          <w:sz w:val="24"/>
          <w:u w:val="none"/>
        </w:rPr>
        <w:instrText xml:space="preserve"> = 3 \* ROMAN \* MERGEFORMAT </w:instrText>
      </w:r>
      <w:r>
        <w:rPr>
          <w:sz w:val="24"/>
          <w:u w:val="none"/>
        </w:rPr>
        <w:fldChar w:fldCharType="separate"/>
      </w:r>
      <w:r>
        <w:rPr>
          <w:u w:val="none"/>
        </w:rPr>
        <w:t>III</w:t>
      </w:r>
      <w:r>
        <w:rPr>
          <w:sz w:val="24"/>
          <w:u w:val="none"/>
        </w:rPr>
        <w:fldChar w:fldCharType="end"/>
      </w:r>
      <w:r>
        <w:rPr>
          <w:sz w:val="24"/>
          <w:u w:val="none"/>
        </w:rPr>
        <w:t>类标准限值要求，评价区域地下水水质良好。</w:t>
      </w:r>
    </w:p>
    <w:p>
      <w:pPr>
        <w:pStyle w:val="3"/>
        <w:rPr>
          <w:rFonts w:hint="eastAsia" w:ascii="Times New Roman" w:hAnsi="Times New Roman" w:cs="Times New Roman"/>
          <w:sz w:val="28"/>
          <w:szCs w:val="28"/>
          <w:u w:val="none"/>
          <w:lang w:val="en-US" w:eastAsia="zh-CN"/>
        </w:rPr>
      </w:pPr>
      <w:bookmarkStart w:id="62" w:name="_Toc24199"/>
      <w:r>
        <w:rPr>
          <w:rFonts w:hint="eastAsia" w:ascii="Times New Roman" w:hAnsi="Times New Roman" w:cs="Times New Roman"/>
          <w:sz w:val="28"/>
          <w:szCs w:val="28"/>
          <w:u w:val="none"/>
          <w:lang w:val="en-US" w:eastAsia="zh-CN"/>
        </w:rPr>
        <w:t>6.5土壤环境现状调查与评价</w:t>
      </w:r>
      <w:bookmarkEnd w:id="62"/>
    </w:p>
    <w:p>
      <w:pPr>
        <w:pStyle w:val="71"/>
        <w:rPr>
          <w:rFonts w:hint="eastAsia"/>
          <w:sz w:val="24"/>
          <w:u w:val="none"/>
          <w:lang w:val="en-US" w:eastAsia="zh-CN"/>
        </w:rPr>
      </w:pPr>
      <w:r>
        <w:rPr>
          <w:rFonts w:hint="eastAsia"/>
          <w:sz w:val="24"/>
          <w:u w:val="none"/>
          <w:lang w:val="en-US" w:eastAsia="zh-CN"/>
        </w:rPr>
        <w:t>根据现场调查，本项目选址地为搬迁户遗留的农村宅基地，周边多位耕地、林地、农村道路和沟渠等。2019年6月29日，受建设单位委托四川立明检测技术有限公司对项目所在区域土壤环境质量进行了现状监测监测，监测情况如下。</w:t>
      </w:r>
    </w:p>
    <w:p>
      <w:pPr>
        <w:pStyle w:val="71"/>
        <w:rPr>
          <w:rFonts w:hint="eastAsia"/>
          <w:sz w:val="24"/>
          <w:u w:val="none"/>
          <w:lang w:val="en-US" w:eastAsia="zh-CN"/>
        </w:rPr>
      </w:pPr>
      <w:r>
        <w:rPr>
          <w:rFonts w:hint="eastAsia"/>
          <w:sz w:val="24"/>
          <w:u w:val="none"/>
          <w:lang w:val="en-US" w:eastAsia="zh-CN"/>
        </w:rPr>
        <w:t>1、监测布点及监测因子</w:t>
      </w:r>
    </w:p>
    <w:p>
      <w:pPr>
        <w:pStyle w:val="71"/>
        <w:rPr>
          <w:rFonts w:hint="eastAsia"/>
          <w:sz w:val="24"/>
          <w:u w:val="none"/>
          <w:lang w:val="en-US" w:eastAsia="zh-CN"/>
        </w:rPr>
      </w:pPr>
      <w:r>
        <w:rPr>
          <w:rFonts w:hint="eastAsia"/>
          <w:sz w:val="24"/>
          <w:u w:val="none"/>
          <w:lang w:val="en-US" w:eastAsia="zh-CN"/>
        </w:rPr>
        <w:t>本项目监测布点及监测因子信息详见下表。</w:t>
      </w:r>
    </w:p>
    <w:p>
      <w:pPr>
        <w:pStyle w:val="352"/>
        <w:bidi w:val="0"/>
        <w:rPr>
          <w:rFonts w:hint="eastAsia"/>
          <w:lang w:val="en-US" w:eastAsia="zh-CN"/>
        </w:rPr>
      </w:pPr>
      <w:r>
        <w:rPr>
          <w:rFonts w:hint="eastAsia"/>
          <w:lang w:val="en-US" w:eastAsia="zh-CN"/>
        </w:rPr>
        <w:t>表6-10  土壤环境现状监测信息表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3998"/>
        <w:gridCol w:w="1275"/>
        <w:gridCol w:w="1350"/>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970"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监测点位</w:t>
            </w:r>
          </w:p>
        </w:tc>
        <w:tc>
          <w:tcPr>
            <w:tcW w:w="3998"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监测项目</w:t>
            </w:r>
          </w:p>
        </w:tc>
        <w:tc>
          <w:tcPr>
            <w:tcW w:w="2625" w:type="dxa"/>
            <w:gridSpan w:val="2"/>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布点类型</w:t>
            </w:r>
          </w:p>
        </w:tc>
        <w:tc>
          <w:tcPr>
            <w:tcW w:w="695"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p>
        </w:tc>
        <w:tc>
          <w:tcPr>
            <w:tcW w:w="3998"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占地范围内</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占地范围外</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1#项目北侧</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pH、砷、汞、镍、铅、镉、铜、锌、总铬</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695"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2#项目东侧</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砷、汞、硒、锑、镍、铅、镉、铜、锌、锰、氰化物、钴、钒、铊、铍、钼、六价铬、四氯化碳、氯仿、氯甲烷、1,1-二氯乙烷、1,2-二氯乙烷、1,1-二氯乙烯、顺-1,2-二氯乙烯、反-1,2,-二氯乙烯、二氯甲烷、1,2-二氯丙烷、1,1,1,2-四氯乙烷、1,1,2,2-四氯乙烷</w:t>
            </w:r>
            <w:r>
              <w:rPr>
                <w:rFonts w:hint="eastAsia" w:ascii="宋体" w:hAnsi="宋体" w:cs="宋体"/>
                <w:b w:val="0"/>
                <w:bCs w:val="0"/>
                <w:sz w:val="21"/>
                <w:szCs w:val="21"/>
                <w:u w:val="none"/>
                <w:vertAlign w:val="baseline"/>
                <w:lang w:val="en-US" w:eastAsia="zh-CN"/>
              </w:rPr>
              <w:t>、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3#项目南侧</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pH、砷、汞、镍、铅、镉、铜、锌、总铬</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4#项目西侧</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pH、砷、汞、镍、铅、镉、铜、锌、总铬</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5#项目厂区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砷、汞、硒、锑、镍、铅、镉、铜、锌、锰、氰化物、钴、钒、铊、铍、钼、六价铬、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6#项目厂区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1个表层样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7#项目厂区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1个柱状样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8#项目厂区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1个柱状样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9#项目厂区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1个柱状样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10#项目厂区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1个柱状样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11#项目厂区</w:t>
            </w:r>
          </w:p>
        </w:tc>
        <w:tc>
          <w:tcPr>
            <w:tcW w:w="3998"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pH、镉、铅、铬（六价）、铜、锌、镍、汞、砷、锰、钴、硒、钒、锑、铊、铍、钼、氰化物</w:t>
            </w:r>
          </w:p>
        </w:tc>
        <w:tc>
          <w:tcPr>
            <w:tcW w:w="127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1个柱状样</w:t>
            </w:r>
          </w:p>
        </w:tc>
        <w:tc>
          <w:tcPr>
            <w:tcW w:w="135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b w:val="0"/>
                <w:bCs w:val="0"/>
                <w:sz w:val="21"/>
                <w:szCs w:val="21"/>
                <w:u w:val="none"/>
                <w:vertAlign w:val="baseline"/>
                <w:lang w:val="en-US" w:eastAsia="zh-CN"/>
              </w:rPr>
            </w:pPr>
            <w:r>
              <w:rPr>
                <w:rFonts w:hint="eastAsia" w:ascii="宋体" w:hAnsi="宋体" w:cs="宋体"/>
                <w:b w:val="0"/>
                <w:bCs w:val="0"/>
                <w:sz w:val="21"/>
                <w:szCs w:val="21"/>
                <w:u w:val="none"/>
                <w:vertAlign w:val="baseline"/>
                <w:lang w:val="en-US" w:eastAsia="zh-CN"/>
              </w:rPr>
              <w:t>/</w:t>
            </w:r>
          </w:p>
        </w:tc>
        <w:tc>
          <w:tcPr>
            <w:tcW w:w="69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sz w:val="21"/>
                <w:szCs w:val="21"/>
                <w:u w:val="none"/>
                <w:vertAlign w:val="baseline"/>
                <w:lang w:val="en-US" w:eastAsia="zh-CN"/>
              </w:rPr>
            </w:pPr>
          </w:p>
        </w:tc>
      </w:tr>
    </w:tbl>
    <w:p>
      <w:pPr>
        <w:pStyle w:val="71"/>
        <w:rPr>
          <w:rFonts w:hint="eastAsia"/>
          <w:sz w:val="24"/>
          <w:u w:val="none"/>
          <w:lang w:val="en-US" w:eastAsia="zh-CN"/>
        </w:rPr>
      </w:pPr>
      <w:r>
        <w:rPr>
          <w:rFonts w:hint="eastAsia"/>
          <w:sz w:val="24"/>
          <w:u w:val="none"/>
          <w:lang w:val="en-US" w:eastAsia="zh-CN"/>
        </w:rPr>
        <w:t>2、监测结果</w:t>
      </w:r>
    </w:p>
    <w:p>
      <w:pPr>
        <w:pStyle w:val="71"/>
        <w:rPr>
          <w:rFonts w:hint="eastAsia"/>
          <w:sz w:val="24"/>
          <w:u w:val="none"/>
          <w:lang w:val="en-US" w:eastAsia="zh-CN"/>
        </w:rPr>
      </w:pPr>
      <w:r>
        <w:rPr>
          <w:rFonts w:hint="eastAsia"/>
          <w:sz w:val="24"/>
          <w:u w:val="none"/>
          <w:lang w:val="en-US" w:eastAsia="zh-CN"/>
        </w:rPr>
        <w:t>监测结果详见下表。</w:t>
      </w:r>
    </w:p>
    <w:p>
      <w:pPr>
        <w:pStyle w:val="352"/>
        <w:bidi w:val="0"/>
        <w:rPr>
          <w:rFonts w:hint="eastAsia"/>
          <w:lang w:val="en-US" w:eastAsia="zh-CN"/>
        </w:rPr>
      </w:pPr>
      <w:r>
        <w:rPr>
          <w:rFonts w:hint="eastAsia"/>
          <w:lang w:val="en-US" w:eastAsia="zh-CN"/>
        </w:rPr>
        <w:t>表6-11  土壤环境现状监测结果统计表</w:t>
      </w:r>
    </w:p>
    <w:tbl>
      <w:tblPr>
        <w:tblStyle w:val="58"/>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1"/>
        <w:gridCol w:w="1575"/>
        <w:gridCol w:w="983"/>
        <w:gridCol w:w="1368"/>
        <w:gridCol w:w="892"/>
        <w:gridCol w:w="1169"/>
        <w:gridCol w:w="922"/>
        <w:gridCol w:w="1071"/>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621"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采样日期</w:t>
            </w:r>
          </w:p>
        </w:tc>
        <w:tc>
          <w:tcPr>
            <w:tcW w:w="1575"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检测项目</w:t>
            </w:r>
          </w:p>
        </w:tc>
        <w:tc>
          <w:tcPr>
            <w:tcW w:w="983"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标准限值</w:t>
            </w:r>
          </w:p>
        </w:tc>
        <w:tc>
          <w:tcPr>
            <w:tcW w:w="2260"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1#项目北侧</w:t>
            </w:r>
          </w:p>
        </w:tc>
        <w:tc>
          <w:tcPr>
            <w:tcW w:w="2091"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3#项目南侧</w:t>
            </w:r>
          </w:p>
        </w:tc>
        <w:tc>
          <w:tcPr>
            <w:tcW w:w="2002" w:type="dxa"/>
            <w:gridSpan w:val="2"/>
            <w:tcBorders>
              <w:top w:val="single" w:color="auto" w:sz="4" w:space="0"/>
              <w:lef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4#项目西侧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621"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1575"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98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9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92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1071"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931"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restart"/>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2019.06.29</w:t>
            </w: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pH（无量纲）</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7.8</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8.2</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8.3</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铜（mg/kg）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45.6</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12.7</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13.7</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锌（mg/kg）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300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183</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102</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铅（mg/kg）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240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54.7</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15.6</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38.5</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镉（mg/kg）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0.8</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0.690</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0.243</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0.279</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镍（mg/kg）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190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7.00</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10.1</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15.3</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铬（mg/kg）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350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128</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115</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134</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砷（mg/kg）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5.65</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4.45</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4.37</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621"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575"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汞（mg/kg）</w:t>
            </w:r>
          </w:p>
        </w:tc>
        <w:tc>
          <w:tcPr>
            <w:tcW w:w="983"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1.0</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0.15</w:t>
            </w:r>
          </w:p>
        </w:tc>
        <w:tc>
          <w:tcPr>
            <w:tcW w:w="89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0.19</w:t>
            </w:r>
          </w:p>
        </w:tc>
        <w:tc>
          <w:tcPr>
            <w:tcW w:w="92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0.03</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bl>
    <w:p>
      <w:pPr>
        <w:pStyle w:val="352"/>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default"/>
          <w:lang w:val="en-US" w:eastAsia="zh-CN"/>
        </w:rPr>
      </w:pPr>
      <w:r>
        <w:rPr>
          <w:rFonts w:hint="eastAsia"/>
          <w:lang w:val="en-US" w:eastAsia="zh-CN"/>
        </w:rPr>
        <w:t>注：标准限值参照《土壤环境质量 农用地土壤污染风险管控标准</w:t>
      </w:r>
      <w:bookmarkStart w:id="119" w:name="_GoBack"/>
      <w:r>
        <w:rPr>
          <w:rFonts w:hint="eastAsia"/>
          <w:lang w:val="en-US" w:eastAsia="zh-CN"/>
        </w:rPr>
        <w:t>（试行）</w:t>
      </w:r>
      <w:bookmarkEnd w:id="119"/>
      <w:r>
        <w:rPr>
          <w:rFonts w:hint="eastAsia"/>
          <w:lang w:val="en-US" w:eastAsia="zh-CN"/>
        </w:rPr>
        <w:t>》（GB15618-2018）表1中水田标准限值执行。</w:t>
      </w:r>
    </w:p>
    <w:p>
      <w:pPr>
        <w:pStyle w:val="352"/>
        <w:bidi w:val="0"/>
        <w:rPr>
          <w:rFonts w:hint="eastAsia"/>
          <w:lang w:val="en-US" w:eastAsia="zh-CN"/>
        </w:rPr>
      </w:pPr>
      <w:r>
        <w:rPr>
          <w:rFonts w:hint="eastAsia"/>
          <w:lang w:val="en-US" w:eastAsia="zh-CN"/>
        </w:rPr>
        <w:t>表6-12  土壤环境现状监测结果统计表</w:t>
      </w:r>
    </w:p>
    <w:tbl>
      <w:tblPr>
        <w:tblStyle w:val="58"/>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0"/>
        <w:gridCol w:w="3452"/>
        <w:gridCol w:w="1122"/>
        <w:gridCol w:w="1064"/>
        <w:gridCol w:w="812"/>
        <w:gridCol w:w="111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采样日期</w:t>
            </w:r>
          </w:p>
        </w:tc>
        <w:tc>
          <w:tcPr>
            <w:tcW w:w="3452"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检测项目</w:t>
            </w:r>
          </w:p>
        </w:tc>
        <w:tc>
          <w:tcPr>
            <w:tcW w:w="1122" w:type="dxa"/>
            <w:vMerge w:val="restart"/>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标准限值</w:t>
            </w:r>
          </w:p>
        </w:tc>
        <w:tc>
          <w:tcPr>
            <w:tcW w:w="1876"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2#项目东侧</w:t>
            </w:r>
          </w:p>
        </w:tc>
        <w:tc>
          <w:tcPr>
            <w:tcW w:w="2010" w:type="dxa"/>
            <w:gridSpan w:val="2"/>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5#项目厂区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20" w:type="dxa"/>
            <w:vMerge w:val="continue"/>
            <w:tcBorders>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vMerge w:val="continue"/>
            <w:tcBorders>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1122"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检测结果</w:t>
            </w:r>
          </w:p>
        </w:tc>
        <w:tc>
          <w:tcPr>
            <w:tcW w:w="812"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评价</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检测结果</w:t>
            </w:r>
          </w:p>
        </w:tc>
        <w:tc>
          <w:tcPr>
            <w:tcW w:w="900" w:type="dxa"/>
            <w:tcBorders>
              <w:top w:val="single" w:color="auto" w:sz="4" w:space="0"/>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restart"/>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2019.6.29</w:t>
            </w: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pH（无量纲）</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8.0</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8.0</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铜（</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18000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34.3</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17.2</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锌（</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161</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83.1</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铅（</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36.2</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36.8</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镉（</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65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0.539</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0.096</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镍（</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900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7.32</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6.58</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锰（</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546</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785</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砷（</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60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8.63</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9.35</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汞（</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38</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0.13</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0.02</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硒（</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未检出</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未检出</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锑（</w:t>
            </w:r>
            <w:r>
              <w:rPr>
                <w:rFonts w:hint="default"/>
                <w:b w:val="0"/>
                <w:bCs/>
                <w:lang w:val="en-US" w:eastAsia="zh-CN"/>
              </w:rPr>
              <w:t>mg/kg</w:t>
            </w:r>
            <w:r>
              <w:rPr>
                <w:rFonts w:hint="default"/>
                <w:b w:val="0"/>
                <w:bCs/>
                <w:lang w:eastAsia="zh-CN"/>
              </w:rPr>
              <w:t>）</w:t>
            </w:r>
          </w:p>
        </w:tc>
        <w:tc>
          <w:tcPr>
            <w:tcW w:w="1122"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180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1.98</w:t>
            </w:r>
          </w:p>
        </w:tc>
        <w:tc>
          <w:tcPr>
            <w:tcW w:w="81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firstLine="0" w:firstLineChars="0"/>
              <w:rPr>
                <w:rFonts w:hint="eastAsia" w:ascii="宋体" w:hAnsi="宋体" w:cs="宋体"/>
                <w:b/>
                <w:bCs/>
                <w:sz w:val="21"/>
                <w:szCs w:val="21"/>
                <w:u w:val="none"/>
                <w:lang w:val="en-US" w:eastAsia="zh-CN"/>
              </w:rPr>
            </w:pPr>
            <w:r>
              <w:rPr>
                <w:rFonts w:hint="default"/>
                <w:b w:val="0"/>
                <w:bCs/>
                <w:lang w:val="en-US" w:eastAsia="zh-CN"/>
              </w:rPr>
              <w:t>2.12</w:t>
            </w:r>
          </w:p>
        </w:tc>
        <w:tc>
          <w:tcPr>
            <w:tcW w:w="90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氰化物（mg/kg）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未检出</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未检出</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钴（mg/kg）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70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18.6</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15.9</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钒（mg/kg）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752</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92.6</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铊（mg/kg）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铍（mg/kg）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29</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0.52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钼（mg/kg）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2.97</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0.53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六价铬（mg/kg）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5.7</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＜0.5</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＜0.5</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四氯化碳（μg/kg）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2800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氯仿（μg/kg）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900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氯甲烷（μg/kg）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37000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1,1-二氯乙烷（μg/kg）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9000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1,2-二氯乙烷（μg/kg）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15.7</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1,1-二氯乙烯（μg/kg）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66000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顺-1,2-二氯乙烯（μg/kg）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596000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反-1,2-二氯乙烯（μg/kg）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54000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＜1.4</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＜1.4</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二氯甲烷（μg/kg）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616000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1,2-二氯丙烷（μg/kg）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1,1,1,2-四氯乙烷（μg/kg）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1,1,2,2-四氯乙烷（μg/kg）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6800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四氯乙烯（μg/kg）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53000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＜1.4</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＜1.4</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1,1,1-三氯乙烷（μg/kg）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840000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1,1,2-三氯乙烷（μg/kg）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2800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三氯乙烯（μg/kg）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2800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1,2,3-三氯丙烷（μg/kg）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430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＜1.0</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4000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＜1.9</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＜1.9</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氯苯（μg/kg）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270000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1,2-二氯苯（μg/kg）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560000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1,4-二氯苯（μg/kg）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乙苯（μg/kg）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28000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苯乙烯（μg/kg）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1290000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甲苯（μg/kg）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1200000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11.1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＜1.3</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间二甲苯+对二甲苯（μg/kg）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570000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邻二甲苯（μg/kg）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640000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硝基苯（mg/kg）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76</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＜0.09</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＜0.09</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苯胺（mg/kg）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260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2-氯酚（mg/kg）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2256</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＜0.06</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＜0.06</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苯并[a]蒽（mg/kg）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苯并[a]芘（mg/kg）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苯并[b]荧蒽（mg/kg）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＜0.2</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＜0.2</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苯并[k]荧蒽（mg/kg）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151</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䓛（mg/kg）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1293</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二苯并[a，h]蒽（mg/kg）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茚并[1,2,3-cd]芘（mg/kg）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15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＜0.1</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0" w:type="dxa"/>
            <w:vMerge w:val="continue"/>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bCs/>
                <w:sz w:val="21"/>
                <w:szCs w:val="21"/>
                <w:u w:val="none"/>
                <w:lang w:val="en-US" w:eastAsia="zh-CN"/>
              </w:rPr>
            </w:pPr>
          </w:p>
        </w:tc>
        <w:tc>
          <w:tcPr>
            <w:tcW w:w="3452" w:type="dxa"/>
            <w:tcBorders>
              <w:left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萘（mg/kg）</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70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＜0.09</w:t>
            </w:r>
          </w:p>
        </w:tc>
        <w:tc>
          <w:tcPr>
            <w:tcW w:w="812" w:type="dxa"/>
            <w:tcBorders>
              <w:top w:val="single" w:color="auto" w:sz="4" w:space="0"/>
              <w:left w:val="single" w:color="auto" w:sz="4" w:space="0"/>
              <w:bottom w:val="single" w:color="auto" w:sz="4" w:space="0"/>
              <w:right w:val="single" w:color="auto" w:sz="4" w:space="0"/>
            </w:tcBorders>
            <w:noWrap w:val="0"/>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c>
          <w:tcPr>
            <w:tcW w:w="111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＜0.09</w:t>
            </w:r>
          </w:p>
        </w:tc>
        <w:tc>
          <w:tcPr>
            <w:tcW w:w="90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达标</w:t>
            </w:r>
          </w:p>
        </w:tc>
      </w:tr>
    </w:tbl>
    <w:p>
      <w:pPr>
        <w:pStyle w:val="352"/>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lang w:val="en-US" w:eastAsia="zh-CN"/>
        </w:rPr>
      </w:pPr>
      <w:r>
        <w:rPr>
          <w:rFonts w:hint="eastAsia"/>
          <w:lang w:val="en-US" w:eastAsia="zh-CN"/>
        </w:rPr>
        <w:t>注：标准限值参照《土壤环境质量  建设用地土壤污染风险管控标准（试行）》（GB36600-2018）第二类用地筛选值标准限值执行。</w:t>
      </w:r>
    </w:p>
    <w:p>
      <w:pPr>
        <w:pStyle w:val="352"/>
        <w:bidi w:val="0"/>
        <w:rPr>
          <w:rFonts w:hint="eastAsia"/>
          <w:lang w:val="en-US" w:eastAsia="zh-CN"/>
        </w:rPr>
      </w:pPr>
      <w:r>
        <w:rPr>
          <w:rFonts w:hint="eastAsia"/>
          <w:lang w:val="en-US" w:eastAsia="zh-CN"/>
        </w:rPr>
        <w:t>表6-13  土壤环境现状监测结果统计表</w:t>
      </w:r>
    </w:p>
    <w:tbl>
      <w:tblPr>
        <w:tblStyle w:val="5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3"/>
        <w:gridCol w:w="1440"/>
        <w:gridCol w:w="890"/>
        <w:gridCol w:w="890"/>
        <w:gridCol w:w="890"/>
        <w:gridCol w:w="890"/>
        <w:gridCol w:w="889"/>
        <w:gridCol w:w="87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873"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采样日期</w:t>
            </w:r>
          </w:p>
        </w:tc>
        <w:tc>
          <w:tcPr>
            <w:tcW w:w="1440"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检测项目</w:t>
            </w:r>
          </w:p>
        </w:tc>
        <w:tc>
          <w:tcPr>
            <w:tcW w:w="890"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标准限值</w:t>
            </w:r>
          </w:p>
        </w:tc>
        <w:tc>
          <w:tcPr>
            <w:tcW w:w="1780"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6#项目厂区</w:t>
            </w:r>
          </w:p>
        </w:tc>
        <w:tc>
          <w:tcPr>
            <w:tcW w:w="1779"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7#项目厂区</w:t>
            </w:r>
          </w:p>
        </w:tc>
        <w:tc>
          <w:tcPr>
            <w:tcW w:w="1738"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8#厂区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873"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1440"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890"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9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89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89"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876"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6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restart"/>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2019.06.29</w:t>
            </w: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pH（无量纲）</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8.3</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铜（mg/kg）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13.6</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9.75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10.6</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锌（mg/kg）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93.2</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96.6</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铅（mg/kg）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37.9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41.5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35.2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镉（mg/kg）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0.247</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0.158</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0.198</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镍（mg/kg）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11.9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5.41</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7.22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锰（mg/kg）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478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516</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493</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砷（mg/kg）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4.28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3.90</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5.28</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汞（mg/kg）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0.05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0.17</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硒（mg/kg）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锑（mg/kg）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1.01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0.80</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0.78</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氰化物（mg/kg）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未检出</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钴（mg/kg）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17.7</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14.8</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钒（mg/kg）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752</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97.9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78.7</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78.5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铊（mg/kg）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铍（mg/kg）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0.52</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0.53</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0.58</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钼（mg/kg）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1.46</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2.10</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六价铬（mg/kg）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5.7</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达标</w:t>
            </w:r>
          </w:p>
        </w:tc>
      </w:tr>
    </w:tbl>
    <w:p>
      <w:pPr>
        <w:pStyle w:val="352"/>
        <w:bidi w:val="0"/>
        <w:rPr>
          <w:rFonts w:hint="eastAsia"/>
          <w:lang w:val="en-US" w:eastAsia="zh-CN"/>
        </w:rPr>
      </w:pPr>
      <w:r>
        <w:rPr>
          <w:rFonts w:hint="eastAsia"/>
          <w:lang w:val="en-US" w:eastAsia="zh-CN"/>
        </w:rPr>
        <w:t>表6-14  土壤环境现状监测结果统计表</w:t>
      </w:r>
    </w:p>
    <w:tbl>
      <w:tblPr>
        <w:tblStyle w:val="5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3"/>
        <w:gridCol w:w="1440"/>
        <w:gridCol w:w="890"/>
        <w:gridCol w:w="890"/>
        <w:gridCol w:w="890"/>
        <w:gridCol w:w="890"/>
        <w:gridCol w:w="889"/>
        <w:gridCol w:w="87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873"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采样日期</w:t>
            </w:r>
          </w:p>
        </w:tc>
        <w:tc>
          <w:tcPr>
            <w:tcW w:w="1440"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检测项目</w:t>
            </w:r>
          </w:p>
        </w:tc>
        <w:tc>
          <w:tcPr>
            <w:tcW w:w="890" w:type="dxa"/>
            <w:vMerge w:val="restart"/>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标准限值</w:t>
            </w:r>
          </w:p>
        </w:tc>
        <w:tc>
          <w:tcPr>
            <w:tcW w:w="1780"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9#项目厂区</w:t>
            </w:r>
          </w:p>
        </w:tc>
        <w:tc>
          <w:tcPr>
            <w:tcW w:w="1779"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10#项目厂区</w:t>
            </w:r>
          </w:p>
        </w:tc>
        <w:tc>
          <w:tcPr>
            <w:tcW w:w="1738" w:type="dxa"/>
            <w:gridSpan w:val="2"/>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11#厂区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873"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1440" w:type="dxa"/>
            <w:vMerge w:val="continue"/>
            <w:tcBorders>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890"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9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890"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89"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c>
          <w:tcPr>
            <w:tcW w:w="876"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检测结果</w:t>
            </w:r>
          </w:p>
        </w:tc>
        <w:tc>
          <w:tcPr>
            <w:tcW w:w="862" w:type="dxa"/>
            <w:tcBorders>
              <w:top w:val="single" w:color="auto" w:sz="4" w:space="0"/>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restart"/>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2019.06.29</w:t>
            </w: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pH（无量纲）</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8.0</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8.0</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铜（mg/kg）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39.8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31.3</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43.0</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锌（mg/kg）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194</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154</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185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铅（mg/kg）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800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149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21.5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182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镉（mg/kg）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0.863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0.460</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0.710</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镍（mg/kg）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900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11.8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6.10</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11.6</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锰（mg/kg）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389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409</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379</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砷（mg/kg）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4.38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9.82</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10.02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汞（mg/kg）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0.14</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0.24</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硒（mg/kg）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1.10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0.58</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1.02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锑（mg/kg）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180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0.63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1.93</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3.59</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氰化物（mg/kg）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未检出</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未检出</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未检出</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钴（mg/kg）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16.4</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16.5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15.9</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钒（mg/kg）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752</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97.5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91.8</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91.2</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铊（mg/kg）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＜0.1</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铍（mg/kg）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29</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0.51</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钼（mg/kg）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0.68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0.4</w:t>
            </w:r>
            <w:r>
              <w:rPr>
                <w:rFonts w:hint="eastAsia"/>
                <w:b w:val="0"/>
                <w:bCs/>
                <w:lang w:val="en-US" w:eastAsia="zh-CN"/>
              </w:rPr>
              <w:t>7</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2.28</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873" w:type="dxa"/>
            <w:vMerge w:val="continue"/>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40" w:type="dxa"/>
            <w:tcBorders>
              <w:left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六价铬（mg/kg）</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5.7</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w:t>
            </w:r>
          </w:p>
        </w:tc>
        <w:tc>
          <w:tcPr>
            <w:tcW w:w="889"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c>
          <w:tcPr>
            <w:tcW w:w="876"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val="en-US" w:eastAsia="zh-CN"/>
              </w:rPr>
              <w:t>＜0.5</w:t>
            </w:r>
          </w:p>
        </w:tc>
        <w:tc>
          <w:tcPr>
            <w:tcW w:w="862" w:type="dxa"/>
            <w:tcBorders>
              <w:top w:val="single" w:color="auto" w:sz="4" w:space="0"/>
              <w:left w:val="single" w:color="auto" w:sz="4" w:space="0"/>
              <w:bottom w:val="single" w:color="auto" w:sz="4" w:space="0"/>
              <w:right w:val="single" w:color="auto" w:sz="4" w:space="0"/>
            </w:tcBorders>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default"/>
                <w:b w:val="0"/>
                <w:bCs/>
                <w:lang w:eastAsia="zh-CN"/>
              </w:rPr>
              <w:t>达标</w:t>
            </w:r>
          </w:p>
        </w:tc>
      </w:tr>
    </w:tbl>
    <w:p>
      <w:pPr>
        <w:pStyle w:val="71"/>
        <w:rPr>
          <w:rFonts w:hint="default"/>
          <w:sz w:val="24"/>
          <w:u w:val="none"/>
          <w:lang w:val="en-US" w:eastAsia="zh-CN"/>
        </w:rPr>
      </w:pPr>
      <w:r>
        <w:rPr>
          <w:rFonts w:hint="eastAsia"/>
          <w:sz w:val="24"/>
          <w:u w:val="none"/>
          <w:lang w:val="en-US" w:eastAsia="zh-CN"/>
        </w:rPr>
        <w:t>土壤环境质量现状评价采用标准指数法进行现状评价，根据各因子的执行标准，由上表可知，本项目土壤环境现状监测中各评价因子均满足相关标准要求。</w:t>
      </w:r>
    </w:p>
    <w:p>
      <w:pPr>
        <w:pStyle w:val="2"/>
        <w:topLinePunct/>
        <w:spacing w:before="120" w:after="360"/>
        <w:rPr>
          <w:sz w:val="36"/>
          <w:szCs w:val="36"/>
          <w:u w:val="none"/>
        </w:rPr>
      </w:pPr>
      <w:bookmarkStart w:id="63" w:name="_Toc6865"/>
      <w:bookmarkStart w:id="64" w:name="_Toc31916"/>
      <w:r>
        <w:rPr>
          <w:rFonts w:hint="eastAsia"/>
          <w:sz w:val="36"/>
          <w:szCs w:val="36"/>
          <w:u w:val="none"/>
          <w:lang w:val="en-US" w:eastAsia="zh-CN"/>
        </w:rPr>
        <w:t>7</w:t>
      </w:r>
      <w:r>
        <w:rPr>
          <w:sz w:val="36"/>
          <w:szCs w:val="36"/>
          <w:u w:val="none"/>
        </w:rPr>
        <w:t>、施工期环境影响</w:t>
      </w:r>
      <w:bookmarkEnd w:id="63"/>
      <w:r>
        <w:rPr>
          <w:sz w:val="36"/>
          <w:szCs w:val="36"/>
          <w:u w:val="none"/>
        </w:rPr>
        <w:t>分析</w:t>
      </w:r>
      <w:bookmarkEnd w:id="64"/>
    </w:p>
    <w:p>
      <w:pPr>
        <w:spacing w:line="360" w:lineRule="auto"/>
        <w:ind w:firstLine="480" w:firstLineChars="200"/>
        <w:rPr>
          <w:sz w:val="24"/>
          <w:u w:val="none"/>
        </w:rPr>
      </w:pPr>
      <w:r>
        <w:rPr>
          <w:rFonts w:hint="eastAsia"/>
          <w:sz w:val="24"/>
          <w:u w:val="none"/>
          <w:lang w:eastAsia="zh-CN"/>
        </w:rPr>
        <w:t>本项目属于新建项目，建设过程中对周围环境产生的影响主要是在建设施工期间噪声、扬尘、建筑垃圾、施工废水固废及水土流失的影响，但是，施工过程对环境影响是暂时的，随着施工的完成其影响消失</w:t>
      </w:r>
      <w:r>
        <w:rPr>
          <w:sz w:val="24"/>
          <w:u w:val="none"/>
        </w:rPr>
        <w:t>。</w:t>
      </w:r>
    </w:p>
    <w:p>
      <w:pPr>
        <w:pStyle w:val="3"/>
        <w:rPr>
          <w:rFonts w:ascii="Times New Roman" w:hAnsi="Times New Roman"/>
          <w:sz w:val="28"/>
          <w:szCs w:val="28"/>
          <w:u w:val="none"/>
        </w:rPr>
      </w:pPr>
      <w:bookmarkStart w:id="65" w:name="_Toc13870"/>
      <w:r>
        <w:rPr>
          <w:rFonts w:hint="eastAsia" w:ascii="Times New Roman" w:hAnsi="Times New Roman"/>
          <w:sz w:val="28"/>
          <w:szCs w:val="28"/>
          <w:u w:val="none"/>
          <w:lang w:val="en-US" w:eastAsia="zh-CN"/>
        </w:rPr>
        <w:t>7</w:t>
      </w:r>
      <w:r>
        <w:rPr>
          <w:rFonts w:ascii="Times New Roman" w:hAnsi="Times New Roman"/>
          <w:sz w:val="28"/>
          <w:szCs w:val="28"/>
          <w:u w:val="none"/>
        </w:rPr>
        <w:t>.1施工期地表水环境影响分析</w:t>
      </w:r>
      <w:bookmarkEnd w:id="65"/>
    </w:p>
    <w:p>
      <w:pPr>
        <w:spacing w:line="360" w:lineRule="auto"/>
        <w:ind w:firstLine="480" w:firstLineChars="200"/>
        <w:jc w:val="left"/>
        <w:rPr>
          <w:sz w:val="24"/>
          <w:u w:val="none"/>
        </w:rPr>
      </w:pPr>
      <w:r>
        <w:rPr>
          <w:sz w:val="24"/>
          <w:u w:val="none"/>
        </w:rPr>
        <w:t>施工期废水主要是施工人员的生活污水及施工废水。</w:t>
      </w:r>
    </w:p>
    <w:p>
      <w:pPr>
        <w:spacing w:line="360" w:lineRule="auto"/>
        <w:ind w:firstLine="480" w:firstLineChars="200"/>
        <w:jc w:val="left"/>
        <w:rPr>
          <w:sz w:val="24"/>
          <w:u w:val="none"/>
        </w:rPr>
      </w:pPr>
      <w:r>
        <w:rPr>
          <w:sz w:val="24"/>
          <w:u w:val="none"/>
        </w:rPr>
        <w:t>本工程施工期施工人员租用当地民房，施工现场不设食堂和宿舍，施工人员生活废水利用当地既有生活污水处理设施进行收集处理，对当地地表水环境影响较小。本项目在施工现场进行原材料冲洗、墙体表面喷洒、设备清洗等施工作业过程中将有施工废水产生，其中含有大量泥砂，悬浮物浓度较高，因此项目在施工工地应设置污水沉淀池，使施工废水经沉淀除渣后循环使用，不外排。</w:t>
      </w:r>
    </w:p>
    <w:p>
      <w:pPr>
        <w:spacing w:line="360" w:lineRule="auto"/>
        <w:ind w:firstLine="480" w:firstLineChars="200"/>
        <w:jc w:val="left"/>
        <w:rPr>
          <w:sz w:val="24"/>
          <w:u w:val="none"/>
        </w:rPr>
      </w:pPr>
      <w:r>
        <w:rPr>
          <w:sz w:val="24"/>
          <w:u w:val="none"/>
        </w:rPr>
        <w:t>本项目生活污水</w:t>
      </w:r>
      <w:r>
        <w:rPr>
          <w:rFonts w:hint="eastAsia"/>
          <w:sz w:val="24"/>
          <w:u w:val="none"/>
          <w:lang w:eastAsia="zh-CN"/>
        </w:rPr>
        <w:t>经化粪池收集预处理后用于周边林草地灌溉</w:t>
      </w:r>
      <w:r>
        <w:rPr>
          <w:sz w:val="24"/>
          <w:u w:val="none"/>
        </w:rPr>
        <w:t>，施工废水经沉淀除渣后循环使用不外排，评价认为，建设单位在采取上述废水治理措施后，施工期废水对当地地表水环境影响较小。</w:t>
      </w:r>
    </w:p>
    <w:p>
      <w:pPr>
        <w:pStyle w:val="3"/>
        <w:rPr>
          <w:rFonts w:ascii="Times New Roman" w:hAnsi="Times New Roman"/>
          <w:sz w:val="28"/>
          <w:szCs w:val="28"/>
          <w:u w:val="none"/>
        </w:rPr>
      </w:pPr>
      <w:bookmarkStart w:id="66" w:name="_Toc8258"/>
      <w:r>
        <w:rPr>
          <w:rFonts w:hint="eastAsia" w:ascii="Times New Roman" w:hAnsi="Times New Roman"/>
          <w:sz w:val="28"/>
          <w:szCs w:val="28"/>
          <w:u w:val="none"/>
          <w:lang w:val="en-US" w:eastAsia="zh-CN"/>
        </w:rPr>
        <w:t>7</w:t>
      </w:r>
      <w:r>
        <w:rPr>
          <w:rFonts w:ascii="Times New Roman" w:hAnsi="Times New Roman"/>
          <w:sz w:val="28"/>
          <w:szCs w:val="28"/>
          <w:u w:val="none"/>
        </w:rPr>
        <w:t>.2施工期地下水环境影响分析</w:t>
      </w:r>
      <w:bookmarkEnd w:id="66"/>
    </w:p>
    <w:p>
      <w:pPr>
        <w:spacing w:line="360" w:lineRule="auto"/>
        <w:ind w:firstLine="480" w:firstLineChars="200"/>
        <w:jc w:val="left"/>
        <w:rPr>
          <w:sz w:val="24"/>
          <w:u w:val="none"/>
        </w:rPr>
      </w:pPr>
      <w:r>
        <w:rPr>
          <w:sz w:val="24"/>
          <w:u w:val="none"/>
        </w:rPr>
        <w:t>本项目建设施工时，应合理安排施工计划、施工程序，协调好各个施工步骤，做好各项排水、截水、防止水土流失的设计；在工程场地内需构筑相应容积的集水沉沙池和排水沟，以收集地表径流和施工过程产生的泥浆水、废水和污水，经过沉沙、除渣等预处理后，上清液回用。</w:t>
      </w:r>
    </w:p>
    <w:p>
      <w:pPr>
        <w:spacing w:line="360" w:lineRule="auto"/>
        <w:ind w:firstLine="480" w:firstLineChars="200"/>
        <w:jc w:val="left"/>
        <w:rPr>
          <w:sz w:val="24"/>
          <w:u w:val="none"/>
        </w:rPr>
      </w:pPr>
      <w:r>
        <w:rPr>
          <w:sz w:val="24"/>
          <w:u w:val="none"/>
        </w:rPr>
        <w:t>项目在采取上述防治措施后，施工期对地下水产生影响较小。</w:t>
      </w:r>
    </w:p>
    <w:p>
      <w:pPr>
        <w:pStyle w:val="3"/>
        <w:rPr>
          <w:rFonts w:ascii="Times New Roman" w:hAnsi="Times New Roman"/>
          <w:sz w:val="28"/>
          <w:szCs w:val="28"/>
          <w:u w:val="none"/>
        </w:rPr>
      </w:pPr>
      <w:bookmarkStart w:id="67" w:name="_Toc26343"/>
      <w:r>
        <w:rPr>
          <w:rFonts w:hint="eastAsia" w:ascii="Times New Roman" w:hAnsi="Times New Roman"/>
          <w:sz w:val="28"/>
          <w:szCs w:val="28"/>
          <w:u w:val="none"/>
          <w:lang w:val="en-US" w:eastAsia="zh-CN"/>
        </w:rPr>
        <w:t>7</w:t>
      </w:r>
      <w:r>
        <w:rPr>
          <w:rFonts w:ascii="Times New Roman" w:hAnsi="Times New Roman"/>
          <w:sz w:val="28"/>
          <w:szCs w:val="28"/>
          <w:u w:val="none"/>
        </w:rPr>
        <w:t>.3施工期噪声影响分析</w:t>
      </w:r>
      <w:bookmarkEnd w:id="67"/>
    </w:p>
    <w:p>
      <w:pPr>
        <w:spacing w:line="360" w:lineRule="auto"/>
        <w:ind w:firstLine="480" w:firstLineChars="200"/>
        <w:jc w:val="left"/>
        <w:rPr>
          <w:sz w:val="24"/>
          <w:u w:val="none"/>
        </w:rPr>
      </w:pPr>
      <w:r>
        <w:rPr>
          <w:rFonts w:hint="eastAsia"/>
          <w:sz w:val="24"/>
          <w:u w:val="none"/>
          <w:lang w:eastAsia="zh-CN"/>
        </w:rPr>
        <w:t>建筑施工各种机械设备、运输车辆产生的噪声，均可对周围环境产生不良影响，施工期噪声源强在</w:t>
      </w:r>
      <w:r>
        <w:rPr>
          <w:rFonts w:hint="eastAsia"/>
          <w:sz w:val="24"/>
          <w:u w:val="none"/>
          <w:lang w:val="en-US" w:eastAsia="zh-CN"/>
        </w:rPr>
        <w:t>75~95dB（A）</w:t>
      </w:r>
      <w:r>
        <w:rPr>
          <w:sz w:val="24"/>
          <w:u w:val="none"/>
        </w:rPr>
        <w:t>。</w:t>
      </w:r>
    </w:p>
    <w:p>
      <w:pPr>
        <w:spacing w:line="360" w:lineRule="auto"/>
        <w:ind w:firstLine="480" w:firstLineChars="200"/>
        <w:jc w:val="left"/>
        <w:rPr>
          <w:sz w:val="24"/>
          <w:u w:val="none"/>
        </w:rPr>
      </w:pPr>
      <w:r>
        <w:rPr>
          <w:sz w:val="24"/>
          <w:u w:val="none"/>
        </w:rPr>
        <w:t>一、噪声预测分析</w:t>
      </w:r>
    </w:p>
    <w:p>
      <w:pPr>
        <w:spacing w:line="360" w:lineRule="auto"/>
        <w:ind w:firstLine="480" w:firstLineChars="200"/>
        <w:jc w:val="left"/>
        <w:rPr>
          <w:rFonts w:hint="eastAsia"/>
          <w:sz w:val="24"/>
          <w:u w:val="none"/>
          <w:lang w:val="en-US" w:eastAsia="zh-CN"/>
        </w:rPr>
      </w:pPr>
      <w:r>
        <w:rPr>
          <w:rFonts w:hint="eastAsia"/>
          <w:sz w:val="24"/>
          <w:u w:val="none"/>
          <w:lang w:val="en-US" w:eastAsia="zh-CN"/>
        </w:rPr>
        <w:t>1、考虑声源叠加，采用叠加模式</w:t>
      </w:r>
    </w:p>
    <w:p>
      <w:pPr>
        <w:spacing w:line="360" w:lineRule="auto"/>
        <w:ind w:left="0" w:leftChars="0" w:firstLine="0" w:firstLineChars="0"/>
        <w:jc w:val="center"/>
        <w:rPr>
          <w:rFonts w:hint="default"/>
          <w:sz w:val="24"/>
          <w:u w:val="none"/>
          <w:lang w:val="en-US" w:eastAsia="zh-CN"/>
        </w:rPr>
      </w:pPr>
      <w:r>
        <w:rPr>
          <w:rFonts w:hint="default"/>
          <w:position w:val="-28"/>
          <w:sz w:val="24"/>
          <w:u w:val="none"/>
          <w:lang w:val="en-US" w:eastAsia="zh-CN"/>
        </w:rPr>
        <w:object>
          <v:shape id="_x0000_i1033" o:spt="75" type="#_x0000_t75" style="height:34pt;width:96.95pt;" o:ole="t" filled="f" o:preferrelative="t" stroked="f" coordsize="21600,21600">
            <v:path/>
            <v:fill on="f" focussize="0,0"/>
            <v:stroke on="f"/>
            <v:imagedata r:id="rId33" o:title=""/>
            <o:lock v:ext="edit" aspectratio="t"/>
            <w10:wrap type="none"/>
            <w10:anchorlock/>
          </v:shape>
          <o:OLEObject Type="Embed" ProgID="Equation.KSEE3" ShapeID="_x0000_i1033" DrawAspect="Content" ObjectID="_1468075733" r:id="rId32">
            <o:LockedField>false</o:LockedField>
          </o:OLEObject>
        </w:object>
      </w:r>
    </w:p>
    <w:p>
      <w:pPr>
        <w:spacing w:line="360" w:lineRule="auto"/>
        <w:ind w:firstLine="480" w:firstLineChars="200"/>
        <w:jc w:val="left"/>
        <w:rPr>
          <w:rFonts w:hint="eastAsia"/>
          <w:sz w:val="24"/>
          <w:u w:val="none"/>
          <w:lang w:val="en-US" w:eastAsia="zh-CN"/>
        </w:rPr>
      </w:pPr>
      <w:r>
        <w:rPr>
          <w:rFonts w:hint="eastAsia"/>
          <w:sz w:val="24"/>
          <w:u w:val="none"/>
          <w:lang w:val="en-US" w:eastAsia="zh-CN"/>
        </w:rPr>
        <w:t>式中：</w:t>
      </w:r>
      <w:r>
        <w:rPr>
          <w:rFonts w:hint="eastAsia"/>
          <w:position w:val="-4"/>
          <w:sz w:val="24"/>
          <w:u w:val="none"/>
          <w:lang w:val="en-US" w:eastAsia="zh-CN"/>
        </w:rPr>
        <w:object>
          <v:shape id="_x0000_i1034" o:spt="75" type="#_x0000_t75" style="height:13pt;width:11pt;" o:ole="t" filled="f" o:preferrelative="t" stroked="f" coordsize="21600,21600">
            <v:path/>
            <v:fill on="f" focussize="0,0"/>
            <v:stroke on="f"/>
            <v:imagedata r:id="rId35" o:title=""/>
            <o:lock v:ext="edit" aspectratio="t"/>
            <w10:wrap type="none"/>
            <w10:anchorlock/>
          </v:shape>
          <o:OLEObject Type="Embed" ProgID="Equation.KSEE3" ShapeID="_x0000_i1034" DrawAspect="Content" ObjectID="_1468075734" r:id="rId34">
            <o:LockedField>false</o:LockedField>
          </o:OLEObject>
        </w:object>
      </w:r>
      <w:r>
        <w:rPr>
          <w:rFonts w:hint="eastAsia"/>
          <w:sz w:val="24"/>
          <w:u w:val="none"/>
          <w:lang w:val="en-US" w:eastAsia="zh-CN"/>
        </w:rPr>
        <w:t>——叠加后总声压级，dB（A）；</w:t>
      </w:r>
    </w:p>
    <w:p>
      <w:pPr>
        <w:spacing w:line="360" w:lineRule="auto"/>
        <w:ind w:firstLine="480" w:firstLineChars="200"/>
        <w:jc w:val="left"/>
        <w:rPr>
          <w:rFonts w:hint="default"/>
          <w:sz w:val="24"/>
          <w:u w:val="none"/>
          <w:lang w:val="en-US" w:eastAsia="zh-CN"/>
        </w:rPr>
      </w:pPr>
      <w:r>
        <w:rPr>
          <w:rFonts w:hint="eastAsia"/>
          <w:sz w:val="24"/>
          <w:u w:val="none"/>
          <w:lang w:val="en-US" w:eastAsia="zh-CN"/>
        </w:rPr>
        <w:t xml:space="preserve">      </w:t>
      </w:r>
      <w:r>
        <w:rPr>
          <w:rFonts w:hint="eastAsia"/>
          <w:position w:val="-6"/>
          <w:sz w:val="24"/>
          <w:u w:val="none"/>
          <w:lang w:val="en-US" w:eastAsia="zh-CN"/>
        </w:rPr>
        <w:object>
          <v:shape id="_x0000_i1035" o:spt="75" type="#_x0000_t75" style="height:13.95pt;width:15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5" r:id="rId36">
            <o:LockedField>false</o:LockedField>
          </o:OLEObject>
        </w:object>
      </w:r>
      <w:r>
        <w:rPr>
          <w:rFonts w:hint="eastAsia"/>
          <w:sz w:val="24"/>
          <w:u w:val="none"/>
          <w:lang w:val="en-US" w:eastAsia="zh-CN"/>
        </w:rPr>
        <w:t>——各声源的噪声值，dB（A）。</w:t>
      </w:r>
    </w:p>
    <w:p>
      <w:pPr>
        <w:spacing w:line="360" w:lineRule="auto"/>
        <w:ind w:firstLine="480" w:firstLineChars="200"/>
        <w:jc w:val="left"/>
        <w:rPr>
          <w:rFonts w:hint="eastAsia"/>
          <w:sz w:val="24"/>
          <w:u w:val="none"/>
          <w:lang w:val="en-US" w:eastAsia="zh-CN"/>
        </w:rPr>
      </w:pPr>
      <w:r>
        <w:rPr>
          <w:rFonts w:hint="eastAsia"/>
          <w:sz w:val="24"/>
          <w:u w:val="none"/>
          <w:lang w:val="en-US" w:eastAsia="zh-CN"/>
        </w:rPr>
        <w:t>2、噪声随距离衰减模式</w:t>
      </w:r>
    </w:p>
    <w:p>
      <w:pPr>
        <w:spacing w:line="360" w:lineRule="auto"/>
        <w:ind w:firstLine="480" w:firstLineChars="200"/>
        <w:jc w:val="left"/>
        <w:rPr>
          <w:sz w:val="24"/>
          <w:u w:val="none"/>
        </w:rPr>
      </w:pPr>
      <w:r>
        <w:rPr>
          <w:sz w:val="24"/>
          <w:u w:val="none"/>
        </w:rPr>
        <w:t>本次声环境影响预测分析采取距离衰减预测模式：</w:t>
      </w:r>
    </w:p>
    <w:p>
      <w:pPr>
        <w:spacing w:line="360" w:lineRule="auto"/>
        <w:jc w:val="center"/>
        <w:rPr>
          <w:sz w:val="24"/>
          <w:u w:val="none"/>
        </w:rPr>
      </w:pPr>
      <w:r>
        <w:rPr>
          <w:position w:val="-30"/>
          <w:sz w:val="24"/>
          <w:u w:val="none"/>
        </w:rPr>
        <w:object>
          <v:shape id="_x0000_i1036" o:spt="75" type="#_x0000_t75" style="height:33.75pt;width:132.7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p>
    <w:p>
      <w:pPr>
        <w:spacing w:line="360" w:lineRule="auto"/>
        <w:ind w:firstLine="480" w:firstLineChars="200"/>
        <w:jc w:val="left"/>
        <w:rPr>
          <w:sz w:val="24"/>
          <w:u w:val="none"/>
        </w:rPr>
      </w:pPr>
      <w:r>
        <w:rPr>
          <w:sz w:val="24"/>
          <w:u w:val="none"/>
        </w:rPr>
        <w:t>式中：</w:t>
      </w:r>
      <w:r>
        <w:rPr>
          <w:position w:val="-10"/>
          <w:sz w:val="24"/>
          <w:u w:val="none"/>
        </w:rPr>
        <w:object>
          <v:shape id="_x0000_i1037" o:spt="75" type="#_x0000_t75" style="height:17.25pt;width:30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sz w:val="24"/>
          <w:u w:val="none"/>
        </w:rPr>
        <w:t>——距声源r处的A声级；</w:t>
      </w:r>
    </w:p>
    <w:p>
      <w:pPr>
        <w:spacing w:line="360" w:lineRule="auto"/>
        <w:ind w:firstLine="1200" w:firstLineChars="500"/>
        <w:rPr>
          <w:sz w:val="24"/>
          <w:u w:val="none"/>
        </w:rPr>
      </w:pPr>
      <w:r>
        <w:rPr>
          <w:position w:val="-14"/>
          <w:sz w:val="24"/>
          <w:u w:val="none"/>
        </w:rPr>
        <w:object>
          <v:shape id="_x0000_i1038" o:spt="75" type="#_x0000_t75" style="height:18.75pt;width:42.7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sz w:val="24"/>
          <w:u w:val="none"/>
        </w:rPr>
        <w:t>——参考位置</w:t>
      </w:r>
      <w:r>
        <w:rPr>
          <w:position w:val="-12"/>
          <w:sz w:val="24"/>
          <w:u w:val="none"/>
        </w:rPr>
        <w:object>
          <v:shape id="_x0000_i1039" o:spt="75" type="#_x0000_t75" style="height:17.25pt;width:11.25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sz w:val="24"/>
          <w:u w:val="none"/>
        </w:rPr>
        <w:t>处的A声级；</w:t>
      </w:r>
    </w:p>
    <w:p>
      <w:pPr>
        <w:spacing w:line="360" w:lineRule="auto"/>
        <w:ind w:firstLine="1200" w:firstLineChars="500"/>
        <w:rPr>
          <w:sz w:val="24"/>
          <w:u w:val="none"/>
        </w:rPr>
      </w:pPr>
      <w:r>
        <w:rPr>
          <w:position w:val="-4"/>
          <w:sz w:val="24"/>
          <w:u w:val="none"/>
        </w:rPr>
        <w:object>
          <v:shape id="_x0000_i1040" o:spt="75" type="#_x0000_t75" style="height:10.5pt;width:9.75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sz w:val="24"/>
          <w:u w:val="none"/>
        </w:rPr>
        <w:t>——受声点到声源的距离；</w:t>
      </w:r>
    </w:p>
    <w:p>
      <w:pPr>
        <w:spacing w:line="360" w:lineRule="auto"/>
        <w:ind w:firstLine="1200" w:firstLineChars="500"/>
        <w:rPr>
          <w:sz w:val="24"/>
          <w:u w:val="none"/>
        </w:rPr>
      </w:pPr>
      <w:r>
        <w:rPr>
          <w:position w:val="-12"/>
          <w:sz w:val="24"/>
          <w:u w:val="none"/>
        </w:rPr>
        <w:object>
          <v:shape id="_x0000_i1041" o:spt="75" type="#_x0000_t75" style="height:17.25pt;width:11.2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sz w:val="24"/>
          <w:u w:val="none"/>
        </w:rPr>
        <w:t>——参考点到声源的距离。</w:t>
      </w:r>
    </w:p>
    <w:p>
      <w:pPr>
        <w:spacing w:line="360" w:lineRule="auto"/>
        <w:ind w:firstLine="480" w:firstLineChars="200"/>
        <w:jc w:val="left"/>
        <w:rPr>
          <w:rFonts w:hint="default"/>
          <w:sz w:val="24"/>
          <w:u w:val="none"/>
          <w:lang w:val="en-US" w:eastAsia="zh-CN"/>
        </w:rPr>
      </w:pPr>
      <w:r>
        <w:rPr>
          <w:rFonts w:hint="eastAsia"/>
          <w:sz w:val="24"/>
          <w:u w:val="none"/>
          <w:lang w:val="en-US" w:eastAsia="zh-CN"/>
        </w:rPr>
        <w:t>2、影响预测结果</w:t>
      </w:r>
    </w:p>
    <w:p>
      <w:pPr>
        <w:spacing w:line="360" w:lineRule="auto"/>
        <w:ind w:firstLine="480" w:firstLineChars="200"/>
        <w:jc w:val="left"/>
        <w:rPr>
          <w:sz w:val="24"/>
          <w:u w:val="none"/>
        </w:rPr>
      </w:pPr>
      <w:r>
        <w:rPr>
          <w:rFonts w:hint="eastAsia"/>
          <w:sz w:val="24"/>
          <w:u w:val="none"/>
          <w:lang w:eastAsia="zh-CN"/>
        </w:rPr>
        <w:t>根据前述模式，计算噪声距离的衰减量详见下表</w:t>
      </w:r>
      <w:r>
        <w:rPr>
          <w:sz w:val="24"/>
          <w:u w:val="none"/>
        </w:rPr>
        <w:t>。</w:t>
      </w:r>
    </w:p>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b/>
          <w:bCs/>
          <w:sz w:val="21"/>
          <w:szCs w:val="21"/>
          <w:u w:val="none"/>
          <w:lang w:val="en-US" w:eastAsia="zh-CN"/>
        </w:rPr>
      </w:pPr>
      <w:r>
        <w:rPr>
          <w:rFonts w:hint="eastAsia" w:ascii="宋体" w:hAnsi="宋体" w:cs="宋体"/>
          <w:b/>
          <w:bCs/>
          <w:sz w:val="21"/>
          <w:szCs w:val="21"/>
          <w:u w:val="none"/>
          <w:lang w:val="en-US" w:eastAsia="zh-CN"/>
        </w:rPr>
        <w:t>表7-1  施工期噪声衰减预测               单位：dB（A）</w:t>
      </w:r>
    </w:p>
    <w:tbl>
      <w:tblPr>
        <w:tblStyle w:val="59"/>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721"/>
        <w:gridCol w:w="721"/>
        <w:gridCol w:w="732"/>
        <w:gridCol w:w="743"/>
        <w:gridCol w:w="742"/>
        <w:gridCol w:w="743"/>
        <w:gridCol w:w="743"/>
        <w:gridCol w:w="743"/>
        <w:gridCol w:w="742"/>
        <w:gridCol w:w="743"/>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36" w:type="dxa"/>
            <w:vAlign w:val="center"/>
          </w:tcPr>
          <w:p>
            <w:pPr>
              <w:pStyle w:val="352"/>
              <w:keepNext w:val="0"/>
              <w:keepLines w:val="0"/>
              <w:suppressLineNumbers w:val="0"/>
              <w:spacing w:before="0" w:beforeAutospacing="0" w:after="0" w:afterAutospacing="0"/>
              <w:ind w:left="0" w:right="0"/>
              <w:rPr>
                <w:rFonts w:hint="eastAsia" w:eastAsia="宋体"/>
                <w:b/>
                <w:bCs w:val="0"/>
                <w:u w:val="none"/>
                <w:lang w:eastAsia="zh-CN"/>
              </w:rPr>
            </w:pPr>
            <w:r>
              <w:rPr>
                <w:rFonts w:hint="eastAsia"/>
                <w:b/>
                <w:bCs w:val="0"/>
                <w:u w:val="none"/>
                <w:lang w:eastAsia="zh-CN"/>
              </w:rPr>
              <w:t>距离（</w:t>
            </w:r>
            <w:r>
              <w:rPr>
                <w:rFonts w:hint="eastAsia"/>
                <w:b/>
                <w:bCs w:val="0"/>
                <w:u w:val="none"/>
                <w:lang w:val="en-US" w:eastAsia="zh-CN"/>
              </w:rPr>
              <w:t>m</w:t>
            </w:r>
            <w:r>
              <w:rPr>
                <w:rFonts w:hint="eastAsia"/>
                <w:b/>
                <w:bCs w:val="0"/>
                <w:u w:val="none"/>
                <w:lang w:eastAsia="zh-CN"/>
              </w:rPr>
              <w:t>）</w:t>
            </w:r>
          </w:p>
        </w:tc>
        <w:tc>
          <w:tcPr>
            <w:tcW w:w="721" w:type="dxa"/>
            <w:vAlign w:val="center"/>
          </w:tcPr>
          <w:p>
            <w:pPr>
              <w:pStyle w:val="352"/>
              <w:keepNext w:val="0"/>
              <w:keepLines w:val="0"/>
              <w:suppressLineNumbers w:val="0"/>
              <w:spacing w:before="0" w:beforeAutospacing="0" w:after="0" w:afterAutospacing="0"/>
              <w:ind w:left="0" w:right="0"/>
              <w:rPr>
                <w:rFonts w:hint="eastAsia" w:eastAsia="宋体"/>
                <w:b/>
                <w:bCs w:val="0"/>
                <w:u w:val="none"/>
                <w:lang w:eastAsia="zh-CN"/>
              </w:rPr>
            </w:pPr>
            <w:r>
              <w:rPr>
                <w:rFonts w:hint="eastAsia"/>
                <w:b/>
                <w:bCs w:val="0"/>
                <w:u w:val="none"/>
                <w:lang w:val="en-US" w:eastAsia="zh-CN"/>
              </w:rPr>
              <w:t>1</w:t>
            </w:r>
          </w:p>
        </w:tc>
        <w:tc>
          <w:tcPr>
            <w:tcW w:w="721" w:type="dxa"/>
            <w:vAlign w:val="center"/>
          </w:tcPr>
          <w:p>
            <w:pPr>
              <w:pStyle w:val="352"/>
              <w:keepNext w:val="0"/>
              <w:keepLines w:val="0"/>
              <w:suppressLineNumbers w:val="0"/>
              <w:spacing w:before="0" w:beforeAutospacing="0" w:after="0" w:afterAutospacing="0"/>
              <w:ind w:left="0" w:right="0"/>
              <w:rPr>
                <w:rFonts w:hint="default"/>
                <w:b/>
                <w:bCs w:val="0"/>
                <w:u w:val="none"/>
                <w:lang w:val="en-US" w:eastAsia="zh-CN"/>
              </w:rPr>
            </w:pPr>
            <w:r>
              <w:rPr>
                <w:rFonts w:hint="eastAsia"/>
                <w:b/>
                <w:bCs w:val="0"/>
                <w:u w:val="none"/>
                <w:lang w:val="en-US" w:eastAsia="zh-CN"/>
              </w:rPr>
              <w:t>10</w:t>
            </w:r>
          </w:p>
        </w:tc>
        <w:tc>
          <w:tcPr>
            <w:tcW w:w="732"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30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40</w:t>
            </w:r>
          </w:p>
        </w:tc>
        <w:tc>
          <w:tcPr>
            <w:tcW w:w="742"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50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60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70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80</w:t>
            </w:r>
          </w:p>
        </w:tc>
        <w:tc>
          <w:tcPr>
            <w:tcW w:w="742"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90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bCs w:val="0"/>
                <w:u w:val="none"/>
                <w:lang w:val="en-US" w:eastAsia="zh-CN"/>
              </w:rPr>
            </w:pPr>
            <w:r>
              <w:rPr>
                <w:rFonts w:hint="eastAsia"/>
                <w:b/>
                <w:bCs w:val="0"/>
                <w:u w:val="none"/>
                <w:lang w:val="en-US" w:eastAsia="zh-CN"/>
              </w:rPr>
              <w:t>100</w:t>
            </w:r>
          </w:p>
        </w:tc>
        <w:tc>
          <w:tcPr>
            <w:tcW w:w="725" w:type="dxa"/>
            <w:vAlign w:val="center"/>
          </w:tcPr>
          <w:p>
            <w:pPr>
              <w:pStyle w:val="352"/>
              <w:keepNext w:val="0"/>
              <w:keepLines w:val="0"/>
              <w:suppressLineNumbers w:val="0"/>
              <w:spacing w:before="0" w:beforeAutospacing="0" w:after="0" w:afterAutospacing="0"/>
              <w:ind w:left="0" w:right="0"/>
              <w:rPr>
                <w:rFonts w:hint="default"/>
                <w:b/>
                <w:bCs w:val="0"/>
                <w:u w:val="none"/>
                <w:lang w:val="en-US" w:eastAsia="zh-CN"/>
              </w:rPr>
            </w:pPr>
            <w:r>
              <w:rPr>
                <w:rFonts w:hint="eastAsia"/>
                <w:b/>
                <w:bCs w:val="0"/>
                <w:u w:val="no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36"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position w:val="-10"/>
                <w:sz w:val="21"/>
                <w:szCs w:val="21"/>
                <w:u w:val="none"/>
                <w:lang w:eastAsia="zh-CN"/>
              </w:rPr>
              <w:t>衰减量</w:t>
            </w:r>
          </w:p>
        </w:tc>
        <w:tc>
          <w:tcPr>
            <w:tcW w:w="721"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0</w:t>
            </w:r>
          </w:p>
        </w:tc>
        <w:tc>
          <w:tcPr>
            <w:tcW w:w="721"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20</w:t>
            </w:r>
          </w:p>
        </w:tc>
        <w:tc>
          <w:tcPr>
            <w:tcW w:w="732"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30</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32</w:t>
            </w:r>
          </w:p>
        </w:tc>
        <w:tc>
          <w:tcPr>
            <w:tcW w:w="742"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34</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35</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36</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38</w:t>
            </w:r>
          </w:p>
        </w:tc>
        <w:tc>
          <w:tcPr>
            <w:tcW w:w="742"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39</w:t>
            </w:r>
          </w:p>
        </w:tc>
        <w:tc>
          <w:tcPr>
            <w:tcW w:w="74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40</w:t>
            </w:r>
          </w:p>
        </w:tc>
        <w:tc>
          <w:tcPr>
            <w:tcW w:w="725"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43</w:t>
            </w:r>
          </w:p>
        </w:tc>
      </w:tr>
    </w:tbl>
    <w:p>
      <w:pPr>
        <w:spacing w:line="360" w:lineRule="auto"/>
        <w:ind w:firstLine="480" w:firstLineChars="200"/>
        <w:jc w:val="left"/>
        <w:rPr>
          <w:rFonts w:hint="default"/>
          <w:sz w:val="24"/>
          <w:u w:val="none"/>
          <w:lang w:val="en-US" w:eastAsia="zh-CN"/>
        </w:rPr>
      </w:pPr>
      <w:r>
        <w:rPr>
          <w:rFonts w:hint="eastAsia"/>
          <w:sz w:val="24"/>
          <w:u w:val="none"/>
          <w:lang w:eastAsia="zh-CN"/>
        </w:rPr>
        <w:t>根据前述分析，施工期噪声源强度在</w:t>
      </w:r>
      <w:r>
        <w:rPr>
          <w:rFonts w:hint="eastAsia"/>
          <w:sz w:val="24"/>
          <w:u w:val="none"/>
          <w:lang w:val="en-US" w:eastAsia="zh-CN"/>
        </w:rPr>
        <w:t>75~95dB（A），从上表衰减量可知，昼、夜间噪声值可达到《建筑施工场界环境噪声排放标准》（GB12523-2011）标准限值。</w:t>
      </w:r>
    </w:p>
    <w:p>
      <w:pPr>
        <w:spacing w:line="360" w:lineRule="auto"/>
        <w:ind w:firstLine="480" w:firstLineChars="200"/>
        <w:jc w:val="left"/>
        <w:rPr>
          <w:sz w:val="24"/>
          <w:u w:val="none"/>
        </w:rPr>
      </w:pPr>
      <w:r>
        <w:rPr>
          <w:sz w:val="24"/>
          <w:u w:val="none"/>
        </w:rPr>
        <w:t>二、噪声控制措施</w:t>
      </w:r>
    </w:p>
    <w:p>
      <w:pPr>
        <w:spacing w:line="360" w:lineRule="auto"/>
        <w:ind w:firstLine="480" w:firstLineChars="200"/>
        <w:jc w:val="left"/>
        <w:rPr>
          <w:sz w:val="24"/>
          <w:u w:val="none"/>
        </w:rPr>
      </w:pPr>
      <w:r>
        <w:rPr>
          <w:sz w:val="24"/>
          <w:u w:val="none"/>
        </w:rPr>
        <w:t>为减轻施工期噪声对环境的影响，建设单位应采取以下措施：</w:t>
      </w:r>
    </w:p>
    <w:p>
      <w:pPr>
        <w:spacing w:line="360" w:lineRule="auto"/>
        <w:ind w:firstLine="480" w:firstLineChars="200"/>
        <w:jc w:val="left"/>
        <w:rPr>
          <w:sz w:val="24"/>
          <w:u w:val="none"/>
        </w:rPr>
      </w:pPr>
      <w:r>
        <w:rPr>
          <w:sz w:val="24"/>
          <w:u w:val="none"/>
        </w:rPr>
        <w:t>（1）采用低噪声设备，加强设备的维护与管理。</w:t>
      </w:r>
    </w:p>
    <w:p>
      <w:pPr>
        <w:spacing w:line="360" w:lineRule="auto"/>
        <w:ind w:firstLine="480" w:firstLineChars="200"/>
        <w:jc w:val="left"/>
        <w:rPr>
          <w:sz w:val="24"/>
          <w:u w:val="none"/>
        </w:rPr>
      </w:pPr>
      <w:r>
        <w:rPr>
          <w:sz w:val="24"/>
          <w:u w:val="none"/>
        </w:rPr>
        <w:t>（2）可固定的机械设备如空压机、电锯等安置在施工场地临时房间内，降低噪声对外环境的影响。</w:t>
      </w:r>
    </w:p>
    <w:p>
      <w:pPr>
        <w:spacing w:line="360" w:lineRule="auto"/>
        <w:ind w:firstLine="480" w:firstLineChars="200"/>
        <w:jc w:val="left"/>
        <w:rPr>
          <w:sz w:val="24"/>
          <w:u w:val="none"/>
        </w:rPr>
      </w:pPr>
      <w:r>
        <w:rPr>
          <w:sz w:val="24"/>
          <w:u w:val="none"/>
        </w:rPr>
        <w:t>（3）增加消声减噪的装置，如在某些施工机械上安装消声罩，对振捣棒等强噪声源周围适当封闭等。</w:t>
      </w:r>
    </w:p>
    <w:p>
      <w:pPr>
        <w:spacing w:line="360" w:lineRule="auto"/>
        <w:ind w:firstLine="480" w:firstLineChars="200"/>
        <w:jc w:val="left"/>
        <w:rPr>
          <w:sz w:val="24"/>
          <w:u w:val="none"/>
        </w:rPr>
      </w:pPr>
      <w:r>
        <w:rPr>
          <w:sz w:val="24"/>
          <w:u w:val="none"/>
        </w:rPr>
        <w:t>（4）加强对施工人员的监督和挂你，促进其环保意识的增强，减少不必要的人为噪声。如对施工用框架模板要轻拿轻放，不得随意乱甩，夜间禁止喧哗。</w:t>
      </w:r>
    </w:p>
    <w:p>
      <w:pPr>
        <w:spacing w:line="360" w:lineRule="auto"/>
        <w:ind w:firstLine="480" w:firstLineChars="200"/>
        <w:jc w:val="left"/>
        <w:rPr>
          <w:sz w:val="24"/>
          <w:u w:val="none"/>
        </w:rPr>
      </w:pPr>
      <w:r>
        <w:rPr>
          <w:sz w:val="24"/>
          <w:u w:val="none"/>
        </w:rPr>
        <w:t>（5）施工单位必须在工程开工前十五日向当地环境保护行政主管部门申报，申报内容包括工程名称、施工场所和期限、可能产生的环境噪声值以及所采取的环境噪声污染防治措施情况。</w:t>
      </w:r>
    </w:p>
    <w:p>
      <w:pPr>
        <w:spacing w:line="360" w:lineRule="auto"/>
        <w:ind w:firstLine="480" w:firstLineChars="200"/>
        <w:jc w:val="left"/>
        <w:rPr>
          <w:sz w:val="24"/>
          <w:u w:val="none"/>
        </w:rPr>
      </w:pPr>
      <w:r>
        <w:rPr>
          <w:sz w:val="24"/>
          <w:u w:val="none"/>
        </w:rPr>
        <w:t>（6）除抢修、抢险作业外，不得再夜间进行产生噪声污染的施工作业。确需夜间施工作业的，必须提前3日向当地环境保护行政主管部门提出申请，经审核批准后，方可施工，并由施工单位公告当地居民。</w:t>
      </w:r>
    </w:p>
    <w:p>
      <w:pPr>
        <w:spacing w:line="360" w:lineRule="auto"/>
        <w:ind w:firstLine="480" w:firstLineChars="200"/>
        <w:jc w:val="left"/>
        <w:rPr>
          <w:sz w:val="24"/>
          <w:u w:val="none"/>
        </w:rPr>
      </w:pPr>
      <w:r>
        <w:rPr>
          <w:sz w:val="24"/>
          <w:u w:val="none"/>
        </w:rPr>
        <w:t>综上所述，评价认为在采取上述噪声治理措施后，建设项目施工期间对周围声环境影响较小。</w:t>
      </w:r>
    </w:p>
    <w:p>
      <w:pPr>
        <w:pStyle w:val="3"/>
        <w:rPr>
          <w:rFonts w:ascii="Times New Roman" w:hAnsi="Times New Roman"/>
          <w:sz w:val="28"/>
          <w:szCs w:val="28"/>
          <w:u w:val="none"/>
        </w:rPr>
      </w:pPr>
      <w:bookmarkStart w:id="68" w:name="_Toc27206"/>
      <w:r>
        <w:rPr>
          <w:rFonts w:hint="eastAsia" w:ascii="Times New Roman" w:hAnsi="Times New Roman"/>
          <w:sz w:val="28"/>
          <w:szCs w:val="28"/>
          <w:u w:val="none"/>
          <w:lang w:val="en-US" w:eastAsia="zh-CN"/>
        </w:rPr>
        <w:t>7</w:t>
      </w:r>
      <w:r>
        <w:rPr>
          <w:rFonts w:ascii="Times New Roman" w:hAnsi="Times New Roman"/>
          <w:sz w:val="28"/>
          <w:szCs w:val="28"/>
          <w:u w:val="none"/>
        </w:rPr>
        <w:t>.4施工扬尘对环境的影响分析</w:t>
      </w:r>
      <w:bookmarkEnd w:id="68"/>
    </w:p>
    <w:p>
      <w:pPr>
        <w:spacing w:line="360" w:lineRule="auto"/>
        <w:ind w:firstLine="480" w:firstLineChars="200"/>
        <w:jc w:val="left"/>
        <w:rPr>
          <w:sz w:val="24"/>
          <w:u w:val="none"/>
        </w:rPr>
      </w:pPr>
      <w:r>
        <w:rPr>
          <w:sz w:val="24"/>
          <w:u w:val="none"/>
        </w:rPr>
        <w:t>建设施工期间的主要大气污染因子是扬尘，根据调查，施工过程中，扬尘污染主要表现在四个方面：</w:t>
      </w:r>
    </w:p>
    <w:p>
      <w:pPr>
        <w:spacing w:line="360" w:lineRule="auto"/>
        <w:ind w:firstLine="480" w:firstLineChars="200"/>
        <w:jc w:val="left"/>
        <w:rPr>
          <w:sz w:val="24"/>
          <w:u w:val="none"/>
        </w:rPr>
      </w:pPr>
      <w:r>
        <w:rPr>
          <w:sz w:val="24"/>
          <w:u w:val="none"/>
        </w:rPr>
        <w:t>（1）建筑工程四周不围或围挡不完全，围挡隔尘效果差；</w:t>
      </w:r>
    </w:p>
    <w:p>
      <w:pPr>
        <w:spacing w:line="360" w:lineRule="auto"/>
        <w:ind w:firstLine="480" w:firstLineChars="200"/>
        <w:jc w:val="left"/>
        <w:rPr>
          <w:sz w:val="24"/>
          <w:u w:val="none"/>
        </w:rPr>
      </w:pPr>
      <w:r>
        <w:rPr>
          <w:sz w:val="24"/>
          <w:u w:val="none"/>
        </w:rPr>
        <w:t>（2）清理建筑垃圾时建成措施不力；</w:t>
      </w:r>
    </w:p>
    <w:p>
      <w:pPr>
        <w:spacing w:line="360" w:lineRule="auto"/>
        <w:ind w:firstLine="480" w:firstLineChars="200"/>
        <w:jc w:val="left"/>
        <w:rPr>
          <w:sz w:val="24"/>
          <w:u w:val="none"/>
        </w:rPr>
      </w:pPr>
      <w:r>
        <w:rPr>
          <w:sz w:val="24"/>
          <w:u w:val="none"/>
        </w:rPr>
        <w:t>（3）建筑垃圾及材料运输车辆不加覆盖或密封，施工或运输过程中风吹或沿途撒漏，或经车辆碾压产生扬尘；据有关文献资料介绍，施工工地的扬尘主要是运输车辆的行驶产生的，约占扬尘总量的60%，但这与道路状况有很大关系。扬尘粒径都在3~80μm，大多为球形，比重在1.3~2.0之间。扬尘由于大小、比重不同，在大气中的停留时间和空间分布也不同。扬尘在受重力、浮力和气流运动的作用，可以发生沉降、上升和扩散，因此在施工场地时常可以看到尘土飞扬的现象。在自然风作用下，道路产生的扬尘一般影响范围在100m以内。</w:t>
      </w:r>
    </w:p>
    <w:p>
      <w:pPr>
        <w:spacing w:line="360" w:lineRule="auto"/>
        <w:ind w:firstLine="480" w:firstLineChars="200"/>
        <w:jc w:val="left"/>
        <w:rPr>
          <w:sz w:val="24"/>
          <w:u w:val="none"/>
        </w:rPr>
      </w:pPr>
      <w:r>
        <w:rPr>
          <w:sz w:val="24"/>
          <w:u w:val="none"/>
        </w:rPr>
        <w:t>（4）</w:t>
      </w:r>
      <w:r>
        <w:rPr>
          <w:color w:val="000000"/>
          <w:sz w:val="24"/>
          <w:u w:val="none"/>
        </w:rPr>
        <w:t>工地上露天堆放的材料、渣堆、土堆等无防尘措施，随风造成扬尘污染。</w:t>
      </w:r>
    </w:p>
    <w:p>
      <w:pPr>
        <w:spacing w:line="360" w:lineRule="auto"/>
        <w:ind w:firstLine="482" w:firstLineChars="200"/>
        <w:jc w:val="left"/>
        <w:rPr>
          <w:b/>
          <w:bCs/>
          <w:sz w:val="24"/>
          <w:u w:val="none"/>
        </w:rPr>
      </w:pPr>
      <w:r>
        <w:rPr>
          <w:b/>
          <w:bCs/>
          <w:sz w:val="24"/>
          <w:u w:val="none"/>
        </w:rPr>
        <w:t>为防止和减少施工期间因上述原因造成的废气和扬尘污染，环评要求：</w:t>
      </w:r>
    </w:p>
    <w:p>
      <w:pPr>
        <w:spacing w:line="360" w:lineRule="auto"/>
        <w:ind w:firstLine="480" w:firstLineChars="200"/>
        <w:jc w:val="left"/>
        <w:rPr>
          <w:sz w:val="24"/>
          <w:u w:val="none"/>
        </w:rPr>
      </w:pPr>
      <w:r>
        <w:rPr>
          <w:color w:val="000000"/>
          <w:sz w:val="24"/>
          <w:u w:val="none"/>
        </w:rPr>
        <w:t>在施工过程中，施工单位必须严格按照《四川省人民政府办公厅关于加强灰霾污染防治的通知》（川办发【</w:t>
      </w:r>
      <w:r>
        <w:rPr>
          <w:rFonts w:eastAsia="TimesNewRomanPSMT"/>
          <w:color w:val="000000"/>
          <w:sz w:val="24"/>
          <w:u w:val="none"/>
        </w:rPr>
        <w:t>2013</w:t>
      </w:r>
      <w:r>
        <w:rPr>
          <w:color w:val="000000"/>
          <w:sz w:val="24"/>
          <w:u w:val="none"/>
        </w:rPr>
        <w:t>】</w:t>
      </w:r>
      <w:r>
        <w:rPr>
          <w:rFonts w:eastAsia="TimesNewRomanPSMT"/>
          <w:color w:val="000000"/>
          <w:sz w:val="24"/>
          <w:u w:val="none"/>
        </w:rPr>
        <w:t>32</w:t>
      </w:r>
      <w:r>
        <w:rPr>
          <w:color w:val="000000"/>
          <w:sz w:val="24"/>
          <w:u w:val="none"/>
        </w:rPr>
        <w:t>号）、《四川省大气污染防治行动计划实施细则》（川府发【</w:t>
      </w:r>
      <w:r>
        <w:rPr>
          <w:rFonts w:eastAsia="TimesNewRomanPSMT"/>
          <w:color w:val="000000"/>
          <w:sz w:val="24"/>
          <w:u w:val="none"/>
        </w:rPr>
        <w:t>2014</w:t>
      </w:r>
      <w:r>
        <w:rPr>
          <w:color w:val="000000"/>
          <w:sz w:val="24"/>
          <w:u w:val="none"/>
        </w:rPr>
        <w:t>】</w:t>
      </w:r>
      <w:r>
        <w:rPr>
          <w:rFonts w:eastAsia="TimesNewRomanPSMT"/>
          <w:color w:val="000000"/>
          <w:sz w:val="24"/>
          <w:u w:val="none"/>
        </w:rPr>
        <w:t>4</w:t>
      </w:r>
      <w:r>
        <w:rPr>
          <w:color w:val="000000"/>
          <w:sz w:val="24"/>
          <w:u w:val="none"/>
        </w:rPr>
        <w:t>号）及《四川省灰霾污染防治实施方案》的要求，严格落实环评在工程分析中提出的有关措施，如：在风速大于四级时应停止挖、填方等工程作业；在连续晴天又起风的情况下，对弃土表面洒水；对临时堆放的泥土、易引起尘土的露天堆放的原材料应采取覆盖措施，并且对工地的运输车辆清洗车轮；使用商品混凝土，不在现场进行混凝土搅拌。此外，施工工地应做到减少裸露地面，防止运输撒落物料、及时清理工地、维护四周环境卫生等。</w:t>
      </w:r>
    </w:p>
    <w:p>
      <w:pPr>
        <w:spacing w:line="360" w:lineRule="auto"/>
        <w:ind w:firstLine="480" w:firstLineChars="200"/>
        <w:jc w:val="left"/>
        <w:rPr>
          <w:sz w:val="24"/>
          <w:u w:val="none"/>
        </w:rPr>
      </w:pPr>
      <w:r>
        <w:rPr>
          <w:color w:val="000000"/>
          <w:sz w:val="24"/>
          <w:u w:val="none"/>
        </w:rPr>
        <w:t>施工期只要严格遵守各项规定的要求，并落实环评提出的有关防尘措施，则施工期间可以避免施工扬尘对周边大气环境质量造成污染影响。</w:t>
      </w:r>
    </w:p>
    <w:p>
      <w:pPr>
        <w:pStyle w:val="3"/>
        <w:rPr>
          <w:rFonts w:ascii="Times New Roman" w:hAnsi="Times New Roman"/>
          <w:sz w:val="28"/>
          <w:szCs w:val="28"/>
          <w:u w:val="none"/>
        </w:rPr>
      </w:pPr>
      <w:bookmarkStart w:id="69" w:name="_Toc26736"/>
      <w:r>
        <w:rPr>
          <w:rFonts w:hint="eastAsia" w:ascii="Times New Roman" w:hAnsi="Times New Roman"/>
          <w:sz w:val="28"/>
          <w:szCs w:val="28"/>
          <w:u w:val="none"/>
          <w:lang w:val="en-US" w:eastAsia="zh-CN"/>
        </w:rPr>
        <w:t>7</w:t>
      </w:r>
      <w:r>
        <w:rPr>
          <w:rFonts w:ascii="Times New Roman" w:hAnsi="Times New Roman"/>
          <w:sz w:val="28"/>
          <w:szCs w:val="28"/>
          <w:u w:val="none"/>
        </w:rPr>
        <w:t>.5施工期固废对环境的影响</w:t>
      </w:r>
      <w:bookmarkEnd w:id="69"/>
    </w:p>
    <w:p>
      <w:pPr>
        <w:spacing w:line="360" w:lineRule="auto"/>
        <w:ind w:firstLine="480" w:firstLineChars="200"/>
        <w:jc w:val="left"/>
        <w:rPr>
          <w:color w:val="000000"/>
          <w:sz w:val="24"/>
          <w:u w:val="none"/>
        </w:rPr>
      </w:pPr>
      <w:r>
        <w:rPr>
          <w:rFonts w:hint="eastAsia"/>
          <w:color w:val="000000"/>
          <w:sz w:val="24"/>
          <w:u w:val="none"/>
          <w:lang w:eastAsia="zh-CN"/>
        </w:rPr>
        <w:t>项目施工期固废主要有生活垃圾、建筑垃圾和弃土石方等</w:t>
      </w:r>
      <w:r>
        <w:rPr>
          <w:color w:val="000000"/>
          <w:sz w:val="24"/>
          <w:u w:val="none"/>
        </w:rPr>
        <w:t>。</w:t>
      </w:r>
    </w:p>
    <w:p>
      <w:pPr>
        <w:topLinePunct/>
        <w:spacing w:line="360" w:lineRule="auto"/>
        <w:rPr>
          <w:rFonts w:hint="eastAsia"/>
          <w:b w:val="0"/>
          <w:bCs/>
          <w:sz w:val="24"/>
          <w:u w:val="none"/>
          <w:lang w:val="en-US" w:eastAsia="zh-CN"/>
        </w:rPr>
      </w:pPr>
      <w:r>
        <w:rPr>
          <w:rFonts w:hint="eastAsia"/>
          <w:b w:val="0"/>
          <w:bCs/>
          <w:sz w:val="24"/>
          <w:u w:val="none"/>
          <w:lang w:val="en-US" w:eastAsia="zh-CN"/>
        </w:rPr>
        <w:t>1、生活垃圾</w:t>
      </w:r>
    </w:p>
    <w:p>
      <w:pPr>
        <w:topLinePunct/>
        <w:spacing w:line="360" w:lineRule="auto"/>
        <w:rPr>
          <w:rFonts w:hint="eastAsia"/>
          <w:b w:val="0"/>
          <w:bCs/>
          <w:sz w:val="24"/>
          <w:u w:val="none"/>
          <w:lang w:val="en-US" w:eastAsia="zh-CN"/>
        </w:rPr>
      </w:pPr>
      <w:r>
        <w:rPr>
          <w:rFonts w:hint="eastAsia"/>
          <w:b w:val="0"/>
          <w:bCs/>
          <w:sz w:val="24"/>
          <w:u w:val="none"/>
          <w:lang w:val="en-US" w:eastAsia="zh-CN"/>
        </w:rPr>
        <w:t>施工人员生活垃圾经过垃圾袋收集后，由环卫部门定期外运至旺苍县城市生活垃圾垃圾填埋场填埋处置。生活垃圾应及时清理，避免长时间堆放产生恶臭，引来蚊蝇等。</w:t>
      </w:r>
    </w:p>
    <w:p>
      <w:pPr>
        <w:topLinePunct/>
        <w:spacing w:line="360" w:lineRule="auto"/>
        <w:rPr>
          <w:rFonts w:hint="eastAsia"/>
          <w:b w:val="0"/>
          <w:bCs/>
          <w:sz w:val="24"/>
          <w:u w:val="none"/>
          <w:lang w:val="en-US" w:eastAsia="zh-CN"/>
        </w:rPr>
      </w:pPr>
      <w:r>
        <w:rPr>
          <w:rFonts w:hint="eastAsia"/>
          <w:b w:val="0"/>
          <w:bCs/>
          <w:sz w:val="24"/>
          <w:u w:val="none"/>
          <w:lang w:val="en-US" w:eastAsia="zh-CN"/>
        </w:rPr>
        <w:t>2、建筑垃圾</w:t>
      </w:r>
    </w:p>
    <w:p>
      <w:pPr>
        <w:topLinePunct/>
        <w:spacing w:line="360" w:lineRule="auto"/>
        <w:rPr>
          <w:rFonts w:hint="eastAsia"/>
          <w:b w:val="0"/>
          <w:bCs/>
          <w:sz w:val="24"/>
          <w:u w:val="none"/>
          <w:lang w:val="en-US" w:eastAsia="zh-CN"/>
        </w:rPr>
      </w:pPr>
      <w:r>
        <w:rPr>
          <w:rFonts w:hint="eastAsia"/>
          <w:b w:val="0"/>
          <w:bCs/>
          <w:sz w:val="24"/>
          <w:u w:val="none"/>
          <w:lang w:val="en-US" w:eastAsia="zh-CN"/>
        </w:rPr>
        <w:t>施工过程中会产生建筑垃圾，若处置不当，将对环境造成影响。经调查，施工现场拟设置建筑废弃物临时堆场（树立标志牌）。建筑垃圾临时堆场应进行防雨、防渗处理；施工生产的废料首先应考虑废料的回收利用，对钢筋、木材等下角料可分类回收，交废品回收站处理；不能回收的建筑垃圾，如混凝土废料、砖石废料等应集中堆放定时清运至指定场所堆放。</w:t>
      </w:r>
    </w:p>
    <w:p>
      <w:pPr>
        <w:topLinePunct/>
        <w:spacing w:line="360" w:lineRule="auto"/>
        <w:rPr>
          <w:rFonts w:hint="eastAsia"/>
          <w:b/>
          <w:bCs w:val="0"/>
          <w:sz w:val="24"/>
          <w:u w:val="none"/>
          <w:lang w:val="en-US" w:eastAsia="zh-CN"/>
        </w:rPr>
      </w:pPr>
      <w:r>
        <w:rPr>
          <w:rFonts w:hint="eastAsia"/>
          <w:b/>
          <w:bCs w:val="0"/>
          <w:sz w:val="24"/>
          <w:u w:val="none"/>
          <w:lang w:val="en-US" w:eastAsia="zh-CN"/>
        </w:rPr>
        <w:t>为确保废弃物处置措施落实，建设单位在与建筑垃圾清运公司签订清运合同时，应要求清运公司提供废弃物去向的证明材料，严禁随意倾倒、填埋，造成二次污染。</w:t>
      </w:r>
    </w:p>
    <w:p>
      <w:pPr>
        <w:topLinePunct/>
        <w:spacing w:line="360" w:lineRule="auto"/>
        <w:rPr>
          <w:rFonts w:hint="eastAsia"/>
          <w:b w:val="0"/>
          <w:bCs/>
          <w:sz w:val="24"/>
          <w:u w:val="none"/>
          <w:lang w:val="en-US" w:eastAsia="zh-CN"/>
        </w:rPr>
      </w:pPr>
      <w:r>
        <w:rPr>
          <w:rFonts w:hint="eastAsia"/>
          <w:b w:val="0"/>
          <w:bCs/>
          <w:sz w:val="24"/>
          <w:u w:val="none"/>
          <w:lang w:val="en-US" w:eastAsia="zh-CN"/>
        </w:rPr>
        <w:t>3、弃土石方</w:t>
      </w:r>
    </w:p>
    <w:p>
      <w:pPr>
        <w:topLinePunct/>
        <w:spacing w:line="360" w:lineRule="auto"/>
        <w:rPr>
          <w:rFonts w:hint="eastAsia"/>
          <w:b w:val="0"/>
          <w:bCs/>
          <w:sz w:val="24"/>
          <w:u w:val="none"/>
          <w:lang w:val="en-US" w:eastAsia="zh-CN"/>
        </w:rPr>
      </w:pPr>
      <w:r>
        <w:rPr>
          <w:rFonts w:hint="eastAsia"/>
          <w:b w:val="0"/>
          <w:bCs/>
          <w:sz w:val="24"/>
          <w:u w:val="none"/>
          <w:lang w:val="en-US" w:eastAsia="zh-CN"/>
        </w:rPr>
        <w:t>本项目挖填方平衡，不会产生弃方。建设单位在开挖土石方时，项目在堆放场地周围设置排水沟及沉淀池，尽量减少在雨季的开挖作业规模，最大程度减少了堆放土形成水土流失现象。</w:t>
      </w:r>
    </w:p>
    <w:p>
      <w:pPr>
        <w:topLinePunct/>
        <w:spacing w:line="360" w:lineRule="auto"/>
        <w:rPr>
          <w:rFonts w:hint="eastAsia"/>
          <w:b/>
          <w:bCs w:val="0"/>
          <w:sz w:val="24"/>
          <w:u w:val="none"/>
          <w:lang w:val="en-US" w:eastAsia="zh-CN"/>
        </w:rPr>
      </w:pPr>
      <w:r>
        <w:rPr>
          <w:rFonts w:hint="eastAsia"/>
          <w:b/>
          <w:bCs w:val="0"/>
          <w:sz w:val="24"/>
          <w:u w:val="none"/>
          <w:lang w:val="en-US" w:eastAsia="zh-CN"/>
        </w:rPr>
        <w:t>综上，评价认为项目在施工期严格采取上述防治措施后，项目施工固废可得到有效处置，不会对项目所在环境造成不利影响。</w:t>
      </w:r>
    </w:p>
    <w:p>
      <w:pPr>
        <w:pStyle w:val="3"/>
        <w:rPr>
          <w:rFonts w:ascii="Times New Roman" w:hAnsi="Times New Roman"/>
          <w:sz w:val="28"/>
          <w:szCs w:val="28"/>
          <w:u w:val="none"/>
        </w:rPr>
      </w:pPr>
      <w:bookmarkStart w:id="70" w:name="_Toc27278"/>
      <w:r>
        <w:rPr>
          <w:rFonts w:hint="eastAsia" w:ascii="Times New Roman" w:hAnsi="Times New Roman"/>
          <w:sz w:val="28"/>
          <w:szCs w:val="28"/>
          <w:u w:val="none"/>
          <w:lang w:val="en-US" w:eastAsia="zh-CN"/>
        </w:rPr>
        <w:t>7</w:t>
      </w:r>
      <w:r>
        <w:rPr>
          <w:rFonts w:ascii="Times New Roman" w:hAnsi="Times New Roman"/>
          <w:sz w:val="28"/>
          <w:szCs w:val="28"/>
          <w:u w:val="none"/>
        </w:rPr>
        <w:t>.6施工期生态环境影响分析</w:t>
      </w:r>
      <w:bookmarkEnd w:id="70"/>
    </w:p>
    <w:p>
      <w:pPr>
        <w:spacing w:line="360" w:lineRule="auto"/>
        <w:ind w:firstLine="480" w:firstLineChars="200"/>
        <w:rPr>
          <w:sz w:val="24"/>
          <w:u w:val="none"/>
        </w:rPr>
      </w:pPr>
      <w:r>
        <w:rPr>
          <w:sz w:val="24"/>
          <w:u w:val="none"/>
        </w:rPr>
        <w:t>本项目施工期场地开挖，将破坏部分表土结构，减弱局部地区土层的稳定性，并使地表植被受到一定程度的损坏，故在短时间内仍有可能局部性地加重该区域水土流失。尤其在暴雨较集中的时段施工，容易形成较小范围的水土流失。因本工程开挖量较小，开挖时间短，且所挖土方与填方基本平衡，不会造成大的水土流失现象，随工程的竣工，水土流失现象将得到控制。</w:t>
      </w:r>
    </w:p>
    <w:p>
      <w:pPr>
        <w:spacing w:line="360" w:lineRule="auto"/>
        <w:ind w:firstLine="480" w:firstLineChars="200"/>
        <w:rPr>
          <w:sz w:val="24"/>
          <w:u w:val="none"/>
        </w:rPr>
      </w:pPr>
      <w:r>
        <w:rPr>
          <w:sz w:val="24"/>
          <w:u w:val="none"/>
        </w:rPr>
        <w:t>施工期场地开挖应避免雨季施工，同时施工期挖方及时回填和清运，对松散土及时夯实，以将施工队水土和生态的影响控制在最小限度。工程竣工后，都应尽快恢复道路，恢复周围生态景观，对临时性征用的土地应及早进行迹地恢复，对因施工而破坏的制备应及早复原。评价认为，采取上述措施后，本项目施工期对水土和生态环境的影响较小。</w:t>
      </w:r>
    </w:p>
    <w:p>
      <w:pPr>
        <w:pStyle w:val="3"/>
        <w:rPr>
          <w:rFonts w:ascii="Times New Roman" w:hAnsi="Times New Roman"/>
          <w:sz w:val="28"/>
          <w:szCs w:val="28"/>
          <w:u w:val="none"/>
        </w:rPr>
      </w:pPr>
      <w:bookmarkStart w:id="71" w:name="_Toc28177"/>
      <w:r>
        <w:rPr>
          <w:rFonts w:hint="eastAsia" w:ascii="Times New Roman" w:hAnsi="Times New Roman"/>
          <w:sz w:val="28"/>
          <w:szCs w:val="28"/>
          <w:u w:val="none"/>
          <w:lang w:val="en-US" w:eastAsia="zh-CN"/>
        </w:rPr>
        <w:t>7.7</w:t>
      </w:r>
      <w:r>
        <w:rPr>
          <w:rFonts w:ascii="Times New Roman" w:hAnsi="Times New Roman"/>
          <w:sz w:val="28"/>
          <w:szCs w:val="28"/>
          <w:u w:val="none"/>
        </w:rPr>
        <w:t>施工期环境保护组织管理</w:t>
      </w:r>
      <w:bookmarkEnd w:id="71"/>
    </w:p>
    <w:p>
      <w:pPr>
        <w:spacing w:line="360" w:lineRule="auto"/>
        <w:ind w:firstLine="480" w:firstLineChars="200"/>
        <w:jc w:val="left"/>
        <w:rPr>
          <w:sz w:val="24"/>
          <w:u w:val="none"/>
        </w:rPr>
      </w:pPr>
      <w:r>
        <w:rPr>
          <w:sz w:val="24"/>
          <w:u w:val="none"/>
        </w:rPr>
        <w:t>评价提出施工期环境保护组织管理措施如下：</w:t>
      </w:r>
    </w:p>
    <w:p>
      <w:pPr>
        <w:spacing w:line="360" w:lineRule="auto"/>
        <w:ind w:firstLine="480" w:firstLineChars="200"/>
        <w:jc w:val="left"/>
        <w:rPr>
          <w:color w:val="000000"/>
          <w:sz w:val="24"/>
          <w:u w:val="none"/>
        </w:rPr>
      </w:pPr>
      <w:r>
        <w:rPr>
          <w:color w:val="000000"/>
          <w:sz w:val="24"/>
          <w:u w:val="none"/>
        </w:rPr>
        <w:t>（1）对施工队施工机械及物料停放场地的布设应进行系统的规划和布局。</w:t>
      </w:r>
    </w:p>
    <w:p>
      <w:pPr>
        <w:spacing w:line="360" w:lineRule="auto"/>
        <w:ind w:firstLine="480" w:firstLineChars="200"/>
        <w:jc w:val="left"/>
        <w:rPr>
          <w:color w:val="000000"/>
          <w:sz w:val="24"/>
          <w:u w:val="none"/>
        </w:rPr>
      </w:pPr>
      <w:r>
        <w:rPr>
          <w:color w:val="000000"/>
          <w:sz w:val="24"/>
          <w:u w:val="none"/>
        </w:rPr>
        <w:t>（2）施工单位入场前，须对施工人员进行环境保护知识的宣传教育，明确各自的环保目标和施工人员的环保责任。</w:t>
      </w:r>
    </w:p>
    <w:p>
      <w:pPr>
        <w:spacing w:line="360" w:lineRule="auto"/>
        <w:ind w:firstLine="480" w:firstLineChars="200"/>
        <w:jc w:val="left"/>
        <w:rPr>
          <w:color w:val="000000"/>
          <w:sz w:val="24"/>
          <w:u w:val="none"/>
        </w:rPr>
      </w:pPr>
      <w:r>
        <w:rPr>
          <w:color w:val="000000"/>
          <w:sz w:val="24"/>
          <w:u w:val="none"/>
        </w:rPr>
        <w:t>（3）企业应科学制定施工计划，合理组织施工，合理布局产噪设备，如必须夜间施工，必须向环境主管部门申请同意。</w:t>
      </w:r>
    </w:p>
    <w:p>
      <w:pPr>
        <w:spacing w:line="360" w:lineRule="auto"/>
        <w:ind w:firstLine="480" w:firstLineChars="200"/>
        <w:jc w:val="left"/>
        <w:rPr>
          <w:color w:val="000000"/>
          <w:sz w:val="24"/>
          <w:u w:val="none"/>
        </w:rPr>
      </w:pPr>
      <w:r>
        <w:rPr>
          <w:color w:val="000000"/>
          <w:sz w:val="24"/>
          <w:u w:val="none"/>
        </w:rPr>
        <w:t>（4）严格施工管理，缩短挖方等在施工场地的堆放时间，挖方等弃土临时堆放应有序，并有防治扬尘产生和降尘措施，如洒水和覆盖；进出车辆必须清扫，避免将扬尘带出施工场地。</w:t>
      </w:r>
    </w:p>
    <w:p>
      <w:pPr>
        <w:spacing w:line="360" w:lineRule="auto"/>
        <w:ind w:firstLine="480" w:firstLineChars="200"/>
        <w:jc w:val="left"/>
        <w:rPr>
          <w:color w:val="000000"/>
          <w:sz w:val="24"/>
          <w:u w:val="none"/>
        </w:rPr>
      </w:pPr>
      <w:r>
        <w:rPr>
          <w:color w:val="000000"/>
          <w:sz w:val="24"/>
          <w:u w:val="none"/>
        </w:rPr>
        <w:t>（5）对施工人员进行安全教育，明确安全施工责任、目标及安全施工技术规范，施工单位、建设单位须有相应的监督、检查、落实措施。</w:t>
      </w:r>
    </w:p>
    <w:p>
      <w:pPr>
        <w:spacing w:line="360" w:lineRule="auto"/>
        <w:ind w:firstLine="480" w:firstLineChars="200"/>
        <w:jc w:val="left"/>
        <w:rPr>
          <w:color w:val="000000"/>
          <w:sz w:val="24"/>
          <w:u w:val="none"/>
        </w:rPr>
      </w:pPr>
      <w:r>
        <w:rPr>
          <w:color w:val="000000"/>
          <w:sz w:val="24"/>
          <w:u w:val="none"/>
        </w:rPr>
        <w:t>（6）文明施工，禁止乱扔垃圾，乱倒污水，随地大小便等不文明现象。</w:t>
      </w:r>
    </w:p>
    <w:p>
      <w:pPr>
        <w:spacing w:line="360" w:lineRule="auto"/>
        <w:ind w:firstLine="480" w:firstLineChars="200"/>
        <w:jc w:val="left"/>
        <w:rPr>
          <w:sz w:val="24"/>
          <w:u w:val="none"/>
        </w:rPr>
      </w:pPr>
      <w:r>
        <w:rPr>
          <w:color w:val="000000"/>
          <w:sz w:val="24"/>
          <w:u w:val="none"/>
        </w:rPr>
        <w:t>总之，施工期各要素对环境的影响是暂时的、局部的，采取有效的控制措施，可将影响降至最低，施工结束后，大部分影响可消除。</w:t>
      </w:r>
    </w:p>
    <w:p>
      <w:pPr>
        <w:pStyle w:val="3"/>
        <w:rPr>
          <w:rFonts w:ascii="Times New Roman" w:hAnsi="Times New Roman"/>
          <w:sz w:val="28"/>
          <w:szCs w:val="28"/>
          <w:u w:val="none"/>
        </w:rPr>
        <w:sectPr>
          <w:type w:val="continuous"/>
          <w:pgSz w:w="11906" w:h="16838"/>
          <w:pgMar w:top="1797" w:right="1417" w:bottom="1797" w:left="1417" w:header="851" w:footer="992" w:gutter="0"/>
          <w:pgBorders>
            <w:top w:val="none" w:sz="0" w:space="0"/>
            <w:left w:val="none" w:sz="0" w:space="0"/>
            <w:bottom w:val="none" w:sz="0" w:space="0"/>
            <w:right w:val="none" w:sz="0" w:space="0"/>
          </w:pgBorders>
          <w:cols w:space="0" w:num="1"/>
          <w:rtlGutter w:val="0"/>
          <w:docGrid w:linePitch="0" w:charSpace="0"/>
        </w:sectPr>
      </w:pPr>
      <w:bookmarkStart w:id="72" w:name="_Toc21755"/>
    </w:p>
    <w:p>
      <w:pPr>
        <w:pStyle w:val="2"/>
        <w:topLinePunct/>
        <w:spacing w:before="120" w:after="360"/>
        <w:rPr>
          <w:sz w:val="36"/>
          <w:szCs w:val="36"/>
          <w:u w:val="none"/>
        </w:rPr>
      </w:pPr>
      <w:bookmarkStart w:id="73" w:name="_Toc1765"/>
      <w:r>
        <w:rPr>
          <w:rFonts w:hint="eastAsia"/>
          <w:sz w:val="36"/>
          <w:szCs w:val="36"/>
          <w:u w:val="none"/>
          <w:lang w:val="en-US" w:eastAsia="zh-CN"/>
        </w:rPr>
        <w:t>8</w:t>
      </w:r>
      <w:r>
        <w:rPr>
          <w:sz w:val="36"/>
          <w:szCs w:val="36"/>
          <w:u w:val="none"/>
        </w:rPr>
        <w:t>、运营期环境影响分析</w:t>
      </w:r>
      <w:bookmarkEnd w:id="72"/>
      <w:bookmarkEnd w:id="73"/>
    </w:p>
    <w:p>
      <w:pPr>
        <w:pStyle w:val="3"/>
        <w:rPr>
          <w:rFonts w:ascii="Times New Roman" w:hAnsi="Times New Roman"/>
          <w:sz w:val="28"/>
          <w:szCs w:val="28"/>
          <w:u w:val="none"/>
        </w:rPr>
      </w:pPr>
      <w:bookmarkStart w:id="74" w:name="_Toc20353"/>
      <w:r>
        <w:rPr>
          <w:rFonts w:hint="eastAsia" w:ascii="Times New Roman" w:hAnsi="Times New Roman"/>
          <w:sz w:val="28"/>
          <w:szCs w:val="28"/>
          <w:u w:val="none"/>
          <w:lang w:val="en-US" w:eastAsia="zh-CN"/>
        </w:rPr>
        <w:t>8</w:t>
      </w:r>
      <w:r>
        <w:rPr>
          <w:rFonts w:ascii="Times New Roman" w:hAnsi="Times New Roman"/>
          <w:sz w:val="28"/>
          <w:szCs w:val="28"/>
          <w:u w:val="none"/>
        </w:rPr>
        <w:t>.1大气环境影响预测分析</w:t>
      </w:r>
      <w:bookmarkEnd w:id="74"/>
    </w:p>
    <w:p>
      <w:pPr>
        <w:topLinePunct/>
        <w:spacing w:line="360" w:lineRule="auto"/>
        <w:jc w:val="left"/>
        <w:rPr>
          <w:b/>
          <w:sz w:val="24"/>
          <w:u w:val="none"/>
        </w:rPr>
      </w:pPr>
      <w:r>
        <w:rPr>
          <w:rFonts w:hint="eastAsia"/>
          <w:b/>
          <w:sz w:val="24"/>
          <w:u w:val="none"/>
          <w:lang w:val="en-US" w:eastAsia="zh-CN"/>
        </w:rPr>
        <w:t>8</w:t>
      </w:r>
      <w:r>
        <w:rPr>
          <w:b/>
          <w:sz w:val="24"/>
          <w:u w:val="none"/>
        </w:rPr>
        <w:t>.1.1</w:t>
      </w:r>
      <w:r>
        <w:rPr>
          <w:rFonts w:hint="eastAsia"/>
          <w:b/>
          <w:sz w:val="24"/>
          <w:u w:val="none"/>
          <w:lang w:eastAsia="zh-CN"/>
        </w:rPr>
        <w:t>项目所在区域</w:t>
      </w:r>
      <w:r>
        <w:rPr>
          <w:b/>
          <w:sz w:val="24"/>
          <w:u w:val="none"/>
        </w:rPr>
        <w:t>污染气象特征</w:t>
      </w:r>
    </w:p>
    <w:p>
      <w:pPr>
        <w:topLinePunct/>
        <w:snapToGrid w:val="0"/>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项目所在区域属亚热带湿润季风气候，冬季寒冷，夏季炎热，四季分明，多年平均气温为16℃，年平均降水量1058.4毫米。多风是广元地区气候的主要特征之一，风的季节性较强，冬春风大。持续时间长，常年主要导风向为N、NNE。平均风速为1.2米/秒，最大风速28.7米/秒，静风频率47.8%，多年平均相对湿度为68%，平均无霜期270天。旺苍属中亚热带湿润季风气候，因特殊的地理地貌影响，四季分明，雨量充沛，光热资源丰富,无霜期较长，山地气候明显。</w:t>
      </w:r>
    </w:p>
    <w:p>
      <w:pPr>
        <w:topLinePunct/>
        <w:spacing w:line="360" w:lineRule="auto"/>
        <w:jc w:val="left"/>
        <w:rPr>
          <w:rFonts w:hint="eastAsia"/>
          <w:b/>
          <w:sz w:val="24"/>
          <w:u w:val="none"/>
          <w:lang w:eastAsia="zh-CN"/>
        </w:rPr>
      </w:pPr>
      <w:r>
        <w:rPr>
          <w:rFonts w:hint="eastAsia"/>
          <w:b/>
          <w:sz w:val="24"/>
          <w:u w:val="none"/>
          <w:lang w:val="en-US" w:eastAsia="zh-CN"/>
        </w:rPr>
        <w:t>8</w:t>
      </w:r>
      <w:r>
        <w:rPr>
          <w:rFonts w:hint="eastAsia" w:ascii="Times New Roman" w:eastAsia="宋体"/>
          <w:b/>
          <w:sz w:val="24"/>
          <w:u w:val="none"/>
          <w:lang w:val="en-US" w:eastAsia="zh-CN"/>
        </w:rPr>
        <w:t>.1.2</w:t>
      </w:r>
      <w:r>
        <w:rPr>
          <w:rFonts w:hint="eastAsia" w:eastAsia="宋体"/>
          <w:b/>
          <w:sz w:val="24"/>
          <w:u w:val="none"/>
          <w:lang w:eastAsia="zh-CN"/>
        </w:rPr>
        <w:t>预测因子</w:t>
      </w:r>
    </w:p>
    <w:p>
      <w:pPr>
        <w:topLinePunct/>
        <w:snapToGrid w:val="0"/>
        <w:spacing w:line="360" w:lineRule="auto"/>
        <w:ind w:firstLine="480" w:firstLineChars="200"/>
        <w:jc w:val="left"/>
        <w:rPr>
          <w:rFonts w:hint="eastAsia"/>
          <w:color w:val="000000"/>
          <w:sz w:val="24"/>
          <w:u w:val="none"/>
          <w:vertAlign w:val="baseline"/>
          <w:lang w:val="en-US" w:eastAsia="zh-CN"/>
        </w:rPr>
      </w:pPr>
      <w:r>
        <w:rPr>
          <w:rFonts w:hint="eastAsia" w:eastAsia="宋体"/>
          <w:color w:val="000000"/>
          <w:sz w:val="24"/>
          <w:u w:val="none"/>
          <w:lang w:eastAsia="zh-CN"/>
        </w:rPr>
        <w:t>本项目主要废气</w:t>
      </w:r>
      <w:r>
        <w:rPr>
          <w:rFonts w:hint="eastAsia"/>
          <w:color w:val="000000"/>
          <w:sz w:val="24"/>
          <w:u w:val="none"/>
          <w:lang w:eastAsia="zh-CN"/>
        </w:rPr>
        <w:t>主要为含</w:t>
      </w:r>
      <w:r>
        <w:rPr>
          <w:rFonts w:hint="eastAsia"/>
          <w:color w:val="000000"/>
          <w:sz w:val="24"/>
          <w:u w:val="none"/>
          <w:lang w:val="en-US" w:eastAsia="zh-CN"/>
        </w:rPr>
        <w:t>硫化氢、氨、颗粒物、VOCs</w:t>
      </w:r>
      <w:r>
        <w:rPr>
          <w:rFonts w:hint="eastAsia" w:ascii="Times New Roman" w:eastAsia="宋体"/>
          <w:color w:val="000000"/>
          <w:sz w:val="24"/>
          <w:u w:val="none"/>
          <w:lang w:val="en-US" w:eastAsia="zh-CN"/>
        </w:rPr>
        <w:t>等</w:t>
      </w:r>
      <w:r>
        <w:rPr>
          <w:rFonts w:hint="eastAsia"/>
          <w:color w:val="000000"/>
          <w:sz w:val="24"/>
          <w:u w:val="none"/>
          <w:lang w:val="en-US" w:eastAsia="zh-CN"/>
        </w:rPr>
        <w:t>的恶臭气体</w:t>
      </w:r>
      <w:r>
        <w:rPr>
          <w:rFonts w:hint="eastAsia" w:ascii="Times New Roman" w:eastAsia="宋体"/>
          <w:color w:val="000000"/>
          <w:sz w:val="24"/>
          <w:u w:val="none"/>
          <w:lang w:val="en-US" w:eastAsia="zh-CN"/>
        </w:rPr>
        <w:t>，</w:t>
      </w:r>
      <w:r>
        <w:rPr>
          <w:rFonts w:hint="eastAsia"/>
          <w:color w:val="000000"/>
          <w:sz w:val="24"/>
          <w:u w:val="none"/>
          <w:lang w:eastAsia="zh-CN"/>
        </w:rPr>
        <w:t>结合各污染因子的排放源强及工程特征，</w:t>
      </w:r>
      <w:r>
        <w:rPr>
          <w:rFonts w:hint="eastAsia"/>
          <w:color w:val="000000"/>
          <w:sz w:val="24"/>
          <w:u w:val="none"/>
          <w:lang w:val="en-US" w:eastAsia="zh-CN"/>
        </w:rPr>
        <w:t>本次评价</w:t>
      </w:r>
      <w:r>
        <w:rPr>
          <w:rFonts w:hint="eastAsia" w:eastAsia="宋体"/>
          <w:color w:val="000000"/>
          <w:sz w:val="24"/>
          <w:u w:val="none"/>
          <w:lang w:eastAsia="zh-CN"/>
        </w:rPr>
        <w:t>预测因子</w:t>
      </w:r>
      <w:r>
        <w:rPr>
          <w:rFonts w:hint="eastAsia"/>
          <w:color w:val="000000"/>
          <w:sz w:val="24"/>
          <w:u w:val="none"/>
          <w:lang w:eastAsia="zh-CN"/>
        </w:rPr>
        <w:t>确定为：</w:t>
      </w:r>
      <w:r>
        <w:rPr>
          <w:rFonts w:hint="eastAsia"/>
          <w:color w:val="000000"/>
          <w:sz w:val="24"/>
          <w:u w:val="none"/>
          <w:lang w:val="en-US" w:eastAsia="zh-CN"/>
        </w:rPr>
        <w:t>硫化氢</w:t>
      </w:r>
      <w:r>
        <w:rPr>
          <w:rFonts w:hint="eastAsia" w:ascii="Times New Roman" w:eastAsia="宋体"/>
          <w:color w:val="000000"/>
          <w:sz w:val="24"/>
          <w:u w:val="none"/>
          <w:lang w:val="en-US" w:eastAsia="zh-CN"/>
        </w:rPr>
        <w:t>、</w:t>
      </w:r>
      <w:r>
        <w:rPr>
          <w:rFonts w:hint="eastAsia"/>
          <w:color w:val="000000"/>
          <w:sz w:val="24"/>
          <w:u w:val="none"/>
          <w:lang w:val="en-US" w:eastAsia="zh-CN"/>
        </w:rPr>
        <w:t>氨、颗粒物、VOCs以及消毒处置车间无组织排放的硫化氢和氨</w:t>
      </w:r>
      <w:r>
        <w:rPr>
          <w:rFonts w:hint="eastAsia"/>
          <w:color w:val="000000"/>
          <w:sz w:val="24"/>
          <w:u w:val="none"/>
          <w:vertAlign w:val="baseline"/>
          <w:lang w:val="en-US" w:eastAsia="zh-CN"/>
        </w:rPr>
        <w:t>。在预测VOCs总体排放情况时，本次评价以TVOC作为污染物控制项目。</w:t>
      </w:r>
    </w:p>
    <w:p>
      <w:pPr>
        <w:topLinePunct/>
        <w:snapToGrid w:val="0"/>
        <w:spacing w:line="360" w:lineRule="auto"/>
        <w:ind w:firstLine="480" w:firstLineChars="200"/>
        <w:jc w:val="left"/>
        <w:rPr>
          <w:rFonts w:hint="default"/>
          <w:color w:val="000000"/>
          <w:sz w:val="24"/>
          <w:u w:val="none"/>
          <w:vertAlign w:val="baseline"/>
          <w:lang w:val="en-US" w:eastAsia="zh-CN"/>
        </w:rPr>
      </w:pPr>
      <w:r>
        <w:rPr>
          <w:rFonts w:hint="eastAsia"/>
          <w:color w:val="000000"/>
          <w:sz w:val="24"/>
          <w:u w:val="none"/>
          <w:vertAlign w:val="baseline"/>
          <w:lang w:val="en-US" w:eastAsia="zh-CN"/>
        </w:rPr>
        <w:t>各预测因子及评价标准详见下表。</w:t>
      </w:r>
    </w:p>
    <w:p>
      <w:pPr>
        <w:pStyle w:val="352"/>
        <w:rPr>
          <w:rFonts w:hint="eastAsia"/>
          <w:b/>
          <w:bCs/>
          <w:u w:val="none"/>
          <w:lang w:val="en-US" w:eastAsia="zh-CN"/>
        </w:rPr>
      </w:pPr>
      <w:r>
        <w:rPr>
          <w:rFonts w:hint="eastAsia"/>
          <w:b/>
          <w:bCs/>
          <w:u w:val="none"/>
          <w:lang w:val="en-US" w:eastAsia="zh-CN"/>
        </w:rPr>
        <w:t>表8-1 项目预测因子和评价标准一览表</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845"/>
        <w:gridCol w:w="1165"/>
        <w:gridCol w:w="4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预测因子</w:t>
            </w:r>
          </w:p>
        </w:tc>
        <w:tc>
          <w:tcPr>
            <w:tcW w:w="184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评价时段</w:t>
            </w:r>
          </w:p>
        </w:tc>
        <w:tc>
          <w:tcPr>
            <w:tcW w:w="116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标准值</w:t>
            </w:r>
            <w:r>
              <w:rPr>
                <w:rFonts w:hint="default" w:ascii="Times New Roman" w:hAnsi="Times New Roman" w:eastAsia="宋体"/>
                <w:b/>
                <w:bCs/>
                <w:u w:val="none"/>
                <w:lang w:val="en-US" w:eastAsia="zh-CN"/>
              </w:rPr>
              <w:t>（µg/m³）</w:t>
            </w:r>
          </w:p>
        </w:tc>
        <w:tc>
          <w:tcPr>
            <w:tcW w:w="432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VOCs</w:t>
            </w:r>
          </w:p>
        </w:tc>
        <w:tc>
          <w:tcPr>
            <w:tcW w:w="184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1h</w:t>
            </w:r>
          </w:p>
        </w:tc>
        <w:tc>
          <w:tcPr>
            <w:tcW w:w="116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1200</w:t>
            </w:r>
          </w:p>
        </w:tc>
        <w:tc>
          <w:tcPr>
            <w:tcW w:w="4325"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参照《环境影响评价技术导则  大气环境》（HJ2.2-2018）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硫化氢</w:t>
            </w:r>
          </w:p>
        </w:tc>
        <w:tc>
          <w:tcPr>
            <w:tcW w:w="184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1h</w:t>
            </w:r>
          </w:p>
        </w:tc>
        <w:tc>
          <w:tcPr>
            <w:tcW w:w="1165"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10</w:t>
            </w:r>
          </w:p>
        </w:tc>
        <w:tc>
          <w:tcPr>
            <w:tcW w:w="4325"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氨</w:t>
            </w:r>
          </w:p>
        </w:tc>
        <w:tc>
          <w:tcPr>
            <w:tcW w:w="184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1h</w:t>
            </w:r>
          </w:p>
        </w:tc>
        <w:tc>
          <w:tcPr>
            <w:tcW w:w="1165"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200</w:t>
            </w:r>
          </w:p>
        </w:tc>
        <w:tc>
          <w:tcPr>
            <w:tcW w:w="4325"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pStyle w:val="352"/>
              <w:keepNext w:val="0"/>
              <w:keepLines w:val="0"/>
              <w:suppressLineNumbers w:val="0"/>
              <w:spacing w:before="0" w:beforeAutospacing="0" w:after="0" w:afterAutospacing="0"/>
              <w:ind w:left="0" w:right="0" w:firstLine="0"/>
              <w:rPr>
                <w:rFonts w:hint="eastAsia"/>
                <w:b w:val="0"/>
                <w:bCs/>
                <w:u w:val="none"/>
                <w:lang w:val="en-US" w:eastAsia="zh-CN"/>
              </w:rPr>
            </w:pPr>
            <w:r>
              <w:rPr>
                <w:rFonts w:hint="eastAsia"/>
                <w:b w:val="0"/>
                <w:bCs/>
                <w:u w:val="none"/>
                <w:lang w:val="en-US" w:eastAsia="zh-CN"/>
              </w:rPr>
              <w:t>颗粒物</w:t>
            </w:r>
          </w:p>
        </w:tc>
        <w:tc>
          <w:tcPr>
            <w:tcW w:w="1845" w:type="dxa"/>
            <w:vAlign w:val="center"/>
          </w:tcPr>
          <w:p>
            <w:pPr>
              <w:pStyle w:val="352"/>
              <w:keepNext w:val="0"/>
              <w:keepLines w:val="0"/>
              <w:suppressLineNumbers w:val="0"/>
              <w:spacing w:before="0" w:beforeAutospacing="0" w:after="0" w:afterAutospacing="0"/>
              <w:ind w:left="0" w:right="0" w:firstLine="0"/>
              <w:rPr>
                <w:rFonts w:hint="default"/>
                <w:b w:val="0"/>
                <w:bCs/>
                <w:u w:val="none"/>
                <w:lang w:val="en-US" w:eastAsia="zh-CN"/>
              </w:rPr>
            </w:pPr>
            <w:r>
              <w:rPr>
                <w:rFonts w:hint="eastAsia"/>
                <w:b w:val="0"/>
                <w:bCs/>
                <w:u w:val="none"/>
                <w:lang w:val="en-US" w:eastAsia="zh-CN"/>
              </w:rPr>
              <w:t>1h</w:t>
            </w:r>
          </w:p>
        </w:tc>
        <w:tc>
          <w:tcPr>
            <w:tcW w:w="1165" w:type="dxa"/>
            <w:vAlign w:val="center"/>
          </w:tcPr>
          <w:p>
            <w:pPr>
              <w:pStyle w:val="352"/>
              <w:keepNext w:val="0"/>
              <w:keepLines w:val="0"/>
              <w:suppressLineNumbers w:val="0"/>
              <w:spacing w:before="0" w:beforeAutospacing="0" w:after="0" w:afterAutospacing="0"/>
              <w:ind w:left="0" w:right="0" w:firstLine="0"/>
              <w:rPr>
                <w:rFonts w:hint="default"/>
                <w:b w:val="0"/>
                <w:bCs/>
                <w:u w:val="none"/>
                <w:lang w:val="en-US" w:eastAsia="zh-CN"/>
              </w:rPr>
            </w:pPr>
            <w:r>
              <w:rPr>
                <w:rFonts w:hint="eastAsia"/>
                <w:b w:val="0"/>
                <w:bCs/>
                <w:u w:val="none"/>
                <w:lang w:val="en-US" w:eastAsia="zh-CN"/>
              </w:rPr>
              <w:t>900</w:t>
            </w:r>
          </w:p>
        </w:tc>
        <w:tc>
          <w:tcPr>
            <w:tcW w:w="4325"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环境空气质量标准（GB3095-2012）</w:t>
            </w:r>
          </w:p>
        </w:tc>
      </w:tr>
    </w:tbl>
    <w:p>
      <w:pPr>
        <w:topLinePunct/>
        <w:spacing w:line="360" w:lineRule="auto"/>
        <w:jc w:val="left"/>
        <w:rPr>
          <w:rFonts w:hint="eastAsia"/>
          <w:b/>
          <w:sz w:val="24"/>
          <w:u w:val="none"/>
          <w:lang w:eastAsia="zh-CN"/>
        </w:rPr>
      </w:pPr>
      <w:r>
        <w:rPr>
          <w:rFonts w:hint="eastAsia"/>
          <w:b/>
          <w:sz w:val="24"/>
          <w:u w:val="none"/>
          <w:lang w:val="en-US" w:eastAsia="zh-CN"/>
        </w:rPr>
        <w:t>8</w:t>
      </w:r>
      <w:r>
        <w:rPr>
          <w:b/>
          <w:sz w:val="24"/>
          <w:u w:val="none"/>
        </w:rPr>
        <w:t>.1.</w:t>
      </w:r>
      <w:r>
        <w:rPr>
          <w:rFonts w:hint="eastAsia"/>
          <w:b/>
          <w:sz w:val="24"/>
          <w:u w:val="none"/>
          <w:lang w:val="en-US" w:eastAsia="zh-CN"/>
        </w:rPr>
        <w:t>3</w:t>
      </w:r>
      <w:r>
        <w:rPr>
          <w:rFonts w:hint="eastAsia"/>
          <w:b/>
          <w:sz w:val="24"/>
          <w:u w:val="none"/>
          <w:lang w:eastAsia="zh-CN"/>
        </w:rPr>
        <w:t>项目污染源及排放参数</w:t>
      </w:r>
    </w:p>
    <w:p>
      <w:pPr>
        <w:topLinePunct/>
        <w:snapToGrid w:val="0"/>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由工程分析结果可知，本项目污染源及排放参数详见下表。</w:t>
      </w:r>
    </w:p>
    <w:p>
      <w:pPr>
        <w:pStyle w:val="352"/>
        <w:rPr>
          <w:rFonts w:hint="eastAsia"/>
          <w:u w:val="none"/>
          <w:lang w:val="en-US" w:eastAsia="zh-CN"/>
        </w:rPr>
      </w:pPr>
      <w:r>
        <w:rPr>
          <w:rFonts w:hint="eastAsia"/>
          <w:b/>
          <w:bCs/>
          <w:u w:val="none"/>
          <w:lang w:val="en-US" w:eastAsia="zh-CN"/>
        </w:rPr>
        <w:t>表8-2  项目有组织点源参数表</w:t>
      </w:r>
    </w:p>
    <w:tbl>
      <w:tblPr>
        <w:tblStyle w:val="59"/>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810"/>
        <w:gridCol w:w="680"/>
        <w:gridCol w:w="680"/>
        <w:gridCol w:w="850"/>
        <w:gridCol w:w="879"/>
        <w:gridCol w:w="789"/>
        <w:gridCol w:w="798"/>
        <w:gridCol w:w="680"/>
        <w:gridCol w:w="680"/>
        <w:gridCol w:w="680"/>
        <w:gridCol w:w="94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8"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编号</w:t>
            </w:r>
          </w:p>
        </w:tc>
        <w:tc>
          <w:tcPr>
            <w:tcW w:w="810"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名称</w:t>
            </w:r>
          </w:p>
        </w:tc>
        <w:tc>
          <w:tcPr>
            <w:tcW w:w="1360" w:type="dxa"/>
            <w:gridSpan w:val="2"/>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排气筒底部中心坐标/m</w:t>
            </w:r>
          </w:p>
        </w:tc>
        <w:tc>
          <w:tcPr>
            <w:tcW w:w="850"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排气筒底部海拔高度/m</w:t>
            </w:r>
          </w:p>
        </w:tc>
        <w:tc>
          <w:tcPr>
            <w:tcW w:w="879"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排气筒高度/m</w:t>
            </w:r>
          </w:p>
        </w:tc>
        <w:tc>
          <w:tcPr>
            <w:tcW w:w="789"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排气筒出口内径/m</w:t>
            </w:r>
          </w:p>
        </w:tc>
        <w:tc>
          <w:tcPr>
            <w:tcW w:w="798"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烟气</w:t>
            </w:r>
          </w:p>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流速（m/s）</w:t>
            </w:r>
          </w:p>
        </w:tc>
        <w:tc>
          <w:tcPr>
            <w:tcW w:w="680"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烟气温度（℃）</w:t>
            </w:r>
          </w:p>
        </w:tc>
        <w:tc>
          <w:tcPr>
            <w:tcW w:w="680"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年排放小时数/h</w:t>
            </w:r>
          </w:p>
        </w:tc>
        <w:tc>
          <w:tcPr>
            <w:tcW w:w="680" w:type="dxa"/>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排放工况</w:t>
            </w:r>
          </w:p>
        </w:tc>
        <w:tc>
          <w:tcPr>
            <w:tcW w:w="2295" w:type="dxa"/>
            <w:gridSpan w:val="2"/>
            <w:vMerge w:val="restart"/>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810"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680" w:type="dxa"/>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X</w:t>
            </w:r>
          </w:p>
        </w:tc>
        <w:tc>
          <w:tcPr>
            <w:tcW w:w="680" w:type="dxa"/>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r>
              <w:rPr>
                <w:rFonts w:hint="eastAsia"/>
                <w:b/>
                <w:bCs/>
                <w:sz w:val="18"/>
                <w:szCs w:val="18"/>
                <w:u w:val="none"/>
                <w:lang w:val="en-US" w:eastAsia="zh-CN"/>
              </w:rPr>
              <w:t>Y</w:t>
            </w:r>
          </w:p>
        </w:tc>
        <w:tc>
          <w:tcPr>
            <w:tcW w:w="850"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879"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789"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798"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c>
          <w:tcPr>
            <w:tcW w:w="2295" w:type="dxa"/>
            <w:gridSpan w:val="2"/>
            <w:vMerge w:val="continue"/>
            <w:vAlign w:val="center"/>
          </w:tcPr>
          <w:p>
            <w:pPr>
              <w:pStyle w:val="352"/>
              <w:keepNext w:val="0"/>
              <w:keepLines w:val="0"/>
              <w:suppressLineNumbers w:val="0"/>
              <w:spacing w:before="0" w:beforeAutospacing="0" w:after="0" w:afterAutospacing="0"/>
              <w:ind w:left="0" w:right="0"/>
              <w:rPr>
                <w:rFonts w:hint="eastAsia"/>
                <w:b/>
                <w:bCs/>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08"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1</w:t>
            </w:r>
          </w:p>
        </w:tc>
        <w:tc>
          <w:tcPr>
            <w:tcW w:w="810"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DA001</w:t>
            </w:r>
          </w:p>
        </w:tc>
        <w:tc>
          <w:tcPr>
            <w:tcW w:w="680" w:type="dxa"/>
            <w:vMerge w:val="restart"/>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-7</w:t>
            </w:r>
          </w:p>
        </w:tc>
        <w:tc>
          <w:tcPr>
            <w:tcW w:w="680"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3</w:t>
            </w:r>
          </w:p>
        </w:tc>
        <w:tc>
          <w:tcPr>
            <w:tcW w:w="850"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479</w:t>
            </w:r>
          </w:p>
        </w:tc>
        <w:tc>
          <w:tcPr>
            <w:tcW w:w="879"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15</w:t>
            </w:r>
          </w:p>
        </w:tc>
        <w:tc>
          <w:tcPr>
            <w:tcW w:w="789" w:type="dxa"/>
            <w:vMerge w:val="restart"/>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0.5</w:t>
            </w:r>
          </w:p>
        </w:tc>
        <w:tc>
          <w:tcPr>
            <w:tcW w:w="798" w:type="dxa"/>
            <w:vMerge w:val="restart"/>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8.0</w:t>
            </w:r>
          </w:p>
        </w:tc>
        <w:tc>
          <w:tcPr>
            <w:tcW w:w="680" w:type="dxa"/>
            <w:vMerge w:val="restart"/>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35</w:t>
            </w:r>
          </w:p>
        </w:tc>
        <w:tc>
          <w:tcPr>
            <w:tcW w:w="680" w:type="dxa"/>
            <w:vMerge w:val="restart"/>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3650</w:t>
            </w:r>
          </w:p>
        </w:tc>
        <w:tc>
          <w:tcPr>
            <w:tcW w:w="680" w:type="dxa"/>
            <w:vMerge w:val="restart"/>
            <w:vAlign w:val="center"/>
          </w:tcPr>
          <w:p>
            <w:pPr>
              <w:pStyle w:val="352"/>
              <w:keepNext w:val="0"/>
              <w:keepLines w:val="0"/>
              <w:suppressLineNumbers w:val="0"/>
              <w:spacing w:before="0" w:beforeAutospacing="0" w:after="0" w:afterAutospacing="0"/>
              <w:ind w:left="0" w:right="0"/>
              <w:rPr>
                <w:rFonts w:hint="eastAsia"/>
                <w:b w:val="0"/>
                <w:bCs/>
                <w:sz w:val="18"/>
                <w:szCs w:val="18"/>
                <w:u w:val="none"/>
                <w:lang w:val="en-US" w:eastAsia="zh-CN"/>
              </w:rPr>
            </w:pPr>
            <w:r>
              <w:rPr>
                <w:rFonts w:hint="eastAsia"/>
                <w:b w:val="0"/>
                <w:bCs/>
                <w:sz w:val="18"/>
                <w:szCs w:val="18"/>
                <w:u w:val="none"/>
                <w:lang w:val="en-US" w:eastAsia="zh-CN"/>
              </w:rPr>
              <w:t>正常工况</w:t>
            </w:r>
          </w:p>
        </w:tc>
        <w:tc>
          <w:tcPr>
            <w:tcW w:w="945"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VOCs</w:t>
            </w:r>
          </w:p>
        </w:tc>
        <w:tc>
          <w:tcPr>
            <w:tcW w:w="135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08"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81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85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879"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789"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798"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rPr>
            </w:pPr>
          </w:p>
        </w:tc>
        <w:tc>
          <w:tcPr>
            <w:tcW w:w="945"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H</w:t>
            </w:r>
            <w:r>
              <w:rPr>
                <w:rFonts w:hint="eastAsia"/>
                <w:b w:val="0"/>
                <w:bCs/>
                <w:sz w:val="18"/>
                <w:szCs w:val="18"/>
                <w:u w:val="none"/>
                <w:vertAlign w:val="subscript"/>
                <w:lang w:val="en-US" w:eastAsia="zh-CN"/>
              </w:rPr>
              <w:t>2</w:t>
            </w:r>
            <w:r>
              <w:rPr>
                <w:rFonts w:hint="eastAsia"/>
                <w:b w:val="0"/>
                <w:bCs/>
                <w:sz w:val="18"/>
                <w:szCs w:val="18"/>
                <w:u w:val="none"/>
                <w:lang w:val="en-US" w:eastAsia="zh-CN"/>
              </w:rPr>
              <w:t>S</w:t>
            </w:r>
          </w:p>
        </w:tc>
        <w:tc>
          <w:tcPr>
            <w:tcW w:w="135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0.000118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08"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1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5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79"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789"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798"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945"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NH</w:t>
            </w:r>
            <w:r>
              <w:rPr>
                <w:rFonts w:hint="eastAsia"/>
                <w:b w:val="0"/>
                <w:bCs/>
                <w:sz w:val="18"/>
                <w:szCs w:val="18"/>
                <w:u w:val="none"/>
                <w:vertAlign w:val="subscript"/>
                <w:lang w:val="en-US" w:eastAsia="zh-CN"/>
              </w:rPr>
              <w:t>3</w:t>
            </w:r>
          </w:p>
        </w:tc>
        <w:tc>
          <w:tcPr>
            <w:tcW w:w="135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08"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1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5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879"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789"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798"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680" w:type="dxa"/>
            <w:vMerge w:val="continue"/>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p>
        </w:tc>
        <w:tc>
          <w:tcPr>
            <w:tcW w:w="945"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颗粒物</w:t>
            </w:r>
          </w:p>
        </w:tc>
        <w:tc>
          <w:tcPr>
            <w:tcW w:w="1350" w:type="dxa"/>
            <w:vAlign w:val="center"/>
          </w:tcPr>
          <w:p>
            <w:pPr>
              <w:pStyle w:val="352"/>
              <w:keepNext w:val="0"/>
              <w:keepLines w:val="0"/>
              <w:suppressLineNumbers w:val="0"/>
              <w:spacing w:before="0" w:beforeAutospacing="0" w:after="0" w:afterAutospacing="0"/>
              <w:ind w:left="0" w:right="0"/>
              <w:rPr>
                <w:rFonts w:hint="default"/>
                <w:b w:val="0"/>
                <w:bCs/>
                <w:sz w:val="18"/>
                <w:szCs w:val="18"/>
                <w:u w:val="none"/>
                <w:lang w:val="en-US" w:eastAsia="zh-CN"/>
              </w:rPr>
            </w:pPr>
            <w:r>
              <w:rPr>
                <w:rFonts w:hint="eastAsia"/>
                <w:b w:val="0"/>
                <w:bCs/>
                <w:sz w:val="18"/>
                <w:szCs w:val="18"/>
                <w:u w:val="none"/>
                <w:lang w:val="en-US" w:eastAsia="zh-CN"/>
              </w:rPr>
              <w:t>0.003234</w:t>
            </w:r>
          </w:p>
        </w:tc>
      </w:tr>
    </w:tbl>
    <w:p>
      <w:pPr>
        <w:topLinePunct/>
        <w:snapToGrid w:val="0"/>
        <w:ind w:left="0" w:leftChars="0" w:firstLine="0" w:firstLineChars="0"/>
        <w:jc w:val="both"/>
        <w:rPr>
          <w:rFonts w:hint="eastAsia" w:ascii="Times New Roman" w:hAnsi="Times New Roman" w:eastAsia="宋体" w:cs="Times New Roman"/>
          <w:b/>
          <w:bCs/>
          <w:kern w:val="2"/>
          <w:sz w:val="21"/>
          <w:szCs w:val="24"/>
          <w:u w:val="none"/>
          <w:lang w:val="en-US" w:eastAsia="zh-CN" w:bidi="ar-SA"/>
        </w:rPr>
      </w:pPr>
      <w:r>
        <w:rPr>
          <w:rFonts w:hint="eastAsia" w:ascii="Times New Roman" w:hAnsi="Times New Roman" w:eastAsia="宋体" w:cs="Times New Roman"/>
          <w:b/>
          <w:bCs/>
          <w:kern w:val="2"/>
          <w:sz w:val="21"/>
          <w:szCs w:val="24"/>
          <w:u w:val="none"/>
          <w:lang w:val="en-US" w:eastAsia="zh-CN" w:bidi="ar-SA"/>
        </w:rPr>
        <w:t>注：厂区中心地理坐标为东经：106.230249140°，北纬：32.225890921°，假定其为绝对坐标原点。</w:t>
      </w:r>
    </w:p>
    <w:p>
      <w:pPr>
        <w:pStyle w:val="352"/>
        <w:rPr>
          <w:rFonts w:hint="eastAsia"/>
          <w:b/>
          <w:bCs/>
          <w:u w:val="none"/>
          <w:lang w:val="en-US" w:eastAsia="zh-CN"/>
        </w:rPr>
      </w:pPr>
    </w:p>
    <w:p>
      <w:pPr>
        <w:pStyle w:val="352"/>
        <w:rPr>
          <w:rFonts w:hint="eastAsia"/>
          <w:b/>
          <w:bCs/>
          <w:u w:val="none"/>
          <w:lang w:val="en-US" w:eastAsia="zh-CN"/>
        </w:rPr>
      </w:pPr>
      <w:r>
        <w:rPr>
          <w:rFonts w:hint="eastAsia"/>
          <w:b/>
          <w:bCs/>
          <w:u w:val="none"/>
          <w:lang w:val="en-US" w:eastAsia="zh-CN"/>
        </w:rPr>
        <w:t>表8-3  项目无组织面源参数表</w:t>
      </w:r>
    </w:p>
    <w:tbl>
      <w:tblPr>
        <w:tblStyle w:val="59"/>
        <w:tblW w:w="10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684"/>
        <w:gridCol w:w="1050"/>
        <w:gridCol w:w="1033"/>
        <w:gridCol w:w="1067"/>
        <w:gridCol w:w="883"/>
        <w:gridCol w:w="900"/>
        <w:gridCol w:w="950"/>
        <w:gridCol w:w="950"/>
        <w:gridCol w:w="983"/>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6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编号</w:t>
            </w:r>
          </w:p>
        </w:tc>
        <w:tc>
          <w:tcPr>
            <w:tcW w:w="684"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名称</w:t>
            </w:r>
          </w:p>
        </w:tc>
        <w:tc>
          <w:tcPr>
            <w:tcW w:w="1050"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面源</w:t>
            </w:r>
            <w:r>
              <w:rPr>
                <w:rFonts w:hint="eastAsia"/>
                <w:b/>
                <w:bCs/>
                <w:sz w:val="18"/>
                <w:szCs w:val="18"/>
                <w:u w:val="none"/>
                <w:lang w:val="en-US" w:eastAsia="zh-CN"/>
              </w:rPr>
              <w:t>海拔</w:t>
            </w:r>
            <w:r>
              <w:rPr>
                <w:rFonts w:hint="eastAsia" w:ascii="Times New Roman" w:hAnsi="Times New Roman" w:eastAsia="宋体"/>
                <w:b/>
                <w:bCs/>
                <w:sz w:val="18"/>
                <w:szCs w:val="18"/>
                <w:u w:val="none"/>
                <w:lang w:val="en-US" w:eastAsia="zh-CN"/>
              </w:rPr>
              <w:t>高度/m</w:t>
            </w:r>
          </w:p>
        </w:tc>
        <w:tc>
          <w:tcPr>
            <w:tcW w:w="103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面源长度/m</w:t>
            </w:r>
          </w:p>
        </w:tc>
        <w:tc>
          <w:tcPr>
            <w:tcW w:w="1067"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面源宽度/m</w:t>
            </w:r>
          </w:p>
        </w:tc>
        <w:tc>
          <w:tcPr>
            <w:tcW w:w="88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与正北向夹角/°</w:t>
            </w:r>
          </w:p>
        </w:tc>
        <w:tc>
          <w:tcPr>
            <w:tcW w:w="900"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面源有效排放高度/m</w:t>
            </w:r>
          </w:p>
        </w:tc>
        <w:tc>
          <w:tcPr>
            <w:tcW w:w="950"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年排放小时数/h</w:t>
            </w:r>
          </w:p>
        </w:tc>
        <w:tc>
          <w:tcPr>
            <w:tcW w:w="950"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排放工况</w:t>
            </w:r>
          </w:p>
        </w:tc>
        <w:tc>
          <w:tcPr>
            <w:tcW w:w="2286"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sz w:val="18"/>
                <w:szCs w:val="18"/>
                <w:u w:val="none"/>
                <w:lang w:val="en-US" w:eastAsia="zh-CN"/>
              </w:rPr>
            </w:pPr>
            <w:r>
              <w:rPr>
                <w:rFonts w:hint="eastAsia" w:ascii="Times New Roman" w:hAnsi="Times New Roman" w:eastAsia="宋体"/>
                <w:b/>
                <w:bCs/>
                <w:sz w:val="18"/>
                <w:szCs w:val="18"/>
                <w:u w:val="none"/>
                <w:lang w:val="en-US" w:eastAsia="zh-CN"/>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63"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sz w:val="18"/>
                <w:szCs w:val="18"/>
                <w:u w:val="none"/>
                <w:lang w:val="en-US" w:eastAsia="zh-CN"/>
              </w:rPr>
            </w:pPr>
            <w:r>
              <w:rPr>
                <w:rFonts w:hint="eastAsia" w:ascii="Times New Roman" w:hAnsi="Times New Roman" w:eastAsia="宋体"/>
                <w:b w:val="0"/>
                <w:bCs/>
                <w:sz w:val="18"/>
                <w:szCs w:val="18"/>
                <w:u w:val="none"/>
                <w:lang w:val="en-US" w:eastAsia="zh-CN"/>
              </w:rPr>
              <w:t>1</w:t>
            </w:r>
          </w:p>
        </w:tc>
        <w:tc>
          <w:tcPr>
            <w:tcW w:w="684"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sz w:val="18"/>
                <w:szCs w:val="18"/>
                <w:u w:val="none"/>
                <w:lang w:val="en-US" w:eastAsia="zh-CN"/>
              </w:rPr>
            </w:pPr>
            <w:r>
              <w:rPr>
                <w:rFonts w:hint="eastAsia"/>
                <w:b w:val="0"/>
                <w:bCs/>
                <w:sz w:val="18"/>
                <w:szCs w:val="18"/>
                <w:u w:val="none"/>
                <w:lang w:val="en-US" w:eastAsia="zh-CN"/>
              </w:rPr>
              <w:t>处置车间</w:t>
            </w:r>
          </w:p>
        </w:tc>
        <w:tc>
          <w:tcPr>
            <w:tcW w:w="1050"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481</w:t>
            </w:r>
          </w:p>
        </w:tc>
        <w:tc>
          <w:tcPr>
            <w:tcW w:w="1033"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35</w:t>
            </w:r>
          </w:p>
        </w:tc>
        <w:tc>
          <w:tcPr>
            <w:tcW w:w="1067"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15</w:t>
            </w:r>
          </w:p>
        </w:tc>
        <w:tc>
          <w:tcPr>
            <w:tcW w:w="883"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28</w:t>
            </w:r>
          </w:p>
        </w:tc>
        <w:tc>
          <w:tcPr>
            <w:tcW w:w="900"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7</w:t>
            </w:r>
          </w:p>
        </w:tc>
        <w:tc>
          <w:tcPr>
            <w:tcW w:w="950"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8760</w:t>
            </w:r>
          </w:p>
        </w:tc>
        <w:tc>
          <w:tcPr>
            <w:tcW w:w="950"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sz w:val="18"/>
                <w:szCs w:val="18"/>
                <w:u w:val="none"/>
                <w:lang w:val="en-US" w:eastAsia="zh-CN"/>
              </w:rPr>
            </w:pPr>
            <w:r>
              <w:rPr>
                <w:rFonts w:hint="eastAsia"/>
                <w:b w:val="0"/>
                <w:bCs/>
                <w:sz w:val="18"/>
                <w:szCs w:val="18"/>
                <w:u w:val="none"/>
                <w:lang w:val="en-US" w:eastAsia="zh-CN"/>
              </w:rPr>
              <w:t>正常</w:t>
            </w:r>
          </w:p>
        </w:tc>
        <w:tc>
          <w:tcPr>
            <w:tcW w:w="98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b w:val="0"/>
                <w:bCs/>
                <w:sz w:val="18"/>
                <w:szCs w:val="18"/>
                <w:u w:val="none"/>
                <w:lang w:val="en-US" w:eastAsia="zh-CN"/>
              </w:rPr>
            </w:pPr>
            <w:r>
              <w:rPr>
                <w:rFonts w:hint="eastAsia"/>
                <w:b w:val="0"/>
                <w:bCs/>
                <w:sz w:val="18"/>
                <w:szCs w:val="18"/>
                <w:u w:val="none"/>
                <w:lang w:val="en-US" w:eastAsia="zh-CN"/>
              </w:rPr>
              <w:t>H</w:t>
            </w:r>
            <w:r>
              <w:rPr>
                <w:rFonts w:hint="eastAsia"/>
                <w:b w:val="0"/>
                <w:bCs/>
                <w:sz w:val="18"/>
                <w:szCs w:val="18"/>
                <w:u w:val="none"/>
                <w:vertAlign w:val="subscript"/>
                <w:lang w:val="en-US" w:eastAsia="zh-CN"/>
              </w:rPr>
              <w:t>2</w:t>
            </w:r>
            <w:r>
              <w:rPr>
                <w:rFonts w:hint="eastAsia"/>
                <w:b w:val="0"/>
                <w:bCs/>
                <w:sz w:val="18"/>
                <w:szCs w:val="18"/>
                <w:u w:val="none"/>
                <w:lang w:val="en-US" w:eastAsia="zh-CN"/>
              </w:rPr>
              <w:t>S</w:t>
            </w:r>
          </w:p>
        </w:tc>
        <w:tc>
          <w:tcPr>
            <w:tcW w:w="130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sz w:val="18"/>
                <w:szCs w:val="18"/>
                <w:u w:val="none"/>
                <w:lang w:val="en-US" w:eastAsia="zh-CN"/>
              </w:rPr>
            </w:pPr>
            <w:r>
              <w:rPr>
                <w:rFonts w:hint="eastAsia"/>
                <w:b w:val="0"/>
                <w:bCs/>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63"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684"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1050"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1033"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1067"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883"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900"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950"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950"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p>
        </w:tc>
        <w:tc>
          <w:tcPr>
            <w:tcW w:w="98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rPr>
            </w:pPr>
            <w:r>
              <w:rPr>
                <w:rFonts w:hint="eastAsia"/>
                <w:b w:val="0"/>
                <w:bCs/>
                <w:sz w:val="18"/>
                <w:szCs w:val="18"/>
                <w:u w:val="none"/>
                <w:lang w:val="en-US" w:eastAsia="zh-CN"/>
              </w:rPr>
              <w:t>NH</w:t>
            </w:r>
            <w:r>
              <w:rPr>
                <w:rFonts w:hint="eastAsia"/>
                <w:b w:val="0"/>
                <w:bCs/>
                <w:sz w:val="18"/>
                <w:szCs w:val="18"/>
                <w:u w:val="none"/>
                <w:vertAlign w:val="subscript"/>
                <w:lang w:val="en-US" w:eastAsia="zh-CN"/>
              </w:rPr>
              <w:t>3</w:t>
            </w:r>
          </w:p>
        </w:tc>
        <w:tc>
          <w:tcPr>
            <w:tcW w:w="130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eastAsia="宋体"/>
                <w:b w:val="0"/>
                <w:bCs/>
                <w:lang w:val="en-US" w:eastAsia="zh-CN"/>
              </w:rPr>
            </w:pPr>
            <w:r>
              <w:rPr>
                <w:rFonts w:hint="eastAsia"/>
                <w:b w:val="0"/>
                <w:bCs/>
                <w:lang w:val="en-US" w:eastAsia="zh-CN"/>
              </w:rPr>
              <w:t>0.005</w:t>
            </w:r>
          </w:p>
        </w:tc>
      </w:tr>
    </w:tbl>
    <w:p>
      <w:pPr>
        <w:topLinePunct/>
        <w:spacing w:line="360" w:lineRule="auto"/>
        <w:jc w:val="left"/>
        <w:rPr>
          <w:rFonts w:hint="eastAsia"/>
          <w:b/>
          <w:sz w:val="24"/>
          <w:u w:val="none"/>
          <w:lang w:val="en-US" w:eastAsia="zh-CN"/>
        </w:rPr>
      </w:pPr>
      <w:r>
        <w:rPr>
          <w:rFonts w:hint="eastAsia"/>
          <w:b/>
          <w:sz w:val="24"/>
          <w:u w:val="none"/>
          <w:lang w:val="en-US" w:eastAsia="zh-CN"/>
        </w:rPr>
        <w:t>8.1.4评价工作等级判定</w:t>
      </w:r>
    </w:p>
    <w:p>
      <w:pPr>
        <w:topLinePunct/>
        <w:snapToGrid w:val="0"/>
        <w:spacing w:line="360" w:lineRule="auto"/>
        <w:ind w:firstLine="480" w:firstLineChars="200"/>
        <w:jc w:val="left"/>
        <w:rPr>
          <w:rFonts w:hint="eastAsia"/>
          <w:color w:val="000000"/>
          <w:sz w:val="24"/>
          <w:u w:val="none"/>
          <w:lang w:val="en-US" w:eastAsia="zh-CN"/>
        </w:rPr>
      </w:pPr>
      <w:r>
        <w:rPr>
          <w:rFonts w:hint="eastAsia"/>
          <w:color w:val="000000"/>
          <w:sz w:val="24"/>
          <w:u w:val="none"/>
          <w:lang w:eastAsia="zh-CN"/>
        </w:rPr>
        <w:t>本次大气环境影响评价工作等级，采用</w:t>
      </w:r>
      <w:r>
        <w:rPr>
          <w:color w:val="000000"/>
          <w:sz w:val="24"/>
          <w:u w:val="none"/>
        </w:rPr>
        <w:t>《环境影响评价技术导则——大气环境》（HJ2.2-20</w:t>
      </w:r>
      <w:r>
        <w:rPr>
          <w:rFonts w:hint="eastAsia"/>
          <w:color w:val="000000"/>
          <w:sz w:val="24"/>
          <w:u w:val="none"/>
          <w:lang w:val="en-US" w:eastAsia="zh-CN"/>
        </w:rPr>
        <w:t>18</w:t>
      </w:r>
      <w:r>
        <w:rPr>
          <w:color w:val="000000"/>
          <w:sz w:val="24"/>
          <w:u w:val="none"/>
        </w:rPr>
        <w:t>）</w:t>
      </w:r>
      <w:r>
        <w:rPr>
          <w:rFonts w:hint="eastAsia"/>
          <w:color w:val="000000"/>
          <w:sz w:val="24"/>
          <w:u w:val="none"/>
          <w:lang w:eastAsia="zh-CN"/>
        </w:rPr>
        <w:t>推荐模式清单中</w:t>
      </w:r>
      <w:r>
        <w:rPr>
          <w:rFonts w:hint="eastAsia"/>
          <w:color w:val="000000"/>
          <w:sz w:val="24"/>
          <w:u w:val="none"/>
          <w:lang w:val="en-US" w:eastAsia="zh-CN"/>
        </w:rPr>
        <w:t>AER</w:t>
      </w:r>
      <w:r>
        <w:rPr>
          <w:color w:val="000000"/>
          <w:sz w:val="24"/>
          <w:u w:val="none"/>
        </w:rPr>
        <w:t>SCREEN</w:t>
      </w:r>
      <w:r>
        <w:rPr>
          <w:rFonts w:hint="eastAsia"/>
          <w:color w:val="000000"/>
          <w:sz w:val="24"/>
          <w:u w:val="none"/>
          <w:lang w:eastAsia="zh-CN"/>
        </w:rPr>
        <w:t>模型进行判定，</w:t>
      </w:r>
      <w:r>
        <w:rPr>
          <w:rFonts w:hint="eastAsia"/>
          <w:color w:val="000000"/>
          <w:sz w:val="24"/>
          <w:u w:val="none"/>
          <w:lang w:val="en-US" w:eastAsia="zh-CN"/>
        </w:rPr>
        <w:t>估算模型预测参数见下表：</w:t>
      </w:r>
    </w:p>
    <w:p>
      <w:pPr>
        <w:pStyle w:val="352"/>
        <w:rPr>
          <w:rFonts w:hint="eastAsia"/>
          <w:b/>
          <w:bCs/>
          <w:u w:val="none"/>
          <w:lang w:val="en-US" w:eastAsia="zh-CN"/>
        </w:rPr>
      </w:pPr>
      <w:r>
        <w:rPr>
          <w:rFonts w:hint="eastAsia"/>
          <w:b/>
          <w:bCs/>
          <w:u w:val="none"/>
          <w:lang w:val="en-US" w:eastAsia="zh-CN"/>
        </w:rPr>
        <w:t>表8-4  估算模型参数表</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参数</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bCs/>
                <w:u w:val="none"/>
                <w:lang w:val="en-US" w:eastAsia="zh-CN"/>
              </w:rPr>
            </w:pPr>
            <w:r>
              <w:rPr>
                <w:rFonts w:hint="eastAsia" w:ascii="Times New Roman" w:hAnsi="Times New Roman" w:eastAsia="宋体"/>
                <w:b/>
                <w:bCs/>
                <w:u w:val="none"/>
                <w:lang w:val="en-US"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城市/农村选项</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城市/农村</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842"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人口数（城市选项）</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最高环境温度（℃）</w:t>
            </w:r>
          </w:p>
        </w:tc>
        <w:tc>
          <w:tcPr>
            <w:tcW w:w="2843"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最低环境温度（℃）</w:t>
            </w:r>
          </w:p>
        </w:tc>
        <w:tc>
          <w:tcPr>
            <w:tcW w:w="2843"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土地利用类型</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5" w:type="dxa"/>
            <w:gridSpan w:val="2"/>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区域湿度条件</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b w:val="0"/>
                <w:bCs/>
                <w:u w:val="none"/>
                <w:lang w:val="en-US"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是否考虑地形</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考虑地形</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sym w:font="Wingdings 2" w:char="00A3"/>
            </w:r>
            <w:r>
              <w:rPr>
                <w:rFonts w:hint="eastAsia" w:ascii="Times New Roman" w:hAnsi="Times New Roman" w:eastAsia="宋体"/>
                <w:b w:val="0"/>
                <w:bCs/>
                <w:u w:val="none"/>
                <w:lang w:val="en-US" w:eastAsia="zh-CN"/>
              </w:rPr>
              <w:t xml:space="preserve">是   </w:t>
            </w:r>
            <w:r>
              <w:rPr>
                <w:rFonts w:hint="eastAsia" w:ascii="Times New Roman" w:hAnsi="Times New Roman" w:eastAsia="宋体"/>
                <w:b w:val="0"/>
                <w:bCs/>
                <w:u w:val="none"/>
                <w:lang w:val="en-US" w:eastAsia="zh-CN"/>
              </w:rPr>
              <w:sym w:font="Wingdings 2" w:char="0052"/>
            </w:r>
            <w:r>
              <w:rPr>
                <w:rFonts w:hint="eastAsia" w:ascii="Times New Roman" w:hAnsi="Times New Roman" w:eastAsia="宋体"/>
                <w:b w:val="0"/>
                <w:bCs/>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地形数据分辨率（m）</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是否考虑岸线熏烟</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考虑岸线熏烟</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sym w:font="Wingdings 2" w:char="00A3"/>
            </w:r>
            <w:r>
              <w:rPr>
                <w:rFonts w:hint="eastAsia" w:ascii="Times New Roman" w:hAnsi="Times New Roman" w:eastAsia="宋体"/>
                <w:b w:val="0"/>
                <w:bCs/>
                <w:u w:val="none"/>
                <w:lang w:val="en-US" w:eastAsia="zh-CN"/>
              </w:rPr>
              <w:t xml:space="preserve">是   </w:t>
            </w:r>
            <w:r>
              <w:rPr>
                <w:rFonts w:hint="eastAsia" w:ascii="Times New Roman" w:hAnsi="Times New Roman" w:eastAsia="宋体"/>
                <w:b w:val="0"/>
                <w:bCs/>
                <w:u w:val="none"/>
                <w:lang w:val="en-US" w:eastAsia="zh-CN"/>
              </w:rPr>
              <w:sym w:font="Wingdings 2" w:char="0052"/>
            </w:r>
            <w:r>
              <w:rPr>
                <w:rFonts w:hint="eastAsia" w:ascii="Times New Roman" w:hAnsi="Times New Roman" w:eastAsia="宋体"/>
                <w:b w:val="0"/>
                <w:bCs/>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岸线距离（m）</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2"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u w:val="none"/>
                <w:lang w:val="en-US" w:eastAsia="zh-CN"/>
              </w:rPr>
            </w:pPr>
            <w:r>
              <w:rPr>
                <w:rFonts w:hint="eastAsia" w:ascii="Times New Roman" w:hAnsi="Times New Roman" w:eastAsia="宋体"/>
                <w:u w:val="none"/>
                <w:lang w:val="en-US" w:eastAsia="zh-CN"/>
              </w:rPr>
              <w:t>岸线方向（°）</w:t>
            </w:r>
          </w:p>
        </w:tc>
        <w:tc>
          <w:tcPr>
            <w:tcW w:w="2843" w:type="dxa"/>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w:t>
            </w:r>
          </w:p>
        </w:tc>
      </w:tr>
    </w:tbl>
    <w:p>
      <w:pPr>
        <w:topLinePunct/>
        <w:snapToGrid w:val="0"/>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项目各大气污染物</w:t>
      </w:r>
      <w:r>
        <w:rPr>
          <w:rFonts w:hint="default"/>
          <w:color w:val="000000"/>
          <w:sz w:val="24"/>
          <w:u w:val="none"/>
          <w:lang w:eastAsia="zh-CN"/>
        </w:rPr>
        <w:t>距源强中心下风向</w:t>
      </w:r>
      <w:r>
        <w:rPr>
          <w:rFonts w:hint="eastAsia"/>
          <w:color w:val="000000"/>
          <w:sz w:val="24"/>
          <w:u w:val="none"/>
          <w:lang w:eastAsia="zh-CN"/>
        </w:rPr>
        <w:t>最大落地浓度</w:t>
      </w:r>
      <w:r>
        <w:rPr>
          <w:rFonts w:hint="eastAsia"/>
          <w:color w:val="000000"/>
          <w:sz w:val="24"/>
          <w:u w:val="none"/>
          <w:lang w:val="en-US" w:eastAsia="zh-CN"/>
        </w:rPr>
        <w:t>估算结果详见下表。</w:t>
      </w:r>
    </w:p>
    <w:p>
      <w:pPr>
        <w:pStyle w:val="352"/>
        <w:rPr>
          <w:rFonts w:hint="eastAsia"/>
          <w:b/>
          <w:bCs/>
          <w:u w:val="none"/>
          <w:lang w:val="en-US" w:eastAsia="zh-CN"/>
        </w:rPr>
      </w:pPr>
      <w:r>
        <w:rPr>
          <w:rFonts w:hint="eastAsia"/>
          <w:b/>
          <w:bCs/>
          <w:u w:val="none"/>
          <w:lang w:val="en-US" w:eastAsia="zh-CN"/>
        </w:rPr>
        <w:t>表8-5  项目正常工况下硫化氢和氨气预测结果（有组织DA001）</w:t>
      </w:r>
    </w:p>
    <w:tbl>
      <w:tblPr>
        <w:tblStyle w:val="59"/>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607"/>
        <w:gridCol w:w="1192"/>
        <w:gridCol w:w="160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107" w:type="dxa"/>
            <w:vMerge w:val="restart"/>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距源强中心下风向距离</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（m）</w:t>
            </w:r>
          </w:p>
        </w:tc>
        <w:tc>
          <w:tcPr>
            <w:tcW w:w="2799"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lang w:val="en-US" w:eastAsia="zh-CN"/>
              </w:rPr>
            </w:pPr>
            <w:r>
              <w:rPr>
                <w:rFonts w:hint="eastAsia" w:cs="Times New Roman"/>
                <w:b/>
                <w:bCs/>
                <w:u w:val="none"/>
                <w:lang w:val="en-US" w:eastAsia="zh-CN"/>
              </w:rPr>
              <w:t>NH</w:t>
            </w:r>
            <w:r>
              <w:rPr>
                <w:rFonts w:hint="eastAsia" w:cs="Times New Roman"/>
                <w:b/>
                <w:bCs/>
                <w:u w:val="none"/>
                <w:vertAlign w:val="subscript"/>
                <w:lang w:val="en-US" w:eastAsia="zh-CN"/>
              </w:rPr>
              <w:t>3</w:t>
            </w:r>
          </w:p>
        </w:tc>
        <w:tc>
          <w:tcPr>
            <w:tcW w:w="3074"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lang w:val="en-US"/>
              </w:rPr>
            </w:pPr>
            <w:r>
              <w:rPr>
                <w:rFonts w:hint="default" w:ascii="Times New Roman" w:hAnsi="Times New Roman" w:cs="Times New Roman"/>
                <w:b/>
                <w:bCs/>
                <w:u w:val="none"/>
                <w:lang w:val="en-US" w:eastAsia="zh-CN"/>
              </w:rPr>
              <w:t>H</w:t>
            </w:r>
            <w:r>
              <w:rPr>
                <w:rFonts w:hint="default" w:ascii="Times New Roman" w:hAnsi="Times New Roman" w:cs="Times New Roman"/>
                <w:b/>
                <w:bCs/>
                <w:u w:val="none"/>
                <w:vertAlign w:val="subscript"/>
                <w:lang w:val="en-US" w:eastAsia="zh-CN"/>
              </w:rPr>
              <w:t>2</w:t>
            </w:r>
            <w:r>
              <w:rPr>
                <w:rFonts w:hint="default" w:ascii="Times New Roman" w:hAnsi="Times New Roman" w:cs="Times New Roman"/>
                <w:b/>
                <w:bCs/>
                <w:u w:val="no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2107" w:type="dxa"/>
            <w:vMerge w:val="continue"/>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2.29E-11</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0.00</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1.84E-12</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bCs/>
                <w:u w:val="none"/>
                <w:lang w:val="en-US" w:eastAsia="zh-CN"/>
              </w:rPr>
            </w:pPr>
            <w:r>
              <w:rPr>
                <w:rFonts w:hint="eastAsia" w:cs="Times New Roman"/>
                <w:b/>
                <w:bCs/>
                <w:u w:val="none"/>
                <w:lang w:val="en-US" w:eastAsia="zh-CN"/>
              </w:rPr>
              <w:t>95</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1.66E-03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0.83</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1.33E-04</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val="0"/>
                <w:bCs w:val="0"/>
                <w:u w:val="none"/>
                <w:lang w:val="en-US" w:eastAsia="zh-CN"/>
              </w:rPr>
            </w:pPr>
            <w:r>
              <w:rPr>
                <w:rFonts w:hint="eastAsia" w:cs="Times New Roman"/>
                <w:b w:val="0"/>
                <w:bCs w:val="0"/>
                <w:u w:val="none"/>
                <w:lang w:val="en-US" w:eastAsia="zh-CN"/>
              </w:rPr>
              <w:t>100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1.57E-03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0.79</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1.26E-04</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1.59E-04</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0.08</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1.27E-05</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1500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4.12E-05</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0.02</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3.30E-06</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2500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2.76E-05</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0.01</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2.22E-06</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bCs/>
                <w:sz w:val="21"/>
                <w:szCs w:val="21"/>
                <w:u w:val="none"/>
                <w:lang w:eastAsia="zh-CN"/>
              </w:rPr>
              <w:t>最大落地浓度</w:t>
            </w:r>
            <w:r>
              <w:rPr>
                <w:rFonts w:hint="default" w:ascii="Times New Roman" w:hAnsi="Times New Roman" w:cs="Times New Roman"/>
                <w:b/>
                <w:bCs/>
                <w:sz w:val="21"/>
                <w:szCs w:val="21"/>
                <w:u w:val="none"/>
              </w:rPr>
              <w:t>距离（m）</w:t>
            </w:r>
            <w:r>
              <w:rPr>
                <w:rFonts w:hint="eastAsia" w:cs="Times New Roman"/>
                <w:b/>
                <w:bCs/>
                <w:sz w:val="21"/>
                <w:szCs w:val="21"/>
                <w:u w:val="none"/>
                <w:lang w:val="en-US" w:eastAsia="zh-CN"/>
              </w:rPr>
              <w:t>95m</w:t>
            </w:r>
          </w:p>
        </w:tc>
        <w:tc>
          <w:tcPr>
            <w:tcW w:w="16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i w:val="0"/>
                <w:color w:val="000000"/>
                <w:kern w:val="0"/>
                <w:sz w:val="22"/>
                <w:szCs w:val="22"/>
                <w:u w:val="none"/>
                <w:lang w:val="en-US" w:eastAsia="zh-CN" w:bidi="ar"/>
              </w:rPr>
            </w:pPr>
            <w:r>
              <w:rPr>
                <w:rFonts w:hint="eastAsia" w:cs="Times New Roman"/>
                <w:b/>
                <w:bCs/>
                <w:u w:val="none"/>
                <w:lang w:val="en-US" w:eastAsia="zh-CN"/>
              </w:rPr>
              <w:t>1.66E-03</w:t>
            </w:r>
          </w:p>
        </w:tc>
        <w:tc>
          <w:tcPr>
            <w:tcW w:w="119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0.83</w:t>
            </w:r>
          </w:p>
        </w:tc>
        <w:tc>
          <w:tcPr>
            <w:tcW w:w="1606"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color w:val="000000"/>
                <w:kern w:val="0"/>
                <w:sz w:val="22"/>
                <w:szCs w:val="22"/>
                <w:u w:val="none"/>
                <w:lang w:val="en-US" w:eastAsia="zh-CN" w:bidi="ar"/>
              </w:rPr>
            </w:pPr>
            <w:r>
              <w:rPr>
                <w:rFonts w:hint="eastAsia" w:cs="Times New Roman"/>
                <w:b/>
                <w:bCs/>
                <w:u w:val="none"/>
                <w:lang w:val="en-US" w:eastAsia="zh-CN"/>
              </w:rPr>
              <w:t>1.33E-04</w:t>
            </w:r>
          </w:p>
        </w:tc>
        <w:tc>
          <w:tcPr>
            <w:tcW w:w="146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1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评价等级</w:t>
            </w:r>
          </w:p>
        </w:tc>
        <w:tc>
          <w:tcPr>
            <w:tcW w:w="2799"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val="0"/>
                <w:bCs w:val="0"/>
                <w:u w:val="none"/>
                <w:lang w:eastAsia="zh-CN"/>
              </w:rPr>
              <w:t>三</w:t>
            </w:r>
            <w:r>
              <w:rPr>
                <w:rFonts w:hint="default" w:ascii="Times New Roman" w:hAnsi="Times New Roman" w:cs="Times New Roman"/>
                <w:b w:val="0"/>
                <w:bCs w:val="0"/>
                <w:u w:val="none"/>
                <w:lang w:eastAsia="zh-CN"/>
              </w:rPr>
              <w:t>级</w:t>
            </w:r>
          </w:p>
        </w:tc>
        <w:tc>
          <w:tcPr>
            <w:tcW w:w="3074"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bCs/>
                <w:u w:val="none"/>
                <w:lang w:eastAsia="zh-CN"/>
              </w:rPr>
              <w:t>二</w:t>
            </w:r>
            <w:r>
              <w:rPr>
                <w:rFonts w:hint="default" w:ascii="Times New Roman" w:hAnsi="Times New Roman" w:cs="Times New Roman"/>
                <w:b/>
                <w:bCs/>
                <w:u w:val="none"/>
                <w:lang w:eastAsia="zh-CN"/>
              </w:rPr>
              <w:t>级</w:t>
            </w:r>
          </w:p>
        </w:tc>
      </w:tr>
    </w:tbl>
    <w:p>
      <w:pPr>
        <w:pStyle w:val="352"/>
        <w:rPr>
          <w:rFonts w:hint="eastAsia"/>
          <w:b/>
          <w:bCs/>
          <w:u w:val="none"/>
          <w:lang w:val="en-US" w:eastAsia="zh-CN"/>
        </w:rPr>
      </w:pPr>
      <w:r>
        <w:rPr>
          <w:rFonts w:hint="eastAsia"/>
          <w:b/>
          <w:bCs/>
          <w:u w:val="none"/>
          <w:lang w:val="en-US" w:eastAsia="zh-CN"/>
        </w:rPr>
        <w:t>表8-6  项目正常工况下VOCs和颗粒物预测结果（有组织DA001）</w:t>
      </w:r>
    </w:p>
    <w:tbl>
      <w:tblPr>
        <w:tblStyle w:val="59"/>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607"/>
        <w:gridCol w:w="1192"/>
        <w:gridCol w:w="160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107" w:type="dxa"/>
            <w:vMerge w:val="restart"/>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距源强中心下风向距离</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（m）</w:t>
            </w:r>
          </w:p>
        </w:tc>
        <w:tc>
          <w:tcPr>
            <w:tcW w:w="2799"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lang w:val="en-US" w:eastAsia="zh-CN"/>
              </w:rPr>
            </w:pPr>
            <w:r>
              <w:rPr>
                <w:rFonts w:hint="eastAsia" w:cs="Times New Roman"/>
                <w:b/>
                <w:bCs/>
                <w:u w:val="none"/>
                <w:lang w:val="en-US" w:eastAsia="zh-CN"/>
              </w:rPr>
              <w:t>颗粒物</w:t>
            </w:r>
          </w:p>
        </w:tc>
        <w:tc>
          <w:tcPr>
            <w:tcW w:w="3074"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lang w:val="en-US"/>
              </w:rPr>
            </w:pPr>
            <w:r>
              <w:rPr>
                <w:rFonts w:hint="eastAsia" w:cs="Times New Roman"/>
                <w:b/>
                <w:bCs/>
                <w:u w:val="no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2107" w:type="dxa"/>
            <w:vMerge w:val="continue"/>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5.04E-11</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0.00</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3.67E-10</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bCs/>
                <w:u w:val="none"/>
                <w:lang w:val="en-US" w:eastAsia="zh-CN"/>
              </w:rPr>
            </w:pPr>
            <w:r>
              <w:rPr>
                <w:rFonts w:hint="eastAsia" w:cs="Times New Roman"/>
                <w:b/>
                <w:bCs/>
                <w:u w:val="none"/>
                <w:lang w:val="en-US" w:eastAsia="zh-CN"/>
              </w:rPr>
              <w:t>95</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3.65E-03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0.41</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2.66E-02</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val="0"/>
                <w:bCs w:val="0"/>
                <w:u w:val="none"/>
                <w:lang w:val="en-US" w:eastAsia="zh-CN"/>
              </w:rPr>
            </w:pPr>
            <w:r>
              <w:rPr>
                <w:rFonts w:hint="eastAsia" w:cs="Times New Roman"/>
                <w:b w:val="0"/>
                <w:bCs w:val="0"/>
                <w:u w:val="none"/>
                <w:lang w:val="en-US" w:eastAsia="zh-CN"/>
              </w:rPr>
              <w:t>100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3.46E-03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0.38</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2.51E-02</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3.49E-04</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0.04</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2.54E-03</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1500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9.05E-05</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0.01</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6.59E-04</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2500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6.08E-05</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0.01</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4.42E-04</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bCs/>
                <w:sz w:val="21"/>
                <w:szCs w:val="21"/>
                <w:u w:val="none"/>
                <w:lang w:eastAsia="zh-CN"/>
              </w:rPr>
              <w:t>最大落地浓度</w:t>
            </w:r>
            <w:r>
              <w:rPr>
                <w:rFonts w:hint="default" w:ascii="Times New Roman" w:hAnsi="Times New Roman" w:cs="Times New Roman"/>
                <w:b/>
                <w:bCs/>
                <w:sz w:val="21"/>
                <w:szCs w:val="21"/>
                <w:u w:val="none"/>
              </w:rPr>
              <w:t>距离（m）</w:t>
            </w:r>
            <w:r>
              <w:rPr>
                <w:rFonts w:hint="eastAsia" w:cs="Times New Roman"/>
                <w:b/>
                <w:bCs/>
                <w:sz w:val="21"/>
                <w:szCs w:val="21"/>
                <w:u w:val="none"/>
                <w:lang w:val="en-US" w:eastAsia="zh-CN"/>
              </w:rPr>
              <w:t>95m</w:t>
            </w:r>
          </w:p>
        </w:tc>
        <w:tc>
          <w:tcPr>
            <w:tcW w:w="16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i w:val="0"/>
                <w:color w:val="000000"/>
                <w:kern w:val="0"/>
                <w:sz w:val="22"/>
                <w:szCs w:val="22"/>
                <w:u w:val="none"/>
                <w:lang w:val="en-US" w:eastAsia="zh-CN" w:bidi="ar"/>
              </w:rPr>
            </w:pPr>
            <w:r>
              <w:rPr>
                <w:rFonts w:hint="eastAsia" w:cs="Times New Roman"/>
                <w:b/>
                <w:bCs/>
                <w:u w:val="none"/>
                <w:lang w:val="en-US" w:eastAsia="zh-CN"/>
              </w:rPr>
              <w:t>3.65E-03</w:t>
            </w:r>
          </w:p>
        </w:tc>
        <w:tc>
          <w:tcPr>
            <w:tcW w:w="119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0.41</w:t>
            </w:r>
          </w:p>
        </w:tc>
        <w:tc>
          <w:tcPr>
            <w:tcW w:w="1606"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color w:val="000000"/>
                <w:kern w:val="0"/>
                <w:sz w:val="22"/>
                <w:szCs w:val="22"/>
                <w:u w:val="none"/>
                <w:lang w:val="en-US" w:eastAsia="zh-CN" w:bidi="ar"/>
              </w:rPr>
            </w:pPr>
            <w:r>
              <w:rPr>
                <w:rFonts w:hint="eastAsia" w:cs="Times New Roman"/>
                <w:b/>
                <w:bCs/>
                <w:u w:val="none"/>
                <w:lang w:val="en-US" w:eastAsia="zh-CN"/>
              </w:rPr>
              <w:t>2.66E-02</w:t>
            </w:r>
          </w:p>
        </w:tc>
        <w:tc>
          <w:tcPr>
            <w:tcW w:w="146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1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评价等级</w:t>
            </w:r>
          </w:p>
        </w:tc>
        <w:tc>
          <w:tcPr>
            <w:tcW w:w="2799"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val="0"/>
                <w:bCs w:val="0"/>
                <w:u w:val="none"/>
                <w:lang w:eastAsia="zh-CN"/>
              </w:rPr>
              <w:t>三</w:t>
            </w:r>
            <w:r>
              <w:rPr>
                <w:rFonts w:hint="default" w:ascii="Times New Roman" w:hAnsi="Times New Roman" w:cs="Times New Roman"/>
                <w:b w:val="0"/>
                <w:bCs w:val="0"/>
                <w:u w:val="none"/>
                <w:lang w:eastAsia="zh-CN"/>
              </w:rPr>
              <w:t>级</w:t>
            </w:r>
          </w:p>
        </w:tc>
        <w:tc>
          <w:tcPr>
            <w:tcW w:w="3074"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bCs/>
                <w:u w:val="none"/>
                <w:lang w:eastAsia="zh-CN"/>
              </w:rPr>
              <w:t>二</w:t>
            </w:r>
            <w:r>
              <w:rPr>
                <w:rFonts w:hint="default" w:ascii="Times New Roman" w:hAnsi="Times New Roman" w:cs="Times New Roman"/>
                <w:b/>
                <w:bCs/>
                <w:u w:val="none"/>
                <w:lang w:eastAsia="zh-CN"/>
              </w:rPr>
              <w:t>级</w:t>
            </w:r>
          </w:p>
        </w:tc>
      </w:tr>
    </w:tbl>
    <w:p>
      <w:pPr>
        <w:pStyle w:val="352"/>
        <w:rPr>
          <w:rFonts w:hint="eastAsia"/>
          <w:b/>
          <w:bCs/>
          <w:u w:val="none"/>
          <w:lang w:val="en-US" w:eastAsia="zh-CN"/>
        </w:rPr>
      </w:pPr>
      <w:r>
        <w:rPr>
          <w:rFonts w:hint="eastAsia"/>
          <w:b/>
          <w:bCs/>
          <w:u w:val="none"/>
          <w:lang w:val="en-US" w:eastAsia="zh-CN"/>
        </w:rPr>
        <w:t>表8-7  项目正常工况下废气预测结果（无组织）</w:t>
      </w:r>
    </w:p>
    <w:tbl>
      <w:tblPr>
        <w:tblStyle w:val="59"/>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607"/>
        <w:gridCol w:w="1192"/>
        <w:gridCol w:w="160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107" w:type="dxa"/>
            <w:vMerge w:val="restart"/>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距源强中心下风向距离</w:t>
            </w:r>
          </w:p>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（m）</w:t>
            </w:r>
          </w:p>
        </w:tc>
        <w:tc>
          <w:tcPr>
            <w:tcW w:w="2799"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u w:val="none"/>
                <w:lang w:val="en-US" w:eastAsia="zh-CN"/>
              </w:rPr>
            </w:pPr>
            <w:r>
              <w:rPr>
                <w:rFonts w:hint="eastAsia" w:cs="Times New Roman"/>
                <w:b/>
                <w:bCs/>
                <w:u w:val="none"/>
                <w:lang w:val="en-US" w:eastAsia="zh-CN"/>
              </w:rPr>
              <w:t>NH</w:t>
            </w:r>
            <w:r>
              <w:rPr>
                <w:rFonts w:hint="eastAsia" w:cs="Times New Roman"/>
                <w:b/>
                <w:bCs/>
                <w:u w:val="none"/>
                <w:vertAlign w:val="subscript"/>
                <w:lang w:val="en-US" w:eastAsia="zh-CN"/>
              </w:rPr>
              <w:t>3</w:t>
            </w:r>
          </w:p>
        </w:tc>
        <w:tc>
          <w:tcPr>
            <w:tcW w:w="3074" w:type="dxa"/>
            <w:gridSpan w:val="2"/>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u w:val="none"/>
                <w:lang w:val="en-US"/>
              </w:rPr>
            </w:pPr>
            <w:r>
              <w:rPr>
                <w:rFonts w:hint="default" w:ascii="Times New Roman" w:hAnsi="Times New Roman" w:cs="Times New Roman"/>
                <w:b/>
                <w:bCs/>
                <w:u w:val="none"/>
                <w:lang w:val="en-US" w:eastAsia="zh-CN"/>
              </w:rPr>
              <w:t>H</w:t>
            </w:r>
            <w:r>
              <w:rPr>
                <w:rFonts w:hint="default" w:ascii="Times New Roman" w:hAnsi="Times New Roman" w:cs="Times New Roman"/>
                <w:b/>
                <w:bCs/>
                <w:u w:val="none"/>
                <w:vertAlign w:val="subscript"/>
                <w:lang w:val="en-US" w:eastAsia="zh-CN"/>
              </w:rPr>
              <w:t>2</w:t>
            </w:r>
            <w:r>
              <w:rPr>
                <w:rFonts w:hint="default" w:ascii="Times New Roman" w:hAnsi="Times New Roman" w:cs="Times New Roman"/>
                <w:b/>
                <w:bCs/>
                <w:u w:val="no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2107" w:type="dxa"/>
            <w:vMerge w:val="continue"/>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预测浓度（mg/m³）</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u w:val="none"/>
              </w:rPr>
            </w:pPr>
            <w:r>
              <w:rPr>
                <w:rFonts w:hint="default" w:ascii="Times New Roman" w:hAnsi="Times New Roman" w:cs="Times New Roman"/>
                <w:b/>
                <w:bCs/>
                <w:u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2.29E-03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1.14</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1.83E-04</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bCs/>
                <w:u w:val="none"/>
                <w:lang w:val="en-US" w:eastAsia="zh-CN"/>
              </w:rPr>
            </w:pPr>
            <w:r>
              <w:rPr>
                <w:rFonts w:hint="eastAsia" w:cs="Times New Roman"/>
                <w:b/>
                <w:bCs/>
                <w:u w:val="none"/>
                <w:lang w:val="en-US" w:eastAsia="zh-CN"/>
              </w:rPr>
              <w:t>34</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3.60E-03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1.80</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2.88E-04</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bCs/>
                <w:u w:val="none"/>
                <w:lang w:val="en-US" w:eastAsia="zh-CN"/>
              </w:rPr>
            </w:pPr>
            <w:r>
              <w:rPr>
                <w:rFonts w:hint="eastAsia" w:cs="Times New Roman"/>
                <w:b/>
                <w:bCs/>
                <w:u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21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val="0"/>
                <w:bCs w:val="0"/>
                <w:u w:val="none"/>
                <w:lang w:val="en-US" w:eastAsia="zh-CN"/>
              </w:rPr>
            </w:pPr>
            <w:r>
              <w:rPr>
                <w:rFonts w:hint="eastAsia" w:cs="Times New Roman"/>
                <w:b w:val="0"/>
                <w:bCs w:val="0"/>
                <w:u w:val="none"/>
                <w:lang w:val="en-US" w:eastAsia="zh-CN"/>
              </w:rPr>
              <w:t>100</w:t>
            </w:r>
          </w:p>
        </w:tc>
        <w:tc>
          <w:tcPr>
            <w:tcW w:w="1607"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2.23E-03</w:t>
            </w:r>
          </w:p>
        </w:tc>
        <w:tc>
          <w:tcPr>
            <w:tcW w:w="1192"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1.11</w:t>
            </w:r>
          </w:p>
        </w:tc>
        <w:tc>
          <w:tcPr>
            <w:tcW w:w="1606"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1.78E-04</w:t>
            </w:r>
          </w:p>
        </w:tc>
        <w:tc>
          <w:tcPr>
            <w:tcW w:w="1468" w:type="dxa"/>
            <w:shd w:val="clear" w:color="auto" w:fill="auto"/>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u w:val="none"/>
                <w:lang w:val="en-US" w:eastAsia="zh-CN"/>
              </w:rPr>
            </w:pPr>
            <w:r>
              <w:rPr>
                <w:rFonts w:hint="eastAsia" w:cs="Times New Roman"/>
                <w:b w:val="0"/>
                <w:bCs w:val="0"/>
                <w:u w:val="no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9.16E-04</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0.46</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7.33E-05</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1500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3.07E-04</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0.15</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2.46E-05</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2500</w:t>
            </w:r>
          </w:p>
        </w:tc>
        <w:tc>
          <w:tcPr>
            <w:tcW w:w="16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1.66E-04</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0.08</w:t>
            </w:r>
          </w:p>
        </w:tc>
        <w:tc>
          <w:tcPr>
            <w:tcW w:w="160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i w:val="0"/>
                <w:color w:val="000000"/>
                <w:kern w:val="0"/>
                <w:sz w:val="22"/>
                <w:szCs w:val="22"/>
                <w:u w:val="none"/>
                <w:lang w:val="en-US" w:eastAsia="zh-CN" w:bidi="ar"/>
              </w:rPr>
            </w:pPr>
            <w:r>
              <w:rPr>
                <w:rFonts w:hint="default" w:ascii="Times New Roman" w:hAnsi="Times New Roman" w:eastAsia="宋体" w:cs="Times New Roman"/>
                <w:b w:val="0"/>
                <w:bCs w:val="0"/>
                <w:i w:val="0"/>
                <w:color w:val="000000"/>
                <w:kern w:val="0"/>
                <w:sz w:val="22"/>
                <w:szCs w:val="22"/>
                <w:u w:val="none"/>
                <w:lang w:val="en-US" w:eastAsia="zh-CN" w:bidi="ar"/>
              </w:rPr>
              <w:t>1.33E-05</w:t>
            </w:r>
          </w:p>
        </w:tc>
        <w:tc>
          <w:tcPr>
            <w:tcW w:w="14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ottom"/>
              <w:rPr>
                <w:rFonts w:hint="default" w:cs="Times New Roman"/>
                <w:b w:val="0"/>
                <w:bCs w:val="0"/>
                <w:i w:val="0"/>
                <w:color w:val="000000"/>
                <w:kern w:val="0"/>
                <w:sz w:val="22"/>
                <w:szCs w:val="22"/>
                <w:u w:val="none"/>
                <w:lang w:val="en-US" w:eastAsia="zh-CN" w:bidi="ar"/>
              </w:rPr>
            </w:pPr>
            <w:r>
              <w:rPr>
                <w:rFonts w:hint="eastAsia" w:cs="Times New Roman"/>
                <w:b w:val="0"/>
                <w:bCs w:val="0"/>
                <w:i w:val="0"/>
                <w:color w:val="000000"/>
                <w:kern w:val="0"/>
                <w:sz w:val="22"/>
                <w:szCs w:val="22"/>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eastAsia" w:cs="Times New Roman"/>
                <w:b w:val="0"/>
                <w:bCs w:val="0"/>
                <w:i w:val="0"/>
                <w:color w:val="000000"/>
                <w:kern w:val="0"/>
                <w:sz w:val="22"/>
                <w:szCs w:val="22"/>
                <w:u w:val="none"/>
                <w:lang w:val="en-US" w:eastAsia="zh-CN" w:bidi="ar"/>
              </w:rPr>
            </w:pPr>
            <w:r>
              <w:rPr>
                <w:rFonts w:hint="eastAsia" w:cs="Times New Roman"/>
                <w:b/>
                <w:bCs/>
                <w:sz w:val="21"/>
                <w:szCs w:val="21"/>
                <w:u w:val="none"/>
                <w:lang w:eastAsia="zh-CN"/>
              </w:rPr>
              <w:t>最大落地浓度</w:t>
            </w:r>
            <w:r>
              <w:rPr>
                <w:rFonts w:hint="default" w:ascii="Times New Roman" w:hAnsi="Times New Roman" w:cs="Times New Roman"/>
                <w:b/>
                <w:bCs/>
                <w:sz w:val="21"/>
                <w:szCs w:val="21"/>
                <w:u w:val="none"/>
              </w:rPr>
              <w:t>距离（m）</w:t>
            </w:r>
            <w:r>
              <w:rPr>
                <w:rFonts w:hint="eastAsia" w:cs="Times New Roman"/>
                <w:b/>
                <w:bCs/>
                <w:sz w:val="21"/>
                <w:szCs w:val="21"/>
                <w:u w:val="none"/>
                <w:lang w:val="en-US" w:eastAsia="zh-CN"/>
              </w:rPr>
              <w:t>34m</w:t>
            </w:r>
          </w:p>
        </w:tc>
        <w:tc>
          <w:tcPr>
            <w:tcW w:w="16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i w:val="0"/>
                <w:color w:val="000000"/>
                <w:kern w:val="0"/>
                <w:sz w:val="22"/>
                <w:szCs w:val="22"/>
                <w:u w:val="none"/>
                <w:lang w:val="en-US" w:eastAsia="zh-CN" w:bidi="ar"/>
              </w:rPr>
            </w:pPr>
            <w:r>
              <w:rPr>
                <w:rFonts w:hint="eastAsia" w:cs="Times New Roman"/>
                <w:b/>
                <w:bCs/>
                <w:u w:val="none"/>
                <w:lang w:val="en-US" w:eastAsia="zh-CN"/>
              </w:rPr>
              <w:t>3.60E-03</w:t>
            </w:r>
          </w:p>
        </w:tc>
        <w:tc>
          <w:tcPr>
            <w:tcW w:w="119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1.80</w:t>
            </w:r>
          </w:p>
        </w:tc>
        <w:tc>
          <w:tcPr>
            <w:tcW w:w="1606"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color w:val="000000"/>
                <w:kern w:val="0"/>
                <w:sz w:val="22"/>
                <w:szCs w:val="22"/>
                <w:u w:val="none"/>
                <w:lang w:val="en-US" w:eastAsia="zh-CN" w:bidi="ar"/>
              </w:rPr>
            </w:pPr>
            <w:r>
              <w:rPr>
                <w:rFonts w:hint="eastAsia" w:cs="Times New Roman"/>
                <w:b/>
                <w:bCs/>
                <w:u w:val="none"/>
                <w:lang w:val="en-US" w:eastAsia="zh-CN"/>
              </w:rPr>
              <w:t>2.88E-04</w:t>
            </w:r>
          </w:p>
        </w:tc>
        <w:tc>
          <w:tcPr>
            <w:tcW w:w="146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i w:val="0"/>
                <w:color w:val="000000"/>
                <w:kern w:val="0"/>
                <w:sz w:val="22"/>
                <w:szCs w:val="22"/>
                <w:u w:val="none"/>
                <w:lang w:val="en-US" w:eastAsia="zh-CN" w:bidi="ar"/>
              </w:rPr>
            </w:pPr>
            <w:r>
              <w:rPr>
                <w:rFonts w:hint="eastAsia" w:cs="Times New Roman"/>
                <w:b/>
                <w:bCs/>
                <w:u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107"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评价等级</w:t>
            </w:r>
          </w:p>
        </w:tc>
        <w:tc>
          <w:tcPr>
            <w:tcW w:w="2799"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bCs/>
                <w:u w:val="none"/>
                <w:lang w:eastAsia="zh-CN"/>
              </w:rPr>
              <w:t>二级</w:t>
            </w:r>
          </w:p>
        </w:tc>
        <w:tc>
          <w:tcPr>
            <w:tcW w:w="3074" w:type="dxa"/>
            <w:gridSpan w:val="2"/>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u w:val="none"/>
                <w:lang w:eastAsia="zh-CN"/>
              </w:rPr>
            </w:pPr>
            <w:r>
              <w:rPr>
                <w:rFonts w:hint="eastAsia" w:cs="Times New Roman"/>
                <w:b/>
                <w:bCs/>
                <w:u w:val="none"/>
                <w:lang w:eastAsia="zh-CN"/>
              </w:rPr>
              <w:t>二</w:t>
            </w:r>
            <w:r>
              <w:rPr>
                <w:rFonts w:hint="default" w:ascii="Times New Roman" w:hAnsi="Times New Roman" w:cs="Times New Roman"/>
                <w:b/>
                <w:bCs/>
                <w:u w:val="none"/>
                <w:lang w:eastAsia="zh-CN"/>
              </w:rPr>
              <w:t>级</w:t>
            </w:r>
          </w:p>
        </w:tc>
      </w:tr>
    </w:tbl>
    <w:p>
      <w:pPr>
        <w:topLinePunct/>
        <w:snapToGrid w:val="0"/>
        <w:spacing w:line="360" w:lineRule="auto"/>
        <w:ind w:firstLine="480" w:firstLineChars="200"/>
        <w:jc w:val="left"/>
        <w:rPr>
          <w:sz w:val="24"/>
          <w:u w:val="none"/>
        </w:rPr>
      </w:pPr>
      <w:r>
        <w:rPr>
          <w:rFonts w:hint="eastAsia"/>
          <w:sz w:val="24"/>
          <w:u w:val="none"/>
          <w:lang w:eastAsia="zh-CN"/>
        </w:rPr>
        <w:t>通过采用</w:t>
      </w:r>
      <w:r>
        <w:rPr>
          <w:rFonts w:hint="eastAsia"/>
          <w:sz w:val="24"/>
          <w:u w:val="none"/>
          <w:lang w:val="en-US" w:eastAsia="zh-CN"/>
        </w:rPr>
        <w:t>AERSCREEN估算模式对项目正常工况下有组织及无组织废气排放情况进行计算结果显示，在正常工况下，项目各污染源大气污染物中最大占标率为车间无组织废气硫化氢排放最大落地浓度占标率2.88% （＜10%），因此，本项目大气环境影响评价等级为二级评价</w:t>
      </w:r>
      <w:r>
        <w:rPr>
          <w:sz w:val="24"/>
          <w:u w:val="none"/>
        </w:rPr>
        <w:t>。</w:t>
      </w:r>
    </w:p>
    <w:p>
      <w:pPr>
        <w:topLinePunct/>
        <w:spacing w:line="360" w:lineRule="auto"/>
        <w:jc w:val="left"/>
        <w:rPr>
          <w:rFonts w:hint="eastAsia"/>
          <w:b/>
          <w:sz w:val="24"/>
          <w:u w:val="none"/>
          <w:lang w:val="en-US" w:eastAsia="zh-CN"/>
        </w:rPr>
      </w:pPr>
      <w:r>
        <w:rPr>
          <w:rFonts w:hint="eastAsia"/>
          <w:b/>
          <w:sz w:val="24"/>
          <w:u w:val="none"/>
          <w:lang w:val="en-US" w:eastAsia="zh-CN"/>
        </w:rPr>
        <w:t>8.1.5污染物排放量核算</w:t>
      </w:r>
    </w:p>
    <w:p>
      <w:pPr>
        <w:topLinePunct/>
        <w:snapToGrid w:val="0"/>
        <w:spacing w:line="360" w:lineRule="auto"/>
        <w:ind w:firstLine="480" w:firstLineChars="200"/>
        <w:jc w:val="left"/>
        <w:rPr>
          <w:rFonts w:hint="eastAsia"/>
          <w:color w:val="000000"/>
          <w:sz w:val="24"/>
          <w:u w:val="none"/>
          <w:lang w:eastAsia="zh-CN"/>
        </w:rPr>
      </w:pPr>
      <w:r>
        <w:rPr>
          <w:rFonts w:hint="eastAsia"/>
          <w:sz w:val="24"/>
          <w:u w:val="none"/>
          <w:lang w:val="en-US" w:eastAsia="zh-CN"/>
        </w:rPr>
        <w:t>根据</w:t>
      </w:r>
      <w:r>
        <w:rPr>
          <w:color w:val="000000"/>
          <w:sz w:val="24"/>
          <w:u w:val="none"/>
        </w:rPr>
        <w:t>《环境影响评价技术导则——大气环境》（HJ2.2-20</w:t>
      </w:r>
      <w:r>
        <w:rPr>
          <w:rFonts w:hint="eastAsia"/>
          <w:color w:val="000000"/>
          <w:sz w:val="24"/>
          <w:u w:val="none"/>
          <w:lang w:val="en-US" w:eastAsia="zh-CN"/>
        </w:rPr>
        <w:t>18</w:t>
      </w:r>
      <w:r>
        <w:rPr>
          <w:color w:val="000000"/>
          <w:sz w:val="24"/>
          <w:u w:val="none"/>
        </w:rPr>
        <w:t>）</w:t>
      </w:r>
      <w:r>
        <w:rPr>
          <w:rFonts w:hint="eastAsia"/>
          <w:color w:val="000000"/>
          <w:sz w:val="24"/>
          <w:u w:val="none"/>
          <w:lang w:eastAsia="zh-CN"/>
        </w:rPr>
        <w:t>要求，二级评价项目不进行进一步预测与评价，只对污染物排放量进行核算，具体情况如下：</w:t>
      </w:r>
    </w:p>
    <w:p>
      <w:pPr>
        <w:topLinePunct/>
        <w:snapToGrid w:val="0"/>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1、有组织排放量核算</w:t>
      </w:r>
    </w:p>
    <w:p>
      <w:pPr>
        <w:topLinePunct/>
        <w:snapToGrid w:val="0"/>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项目有组织排放量核算具体情况详见下表：</w:t>
      </w:r>
    </w:p>
    <w:p>
      <w:pPr>
        <w:pStyle w:val="352"/>
        <w:rPr>
          <w:rFonts w:hint="eastAsia"/>
          <w:b/>
          <w:bCs/>
          <w:u w:val="none"/>
          <w:lang w:val="en-US" w:eastAsia="zh-CN"/>
        </w:rPr>
      </w:pPr>
      <w:r>
        <w:rPr>
          <w:rFonts w:hint="eastAsia"/>
          <w:b/>
          <w:bCs/>
          <w:u w:val="none"/>
          <w:lang w:val="en-US" w:eastAsia="zh-CN"/>
        </w:rPr>
        <w:t>表8-8  项目有组织排放量核算表</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80"/>
        <w:gridCol w:w="1215"/>
        <w:gridCol w:w="1785"/>
        <w:gridCol w:w="1755"/>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序号</w:t>
            </w:r>
          </w:p>
        </w:tc>
        <w:tc>
          <w:tcPr>
            <w:tcW w:w="1380"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排放口编号</w:t>
            </w:r>
          </w:p>
        </w:tc>
        <w:tc>
          <w:tcPr>
            <w:tcW w:w="1215"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污染物</w:t>
            </w:r>
          </w:p>
        </w:tc>
        <w:tc>
          <w:tcPr>
            <w:tcW w:w="1785"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核算排放浓度/</w:t>
            </w:r>
            <w:r>
              <w:rPr>
                <w:rFonts w:hint="default"/>
                <w:u w:val="none"/>
                <w:lang w:val="en-US" w:eastAsia="zh-CN"/>
              </w:rPr>
              <w:t>（</w:t>
            </w:r>
            <w:r>
              <w:rPr>
                <w:rFonts w:hint="eastAsia"/>
                <w:u w:val="none"/>
                <w:lang w:val="en-US" w:eastAsia="zh-CN"/>
              </w:rPr>
              <w:t>m</w:t>
            </w:r>
            <w:r>
              <w:rPr>
                <w:rFonts w:hint="default"/>
                <w:u w:val="none"/>
                <w:lang w:val="en-US" w:eastAsia="zh-CN"/>
              </w:rPr>
              <w:t>g/m³）</w:t>
            </w:r>
          </w:p>
        </w:tc>
        <w:tc>
          <w:tcPr>
            <w:tcW w:w="1755"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核算排放速率/（kg/h）</w:t>
            </w:r>
          </w:p>
        </w:tc>
        <w:tc>
          <w:tcPr>
            <w:tcW w:w="1830"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6"/>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b w:val="0"/>
                <w:bCs/>
                <w:u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w:t>
            </w:r>
          </w:p>
        </w:tc>
        <w:tc>
          <w:tcPr>
            <w:tcW w:w="1380"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DA001</w:t>
            </w:r>
          </w:p>
        </w:tc>
        <w:tc>
          <w:tcPr>
            <w:tcW w:w="1215"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VOCs</w:t>
            </w:r>
          </w:p>
        </w:tc>
        <w:tc>
          <w:tcPr>
            <w:tcW w:w="178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9.408</w:t>
            </w:r>
          </w:p>
        </w:tc>
        <w:tc>
          <w:tcPr>
            <w:tcW w:w="175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0.02352</w:t>
            </w:r>
          </w:p>
        </w:tc>
        <w:tc>
          <w:tcPr>
            <w:tcW w:w="183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8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215"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178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0.048</w:t>
            </w:r>
          </w:p>
        </w:tc>
        <w:tc>
          <w:tcPr>
            <w:tcW w:w="175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0.000118</w:t>
            </w:r>
          </w:p>
        </w:tc>
        <w:tc>
          <w:tcPr>
            <w:tcW w:w="183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6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8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215"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178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0.588</w:t>
            </w:r>
          </w:p>
        </w:tc>
        <w:tc>
          <w:tcPr>
            <w:tcW w:w="175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0.00147</w:t>
            </w:r>
          </w:p>
        </w:tc>
        <w:tc>
          <w:tcPr>
            <w:tcW w:w="183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8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21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颗粒物</w:t>
            </w:r>
          </w:p>
        </w:tc>
        <w:tc>
          <w:tcPr>
            <w:tcW w:w="178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1.2936</w:t>
            </w:r>
          </w:p>
        </w:tc>
        <w:tc>
          <w:tcPr>
            <w:tcW w:w="1755"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0.003234</w:t>
            </w:r>
          </w:p>
        </w:tc>
        <w:tc>
          <w:tcPr>
            <w:tcW w:w="183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6"/>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gridSpan w:val="2"/>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有组织排放总计</w:t>
            </w:r>
          </w:p>
        </w:tc>
        <w:tc>
          <w:tcPr>
            <w:tcW w:w="4755"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VOCs</w:t>
            </w:r>
          </w:p>
        </w:tc>
        <w:tc>
          <w:tcPr>
            <w:tcW w:w="183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gridSpan w:val="2"/>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4755"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1830"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gridSpan w:val="2"/>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4755"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183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gridSpan w:val="2"/>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4755"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颗粒物</w:t>
            </w:r>
          </w:p>
        </w:tc>
        <w:tc>
          <w:tcPr>
            <w:tcW w:w="183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0.0118</w:t>
            </w:r>
          </w:p>
        </w:tc>
      </w:tr>
    </w:tbl>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2、无组织排放量核算</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项目无组织排放量核算详见下表：</w:t>
      </w:r>
    </w:p>
    <w:p>
      <w:pPr>
        <w:pStyle w:val="352"/>
        <w:rPr>
          <w:rFonts w:hint="eastAsia"/>
          <w:b/>
          <w:bCs/>
          <w:u w:val="none"/>
          <w:lang w:val="en-US" w:eastAsia="zh-CN"/>
        </w:rPr>
      </w:pPr>
      <w:r>
        <w:rPr>
          <w:rFonts w:hint="eastAsia"/>
          <w:b/>
          <w:bCs/>
          <w:u w:val="none"/>
          <w:lang w:val="en-US" w:eastAsia="zh-CN"/>
        </w:rPr>
        <w:t>表8-9  项目无组织排放量核算表</w:t>
      </w:r>
    </w:p>
    <w:tbl>
      <w:tblPr>
        <w:tblStyle w:val="59"/>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14"/>
        <w:gridCol w:w="1126"/>
        <w:gridCol w:w="420"/>
        <w:gridCol w:w="472"/>
        <w:gridCol w:w="1898"/>
        <w:gridCol w:w="1346"/>
        <w:gridCol w:w="1109"/>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序号</w:t>
            </w:r>
          </w:p>
        </w:tc>
        <w:tc>
          <w:tcPr>
            <w:tcW w:w="914" w:type="dxa"/>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排放口编号</w:t>
            </w:r>
          </w:p>
        </w:tc>
        <w:tc>
          <w:tcPr>
            <w:tcW w:w="1126" w:type="dxa"/>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产污环节</w:t>
            </w:r>
          </w:p>
        </w:tc>
        <w:tc>
          <w:tcPr>
            <w:tcW w:w="892" w:type="dxa"/>
            <w:gridSpan w:val="2"/>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污染物</w:t>
            </w:r>
          </w:p>
        </w:tc>
        <w:tc>
          <w:tcPr>
            <w:tcW w:w="1898" w:type="dxa"/>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主要污染防治措施</w:t>
            </w:r>
          </w:p>
        </w:tc>
        <w:tc>
          <w:tcPr>
            <w:tcW w:w="2455" w:type="dxa"/>
            <w:gridSpan w:val="2"/>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国家或地方污染物排放标准</w:t>
            </w:r>
          </w:p>
        </w:tc>
        <w:tc>
          <w:tcPr>
            <w:tcW w:w="1047" w:type="dxa"/>
            <w:vMerge w:val="restart"/>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c>
          <w:tcPr>
            <w:tcW w:w="914" w:type="dxa"/>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c>
          <w:tcPr>
            <w:tcW w:w="1126" w:type="dxa"/>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c>
          <w:tcPr>
            <w:tcW w:w="892" w:type="dxa"/>
            <w:gridSpan w:val="2"/>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c>
          <w:tcPr>
            <w:tcW w:w="1898" w:type="dxa"/>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c>
          <w:tcPr>
            <w:tcW w:w="1346"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标准名称</w:t>
            </w:r>
          </w:p>
        </w:tc>
        <w:tc>
          <w:tcPr>
            <w:tcW w:w="1109"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浓度限值/</w:t>
            </w:r>
            <w:r>
              <w:rPr>
                <w:rFonts w:hint="default"/>
                <w:u w:val="none"/>
                <w:lang w:val="en-US" w:eastAsia="zh-CN"/>
              </w:rPr>
              <w:t>（µg/m³）</w:t>
            </w:r>
          </w:p>
        </w:tc>
        <w:tc>
          <w:tcPr>
            <w:tcW w:w="1047" w:type="dxa"/>
            <w:vMerge w:val="continue"/>
            <w:vAlign w:val="center"/>
          </w:tcPr>
          <w:p>
            <w:pPr>
              <w:pStyle w:val="352"/>
              <w:keepNext w:val="0"/>
              <w:keepLines w:val="0"/>
              <w:suppressLineNumbers w:val="0"/>
              <w:spacing w:before="0" w:beforeAutospacing="0" w:after="0" w:afterAutospacing="0"/>
              <w:ind w:left="0" w:right="0"/>
              <w:rPr>
                <w:rFonts w:hint="eastAsia"/>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33"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w:t>
            </w:r>
          </w:p>
        </w:tc>
        <w:tc>
          <w:tcPr>
            <w:tcW w:w="914"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w:t>
            </w:r>
          </w:p>
        </w:tc>
        <w:tc>
          <w:tcPr>
            <w:tcW w:w="112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医疗处置、污水处理</w:t>
            </w:r>
          </w:p>
        </w:tc>
        <w:tc>
          <w:tcPr>
            <w:tcW w:w="892" w:type="dxa"/>
            <w:gridSpan w:val="2"/>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1898"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lang w:val="en-US" w:eastAsia="zh-CN"/>
              </w:rPr>
              <w:t>生产系统封闭加负压集气抑制无组织废气逸散，同时采用绿化除臭、喷洒除臭剂等措施除臭</w:t>
            </w:r>
          </w:p>
        </w:tc>
        <w:tc>
          <w:tcPr>
            <w:tcW w:w="1346" w:type="dxa"/>
            <w:vMerge w:val="restart"/>
            <w:vAlign w:val="center"/>
          </w:tcPr>
          <w:p>
            <w:pPr>
              <w:pStyle w:val="35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eastAsia"/>
                <w:b w:val="0"/>
                <w:bCs/>
                <w:u w:val="none"/>
                <w:lang w:val="en-US" w:eastAsia="zh-CN"/>
              </w:rPr>
            </w:pPr>
            <w:r>
              <w:rPr>
                <w:rFonts w:hint="eastAsia"/>
                <w:b w:val="0"/>
                <w:bCs/>
                <w:u w:val="none"/>
                <w:lang w:val="en-US" w:eastAsia="zh-CN"/>
              </w:rPr>
              <w:t>《恶臭污染物排放标准》（GB14554-93）</w:t>
            </w:r>
          </w:p>
        </w:tc>
        <w:tc>
          <w:tcPr>
            <w:tcW w:w="1109"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0.06</w:t>
            </w:r>
          </w:p>
        </w:tc>
        <w:tc>
          <w:tcPr>
            <w:tcW w:w="104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3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914"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2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92" w:type="dxa"/>
            <w:gridSpan w:val="2"/>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1898"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34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109"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1.5</w:t>
            </w:r>
          </w:p>
        </w:tc>
        <w:tc>
          <w:tcPr>
            <w:tcW w:w="104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5" w:type="dxa"/>
            <w:gridSpan w:val="9"/>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3" w:type="dxa"/>
            <w:gridSpan w:val="4"/>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无组织排放总计</w:t>
            </w:r>
          </w:p>
        </w:tc>
        <w:tc>
          <w:tcPr>
            <w:tcW w:w="3716"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2156" w:type="dxa"/>
            <w:gridSpan w:val="2"/>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3" w:type="dxa"/>
            <w:gridSpan w:val="4"/>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3716" w:type="dxa"/>
            <w:gridSpan w:val="3"/>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2156" w:type="dxa"/>
            <w:gridSpan w:val="2"/>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0.0438</w:t>
            </w:r>
          </w:p>
        </w:tc>
      </w:tr>
    </w:tbl>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3、项目大气污染物年排放量核算</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项目大气污染物年排放量核算详见下表：</w:t>
      </w:r>
    </w:p>
    <w:p>
      <w:pPr>
        <w:pStyle w:val="352"/>
        <w:rPr>
          <w:rFonts w:hint="eastAsia"/>
          <w:b/>
          <w:bCs/>
          <w:u w:val="none"/>
          <w:lang w:val="en-US" w:eastAsia="zh-CN"/>
        </w:rPr>
      </w:pPr>
      <w:r>
        <w:rPr>
          <w:rFonts w:hint="eastAsia"/>
          <w:b/>
          <w:bCs/>
          <w:u w:val="none"/>
          <w:lang w:val="en-US" w:eastAsia="zh-CN"/>
        </w:rPr>
        <w:t>表8-10  项目大气污染物年排放量核算表</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序号</w:t>
            </w:r>
          </w:p>
        </w:tc>
        <w:tc>
          <w:tcPr>
            <w:tcW w:w="2843"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污染物</w:t>
            </w:r>
          </w:p>
        </w:tc>
        <w:tc>
          <w:tcPr>
            <w:tcW w:w="2843" w:type="dxa"/>
            <w:vAlign w:val="center"/>
          </w:tcPr>
          <w:p>
            <w:pPr>
              <w:pStyle w:val="352"/>
              <w:keepNext w:val="0"/>
              <w:keepLines w:val="0"/>
              <w:suppressLineNumbers w:val="0"/>
              <w:spacing w:before="0" w:beforeAutospacing="0" w:after="0" w:afterAutospacing="0"/>
              <w:ind w:left="0" w:right="0"/>
              <w:rPr>
                <w:rFonts w:hint="eastAsia"/>
                <w:u w:val="none"/>
                <w:lang w:val="en-US" w:eastAsia="zh-CN"/>
              </w:rPr>
            </w:pPr>
            <w:r>
              <w:rPr>
                <w:rFonts w:hint="eastAsia"/>
                <w:u w:val="no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VOCs</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842"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3</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eastAsia="zh-CN"/>
              </w:rPr>
            </w:pPr>
            <w:r>
              <w:rPr>
                <w:rFonts w:hint="eastAsia"/>
                <w:b w:val="0"/>
                <w:bCs/>
                <w:u w:val="none"/>
                <w:lang w:val="en-US" w:eastAsia="zh-CN"/>
              </w:rPr>
              <w:t>0.0492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4</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颗粒物</w:t>
            </w:r>
          </w:p>
        </w:tc>
        <w:tc>
          <w:tcPr>
            <w:tcW w:w="284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0.0118</w:t>
            </w:r>
          </w:p>
        </w:tc>
      </w:tr>
    </w:tbl>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4、非正常排放量核算</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项目非正常工况主要考虑废气处理设施处理效率达不到设计要求时的情况，按最不利环境影响计，废气处理设施完全失效时作为废气非正常工况。按此条件核算，本项目废气污染源非正常排放量详见下表。</w:t>
      </w:r>
    </w:p>
    <w:p>
      <w:pPr>
        <w:pStyle w:val="352"/>
        <w:rPr>
          <w:rFonts w:hint="eastAsia"/>
          <w:b/>
          <w:bCs/>
          <w:u w:val="none"/>
          <w:lang w:val="en-US" w:eastAsia="zh-CN"/>
        </w:rPr>
      </w:pPr>
      <w:r>
        <w:rPr>
          <w:rFonts w:hint="eastAsia"/>
          <w:b/>
          <w:bCs/>
          <w:u w:val="none"/>
          <w:lang w:val="en-US" w:eastAsia="zh-CN"/>
        </w:rPr>
        <w:t>表8-11  污染源非正常排放量核算表</w:t>
      </w:r>
    </w:p>
    <w:tbl>
      <w:tblPr>
        <w:tblStyle w:val="59"/>
        <w:tblpPr w:leftFromText="180" w:rightFromText="180" w:vertAnchor="text" w:tblpXSpec="center" w:tblpY="1"/>
        <w:tblOverlap w:val="never"/>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83"/>
        <w:gridCol w:w="1410"/>
        <w:gridCol w:w="883"/>
        <w:gridCol w:w="1237"/>
        <w:gridCol w:w="1451"/>
        <w:gridCol w:w="1060"/>
        <w:gridCol w:w="107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9"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序号</w:t>
            </w:r>
          </w:p>
        </w:tc>
        <w:tc>
          <w:tcPr>
            <w:tcW w:w="883"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污染源</w:t>
            </w:r>
          </w:p>
        </w:tc>
        <w:tc>
          <w:tcPr>
            <w:tcW w:w="1410"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非正常排放原因</w:t>
            </w:r>
          </w:p>
        </w:tc>
        <w:tc>
          <w:tcPr>
            <w:tcW w:w="883"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污染物</w:t>
            </w:r>
          </w:p>
        </w:tc>
        <w:tc>
          <w:tcPr>
            <w:tcW w:w="1237"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非正常排放浓度/</w:t>
            </w:r>
            <w:r>
              <w:rPr>
                <w:rFonts w:hint="default"/>
                <w:b/>
                <w:bCs/>
                <w:u w:val="none"/>
                <w:lang w:val="en-US" w:eastAsia="zh-CN"/>
              </w:rPr>
              <w:t>（</w:t>
            </w:r>
            <w:r>
              <w:rPr>
                <w:rFonts w:hint="eastAsia"/>
                <w:b/>
                <w:bCs/>
                <w:u w:val="none"/>
                <w:lang w:val="en-US" w:eastAsia="zh-CN"/>
              </w:rPr>
              <w:t>m</w:t>
            </w:r>
            <w:r>
              <w:rPr>
                <w:rFonts w:hint="default"/>
                <w:b/>
                <w:bCs/>
                <w:u w:val="none"/>
                <w:lang w:val="en-US" w:eastAsia="zh-CN"/>
              </w:rPr>
              <w:t>g/m³）</w:t>
            </w:r>
          </w:p>
        </w:tc>
        <w:tc>
          <w:tcPr>
            <w:tcW w:w="1451"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非正常排放速率/（kg/h）</w:t>
            </w:r>
          </w:p>
        </w:tc>
        <w:tc>
          <w:tcPr>
            <w:tcW w:w="1060"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单次持续时间/h</w:t>
            </w:r>
          </w:p>
        </w:tc>
        <w:tc>
          <w:tcPr>
            <w:tcW w:w="1076"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年发生频次/次</w:t>
            </w:r>
          </w:p>
        </w:tc>
        <w:tc>
          <w:tcPr>
            <w:tcW w:w="1490" w:type="dxa"/>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99"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w:t>
            </w:r>
          </w:p>
        </w:tc>
        <w:tc>
          <w:tcPr>
            <w:tcW w:w="883"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DA001</w:t>
            </w:r>
          </w:p>
        </w:tc>
        <w:tc>
          <w:tcPr>
            <w:tcW w:w="1410"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环保设施故障、失效</w:t>
            </w:r>
          </w:p>
        </w:tc>
        <w:tc>
          <w:tcPr>
            <w:tcW w:w="88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VOCs</w:t>
            </w:r>
          </w:p>
        </w:tc>
        <w:tc>
          <w:tcPr>
            <w:tcW w:w="123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23.52</w:t>
            </w:r>
          </w:p>
        </w:tc>
        <w:tc>
          <w:tcPr>
            <w:tcW w:w="145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0.0588</w:t>
            </w:r>
          </w:p>
        </w:tc>
        <w:tc>
          <w:tcPr>
            <w:tcW w:w="1060"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0.5</w:t>
            </w:r>
          </w:p>
        </w:tc>
        <w:tc>
          <w:tcPr>
            <w:tcW w:w="107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2~4</w:t>
            </w:r>
          </w:p>
        </w:tc>
        <w:tc>
          <w:tcPr>
            <w:tcW w:w="1490"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立刻停止作业，进行检修。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99"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1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123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0.96</w:t>
            </w:r>
          </w:p>
        </w:tc>
        <w:tc>
          <w:tcPr>
            <w:tcW w:w="145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0.002352</w:t>
            </w:r>
          </w:p>
        </w:tc>
        <w:tc>
          <w:tcPr>
            <w:tcW w:w="106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c>
          <w:tcPr>
            <w:tcW w:w="107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2~4</w:t>
            </w:r>
          </w:p>
        </w:tc>
        <w:tc>
          <w:tcPr>
            <w:tcW w:w="149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99"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1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123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11.76</w:t>
            </w:r>
          </w:p>
        </w:tc>
        <w:tc>
          <w:tcPr>
            <w:tcW w:w="145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0.0294</w:t>
            </w:r>
          </w:p>
        </w:tc>
        <w:tc>
          <w:tcPr>
            <w:tcW w:w="106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c>
          <w:tcPr>
            <w:tcW w:w="107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2~4</w:t>
            </w:r>
          </w:p>
        </w:tc>
        <w:tc>
          <w:tcPr>
            <w:tcW w:w="149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99"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1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883" w:type="dxa"/>
            <w:vAlign w:val="center"/>
          </w:tcPr>
          <w:p>
            <w:pPr>
              <w:pStyle w:val="352"/>
              <w:keepNext w:val="0"/>
              <w:keepLines w:val="0"/>
              <w:suppressLineNumbers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u w:val="none"/>
                <w:lang w:val="en-US" w:eastAsia="zh-CN"/>
              </w:rPr>
              <w:t>颗粒物</w:t>
            </w:r>
          </w:p>
        </w:tc>
        <w:tc>
          <w:tcPr>
            <w:tcW w:w="1237"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129.36</w:t>
            </w:r>
          </w:p>
        </w:tc>
        <w:tc>
          <w:tcPr>
            <w:tcW w:w="145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0.3234</w:t>
            </w:r>
          </w:p>
        </w:tc>
        <w:tc>
          <w:tcPr>
            <w:tcW w:w="1060"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c>
          <w:tcPr>
            <w:tcW w:w="107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2~4</w:t>
            </w:r>
          </w:p>
        </w:tc>
        <w:tc>
          <w:tcPr>
            <w:tcW w:w="149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bl>
    <w:p>
      <w:pPr>
        <w:topLinePunct/>
        <w:spacing w:line="360" w:lineRule="auto"/>
        <w:jc w:val="left"/>
        <w:rPr>
          <w:rFonts w:hint="eastAsia"/>
          <w:b w:val="0"/>
          <w:bCs/>
          <w:sz w:val="24"/>
          <w:u w:val="none"/>
          <w:lang w:val="en-US" w:eastAsia="zh-CN"/>
        </w:rPr>
      </w:pPr>
      <w:r>
        <w:rPr>
          <w:rFonts w:hint="eastAsia"/>
          <w:b w:val="0"/>
          <w:bCs/>
          <w:sz w:val="24"/>
          <w:u w:val="none"/>
          <w:lang w:val="en-US" w:eastAsia="zh-CN"/>
        </w:rPr>
        <w:t>非正常工况下废气排放预测结果，详见下表</w:t>
      </w:r>
    </w:p>
    <w:p>
      <w:pPr>
        <w:pStyle w:val="352"/>
        <w:rPr>
          <w:rFonts w:hint="eastAsia"/>
          <w:b/>
          <w:bCs/>
          <w:u w:val="none"/>
          <w:lang w:val="en-US" w:eastAsia="zh-CN"/>
        </w:rPr>
      </w:pPr>
      <w:r>
        <w:rPr>
          <w:rFonts w:hint="eastAsia"/>
          <w:b/>
          <w:bCs/>
          <w:u w:val="none"/>
          <w:lang w:val="en-US" w:eastAsia="zh-CN"/>
        </w:rPr>
        <w:t>表8-12  非正常工况下有组织废气预测结果一览表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828"/>
        <w:gridCol w:w="1828"/>
        <w:gridCol w:w="1828"/>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restart"/>
            <w:tcBorders>
              <w:tl2br w:val="single" w:color="auto" w:sz="4" w:space="0"/>
            </w:tcBorders>
            <w:vAlign w:val="center"/>
          </w:tcPr>
          <w:p>
            <w:pPr>
              <w:pStyle w:val="352"/>
              <w:keepNext w:val="0"/>
              <w:keepLines w:val="0"/>
              <w:suppressLineNumbers w:val="0"/>
              <w:spacing w:before="0" w:beforeAutospacing="0" w:after="0" w:afterAutospacing="0"/>
              <w:ind w:left="0" w:right="0"/>
              <w:jc w:val="right"/>
              <w:rPr>
                <w:rFonts w:hint="eastAsia"/>
                <w:b/>
                <w:bCs/>
                <w:u w:val="none"/>
                <w:vertAlign w:val="baseline"/>
                <w:lang w:val="en-US" w:eastAsia="zh-CN"/>
              </w:rPr>
            </w:pPr>
            <w:r>
              <w:rPr>
                <w:rFonts w:hint="eastAsia"/>
                <w:b/>
                <w:bCs/>
                <w:u w:val="none"/>
                <w:vertAlign w:val="baseline"/>
                <w:lang w:val="en-US" w:eastAsia="zh-CN"/>
              </w:rPr>
              <w:t>预测因子</w:t>
            </w:r>
          </w:p>
          <w:p>
            <w:pPr>
              <w:pStyle w:val="352"/>
              <w:keepNext w:val="0"/>
              <w:keepLines w:val="0"/>
              <w:suppressLineNumbers w:val="0"/>
              <w:spacing w:before="0" w:beforeAutospacing="0" w:after="0" w:afterAutospacing="0"/>
              <w:ind w:left="0" w:right="0"/>
              <w:jc w:val="left"/>
              <w:rPr>
                <w:rFonts w:hint="default"/>
                <w:b/>
                <w:bCs/>
                <w:u w:val="none"/>
                <w:vertAlign w:val="baseline"/>
                <w:lang w:val="en-US" w:eastAsia="zh-CN"/>
              </w:rPr>
            </w:pPr>
            <w:r>
              <w:rPr>
                <w:rFonts w:hint="eastAsia"/>
                <w:b/>
                <w:bCs/>
                <w:u w:val="none"/>
                <w:vertAlign w:val="baseline"/>
                <w:lang w:val="en-US" w:eastAsia="zh-CN"/>
              </w:rPr>
              <w:t>预测内容</w:t>
            </w:r>
          </w:p>
        </w:tc>
        <w:tc>
          <w:tcPr>
            <w:tcW w:w="7314" w:type="dxa"/>
            <w:gridSpan w:val="4"/>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非正常工况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974" w:type="dxa"/>
            <w:vMerge w:val="continue"/>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p>
        </w:tc>
        <w:tc>
          <w:tcPr>
            <w:tcW w:w="1828" w:type="dxa"/>
            <w:vAlign w:val="center"/>
          </w:tcPr>
          <w:p>
            <w:pPr>
              <w:pStyle w:val="352"/>
              <w:keepNext w:val="0"/>
              <w:keepLines w:val="0"/>
              <w:suppressLineNumbers w:val="0"/>
              <w:spacing w:before="0" w:beforeAutospacing="0" w:after="0" w:afterAutospacing="0"/>
              <w:ind w:left="0" w:right="0"/>
              <w:jc w:val="center"/>
              <w:rPr>
                <w:rFonts w:hint="default"/>
                <w:b/>
                <w:bCs w:val="0"/>
                <w:u w:val="none"/>
                <w:vertAlign w:val="baseline"/>
                <w:lang w:val="en-US" w:eastAsia="zh-CN"/>
              </w:rPr>
            </w:pPr>
            <w:r>
              <w:rPr>
                <w:rFonts w:hint="default" w:ascii="Times New Roman" w:hAnsi="Times New Roman" w:cs="Times New Roman"/>
                <w:b/>
                <w:bCs w:val="0"/>
                <w:u w:val="none"/>
                <w:lang w:val="en-US" w:eastAsia="zh-CN"/>
              </w:rPr>
              <w:t>H</w:t>
            </w:r>
            <w:r>
              <w:rPr>
                <w:rFonts w:hint="default" w:ascii="Times New Roman" w:hAnsi="Times New Roman" w:cs="Times New Roman"/>
                <w:b/>
                <w:bCs w:val="0"/>
                <w:u w:val="none"/>
                <w:vertAlign w:val="subscript"/>
                <w:lang w:val="en-US" w:eastAsia="zh-CN"/>
              </w:rPr>
              <w:t>2</w:t>
            </w:r>
            <w:r>
              <w:rPr>
                <w:rFonts w:hint="default" w:ascii="Times New Roman" w:hAnsi="Times New Roman" w:cs="Times New Roman"/>
                <w:b/>
                <w:bCs w:val="0"/>
                <w:u w:val="none"/>
                <w:lang w:val="en-US" w:eastAsia="zh-CN"/>
              </w:rPr>
              <w:t>S</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bCs w:val="0"/>
                <w:u w:val="none"/>
                <w:vertAlign w:val="baseline"/>
                <w:lang w:val="en-US" w:eastAsia="zh-CN"/>
              </w:rPr>
            </w:pPr>
            <w:r>
              <w:rPr>
                <w:rFonts w:hint="eastAsia" w:cs="Times New Roman"/>
                <w:b/>
                <w:bCs w:val="0"/>
                <w:u w:val="none"/>
                <w:lang w:val="en-US" w:eastAsia="zh-CN"/>
              </w:rPr>
              <w:t>NH</w:t>
            </w:r>
            <w:r>
              <w:rPr>
                <w:rFonts w:hint="eastAsia" w:cs="Times New Roman"/>
                <w:b/>
                <w:bCs w:val="0"/>
                <w:u w:val="none"/>
                <w:vertAlign w:val="subscript"/>
                <w:lang w:val="en-US" w:eastAsia="zh-CN"/>
              </w:rPr>
              <w:t>3</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bCs w:val="0"/>
                <w:u w:val="none"/>
                <w:vertAlign w:val="baseline"/>
                <w:lang w:val="en-US" w:eastAsia="zh-CN"/>
              </w:rPr>
            </w:pPr>
            <w:r>
              <w:rPr>
                <w:rFonts w:hint="eastAsia" w:ascii="Times New Roman" w:eastAsia="宋体"/>
                <w:b/>
                <w:bCs w:val="0"/>
                <w:u w:val="none"/>
                <w:lang w:val="en-US" w:eastAsia="zh-CN"/>
              </w:rPr>
              <w:t>VOCs</w:t>
            </w:r>
          </w:p>
        </w:tc>
        <w:tc>
          <w:tcPr>
            <w:tcW w:w="1830" w:type="dxa"/>
            <w:vAlign w:val="center"/>
          </w:tcPr>
          <w:p>
            <w:pPr>
              <w:pStyle w:val="352"/>
              <w:keepNext w:val="0"/>
              <w:keepLines w:val="0"/>
              <w:suppressLineNumbers w:val="0"/>
              <w:spacing w:before="0" w:beforeAutospacing="0" w:after="0" w:afterAutospacing="0"/>
              <w:ind w:left="0" w:right="0"/>
              <w:jc w:val="center"/>
              <w:rPr>
                <w:rFonts w:hint="default"/>
                <w:b/>
                <w:bCs w:val="0"/>
                <w:u w:val="none"/>
                <w:vertAlign w:val="baseline"/>
                <w:lang w:val="en-US" w:eastAsia="zh-CN"/>
              </w:rPr>
            </w:pPr>
            <w:r>
              <w:rPr>
                <w:rFonts w:hint="eastAsia" w:ascii="Times New Roman" w:eastAsia="宋体"/>
                <w:b/>
                <w:bCs w:val="0"/>
                <w:u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最大预测落地浓度（mg/m³）</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1.81E-04</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2.27E-03</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2.50E-02</w:t>
            </w:r>
          </w:p>
        </w:tc>
        <w:tc>
          <w:tcPr>
            <w:tcW w:w="18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4.44E-03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占标率（%）</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1.81</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1.13</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0.37</w:t>
            </w:r>
          </w:p>
        </w:tc>
        <w:tc>
          <w:tcPr>
            <w:tcW w:w="18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超标倍数</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c>
          <w:tcPr>
            <w:tcW w:w="18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落地距离</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211</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211</w:t>
            </w:r>
          </w:p>
        </w:tc>
        <w:tc>
          <w:tcPr>
            <w:tcW w:w="182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211</w:t>
            </w:r>
          </w:p>
        </w:tc>
        <w:tc>
          <w:tcPr>
            <w:tcW w:w="18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211</w:t>
            </w:r>
          </w:p>
        </w:tc>
      </w:tr>
    </w:tbl>
    <w:p>
      <w:pPr>
        <w:topLinePunct/>
        <w:spacing w:line="360" w:lineRule="auto"/>
        <w:jc w:val="left"/>
        <w:rPr>
          <w:rFonts w:hint="eastAsia"/>
          <w:b w:val="0"/>
          <w:bCs/>
          <w:sz w:val="24"/>
          <w:u w:val="none"/>
          <w:lang w:val="en-US" w:eastAsia="zh-CN"/>
        </w:rPr>
      </w:pPr>
      <w:r>
        <w:rPr>
          <w:rFonts w:hint="eastAsia"/>
          <w:b w:val="0"/>
          <w:bCs/>
          <w:sz w:val="24"/>
          <w:u w:val="none"/>
          <w:lang w:val="en-US" w:eastAsia="zh-CN"/>
        </w:rPr>
        <w:t>由表可知，若治理措施因各种原因导致效率降低或者停运等最严重情况下，污染物的落地浓度将远远高于治理措施正常运转的落地浓度，因此，建设项目在运营期间必须加强管理，杜绝恶臭废气事故排放。</w:t>
      </w:r>
    </w:p>
    <w:p>
      <w:pPr>
        <w:topLinePunct/>
        <w:spacing w:line="360" w:lineRule="auto"/>
        <w:jc w:val="left"/>
        <w:rPr>
          <w:rFonts w:hint="eastAsia"/>
          <w:b/>
          <w:sz w:val="24"/>
          <w:u w:val="none"/>
          <w:lang w:val="en-US" w:eastAsia="zh-CN"/>
        </w:rPr>
      </w:pPr>
      <w:r>
        <w:rPr>
          <w:rFonts w:hint="eastAsia"/>
          <w:b/>
          <w:sz w:val="24"/>
          <w:u w:val="none"/>
          <w:lang w:val="en-US" w:eastAsia="zh-CN"/>
        </w:rPr>
        <w:t>8.1.6大气环境防护距离</w:t>
      </w:r>
    </w:p>
    <w:p>
      <w:pPr>
        <w:topLinePunct/>
        <w:snapToGrid w:val="0"/>
        <w:spacing w:line="360" w:lineRule="auto"/>
        <w:ind w:firstLine="480" w:firstLineChars="200"/>
        <w:jc w:val="left"/>
        <w:rPr>
          <w:sz w:val="24"/>
          <w:u w:val="none"/>
        </w:rPr>
      </w:pPr>
      <w:r>
        <w:rPr>
          <w:sz w:val="24"/>
          <w:u w:val="none"/>
        </w:rPr>
        <w:t>根据《环境影响评价技术导则——大气环境》中大气环境防护距离的设置要求，采用该导则中推荐的估算模式计算项目大气环境防护距离，其中有组织排放情况有前表可知，各有组织废气排放均能实现达标排放，最大落地浓度无超标点，不需设置大气环境防护距离；而项目无组织废气排放情况计算结果见下表。</w:t>
      </w:r>
    </w:p>
    <w:p>
      <w:pPr>
        <w:pStyle w:val="352"/>
        <w:rPr>
          <w:rFonts w:hint="eastAsia"/>
          <w:b/>
          <w:bCs/>
          <w:u w:val="none"/>
          <w:lang w:val="en-US" w:eastAsia="zh-CN"/>
        </w:rPr>
      </w:pPr>
      <w:r>
        <w:rPr>
          <w:rFonts w:hint="eastAsia"/>
          <w:b/>
          <w:bCs/>
          <w:u w:val="none"/>
          <w:lang w:val="en-US" w:eastAsia="zh-CN"/>
        </w:rPr>
        <w:t>表8-13  大气环境防护距离计算结果</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污染物名称</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排放源</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排放量（t/a）</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标准（mg/m³）</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厂界浓度影响值（mg/m³）</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大气环境防护距离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cs="Times New Roman"/>
                <w:b/>
                <w:bCs w:val="0"/>
                <w:u w:val="none"/>
                <w:lang w:val="en-US" w:eastAsia="zh-CN"/>
              </w:rPr>
              <w:t>NH</w:t>
            </w:r>
            <w:r>
              <w:rPr>
                <w:rFonts w:hint="eastAsia" w:cs="Times New Roman"/>
                <w:b/>
                <w:bCs w:val="0"/>
                <w:u w:val="none"/>
                <w:vertAlign w:val="subscript"/>
                <w:lang w:val="en-US" w:eastAsia="zh-CN"/>
              </w:rPr>
              <w:t>3</w:t>
            </w:r>
          </w:p>
        </w:tc>
        <w:tc>
          <w:tcPr>
            <w:tcW w:w="1548" w:type="dxa"/>
            <w:vMerge w:val="restart"/>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处置车间</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0.0438</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0.2</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无超标点</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default" w:ascii="Times New Roman" w:hAnsi="Times New Roman" w:cs="Times New Roman"/>
                <w:b/>
                <w:bCs w:val="0"/>
                <w:u w:val="none"/>
                <w:lang w:val="en-US" w:eastAsia="zh-CN"/>
              </w:rPr>
              <w:t>H</w:t>
            </w:r>
            <w:r>
              <w:rPr>
                <w:rFonts w:hint="default" w:ascii="Times New Roman" w:hAnsi="Times New Roman" w:cs="Times New Roman"/>
                <w:b/>
                <w:bCs w:val="0"/>
                <w:u w:val="none"/>
                <w:vertAlign w:val="subscript"/>
                <w:lang w:val="en-US" w:eastAsia="zh-CN"/>
              </w:rPr>
              <w:t>2</w:t>
            </w:r>
            <w:r>
              <w:rPr>
                <w:rFonts w:hint="default" w:ascii="Times New Roman" w:hAnsi="Times New Roman" w:cs="Times New Roman"/>
                <w:b/>
                <w:bCs w:val="0"/>
                <w:u w:val="none"/>
                <w:lang w:val="en-US" w:eastAsia="zh-CN"/>
              </w:rPr>
              <w:t>S</w:t>
            </w:r>
          </w:p>
        </w:tc>
        <w:tc>
          <w:tcPr>
            <w:tcW w:w="154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0.0035</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0.01</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无超标点</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0</w:t>
            </w:r>
          </w:p>
        </w:tc>
      </w:tr>
    </w:tbl>
    <w:p>
      <w:pPr>
        <w:topLinePunct/>
        <w:snapToGrid w:val="0"/>
        <w:spacing w:line="360" w:lineRule="auto"/>
        <w:ind w:firstLine="480" w:firstLineChars="200"/>
        <w:jc w:val="left"/>
        <w:rPr>
          <w:rFonts w:hint="eastAsia" w:eastAsia="宋体"/>
          <w:sz w:val="24"/>
          <w:u w:val="none"/>
          <w:lang w:eastAsia="zh-CN"/>
        </w:rPr>
      </w:pPr>
      <w:r>
        <w:rPr>
          <w:rFonts w:hint="eastAsia"/>
          <w:sz w:val="24"/>
          <w:u w:val="none"/>
          <w:lang w:eastAsia="zh-CN"/>
        </w:rPr>
        <w:t>根据预测可知，</w:t>
      </w:r>
      <w:r>
        <w:rPr>
          <w:sz w:val="24"/>
          <w:u w:val="none"/>
        </w:rPr>
        <w:t>本项目无组织排放在厂界无超标点。因此，本项目不需设置大气防护距离</w:t>
      </w:r>
      <w:r>
        <w:rPr>
          <w:rFonts w:hint="eastAsia"/>
          <w:sz w:val="24"/>
          <w:u w:val="none"/>
          <w:lang w:eastAsia="zh-CN"/>
        </w:rPr>
        <w:t>。</w:t>
      </w:r>
    </w:p>
    <w:p>
      <w:pPr>
        <w:topLinePunct/>
        <w:spacing w:line="360" w:lineRule="auto"/>
        <w:jc w:val="left"/>
        <w:rPr>
          <w:rFonts w:hint="eastAsia"/>
          <w:b/>
          <w:sz w:val="24"/>
          <w:u w:val="none"/>
          <w:lang w:val="en-US" w:eastAsia="zh-CN"/>
        </w:rPr>
      </w:pPr>
      <w:r>
        <w:rPr>
          <w:rFonts w:hint="eastAsia"/>
          <w:b/>
          <w:sz w:val="24"/>
          <w:u w:val="none"/>
          <w:lang w:val="en-US" w:eastAsia="zh-CN"/>
        </w:rPr>
        <w:t>8.1.7卫生防护距离计算</w:t>
      </w:r>
    </w:p>
    <w:p>
      <w:pPr>
        <w:tabs>
          <w:tab w:val="left" w:pos="1677"/>
        </w:tabs>
        <w:spacing w:line="360" w:lineRule="auto"/>
        <w:ind w:firstLine="480" w:firstLineChars="200"/>
        <w:rPr>
          <w:sz w:val="24"/>
          <w:u w:val="none"/>
        </w:rPr>
      </w:pPr>
      <w:r>
        <w:rPr>
          <w:sz w:val="24"/>
          <w:u w:val="none"/>
        </w:rPr>
        <w:t>根据《制定地方大气污染物排放标准的技术方法》（GB/T13201－91），卫生</w:t>
      </w:r>
      <w:r>
        <w:rPr>
          <w:rFonts w:asciiTheme="minorEastAsia" w:hAnsiTheme="minorEastAsia" w:eastAsiaTheme="minorEastAsia"/>
          <w:sz w:val="24"/>
          <w:u w:val="none"/>
        </w:rPr>
        <w:t>防护距离系指产生有害因素“无组织排放源所在的生产单元（生产区、车间或工段）与居民区之间”的最小距离。</w:t>
      </w:r>
    </w:p>
    <w:p>
      <w:pPr>
        <w:spacing w:line="360" w:lineRule="auto"/>
        <w:ind w:firstLine="560"/>
        <w:rPr>
          <w:sz w:val="24"/>
          <w:u w:val="none"/>
        </w:rPr>
      </w:pPr>
      <w:r>
        <w:rPr>
          <w:sz w:val="24"/>
          <w:u w:val="none"/>
        </w:rPr>
        <w:t>卫生防护距离在100m以内时，级差为50m，超过100m，但小于或等于1000m时，级差为100m；超过1000m以上，级差为200m。</w:t>
      </w:r>
    </w:p>
    <w:p>
      <w:pPr>
        <w:spacing w:line="360" w:lineRule="auto"/>
        <w:ind w:firstLine="560"/>
        <w:rPr>
          <w:sz w:val="24"/>
          <w:u w:val="none"/>
        </w:rPr>
      </w:pPr>
      <w:r>
        <w:rPr>
          <w:sz w:val="24"/>
          <w:u w:val="none"/>
        </w:rPr>
        <w:t>根据《制定地方大气污染物排放标准的技术方法》（GB/T13201－91）第7章的制定方法，卫生防护距离按下式计算：</w:t>
      </w:r>
    </w:p>
    <w:p>
      <w:pPr>
        <w:snapToGrid w:val="0"/>
        <w:spacing w:line="360" w:lineRule="auto"/>
        <w:ind w:firstLine="560"/>
        <w:jc w:val="center"/>
        <w:rPr>
          <w:sz w:val="24"/>
          <w:u w:val="none"/>
        </w:rPr>
      </w:pPr>
      <w:r>
        <w:rPr>
          <w:sz w:val="24"/>
          <w:u w:val="none"/>
        </w:rPr>
        <w:drawing>
          <wp:inline distT="0" distB="0" distL="0" distR="0">
            <wp:extent cx="1838325" cy="428625"/>
            <wp:effectExtent l="0" t="0" r="9525" b="952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38325" cy="428625"/>
                    </a:xfrm>
                    <a:prstGeom prst="rect">
                      <a:avLst/>
                    </a:prstGeom>
                    <a:noFill/>
                    <a:ln>
                      <a:noFill/>
                    </a:ln>
                  </pic:spPr>
                </pic:pic>
              </a:graphicData>
            </a:graphic>
          </wp:inline>
        </w:drawing>
      </w:r>
    </w:p>
    <w:p>
      <w:pPr>
        <w:spacing w:line="360" w:lineRule="auto"/>
        <w:ind w:firstLine="560"/>
        <w:rPr>
          <w:sz w:val="24"/>
          <w:u w:val="none"/>
        </w:rPr>
      </w:pPr>
      <w:r>
        <w:rPr>
          <w:sz w:val="24"/>
          <w:u w:val="none"/>
        </w:rPr>
        <w:t>式中：</w:t>
      </w:r>
    </w:p>
    <w:p>
      <w:pPr>
        <w:pStyle w:val="330"/>
        <w:topLinePunct/>
        <w:spacing w:line="360" w:lineRule="auto"/>
        <w:ind w:firstLine="480" w:firstLineChars="200"/>
        <w:rPr>
          <w:sz w:val="24"/>
          <w:szCs w:val="24"/>
          <w:u w:val="none"/>
        </w:rPr>
      </w:pPr>
      <w:r>
        <w:rPr>
          <w:sz w:val="24"/>
          <w:szCs w:val="24"/>
          <w:u w:val="none"/>
        </w:rPr>
        <w:t>C</w:t>
      </w:r>
      <w:r>
        <w:rPr>
          <w:sz w:val="24"/>
          <w:szCs w:val="24"/>
          <w:u w:val="none"/>
          <w:vertAlign w:val="subscript"/>
        </w:rPr>
        <w:t>m</w:t>
      </w:r>
      <w:r>
        <w:rPr>
          <w:sz w:val="24"/>
          <w:szCs w:val="24"/>
          <w:u w:val="none"/>
        </w:rPr>
        <w:t>：评价标准浓度限值，取小时浓度或一次浓度限值，如果只有日均浓度限值，则取其3倍进行测算，mg/Nm</w:t>
      </w:r>
      <w:r>
        <w:rPr>
          <w:sz w:val="24"/>
          <w:szCs w:val="24"/>
          <w:u w:val="none"/>
          <w:vertAlign w:val="superscript"/>
        </w:rPr>
        <w:t>3</w:t>
      </w:r>
      <w:r>
        <w:rPr>
          <w:sz w:val="24"/>
          <w:szCs w:val="24"/>
          <w:u w:val="none"/>
        </w:rPr>
        <w:t>；</w:t>
      </w:r>
    </w:p>
    <w:p>
      <w:pPr>
        <w:spacing w:line="360" w:lineRule="auto"/>
        <w:ind w:firstLine="560"/>
        <w:rPr>
          <w:sz w:val="24"/>
          <w:u w:val="none"/>
        </w:rPr>
      </w:pPr>
      <w:r>
        <w:rPr>
          <w:sz w:val="24"/>
          <w:u w:val="none"/>
        </w:rPr>
        <w:t>L：工业企业所需卫生防护距离，m；</w:t>
      </w:r>
    </w:p>
    <w:p>
      <w:pPr>
        <w:spacing w:line="360" w:lineRule="auto"/>
        <w:ind w:firstLine="560"/>
        <w:rPr>
          <w:sz w:val="24"/>
          <w:u w:val="none"/>
        </w:rPr>
      </w:pPr>
      <w:r>
        <w:rPr>
          <w:sz w:val="24"/>
          <w:u w:val="none"/>
        </w:rPr>
        <w:t>r：有害气体无组织排放源所在生产单元的等效半径，m。根据生产单元占地面积S（m</w:t>
      </w:r>
      <w:r>
        <w:rPr>
          <w:sz w:val="24"/>
          <w:u w:val="none"/>
          <w:vertAlign w:val="superscript"/>
        </w:rPr>
        <w:t>2</w:t>
      </w:r>
      <w:r>
        <w:rPr>
          <w:sz w:val="24"/>
          <w:u w:val="none"/>
        </w:rPr>
        <w:t>）计算，</w:t>
      </w:r>
      <w:r>
        <w:rPr>
          <w:sz w:val="24"/>
          <w:u w:val="none"/>
        </w:rPr>
        <w:drawing>
          <wp:inline distT="0" distB="0" distL="0" distR="0">
            <wp:extent cx="800100" cy="228600"/>
            <wp:effectExtent l="0" t="0" r="0" b="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00100" cy="228600"/>
                    </a:xfrm>
                    <a:prstGeom prst="rect">
                      <a:avLst/>
                    </a:prstGeom>
                    <a:noFill/>
                    <a:ln>
                      <a:noFill/>
                    </a:ln>
                  </pic:spPr>
                </pic:pic>
              </a:graphicData>
            </a:graphic>
          </wp:inline>
        </w:drawing>
      </w:r>
      <w:r>
        <w:rPr>
          <w:sz w:val="24"/>
          <w:u w:val="none"/>
        </w:rPr>
        <w:t>；</w:t>
      </w:r>
    </w:p>
    <w:p>
      <w:pPr>
        <w:spacing w:line="360" w:lineRule="auto"/>
        <w:ind w:firstLine="560"/>
        <w:rPr>
          <w:sz w:val="24"/>
          <w:u w:val="none"/>
        </w:rPr>
      </w:pPr>
      <w:r>
        <w:rPr>
          <w:sz w:val="24"/>
          <w:u w:val="none"/>
        </w:rPr>
        <w:t>A，B，C，D：卫生防护距离计算系数（无因次），根据本项目所在地的特征和及污染物的排放情况，分别查表取值见下表；</w:t>
      </w:r>
    </w:p>
    <w:p>
      <w:pPr>
        <w:spacing w:line="360" w:lineRule="auto"/>
        <w:ind w:firstLine="560"/>
        <w:rPr>
          <w:sz w:val="24"/>
          <w:u w:val="none"/>
        </w:rPr>
      </w:pPr>
      <w:r>
        <w:rPr>
          <w:sz w:val="24"/>
          <w:u w:val="none"/>
        </w:rPr>
        <w:t>Q</w:t>
      </w:r>
      <w:r>
        <w:rPr>
          <w:sz w:val="24"/>
          <w:u w:val="none"/>
          <w:vertAlign w:val="subscript"/>
        </w:rPr>
        <w:t>C</w:t>
      </w:r>
      <w:r>
        <w:rPr>
          <w:sz w:val="24"/>
          <w:u w:val="none"/>
        </w:rPr>
        <w:t>：工业企业有害气体无组织排放量可以达到的控制水平，kg/h。</w:t>
      </w:r>
    </w:p>
    <w:p>
      <w:pPr>
        <w:topLinePunct/>
        <w:snapToGrid w:val="0"/>
        <w:spacing w:line="360" w:lineRule="auto"/>
        <w:ind w:firstLine="480" w:firstLineChars="200"/>
        <w:jc w:val="left"/>
        <w:rPr>
          <w:sz w:val="24"/>
          <w:u w:val="none"/>
        </w:rPr>
      </w:pPr>
      <w:r>
        <w:rPr>
          <w:sz w:val="24"/>
          <w:u w:val="none"/>
        </w:rPr>
        <w:t>本项目卫生防护距离计算参数和结果见下表。</w:t>
      </w:r>
    </w:p>
    <w:p>
      <w:pPr>
        <w:pStyle w:val="352"/>
        <w:rPr>
          <w:rFonts w:hint="eastAsia"/>
          <w:b/>
          <w:bCs/>
          <w:u w:val="none"/>
          <w:lang w:val="en-US" w:eastAsia="zh-CN"/>
        </w:rPr>
      </w:pPr>
      <w:r>
        <w:rPr>
          <w:rFonts w:hint="eastAsia"/>
          <w:b/>
          <w:bCs/>
          <w:u w:val="none"/>
          <w:lang w:val="en-US" w:eastAsia="zh-CN"/>
        </w:rPr>
        <w:t>表8-13 卫生防护距离参数及计算结果表</w:t>
      </w:r>
    </w:p>
    <w:tbl>
      <w:tblPr>
        <w:tblStyle w:val="5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900"/>
        <w:gridCol w:w="1013"/>
        <w:gridCol w:w="850"/>
        <w:gridCol w:w="900"/>
        <w:gridCol w:w="1050"/>
        <w:gridCol w:w="833"/>
        <w:gridCol w:w="869"/>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污染源</w:t>
            </w:r>
          </w:p>
        </w:tc>
        <w:tc>
          <w:tcPr>
            <w:tcW w:w="90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污染源类型</w:t>
            </w:r>
          </w:p>
        </w:tc>
        <w:tc>
          <w:tcPr>
            <w:tcW w:w="1013"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污染物</w:t>
            </w:r>
          </w:p>
        </w:tc>
        <w:tc>
          <w:tcPr>
            <w:tcW w:w="850"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排放源面积（</w:t>
            </w:r>
            <w:r>
              <w:rPr>
                <w:rFonts w:hint="eastAsia"/>
                <w:b/>
                <w:bCs/>
                <w:u w:val="none"/>
                <w:lang w:val="en-US" w:eastAsia="zh-CN"/>
              </w:rPr>
              <w:t>m²</w:t>
            </w:r>
            <w:r>
              <w:rPr>
                <w:rFonts w:hint="eastAsia"/>
                <w:b/>
                <w:bCs/>
                <w:u w:val="none"/>
                <w:lang w:eastAsia="zh-CN"/>
              </w:rPr>
              <w:t>）</w:t>
            </w:r>
          </w:p>
        </w:tc>
        <w:tc>
          <w:tcPr>
            <w:tcW w:w="900"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面源高度（</w:t>
            </w:r>
            <w:r>
              <w:rPr>
                <w:rFonts w:hint="eastAsia"/>
                <w:b/>
                <w:bCs/>
                <w:u w:val="none"/>
                <w:lang w:val="en-US" w:eastAsia="zh-CN"/>
              </w:rPr>
              <w:t>m</w:t>
            </w:r>
            <w:r>
              <w:rPr>
                <w:rFonts w:hint="eastAsia"/>
                <w:b/>
                <w:bCs/>
                <w:u w:val="none"/>
                <w:lang w:eastAsia="zh-CN"/>
              </w:rPr>
              <w:t>）</w:t>
            </w:r>
          </w:p>
        </w:tc>
        <w:tc>
          <w:tcPr>
            <w:tcW w:w="1050"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排放量（</w:t>
            </w:r>
            <w:r>
              <w:rPr>
                <w:rFonts w:hint="eastAsia"/>
                <w:b/>
                <w:bCs/>
                <w:u w:val="none"/>
                <w:lang w:val="en-US" w:eastAsia="zh-CN"/>
              </w:rPr>
              <w:t>kg/h</w:t>
            </w:r>
            <w:r>
              <w:rPr>
                <w:rFonts w:hint="eastAsia"/>
                <w:b/>
                <w:bCs/>
                <w:u w:val="none"/>
                <w:lang w:eastAsia="zh-CN"/>
              </w:rPr>
              <w:t>）</w:t>
            </w:r>
          </w:p>
        </w:tc>
        <w:tc>
          <w:tcPr>
            <w:tcW w:w="833"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计算结果（</w:t>
            </w:r>
            <w:r>
              <w:rPr>
                <w:rFonts w:hint="eastAsia"/>
                <w:b/>
                <w:bCs/>
                <w:u w:val="none"/>
                <w:lang w:val="en-US" w:eastAsia="zh-CN"/>
              </w:rPr>
              <w:t>m</w:t>
            </w:r>
            <w:r>
              <w:rPr>
                <w:rFonts w:hint="eastAsia"/>
                <w:b/>
                <w:bCs/>
                <w:u w:val="none"/>
                <w:lang w:eastAsia="zh-CN"/>
              </w:rPr>
              <w:t>）</w:t>
            </w:r>
          </w:p>
        </w:tc>
        <w:tc>
          <w:tcPr>
            <w:tcW w:w="869"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卫生防护距离（</w:t>
            </w:r>
            <w:r>
              <w:rPr>
                <w:rFonts w:hint="eastAsia"/>
                <w:b/>
                <w:bCs/>
                <w:u w:val="none"/>
                <w:lang w:val="en-US" w:eastAsia="zh-CN"/>
              </w:rPr>
              <w:t>m</w:t>
            </w:r>
            <w:r>
              <w:rPr>
                <w:rFonts w:hint="eastAsia"/>
                <w:b/>
                <w:bCs/>
                <w:u w:val="none"/>
                <w:lang w:eastAsia="zh-CN"/>
              </w:rPr>
              <w:t>）</w:t>
            </w:r>
          </w:p>
        </w:tc>
        <w:tc>
          <w:tcPr>
            <w:tcW w:w="948"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提级后</w:t>
            </w:r>
            <w:r>
              <w:rPr>
                <w:rFonts w:hint="default"/>
                <w:b/>
                <w:bCs/>
                <w:u w:val="none"/>
              </w:rPr>
              <w:t>卫生防护距离</w:t>
            </w:r>
            <w:r>
              <w:rPr>
                <w:rFonts w:hint="eastAsia"/>
                <w:b/>
                <w:bCs/>
                <w:u w:val="none"/>
                <w:lang w:eastAsia="zh-CN"/>
              </w:rPr>
              <w:t>（</w:t>
            </w:r>
            <w:r>
              <w:rPr>
                <w:rFonts w:hint="eastAsia"/>
                <w:b/>
                <w:bCs/>
                <w:u w:val="none"/>
                <w:lang w:val="en-US" w:eastAsia="zh-CN"/>
              </w:rPr>
              <w:t>m</w:t>
            </w:r>
            <w:r>
              <w:rPr>
                <w:rFonts w:hint="eastAsia"/>
                <w:b/>
                <w:bCs/>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处置车间</w:t>
            </w:r>
          </w:p>
        </w:tc>
        <w:tc>
          <w:tcPr>
            <w:tcW w:w="900" w:type="dxa"/>
            <w:vMerge w:val="restart"/>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面源</w:t>
            </w:r>
          </w:p>
        </w:tc>
        <w:tc>
          <w:tcPr>
            <w:tcW w:w="1013" w:type="dxa"/>
            <w:vAlign w:val="center"/>
          </w:tcPr>
          <w:p>
            <w:pPr>
              <w:pStyle w:val="352"/>
              <w:keepNext w:val="0"/>
              <w:keepLines w:val="0"/>
              <w:suppressLineNumbers w:val="0"/>
              <w:spacing w:before="0" w:beforeAutospacing="0" w:after="0" w:afterAutospacing="0"/>
              <w:ind w:left="0" w:right="0" w:firstLine="0" w:firstLineChars="0"/>
              <w:jc w:val="center"/>
              <w:rPr>
                <w:rFonts w:hint="eastAsia" w:eastAsia="宋体"/>
                <w:b w:val="0"/>
                <w:bCs/>
                <w:u w:val="none"/>
                <w:lang w:val="en-US" w:eastAsia="zh-CN"/>
              </w:rPr>
            </w:pPr>
            <w:r>
              <w:rPr>
                <w:rFonts w:hint="eastAsia" w:cs="Times New Roman"/>
                <w:b w:val="0"/>
                <w:bCs/>
                <w:u w:val="none"/>
                <w:lang w:val="en-US" w:eastAsia="zh-CN"/>
              </w:rPr>
              <w:t>NH</w:t>
            </w:r>
            <w:r>
              <w:rPr>
                <w:rFonts w:hint="eastAsia" w:cs="Times New Roman"/>
                <w:b w:val="0"/>
                <w:bCs/>
                <w:u w:val="none"/>
                <w:vertAlign w:val="subscript"/>
                <w:lang w:val="en-US" w:eastAsia="zh-CN"/>
              </w:rPr>
              <w:t>3</w:t>
            </w:r>
          </w:p>
        </w:tc>
        <w:tc>
          <w:tcPr>
            <w:tcW w:w="850" w:type="dxa"/>
            <w:vMerge w:val="restart"/>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515</w:t>
            </w:r>
          </w:p>
        </w:tc>
        <w:tc>
          <w:tcPr>
            <w:tcW w:w="900" w:type="dxa"/>
            <w:vMerge w:val="restart"/>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rPr>
            </w:pPr>
            <w:r>
              <w:rPr>
                <w:rFonts w:hint="eastAsia"/>
                <w:b w:val="0"/>
                <w:bCs/>
                <w:u w:val="none"/>
                <w:lang w:val="en-US" w:eastAsia="zh-CN"/>
              </w:rPr>
              <w:t>7</w:t>
            </w:r>
          </w:p>
        </w:tc>
        <w:tc>
          <w:tcPr>
            <w:tcW w:w="1050"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r>
              <w:rPr>
                <w:rFonts w:hint="eastAsia"/>
                <w:b w:val="0"/>
                <w:bCs/>
                <w:u w:val="none"/>
                <w:lang w:val="en-US" w:eastAsia="zh-CN"/>
              </w:rPr>
              <w:t>1.85</w:t>
            </w:r>
          </w:p>
        </w:tc>
        <w:tc>
          <w:tcPr>
            <w:tcW w:w="833"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3.192</w:t>
            </w:r>
          </w:p>
        </w:tc>
        <w:tc>
          <w:tcPr>
            <w:tcW w:w="86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50</w:t>
            </w:r>
          </w:p>
        </w:tc>
        <w:tc>
          <w:tcPr>
            <w:tcW w:w="948" w:type="dxa"/>
            <w:vMerge w:val="restart"/>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continue"/>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p>
        </w:tc>
        <w:tc>
          <w:tcPr>
            <w:tcW w:w="900" w:type="dxa"/>
            <w:vMerge w:val="continue"/>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p>
        </w:tc>
        <w:tc>
          <w:tcPr>
            <w:tcW w:w="1013" w:type="dxa"/>
            <w:vAlign w:val="center"/>
          </w:tcPr>
          <w:p>
            <w:pPr>
              <w:pStyle w:val="352"/>
              <w:keepNext w:val="0"/>
              <w:keepLines w:val="0"/>
              <w:suppressLineNumbers w:val="0"/>
              <w:spacing w:before="0" w:beforeAutospacing="0" w:after="0" w:afterAutospacing="0"/>
              <w:ind w:left="0" w:right="0" w:firstLine="0" w:firstLineChars="0"/>
              <w:jc w:val="center"/>
              <w:rPr>
                <w:rFonts w:hint="eastAsia" w:eastAsia="宋体"/>
                <w:b w:val="0"/>
                <w:bCs/>
                <w:u w:val="none"/>
                <w:lang w:val="en-US" w:eastAsia="zh-CN"/>
              </w:rPr>
            </w:pPr>
            <w:r>
              <w:rPr>
                <w:rFonts w:hint="default" w:ascii="Times New Roman" w:hAnsi="Times New Roman" w:cs="Times New Roman"/>
                <w:b w:val="0"/>
                <w:bCs/>
                <w:u w:val="none"/>
                <w:lang w:val="en-US" w:eastAsia="zh-CN"/>
              </w:rPr>
              <w:t>H</w:t>
            </w:r>
            <w:r>
              <w:rPr>
                <w:rFonts w:hint="default" w:ascii="Times New Roman" w:hAnsi="Times New Roman" w:cs="Times New Roman"/>
                <w:b w:val="0"/>
                <w:bCs/>
                <w:u w:val="none"/>
                <w:vertAlign w:val="subscript"/>
                <w:lang w:val="en-US" w:eastAsia="zh-CN"/>
              </w:rPr>
              <w:t>2</w:t>
            </w:r>
            <w:r>
              <w:rPr>
                <w:rFonts w:hint="default" w:ascii="Times New Roman" w:hAnsi="Times New Roman" w:cs="Times New Roman"/>
                <w:b w:val="0"/>
                <w:bCs/>
                <w:u w:val="none"/>
                <w:lang w:val="en-US" w:eastAsia="zh-CN"/>
              </w:rPr>
              <w:t>S</w:t>
            </w:r>
          </w:p>
        </w:tc>
        <w:tc>
          <w:tcPr>
            <w:tcW w:w="850" w:type="dxa"/>
            <w:vMerge w:val="continue"/>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p>
        </w:tc>
        <w:tc>
          <w:tcPr>
            <w:tcW w:w="900"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rPr>
            </w:pPr>
          </w:p>
        </w:tc>
        <w:tc>
          <w:tcPr>
            <w:tcW w:w="1050"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rPr>
            </w:pPr>
            <w:r>
              <w:rPr>
                <w:rFonts w:hint="eastAsia"/>
                <w:b w:val="0"/>
                <w:bCs/>
                <w:u w:val="none"/>
                <w:lang w:val="en-US" w:eastAsia="zh-CN"/>
              </w:rPr>
              <w:t>1.85</w:t>
            </w:r>
          </w:p>
        </w:tc>
        <w:tc>
          <w:tcPr>
            <w:tcW w:w="833" w:type="dxa"/>
            <w:vAlign w:val="center"/>
          </w:tcPr>
          <w:p>
            <w:pPr>
              <w:pStyle w:val="352"/>
              <w:keepNext w:val="0"/>
              <w:keepLines w:val="0"/>
              <w:suppressLineNumbers w:val="0"/>
              <w:spacing w:before="0" w:beforeAutospacing="0" w:after="0" w:afterAutospacing="0"/>
              <w:ind w:left="0" w:leftChars="0" w:right="0" w:rightChars="0" w:firstLine="0" w:firstLineChars="0"/>
              <w:rPr>
                <w:rFonts w:hint="default"/>
                <w:b w:val="0"/>
                <w:bCs/>
                <w:u w:val="none"/>
                <w:lang w:val="en-US"/>
              </w:rPr>
            </w:pPr>
            <w:r>
              <w:rPr>
                <w:rFonts w:hint="eastAsia"/>
                <w:b w:val="0"/>
                <w:bCs/>
                <w:u w:val="none"/>
                <w:lang w:val="en-US" w:eastAsia="zh-CN"/>
              </w:rPr>
              <w:t>1.749</w:t>
            </w:r>
          </w:p>
        </w:tc>
        <w:tc>
          <w:tcPr>
            <w:tcW w:w="869"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50</w:t>
            </w:r>
          </w:p>
        </w:tc>
        <w:tc>
          <w:tcPr>
            <w:tcW w:w="948" w:type="dxa"/>
            <w:vMerge w:val="continue"/>
            <w:vAlign w:val="center"/>
          </w:tcPr>
          <w:p>
            <w:pPr>
              <w:pStyle w:val="352"/>
              <w:keepNext w:val="0"/>
              <w:keepLines w:val="0"/>
              <w:suppressLineNumbers w:val="0"/>
              <w:spacing w:before="0" w:beforeAutospacing="0" w:after="0" w:afterAutospacing="0"/>
              <w:ind w:left="0" w:right="0"/>
              <w:rPr>
                <w:rFonts w:hint="eastAsia" w:eastAsia="宋体"/>
                <w:b w:val="0"/>
                <w:bCs/>
                <w:u w:val="none"/>
                <w:lang w:val="en-US" w:eastAsia="zh-CN"/>
              </w:rPr>
            </w:pPr>
          </w:p>
        </w:tc>
      </w:tr>
    </w:tbl>
    <w:p>
      <w:pPr>
        <w:topLinePunct/>
        <w:snapToGrid w:val="0"/>
        <w:spacing w:line="360" w:lineRule="auto"/>
        <w:ind w:firstLine="480" w:firstLineChars="200"/>
        <w:jc w:val="left"/>
        <w:rPr>
          <w:sz w:val="24"/>
          <w:u w:val="none"/>
        </w:rPr>
      </w:pPr>
      <w:r>
        <w:rPr>
          <w:sz w:val="24"/>
          <w:u w:val="none"/>
        </w:rPr>
        <w:t>由计算结果可知，本项目应将分别以</w:t>
      </w:r>
      <w:r>
        <w:rPr>
          <w:rFonts w:hint="eastAsia"/>
          <w:sz w:val="24"/>
          <w:u w:val="none"/>
          <w:lang w:eastAsia="zh-CN"/>
        </w:rPr>
        <w:t>印铁车间和制盖车间</w:t>
      </w:r>
      <w:r>
        <w:rPr>
          <w:sz w:val="24"/>
          <w:u w:val="none"/>
        </w:rPr>
        <w:t>为边界起点，向外划定</w:t>
      </w:r>
      <w:r>
        <w:rPr>
          <w:rFonts w:hint="eastAsia"/>
          <w:sz w:val="24"/>
          <w:u w:val="none"/>
          <w:lang w:val="en-US" w:eastAsia="zh-CN"/>
        </w:rPr>
        <w:t>100</w:t>
      </w:r>
      <w:r>
        <w:rPr>
          <w:sz w:val="24"/>
          <w:u w:val="none"/>
        </w:rPr>
        <w:t>m范围的卫生防护距离</w:t>
      </w:r>
      <w:r>
        <w:rPr>
          <w:rFonts w:hint="eastAsia"/>
          <w:sz w:val="24"/>
          <w:u w:val="none"/>
        </w:rPr>
        <w:t>，卫生防护距离包络线图见附图。</w:t>
      </w:r>
    </w:p>
    <w:p>
      <w:pPr>
        <w:topLinePunct/>
        <w:snapToGrid w:val="0"/>
        <w:spacing w:line="360" w:lineRule="auto"/>
        <w:ind w:firstLine="480" w:firstLineChars="200"/>
        <w:jc w:val="left"/>
        <w:rPr>
          <w:sz w:val="24"/>
          <w:u w:val="none"/>
        </w:rPr>
      </w:pPr>
      <w:r>
        <w:rPr>
          <w:sz w:val="24"/>
          <w:u w:val="none"/>
        </w:rPr>
        <w:t>根据现场调查，项目卫生防护距离内无居民、学校、食品加工、制药等环境敏感目标，项目不涉及环境搬迁。同时，环评要求，在确定的卫生防护距离内，不得规划食品加工、制药行业和新建居住、医院、学校等环境敏感点。企业当协助规划部门监督卫生防护距离范围内敏感项目的建设，发现问题及时向相关部门反映。企业应加强厂房内环保设施运营管理，保证该集气设备的工作效率和环保设施运行的稳定性，进一步减少无组织源或避免事故排放对厂区外的影响。</w:t>
      </w:r>
    </w:p>
    <w:p>
      <w:pPr>
        <w:topLinePunct/>
        <w:spacing w:line="360" w:lineRule="auto"/>
        <w:jc w:val="left"/>
        <w:rPr>
          <w:rFonts w:hint="eastAsia"/>
          <w:b/>
          <w:sz w:val="24"/>
          <w:u w:val="none"/>
          <w:lang w:val="en-US" w:eastAsia="zh-CN"/>
        </w:rPr>
      </w:pPr>
      <w:r>
        <w:rPr>
          <w:rFonts w:hint="eastAsia"/>
          <w:b/>
          <w:sz w:val="24"/>
          <w:u w:val="none"/>
          <w:lang w:val="en-US" w:eastAsia="zh-CN"/>
        </w:rPr>
        <w:t>8.1.8大气环境影响评价结论</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由环境空气质量现状评价可知，本项目所在区域旺苍县环境空气中颗粒物和细颗粒物存在不同程度的超标，项目选址地位于不达标区，大气环境影响评价结论如下：</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1、根据《2018年旺苍县环境质量公告》，本项目所在区域环境空气质量超标因子主要为颗粒物和细颗粒物。本项目外排废物污染物主要为挥发性有机物、硫化氢、氨及颗粒物，通过补充监测可知，本项目大气评价范围内TVOC、硫化氢、氨及TSP等环境空气质量浓度均满足相应标准限值要求，评价范围内大气环境有相应的环境容量容纳本项目新增污染物。</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另外，自2018年起，旺苍县先后颁布《旺苍县蓝天保卫行动方案（2018—2020年）》（旺三大战役办〔2018〕14号）、《旺苍县2018年度蓝天保卫行动实施方案》（旺三大战役办〔2018〕16号）和《旺苍县打赢2018—2019年秋冬季蓝天保卫攻坚战“30条措施”》（旺委办函〔2018〕103号）等文件、方案，深入实施蓝天保卫三年行动，通过大力开展建筑施工扬尘、道路扬尘，餐饮油烟、秸秆禁烧、工业污染、机动车污染等重点整治工作，以改善区域环境空气质量。环境空气质量较去年有较大提升，1-11月，省控考核站点（红军城）达85.5%。</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通过采取上述措施，本项目所在区域空气质量2017年有较大提升，1-11月，省控考核站点（红军城）达85.5%，而项目新增排放污染物皆可实现现役源2倍削减量替代。</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2、根据AERSCREEN估算模式计算，本项目新增污染源正常排放下污染物短期浓度贡献值最大浓度占标率为2.88% ≤100%。</w:t>
      </w:r>
    </w:p>
    <w:p>
      <w:pPr>
        <w:pStyle w:val="71"/>
        <w:rPr>
          <w:rFonts w:hint="eastAsia"/>
          <w:color w:val="auto"/>
          <w:sz w:val="24"/>
          <w:u w:val="none"/>
          <w:lang w:val="en-US" w:eastAsia="zh-CN"/>
        </w:rPr>
      </w:pPr>
      <w:r>
        <w:rPr>
          <w:rFonts w:hint="eastAsia"/>
          <w:color w:val="auto"/>
          <w:sz w:val="24"/>
          <w:u w:val="none"/>
          <w:lang w:val="en-US" w:eastAsia="zh-CN"/>
        </w:rPr>
        <w:t>3、本项目排放的主要污染物短期浓度限值叠加环境质量现状浓度，叠加后的短期浓度符合环境质量标准限值。</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综上所述，评价认为迁建项目对区域大气环境影响可接受，建设项目环境空气质量自查表见附表。</w:t>
      </w:r>
    </w:p>
    <w:p>
      <w:pPr>
        <w:pStyle w:val="3"/>
        <w:rPr>
          <w:rFonts w:ascii="Times New Roman" w:hAnsi="Times New Roman"/>
          <w:sz w:val="28"/>
          <w:szCs w:val="28"/>
          <w:u w:val="none"/>
        </w:rPr>
      </w:pPr>
      <w:bookmarkStart w:id="75" w:name="_Toc1239"/>
      <w:r>
        <w:rPr>
          <w:rFonts w:hint="eastAsia" w:ascii="Times New Roman" w:hAnsi="Times New Roman"/>
          <w:sz w:val="28"/>
          <w:szCs w:val="28"/>
          <w:u w:val="none"/>
          <w:lang w:val="en-US" w:eastAsia="zh-CN"/>
        </w:rPr>
        <w:t>8</w:t>
      </w:r>
      <w:r>
        <w:rPr>
          <w:rFonts w:ascii="Times New Roman" w:hAnsi="Times New Roman"/>
          <w:sz w:val="28"/>
          <w:szCs w:val="28"/>
          <w:u w:val="none"/>
        </w:rPr>
        <w:t>.2地表水环境影响预测与评价</w:t>
      </w:r>
      <w:bookmarkEnd w:id="75"/>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属于水污染影响型项目，评价等级为三级B，根据《环境影响评价技术导则——地表水环境》（HJ2.3-2018）相关要求，水污染影响型三级B评价可不进行水环境影响预测，只进行地表水环境影响评价和污染源排放量核算。</w:t>
      </w:r>
    </w:p>
    <w:p>
      <w:pPr>
        <w:topLinePunct/>
        <w:spacing w:line="360" w:lineRule="auto"/>
        <w:jc w:val="left"/>
        <w:rPr>
          <w:rFonts w:hint="eastAsia"/>
          <w:b/>
          <w:sz w:val="24"/>
          <w:u w:val="none"/>
          <w:lang w:val="en-US" w:eastAsia="zh-CN"/>
        </w:rPr>
      </w:pPr>
      <w:r>
        <w:rPr>
          <w:rFonts w:hint="eastAsia"/>
          <w:b/>
          <w:sz w:val="24"/>
          <w:u w:val="none"/>
          <w:lang w:val="en-US" w:eastAsia="zh-CN"/>
        </w:rPr>
        <w:t>8.2.1地表水环境影响评价</w:t>
      </w:r>
    </w:p>
    <w:p>
      <w:pPr>
        <w:pStyle w:val="71"/>
        <w:rPr>
          <w:rFonts w:hint="eastAsia"/>
          <w:b w:val="0"/>
          <w:bCs/>
          <w:sz w:val="24"/>
          <w:u w:val="none"/>
          <w:lang w:val="en-US" w:eastAsia="zh-CN"/>
        </w:rPr>
      </w:pPr>
      <w:r>
        <w:rPr>
          <w:rFonts w:hint="eastAsia"/>
          <w:b w:val="0"/>
          <w:bCs/>
          <w:sz w:val="24"/>
          <w:u w:val="none"/>
          <w:lang w:val="en-US" w:eastAsia="zh-CN"/>
        </w:rPr>
        <w:t>一、水污染控制和水环境影响减缓措施有效性评价</w:t>
      </w:r>
    </w:p>
    <w:p>
      <w:pPr>
        <w:topLinePunct/>
        <w:spacing w:line="360" w:lineRule="auto"/>
        <w:ind w:firstLine="480" w:firstLineChars="200"/>
        <w:rPr>
          <w:rFonts w:hint="eastAsia"/>
          <w:sz w:val="24"/>
          <w:u w:val="none"/>
          <w:lang w:val="en-US" w:eastAsia="zh-CN"/>
        </w:rPr>
      </w:pPr>
      <w:r>
        <w:rPr>
          <w:rFonts w:hint="eastAsia"/>
          <w:sz w:val="24"/>
          <w:u w:val="none"/>
          <w:lang w:eastAsia="zh-CN"/>
        </w:rPr>
        <w:t>本项目排水实行“雨污分流制”，为控制各种废水的排放，本项目将生产废水、生活污水和初期雨水排入厂区内污水处理站进行处理，污水处理采用“调节</w:t>
      </w:r>
      <w:r>
        <w:rPr>
          <w:rFonts w:hint="eastAsia"/>
          <w:sz w:val="24"/>
          <w:u w:val="none"/>
          <w:lang w:val="en-US" w:eastAsia="zh-CN"/>
        </w:rPr>
        <w:t>+MBR生化+微滤+消毒</w:t>
      </w:r>
      <w:r>
        <w:rPr>
          <w:rFonts w:hint="eastAsia"/>
          <w:sz w:val="24"/>
          <w:u w:val="none"/>
          <w:lang w:eastAsia="zh-CN"/>
        </w:rPr>
        <w:t>”处理工艺，设计水量为</w:t>
      </w:r>
      <w:r>
        <w:rPr>
          <w:rFonts w:hint="eastAsia"/>
          <w:sz w:val="24"/>
          <w:u w:val="none"/>
          <w:lang w:val="en-US" w:eastAsia="zh-CN"/>
        </w:rPr>
        <w:t>10m³/d。</w:t>
      </w:r>
    </w:p>
    <w:p>
      <w:pPr>
        <w:topLinePunct/>
        <w:spacing w:line="360" w:lineRule="auto"/>
        <w:ind w:firstLine="480" w:firstLineChars="200"/>
        <w:rPr>
          <w:rFonts w:hint="eastAsia"/>
          <w:sz w:val="24"/>
          <w:u w:val="none"/>
          <w:lang w:val="en-US" w:eastAsia="zh-CN"/>
        </w:rPr>
      </w:pPr>
      <w:r>
        <w:rPr>
          <w:rFonts w:hint="eastAsia"/>
          <w:sz w:val="24"/>
          <w:u w:val="none"/>
          <w:lang w:val="en-US" w:eastAsia="zh-CN"/>
        </w:rPr>
        <w:t>本项目废水主要为清洗废水，废水中主要污染物为SS、COD等，污水经管网收集进入调节池以使水质均匀，之后进入MBR生物膜反应器中进一步去除有机物和SS，然后再经过微滤过滤废水中微米级的微粒和细菌，最后经二氧化氯消毒后可达到回用水水质标准，污水处理系统中的污泥按未处理的医疗垃圾进行处理。</w:t>
      </w:r>
    </w:p>
    <w:p>
      <w:pPr>
        <w:topLinePunct/>
        <w:spacing w:line="360" w:lineRule="auto"/>
        <w:ind w:firstLine="480" w:firstLineChars="200"/>
        <w:rPr>
          <w:rFonts w:hint="eastAsia"/>
          <w:sz w:val="24"/>
          <w:u w:val="none"/>
          <w:lang w:val="en-US" w:eastAsia="zh-CN"/>
        </w:rPr>
      </w:pPr>
      <w:r>
        <w:rPr>
          <w:rFonts w:hint="eastAsia"/>
          <w:sz w:val="24"/>
          <w:u w:val="none"/>
          <w:lang w:val="en-US" w:eastAsia="zh-CN"/>
        </w:rPr>
        <w:t>污水处理站工艺流程图见下图。</w:t>
      </w:r>
    </w:p>
    <w:p>
      <w:pPr>
        <w:pStyle w:val="352"/>
        <w:rPr>
          <w:rFonts w:hint="eastAsia"/>
          <w:b/>
          <w:bCs/>
          <w:u w:val="none"/>
          <w:lang w:val="en-US" w:eastAsia="zh-CN"/>
        </w:rPr>
      </w:pPr>
      <w:r>
        <w:rPr>
          <w:rFonts w:hint="eastAsia"/>
          <w:b/>
          <w:bCs/>
          <w:u w:val="none"/>
          <w:lang w:val="en-US" w:eastAsia="zh-CN"/>
        </w:rPr>
        <w:object>
          <v:shape id="_x0000_i1042" o:spt="75" type="#_x0000_t75" style="height:119.55pt;width:453.35pt;" o:ole="t" filled="f" o:preferrelative="t" stroked="f" coordsize="21600,21600">
            <v:path/>
            <v:fill on="f" focussize="0,0"/>
            <v:stroke on="f"/>
            <v:imagedata r:id="rId53" o:title=""/>
            <o:lock v:ext="edit" aspectratio="f"/>
            <w10:wrap type="none"/>
            <w10:anchorlock/>
          </v:shape>
          <o:OLEObject Type="Embed" ProgID="Visio.Drawing.11" ShapeID="_x0000_i1042" DrawAspect="Content" ObjectID="_1468075742" r:id="rId52">
            <o:LockedField>false</o:LockedField>
          </o:OLEObject>
        </w:object>
      </w:r>
    </w:p>
    <w:p>
      <w:pPr>
        <w:pStyle w:val="352"/>
        <w:rPr>
          <w:rFonts w:hint="default"/>
          <w:b/>
          <w:bCs/>
          <w:u w:val="none"/>
          <w:lang w:val="en-US" w:eastAsia="zh-CN"/>
        </w:rPr>
      </w:pPr>
      <w:r>
        <w:rPr>
          <w:rFonts w:hint="eastAsia"/>
          <w:b/>
          <w:bCs/>
          <w:u w:val="none"/>
          <w:lang w:val="en-US" w:eastAsia="zh-CN"/>
        </w:rPr>
        <w:t>图8-1  本项目厂区污水处理站处理工艺流程图</w:t>
      </w:r>
    </w:p>
    <w:p>
      <w:pPr>
        <w:topLinePunct/>
        <w:spacing w:line="360" w:lineRule="auto"/>
        <w:ind w:firstLine="480" w:firstLineChars="200"/>
        <w:rPr>
          <w:rFonts w:hint="eastAsia"/>
          <w:sz w:val="24"/>
          <w:u w:val="none"/>
          <w:lang w:val="en-US" w:eastAsia="zh-CN"/>
        </w:rPr>
      </w:pPr>
      <w:r>
        <w:rPr>
          <w:rFonts w:hint="eastAsia"/>
          <w:sz w:val="24"/>
          <w:u w:val="none"/>
          <w:lang w:eastAsia="zh-CN"/>
        </w:rPr>
        <w:t>本项目污水处理站处理能力设计为</w:t>
      </w:r>
      <w:r>
        <w:rPr>
          <w:rFonts w:hint="eastAsia"/>
          <w:sz w:val="24"/>
          <w:u w:val="none"/>
          <w:lang w:val="en-US" w:eastAsia="zh-CN"/>
        </w:rPr>
        <w:t>10m³/d，本项目产生的污水量为5.9m³/d，同时考虑了初期雨水量，污水处理站设计处理能力满足项目污水处理能力的要求。另外，本次评价调查《贞丰县医疗废物处置中心建设项目竣工环境保护验收监测报告》，该项目废水种类及废水水质与本项目类似，其采用的工艺为“调节+MBR+消毒”与本项目拟采用的废水处理工艺相同，该废水处理工艺技术成熟，运行稳定可靠，出水水质可达到回用水的要去，具体详见下表。</w:t>
      </w:r>
    </w:p>
    <w:p>
      <w:pPr>
        <w:pStyle w:val="352"/>
        <w:rPr>
          <w:rFonts w:hint="eastAsia"/>
          <w:b/>
          <w:bCs/>
          <w:u w:val="none"/>
          <w:lang w:val="en-US" w:eastAsia="zh-CN"/>
        </w:rPr>
      </w:pPr>
      <w:r>
        <w:rPr>
          <w:rFonts w:hint="eastAsia"/>
          <w:b/>
          <w:bCs/>
          <w:u w:val="none"/>
          <w:lang w:val="en-US" w:eastAsia="zh-CN"/>
        </w:rPr>
        <w:t>表8-14  贞丰县医疗废物处置中心出水水质一览表</w:t>
      </w:r>
    </w:p>
    <w:tbl>
      <w:tblPr>
        <w:tblStyle w:val="59"/>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72"/>
        <w:gridCol w:w="1295"/>
        <w:gridCol w:w="950"/>
        <w:gridCol w:w="966"/>
        <w:gridCol w:w="1034"/>
        <w:gridCol w:w="950"/>
        <w:gridCol w:w="983"/>
        <w:gridCol w:w="733"/>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项目</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名称</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计量</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单位</w:t>
            </w:r>
          </w:p>
        </w:tc>
        <w:tc>
          <w:tcPr>
            <w:tcW w:w="1295"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监测日期</w:t>
            </w:r>
          </w:p>
        </w:tc>
        <w:tc>
          <w:tcPr>
            <w:tcW w:w="4883" w:type="dxa"/>
            <w:gridSpan w:val="5"/>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监测结果</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执行</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标准</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单项</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1295"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95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第一次</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第二次</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第三次</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第四次</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平均值</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pH值</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无量纲</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6.79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6.76</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6.84</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悬浮物</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17</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15</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17</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化学需氧量</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34.9</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37.2</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32.6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38.8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35.9</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33.2</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40.9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30.8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28.5</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33.4</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五日生化需氧量</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9.42</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9.69</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9.56</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9.30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9.64</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9.48</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氨氮</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5.01</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5.07</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5.21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5.10</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4.94</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5.02</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5.11</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5.06</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汞</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0.00007</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0.00008</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0.00011</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0.00013</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0.00011</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余氯</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0.19</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0.15</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粪大肠菌群</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个/L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460</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石油类</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38" w:type="dxa"/>
            <w:gridSpan w:val="10"/>
            <w:noWrap w:val="0"/>
            <w:vAlign w:val="center"/>
          </w:tcPr>
          <w:p>
            <w:pPr>
              <w:pStyle w:val="352"/>
              <w:keepNext w:val="0"/>
              <w:keepLines w:val="0"/>
              <w:suppressLineNumbers w:val="0"/>
              <w:spacing w:before="0" w:beforeAutospacing="0" w:after="0" w:afterAutospacing="0"/>
              <w:ind w:left="0" w:right="0"/>
              <w:jc w:val="both"/>
              <w:rPr>
                <w:rFonts w:hint="default"/>
                <w:b w:val="0"/>
                <w:bCs w:val="0"/>
                <w:u w:val="none"/>
                <w:lang w:val="en-US" w:eastAsia="zh-CN"/>
              </w:rPr>
            </w:pPr>
            <w:r>
              <w:rPr>
                <w:rFonts w:hint="default"/>
                <w:b w:val="0"/>
                <w:bCs w:val="0"/>
                <w:u w:val="none"/>
                <w:lang w:val="en-US" w:eastAsia="zh-CN"/>
              </w:rPr>
              <w:t>注：最低检出限值+ND表示未检出；废水经处理后循环使用，不外排。</w:t>
            </w:r>
          </w:p>
        </w:tc>
      </w:tr>
    </w:tbl>
    <w:p>
      <w:pPr>
        <w:topLinePunct/>
        <w:spacing w:line="360" w:lineRule="auto"/>
        <w:ind w:firstLine="480" w:firstLineChars="200"/>
        <w:rPr>
          <w:rFonts w:hint="eastAsia"/>
          <w:sz w:val="24"/>
          <w:u w:val="none"/>
          <w:lang w:val="en-US" w:eastAsia="zh-CN"/>
        </w:rPr>
      </w:pPr>
      <w:r>
        <w:rPr>
          <w:rFonts w:hint="eastAsia"/>
          <w:sz w:val="24"/>
          <w:u w:val="none"/>
          <w:lang w:eastAsia="zh-CN"/>
        </w:rPr>
        <w:t>由上表可知，本项目废水处理采用“调节</w:t>
      </w:r>
      <w:r>
        <w:rPr>
          <w:rFonts w:hint="eastAsia"/>
          <w:sz w:val="24"/>
          <w:u w:val="none"/>
          <w:lang w:val="en-US" w:eastAsia="zh-CN"/>
        </w:rPr>
        <w:t>+MBR生化+微滤+消毒</w:t>
      </w:r>
      <w:r>
        <w:rPr>
          <w:rFonts w:hint="eastAsia"/>
          <w:sz w:val="24"/>
          <w:u w:val="none"/>
          <w:lang w:eastAsia="zh-CN"/>
        </w:rPr>
        <w:t>”处理工艺，项目废水处理后的水质可满足《医疗机构水污染物排放标准》（</w:t>
      </w:r>
      <w:r>
        <w:rPr>
          <w:rFonts w:hint="eastAsia"/>
          <w:sz w:val="24"/>
          <w:u w:val="none"/>
          <w:lang w:val="en-US" w:eastAsia="zh-CN"/>
        </w:rPr>
        <w:t>GB18466-2005</w:t>
      </w:r>
      <w:r>
        <w:rPr>
          <w:rFonts w:hint="eastAsia"/>
          <w:sz w:val="24"/>
          <w:u w:val="none"/>
          <w:lang w:eastAsia="zh-CN"/>
        </w:rPr>
        <w:t>）的要求，同时也满足《城市污水再生利用——城市杂用水水质》（</w:t>
      </w:r>
      <w:r>
        <w:rPr>
          <w:rFonts w:hint="eastAsia"/>
          <w:sz w:val="24"/>
          <w:u w:val="none"/>
          <w:lang w:val="en-US" w:eastAsia="zh-CN"/>
        </w:rPr>
        <w:t>GB/T18920-2002</w:t>
      </w:r>
      <w:r>
        <w:rPr>
          <w:rFonts w:hint="eastAsia"/>
          <w:sz w:val="24"/>
          <w:u w:val="none"/>
          <w:lang w:eastAsia="zh-CN"/>
        </w:rPr>
        <w:t>）要求。</w:t>
      </w:r>
    </w:p>
    <w:p>
      <w:pPr>
        <w:topLinePunct/>
        <w:spacing w:line="360" w:lineRule="auto"/>
        <w:ind w:firstLine="480" w:firstLineChars="200"/>
        <w:rPr>
          <w:rFonts w:hint="eastAsia"/>
          <w:sz w:val="24"/>
          <w:u w:val="none"/>
          <w:lang w:eastAsia="zh-CN"/>
        </w:rPr>
      </w:pPr>
      <w:r>
        <w:rPr>
          <w:rFonts w:hint="eastAsia"/>
          <w:sz w:val="24"/>
          <w:u w:val="none"/>
          <w:lang w:val="en-US" w:eastAsia="zh-CN"/>
        </w:rPr>
        <w:t>另外，针对初期雨水，</w:t>
      </w:r>
      <w:r>
        <w:rPr>
          <w:rFonts w:hint="eastAsia"/>
          <w:sz w:val="24"/>
          <w:u w:val="none"/>
          <w:lang w:eastAsia="zh-CN"/>
        </w:rPr>
        <w:t>本项目建设一座</w:t>
      </w:r>
      <w:r>
        <w:rPr>
          <w:rFonts w:hint="eastAsia"/>
          <w:sz w:val="24"/>
          <w:u w:val="none"/>
          <w:lang w:val="en-US" w:eastAsia="zh-CN"/>
        </w:rPr>
        <w:t>50m³的初期</w:t>
      </w:r>
      <w:r>
        <w:rPr>
          <w:rFonts w:hint="eastAsia"/>
          <w:sz w:val="24"/>
          <w:u w:val="none"/>
          <w:lang w:eastAsia="zh-CN"/>
        </w:rPr>
        <w:t>雨水收集池，收集后的初期雨水分批送污水处理站处理，出水大部分排入中水池回用，回用不完由密闭罐车运至旺苍县污水处理厂处理达标后外排至东河。</w:t>
      </w:r>
    </w:p>
    <w:p>
      <w:pPr>
        <w:topLinePunct/>
        <w:snapToGrid w:val="0"/>
        <w:spacing w:line="360" w:lineRule="auto"/>
        <w:ind w:firstLine="480" w:firstLineChars="200"/>
        <w:jc w:val="left"/>
        <w:rPr>
          <w:rFonts w:hint="eastAsia" w:eastAsia="宋体"/>
          <w:sz w:val="24"/>
          <w:u w:val="none"/>
          <w:lang w:val="en-US" w:eastAsia="zh-CN"/>
        </w:rPr>
      </w:pPr>
      <w:r>
        <w:rPr>
          <w:rFonts w:hint="eastAsia"/>
          <w:sz w:val="24"/>
          <w:u w:val="none"/>
          <w:lang w:val="en-US" w:eastAsia="zh-CN"/>
        </w:rPr>
        <w:t>综上，本项目废水在采取上述治理措施后，项目废水大部分循环使用不外排，项目外排废水量小，外排废水由密闭罐车运送至县城污水处理厂处理达到一级A标后外排至东河，项目外排废水不直接排入周边地表水体，对周围地表水体影响不大。</w:t>
      </w:r>
      <w:r>
        <w:rPr>
          <w:rFonts w:hint="eastAsia"/>
          <w:sz w:val="24"/>
          <w:u w:val="none"/>
          <w:lang w:eastAsia="zh-CN"/>
        </w:rPr>
        <w:t>因此，本项目拟采用的污水处理工艺技术可行，</w:t>
      </w:r>
      <w:r>
        <w:rPr>
          <w:rFonts w:hint="eastAsia"/>
          <w:sz w:val="24"/>
          <w:u w:val="none"/>
          <w:lang w:val="en-US" w:eastAsia="zh-CN"/>
        </w:rPr>
        <w:t>水污染控制和水环境影响减缓措施技术有效。</w:t>
      </w:r>
    </w:p>
    <w:p>
      <w:pPr>
        <w:pStyle w:val="71"/>
        <w:rPr>
          <w:rFonts w:hint="eastAsia"/>
          <w:b w:val="0"/>
          <w:bCs/>
          <w:sz w:val="24"/>
          <w:u w:val="none"/>
          <w:lang w:val="en-US" w:eastAsia="zh-CN"/>
        </w:rPr>
      </w:pPr>
      <w:r>
        <w:rPr>
          <w:rFonts w:hint="eastAsia"/>
          <w:b w:val="0"/>
          <w:bCs/>
          <w:sz w:val="24"/>
          <w:u w:val="none"/>
          <w:lang w:val="en-US" w:eastAsia="zh-CN"/>
        </w:rPr>
        <w:t>二、依托污水处理设施的环境可行性评价</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eastAsia="zh-CN"/>
        </w:rPr>
        <w:t>本项目废水总产生量为</w:t>
      </w:r>
      <w:r>
        <w:rPr>
          <w:rFonts w:hint="eastAsia"/>
          <w:sz w:val="24"/>
          <w:u w:val="none"/>
          <w:lang w:val="en-US" w:eastAsia="zh-CN"/>
        </w:rPr>
        <w:t>5.9m³/d，项目生产废水水质简单，可生化性较好，厂区污水处理站采用二级生化处理工艺，污水站出水浓度满足《医疗机构水污染物排放标准》（GB18466-2005）和《城市污水再生利用——城市杂用水水质》（GB/T18920-2002）要求，全厂处理达标后回用于对水质要求不高的消毒清洗用水、道路喷洒用水和绿化用水等。本项目上述用水量约6.02m³/d，故在不考虑初期雨水的前提条件下，本项目废水全部回用不外排可行。</w:t>
      </w:r>
    </w:p>
    <w:p>
      <w:pPr>
        <w:topLinePunct/>
        <w:snapToGrid w:val="0"/>
        <w:spacing w:line="360" w:lineRule="auto"/>
        <w:ind w:firstLine="480" w:firstLineChars="200"/>
        <w:jc w:val="left"/>
        <w:rPr>
          <w:rFonts w:hint="default"/>
          <w:sz w:val="24"/>
          <w:u w:val="none"/>
          <w:lang w:val="en-US" w:eastAsia="zh-CN"/>
        </w:rPr>
      </w:pPr>
      <w:r>
        <w:rPr>
          <w:rFonts w:hint="eastAsia"/>
          <w:sz w:val="24"/>
          <w:u w:val="none"/>
          <w:lang w:val="en-US" w:eastAsia="zh-CN"/>
        </w:rPr>
        <w:t>当遇下雨天，初期雨水经初期雨水收集池收集后，分批送污水处理站处理，届时废水排放量大于6.02m³/d，出水无法全部回用，无法回用的部分由密闭罐车运至县城污水处理厂处理达标后外排至东河。</w:t>
      </w:r>
    </w:p>
    <w:p>
      <w:pPr>
        <w:topLinePunct/>
        <w:snapToGrid w:val="0"/>
        <w:spacing w:line="360" w:lineRule="auto"/>
        <w:ind w:firstLine="480" w:firstLineChars="200"/>
        <w:jc w:val="left"/>
        <w:rPr>
          <w:rFonts w:hint="eastAsia" w:eastAsia="宋体"/>
          <w:sz w:val="24"/>
          <w:u w:val="none"/>
          <w:lang w:val="en-US" w:eastAsia="zh-CN"/>
        </w:rPr>
      </w:pPr>
      <w:r>
        <w:rPr>
          <w:rFonts w:hint="eastAsia"/>
          <w:sz w:val="24"/>
          <w:u w:val="none"/>
          <w:lang w:val="en-US" w:eastAsia="zh-CN"/>
        </w:rPr>
        <w:t>由工程分析可知，本项目废水经厂区废水处理站处理后水质简单，不含有毒有害的特征水污染物，可达到污水处理厂进入水质要求。旺苍县污水处理厂</w:t>
      </w:r>
      <w:r>
        <w:rPr>
          <w:rFonts w:hint="eastAsia"/>
          <w:color w:val="auto"/>
          <w:sz w:val="24"/>
          <w:u w:val="none"/>
          <w:lang w:eastAsia="zh-CN"/>
        </w:rPr>
        <w:t>采用厌氧/缺氧/好氧（A/A/O）二级生物处理工艺，适用本项目废水处理，可实现项目废水达标排放。另外，该污水处理厂一期处理规模为</w:t>
      </w:r>
      <w:r>
        <w:rPr>
          <w:rFonts w:hint="eastAsia"/>
          <w:color w:val="auto"/>
          <w:sz w:val="24"/>
          <w:u w:val="none"/>
          <w:lang w:val="en-US" w:eastAsia="zh-CN"/>
        </w:rPr>
        <w:t>1.5万m³/d，本项目外排废水量小，污水出厂尚有足够余量容纳本项目废水。</w:t>
      </w:r>
    </w:p>
    <w:p>
      <w:pPr>
        <w:pStyle w:val="71"/>
        <w:rPr>
          <w:rFonts w:hint="eastAsia"/>
          <w:u w:val="none"/>
          <w:lang w:val="en-US" w:eastAsia="zh-CN"/>
        </w:rPr>
      </w:pPr>
      <w:r>
        <w:rPr>
          <w:rFonts w:hint="eastAsia"/>
          <w:sz w:val="24"/>
          <w:u w:val="none"/>
          <w:lang w:val="en-US" w:eastAsia="zh-CN"/>
        </w:rPr>
        <w:t>综上所述，本项目废水经厂区污水处理站处理后回用，回用不完由密闭罐车送旺苍县污水处理厂处理可行，可实现稳定达标排放。</w:t>
      </w:r>
    </w:p>
    <w:p>
      <w:pPr>
        <w:topLinePunct/>
        <w:spacing w:line="360" w:lineRule="auto"/>
        <w:jc w:val="left"/>
        <w:rPr>
          <w:rFonts w:hint="eastAsia"/>
          <w:b/>
          <w:sz w:val="24"/>
          <w:u w:val="none"/>
          <w:lang w:val="en-US" w:eastAsia="zh-CN"/>
        </w:rPr>
      </w:pPr>
      <w:r>
        <w:rPr>
          <w:rFonts w:hint="eastAsia"/>
          <w:b/>
          <w:sz w:val="24"/>
          <w:u w:val="none"/>
          <w:lang w:val="en-US" w:eastAsia="zh-CN"/>
        </w:rPr>
        <w:t>8.2.2污染源排放量核算</w:t>
      </w:r>
    </w:p>
    <w:p>
      <w:pPr>
        <w:pStyle w:val="71"/>
        <w:rPr>
          <w:rFonts w:hint="eastAsia"/>
          <w:sz w:val="24"/>
          <w:u w:val="none"/>
          <w:lang w:val="en-US" w:eastAsia="zh-CN"/>
        </w:rPr>
        <w:sectPr>
          <w:headerReference r:id="rId8" w:type="default"/>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r>
        <w:rPr>
          <w:rFonts w:hint="eastAsia"/>
          <w:sz w:val="24"/>
          <w:u w:val="none"/>
          <w:lang w:eastAsia="zh-CN"/>
        </w:rPr>
        <w:t>本项目废水产生量约</w:t>
      </w:r>
      <w:r>
        <w:rPr>
          <w:rFonts w:hint="eastAsia"/>
          <w:sz w:val="24"/>
          <w:u w:val="none"/>
          <w:lang w:val="en-US" w:eastAsia="zh-CN"/>
        </w:rPr>
        <w:t>5.9m³/d，全部回用于生产，不外排，因此，本次评价不合算污染源排放量。项目废水类别、污染物及污染治理设施情况详见下表。</w:t>
      </w:r>
    </w:p>
    <w:p>
      <w:pPr>
        <w:pStyle w:val="352"/>
        <w:rPr>
          <w:rFonts w:hint="eastAsia"/>
          <w:b/>
          <w:bCs/>
          <w:u w:val="none"/>
          <w:lang w:val="en-US" w:eastAsia="zh-CN"/>
        </w:rPr>
      </w:pPr>
      <w:r>
        <w:rPr>
          <w:rFonts w:hint="eastAsia"/>
          <w:b/>
          <w:bCs/>
          <w:u w:val="none"/>
          <w:lang w:val="en-US" w:eastAsia="zh-CN"/>
        </w:rPr>
        <w:t>表8.15  废水类别、污染物及污染治理设施信息表</w:t>
      </w:r>
    </w:p>
    <w:tbl>
      <w:tblPr>
        <w:tblStyle w:val="59"/>
        <w:tblW w:w="14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313"/>
        <w:gridCol w:w="1271"/>
        <w:gridCol w:w="1067"/>
        <w:gridCol w:w="1559"/>
        <w:gridCol w:w="1147"/>
        <w:gridCol w:w="1338"/>
        <w:gridCol w:w="1912"/>
        <w:gridCol w:w="920"/>
        <w:gridCol w:w="1529"/>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lang w:val="en-US" w:eastAsia="zh-CN"/>
              </w:rPr>
              <w:t>序号</w:t>
            </w:r>
          </w:p>
        </w:tc>
        <w:tc>
          <w:tcPr>
            <w:tcW w:w="1313"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废水类别</w:t>
            </w:r>
          </w:p>
        </w:tc>
        <w:tc>
          <w:tcPr>
            <w:tcW w:w="1271"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污染物种类</w:t>
            </w:r>
          </w:p>
        </w:tc>
        <w:tc>
          <w:tcPr>
            <w:tcW w:w="1067"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排放去向</w:t>
            </w:r>
          </w:p>
        </w:tc>
        <w:tc>
          <w:tcPr>
            <w:tcW w:w="1559"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排放规律</w:t>
            </w:r>
          </w:p>
        </w:tc>
        <w:tc>
          <w:tcPr>
            <w:tcW w:w="4397" w:type="dxa"/>
            <w:gridSpan w:val="3"/>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污染治理设施</w:t>
            </w:r>
          </w:p>
        </w:tc>
        <w:tc>
          <w:tcPr>
            <w:tcW w:w="920"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排放口编号</w:t>
            </w:r>
          </w:p>
        </w:tc>
        <w:tc>
          <w:tcPr>
            <w:tcW w:w="1529"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排放口设置是否符合要求</w:t>
            </w:r>
          </w:p>
        </w:tc>
        <w:tc>
          <w:tcPr>
            <w:tcW w:w="2280"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313"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271"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067"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559"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147"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r>
              <w:rPr>
                <w:rFonts w:hint="eastAsia" w:asciiTheme="minorEastAsia" w:hAnsiTheme="minorEastAsia" w:eastAsiaTheme="minorEastAsia" w:cstheme="minorEastAsia"/>
                <w:b/>
                <w:bCs w:val="0"/>
                <w:sz w:val="21"/>
                <w:szCs w:val="21"/>
                <w:u w:val="none"/>
                <w:vertAlign w:val="baseline"/>
                <w:lang w:val="en-US" w:eastAsia="zh-CN"/>
              </w:rPr>
              <w:t>污染治理设施编号</w:t>
            </w:r>
          </w:p>
        </w:tc>
        <w:tc>
          <w:tcPr>
            <w:tcW w:w="1338"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r>
              <w:rPr>
                <w:rFonts w:hint="eastAsia" w:asciiTheme="minorEastAsia" w:hAnsiTheme="minorEastAsia" w:eastAsiaTheme="minorEastAsia" w:cstheme="minorEastAsia"/>
                <w:b/>
                <w:bCs w:val="0"/>
                <w:sz w:val="21"/>
                <w:szCs w:val="21"/>
                <w:u w:val="none"/>
                <w:vertAlign w:val="baseline"/>
                <w:lang w:val="en-US" w:eastAsia="zh-CN"/>
              </w:rPr>
              <w:t>污染治理设施名称</w:t>
            </w:r>
          </w:p>
        </w:tc>
        <w:tc>
          <w:tcPr>
            <w:tcW w:w="1912"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r>
              <w:rPr>
                <w:rFonts w:hint="eastAsia" w:asciiTheme="minorEastAsia" w:hAnsiTheme="minorEastAsia" w:eastAsiaTheme="minorEastAsia" w:cstheme="minorEastAsia"/>
                <w:b/>
                <w:bCs w:val="0"/>
                <w:sz w:val="21"/>
                <w:szCs w:val="21"/>
                <w:u w:val="none"/>
                <w:vertAlign w:val="baseline"/>
                <w:lang w:val="en-US" w:eastAsia="zh-CN"/>
              </w:rPr>
              <w:t>污染治理设施工艺</w:t>
            </w:r>
          </w:p>
        </w:tc>
        <w:tc>
          <w:tcPr>
            <w:tcW w:w="920"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1529"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c>
          <w:tcPr>
            <w:tcW w:w="2280"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1</w:t>
            </w:r>
          </w:p>
        </w:tc>
        <w:tc>
          <w:tcPr>
            <w:tcW w:w="1313"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生产废水</w:t>
            </w:r>
          </w:p>
        </w:tc>
        <w:tc>
          <w:tcPr>
            <w:tcW w:w="1271"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COD、氨氮、BOD</w:t>
            </w:r>
            <w:r>
              <w:rPr>
                <w:rFonts w:hint="eastAsia" w:asciiTheme="minorEastAsia" w:hAnsiTheme="minorEastAsia" w:eastAsiaTheme="minorEastAsia" w:cstheme="minorEastAsia"/>
                <w:b w:val="0"/>
                <w:bCs/>
                <w:sz w:val="21"/>
                <w:szCs w:val="21"/>
                <w:u w:val="none"/>
                <w:vertAlign w:val="subscript"/>
                <w:lang w:val="en-US" w:eastAsia="zh-CN"/>
              </w:rPr>
              <w:t>5</w:t>
            </w:r>
            <w:r>
              <w:rPr>
                <w:rFonts w:hint="eastAsia" w:asciiTheme="minorEastAsia" w:hAnsiTheme="minorEastAsia" w:eastAsiaTheme="minorEastAsia" w:cstheme="minorEastAsia"/>
                <w:b w:val="0"/>
                <w:bCs/>
                <w:sz w:val="21"/>
                <w:szCs w:val="21"/>
                <w:u w:val="none"/>
                <w:vertAlign w:val="baseline"/>
                <w:lang w:val="en-US" w:eastAsia="zh-CN"/>
              </w:rPr>
              <w:t>、动植物油、余氯、粪大肠菌群、LAS、SS</w:t>
            </w:r>
          </w:p>
        </w:tc>
        <w:tc>
          <w:tcPr>
            <w:tcW w:w="1067"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循环使用不外排</w:t>
            </w:r>
          </w:p>
        </w:tc>
        <w:tc>
          <w:tcPr>
            <w:tcW w:w="1559"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循环使用不外排</w:t>
            </w:r>
          </w:p>
        </w:tc>
        <w:tc>
          <w:tcPr>
            <w:tcW w:w="1147"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TW001</w:t>
            </w:r>
          </w:p>
        </w:tc>
        <w:tc>
          <w:tcPr>
            <w:tcW w:w="1338"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污水处理站</w:t>
            </w:r>
          </w:p>
        </w:tc>
        <w:tc>
          <w:tcPr>
            <w:tcW w:w="1912"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调节+MBR+微滤+消毒</w:t>
            </w:r>
          </w:p>
        </w:tc>
        <w:tc>
          <w:tcPr>
            <w:tcW w:w="920"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无</w:t>
            </w:r>
          </w:p>
        </w:tc>
        <w:tc>
          <w:tcPr>
            <w:tcW w:w="1529"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52"/>
            </w:r>
            <w:r>
              <w:rPr>
                <w:rFonts w:hint="eastAsia" w:asciiTheme="minorEastAsia" w:hAnsiTheme="minorEastAsia" w:eastAsiaTheme="minorEastAsia" w:cstheme="minorEastAsia"/>
                <w:b w:val="0"/>
                <w:bCs/>
                <w:sz w:val="21"/>
                <w:szCs w:val="21"/>
                <w:u w:val="none"/>
                <w:vertAlign w:val="baseline"/>
                <w:lang w:val="en-US" w:eastAsia="zh-CN"/>
              </w:rPr>
              <w:t>是</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否</w:t>
            </w:r>
          </w:p>
        </w:tc>
        <w:tc>
          <w:tcPr>
            <w:tcW w:w="2280" w:type="dxa"/>
            <w:vMerge w:val="restart"/>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企业总排口</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雨水排放</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清净下水排放</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温排水排放</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A3"/>
            </w:r>
            <w:r>
              <w:rPr>
                <w:rFonts w:hint="eastAsia" w:asciiTheme="minorEastAsia" w:hAnsiTheme="minorEastAsia" w:eastAsiaTheme="minorEastAsia" w:cstheme="minorEastAsia"/>
                <w:b w:val="0"/>
                <w:bCs/>
                <w:sz w:val="21"/>
                <w:szCs w:val="21"/>
                <w:u w:val="none"/>
                <w:vertAlign w:val="baseline"/>
                <w:lang w:val="en-US" w:eastAsia="zh-CN"/>
              </w:rPr>
              <w:t>车间或车间处理设施排放口</w:t>
            </w:r>
          </w:p>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sym w:font="Wingdings 2" w:char="0052"/>
            </w:r>
            <w:r>
              <w:rPr>
                <w:rFonts w:hint="eastAsia" w:asciiTheme="minorEastAsia" w:hAnsiTheme="minorEastAsia" w:eastAsiaTheme="minorEastAsia" w:cstheme="minorEastAsia"/>
                <w:b w:val="0"/>
                <w:bCs/>
                <w:sz w:val="21"/>
                <w:szCs w:val="21"/>
                <w:u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2</w:t>
            </w:r>
          </w:p>
        </w:tc>
        <w:tc>
          <w:tcPr>
            <w:tcW w:w="1313"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生活污水</w:t>
            </w:r>
          </w:p>
        </w:tc>
        <w:tc>
          <w:tcPr>
            <w:tcW w:w="1271"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COD、氨氮、BOD</w:t>
            </w:r>
            <w:r>
              <w:rPr>
                <w:rFonts w:hint="eastAsia" w:asciiTheme="minorEastAsia" w:hAnsiTheme="minorEastAsia" w:eastAsiaTheme="minorEastAsia" w:cstheme="minorEastAsia"/>
                <w:b w:val="0"/>
                <w:bCs/>
                <w:sz w:val="21"/>
                <w:szCs w:val="21"/>
                <w:u w:val="none"/>
                <w:vertAlign w:val="subscript"/>
                <w:lang w:val="en-US" w:eastAsia="zh-CN"/>
              </w:rPr>
              <w:t>5</w:t>
            </w:r>
            <w:r>
              <w:rPr>
                <w:rFonts w:hint="eastAsia" w:asciiTheme="minorEastAsia" w:hAnsiTheme="minorEastAsia" w:eastAsiaTheme="minorEastAsia" w:cstheme="minorEastAsia"/>
                <w:b w:val="0"/>
                <w:bCs/>
                <w:sz w:val="21"/>
                <w:szCs w:val="21"/>
                <w:u w:val="none"/>
                <w:vertAlign w:val="baseline"/>
                <w:lang w:val="en-US" w:eastAsia="zh-CN"/>
              </w:rPr>
              <w:t>、动植物油、LAS、SS</w:t>
            </w:r>
          </w:p>
        </w:tc>
        <w:tc>
          <w:tcPr>
            <w:tcW w:w="1067"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p>
        </w:tc>
        <w:tc>
          <w:tcPr>
            <w:tcW w:w="1559"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p>
        </w:tc>
        <w:tc>
          <w:tcPr>
            <w:tcW w:w="1147"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TW002</w:t>
            </w:r>
          </w:p>
        </w:tc>
        <w:tc>
          <w:tcPr>
            <w:tcW w:w="1338"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预处理设施</w:t>
            </w:r>
          </w:p>
        </w:tc>
        <w:tc>
          <w:tcPr>
            <w:tcW w:w="1912" w:type="dxa"/>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r>
              <w:rPr>
                <w:rFonts w:hint="eastAsia" w:asciiTheme="minorEastAsia" w:hAnsiTheme="minorEastAsia" w:eastAsiaTheme="minorEastAsia" w:cstheme="minorEastAsia"/>
                <w:b w:val="0"/>
                <w:bCs/>
                <w:sz w:val="21"/>
                <w:szCs w:val="21"/>
                <w:u w:val="none"/>
                <w:vertAlign w:val="baseline"/>
                <w:lang w:val="en-US" w:eastAsia="zh-CN"/>
              </w:rPr>
              <w:t>隔油+预处理池</w:t>
            </w:r>
          </w:p>
        </w:tc>
        <w:tc>
          <w:tcPr>
            <w:tcW w:w="920"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p>
        </w:tc>
        <w:tc>
          <w:tcPr>
            <w:tcW w:w="1529"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p>
        </w:tc>
        <w:tc>
          <w:tcPr>
            <w:tcW w:w="2280" w:type="dxa"/>
            <w:vMerge w:val="continue"/>
            <w:vAlign w:val="center"/>
          </w:tcPr>
          <w:p>
            <w:pPr>
              <w:pStyle w:val="16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val="0"/>
                <w:bCs/>
                <w:sz w:val="21"/>
                <w:szCs w:val="21"/>
                <w:u w:val="none"/>
                <w:vertAlign w:val="baseline"/>
                <w:lang w:val="en-US" w:eastAsia="zh-CN"/>
              </w:rPr>
            </w:pPr>
          </w:p>
        </w:tc>
      </w:tr>
    </w:tbl>
    <w:p>
      <w:pPr>
        <w:topLinePunct/>
        <w:snapToGrid w:val="0"/>
        <w:jc w:val="center"/>
        <w:rPr>
          <w:rFonts w:hint="eastAsia"/>
          <w:b/>
          <w:bCs/>
          <w:sz w:val="21"/>
          <w:szCs w:val="21"/>
          <w:u w:val="none"/>
          <w:lang w:val="en-US" w:eastAsia="zh-CN"/>
        </w:rPr>
      </w:pPr>
    </w:p>
    <w:p>
      <w:pPr>
        <w:pStyle w:val="71"/>
        <w:rPr>
          <w:rFonts w:hint="default"/>
          <w:u w:val="none"/>
          <w:lang w:val="en-US" w:eastAsia="zh-CN"/>
        </w:rPr>
      </w:pPr>
    </w:p>
    <w:p>
      <w:pPr>
        <w:pStyle w:val="71"/>
        <w:rPr>
          <w:rFonts w:hint="default"/>
          <w:u w:val="none"/>
          <w:lang w:val="en-US" w:eastAsia="zh-CN"/>
        </w:rPr>
        <w:sectPr>
          <w:pgSz w:w="16838" w:h="11906" w:orient="landscape"/>
          <w:pgMar w:top="1417" w:right="1797" w:bottom="1417" w:left="1797" w:header="720" w:footer="720" w:gutter="0"/>
          <w:pgBorders>
            <w:top w:val="none" w:sz="0" w:space="0"/>
            <w:left w:val="none" w:sz="0" w:space="0"/>
            <w:bottom w:val="none" w:sz="0" w:space="0"/>
            <w:right w:val="none" w:sz="0" w:space="0"/>
          </w:pgBorders>
          <w:cols w:space="0" w:num="1"/>
          <w:rtlGutter w:val="0"/>
          <w:docGrid w:linePitch="0" w:charSpace="0"/>
        </w:sectPr>
      </w:pPr>
    </w:p>
    <w:p>
      <w:pPr>
        <w:topLinePunct/>
        <w:spacing w:line="360" w:lineRule="auto"/>
        <w:jc w:val="left"/>
        <w:rPr>
          <w:rFonts w:hint="eastAsia"/>
          <w:b/>
          <w:sz w:val="24"/>
          <w:u w:val="none"/>
          <w:lang w:val="en-US" w:eastAsia="zh-CN"/>
        </w:rPr>
      </w:pPr>
      <w:r>
        <w:rPr>
          <w:rFonts w:hint="eastAsia"/>
          <w:b/>
          <w:sz w:val="24"/>
          <w:u w:val="none"/>
          <w:lang w:val="en-US" w:eastAsia="zh-CN"/>
        </w:rPr>
        <w:t>8.2.3地表水环境影响评价结论</w:t>
      </w:r>
    </w:p>
    <w:p>
      <w:pPr>
        <w:topLinePunct/>
        <w:snapToGrid w:val="0"/>
        <w:spacing w:line="360" w:lineRule="auto"/>
        <w:ind w:firstLine="480" w:firstLineChars="200"/>
        <w:jc w:val="left"/>
        <w:rPr>
          <w:rFonts w:hint="default"/>
          <w:color w:val="auto"/>
          <w:sz w:val="24"/>
          <w:u w:val="none"/>
          <w:lang w:val="en-US" w:eastAsia="zh-CN"/>
        </w:rPr>
      </w:pPr>
      <w:r>
        <w:rPr>
          <w:rFonts w:hint="eastAsia"/>
          <w:color w:val="auto"/>
          <w:sz w:val="24"/>
          <w:u w:val="none"/>
          <w:lang w:val="en-US" w:eastAsia="zh-CN"/>
        </w:rPr>
        <w:t>本项目所在区域地表水体为东河，根据质量现状调查，东河河水水质良好满足相关水环境功能区划要求，属于达标区。项目废水经厂区污水处理站处理后回用生产不外排，遇下雨天回用不完时，少量废水由密闭罐车运至旺苍县污水处理站处理达标后外排至东河。</w:t>
      </w:r>
      <w:r>
        <w:rPr>
          <w:rFonts w:hint="eastAsia"/>
          <w:sz w:val="24"/>
          <w:u w:val="none"/>
          <w:lang w:val="en-US" w:eastAsia="zh-CN"/>
        </w:rPr>
        <w:t>项目外排废水量少且不直接排入周边地表水体，对周围地表水体影响不大。</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综上，本项目对区域地表水环境影响可接受，地表水环境影响评价自查表见附表。</w:t>
      </w:r>
    </w:p>
    <w:p>
      <w:pPr>
        <w:pStyle w:val="3"/>
        <w:rPr>
          <w:rFonts w:hint="eastAsia" w:ascii="Times New Roman" w:hAnsi="Times New Roman"/>
          <w:sz w:val="28"/>
          <w:szCs w:val="28"/>
          <w:u w:val="none"/>
          <w:lang w:val="en-US" w:eastAsia="zh-CN"/>
        </w:rPr>
      </w:pPr>
      <w:bookmarkStart w:id="76" w:name="_Toc7687"/>
      <w:r>
        <w:rPr>
          <w:rFonts w:hint="eastAsia" w:ascii="Times New Roman" w:hAnsi="Times New Roman"/>
          <w:sz w:val="28"/>
          <w:szCs w:val="28"/>
          <w:u w:val="none"/>
          <w:lang w:val="en-US" w:eastAsia="zh-CN"/>
        </w:rPr>
        <w:t>8.3声环境影响预测与分析</w:t>
      </w:r>
      <w:bookmarkEnd w:id="76"/>
    </w:p>
    <w:p>
      <w:pPr>
        <w:topLinePunct/>
        <w:spacing w:line="360" w:lineRule="auto"/>
        <w:jc w:val="left"/>
        <w:rPr>
          <w:rFonts w:hint="eastAsia"/>
          <w:b/>
          <w:sz w:val="24"/>
          <w:u w:val="none"/>
          <w:lang w:val="en-US" w:eastAsia="zh-CN"/>
        </w:rPr>
      </w:pPr>
      <w:r>
        <w:rPr>
          <w:rFonts w:hint="eastAsia"/>
          <w:b/>
          <w:sz w:val="24"/>
          <w:u w:val="none"/>
          <w:lang w:val="en-US" w:eastAsia="zh-CN"/>
        </w:rPr>
        <w:t>8.3.1主要噪声源分析</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由工程分析及厂区平面布置图可见，该厂区主要的噪声源为本项目生产设备噪声，其中噪声较高的设备有破碎、各种风机和泵机，设备噪声值约75~85dB（A）。本工程采用先进低噪音设备，且输送设备、风扇等均布置在厂房内，利用封闭厂房对噪声源进行隔声，同时，对噪声较高的设备如破碎机、压缩机等，加装基础减振装置。</w:t>
      </w:r>
    </w:p>
    <w:p>
      <w:pPr>
        <w:topLinePunct/>
        <w:spacing w:line="360" w:lineRule="auto"/>
        <w:jc w:val="left"/>
        <w:rPr>
          <w:rFonts w:hint="eastAsia"/>
          <w:b/>
          <w:sz w:val="24"/>
          <w:u w:val="none"/>
          <w:lang w:val="en-US" w:eastAsia="zh-CN"/>
        </w:rPr>
      </w:pPr>
      <w:r>
        <w:rPr>
          <w:rFonts w:hint="eastAsia"/>
          <w:b/>
          <w:sz w:val="24"/>
          <w:u w:val="none"/>
          <w:lang w:val="en-US" w:eastAsia="zh-CN"/>
        </w:rPr>
        <w:t>8.3.2噪声影响预测分析</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本评价主要预测正常生产情况下工程噪声测算源对厂界声环境的影响，并与厂界声环境现状的监测结果进行叠加计算，从预测叠加结果分析拟建项目对厂界噪声的影响程度。预测采用点声源随传播距离增加而衰减的公式进行计算，在计算过程中，考虑建筑物墙壁对声源的屏障效应，具体计算过程如下：</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1、室内声源等效室外声源声功率级计算方法</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（1）对于室内声源，首先计算室内某个声源靠近围护结构处产生的倍频带声压级：</w:t>
      </w:r>
    </w:p>
    <w:p>
      <w:pPr>
        <w:topLinePunct/>
        <w:snapToGrid w:val="0"/>
        <w:spacing w:line="360" w:lineRule="auto"/>
        <w:ind w:firstLine="480" w:firstLineChars="200"/>
        <w:jc w:val="center"/>
        <w:rPr>
          <w:rFonts w:hint="default"/>
          <w:color w:val="auto"/>
          <w:sz w:val="24"/>
          <w:u w:val="none"/>
          <w:lang w:val="en-US" w:eastAsia="zh-CN"/>
        </w:rPr>
      </w:pPr>
      <w:r>
        <w:rPr>
          <w:rFonts w:hint="default"/>
          <w:color w:val="auto"/>
          <w:position w:val="-28"/>
          <w:sz w:val="24"/>
          <w:u w:val="none"/>
          <w:lang w:val="en-US" w:eastAsia="zh-CN"/>
        </w:rPr>
        <w:object>
          <v:shape id="_x0000_i1043" o:spt="75" type="#_x0000_t75" style="height:34pt;width:132.95pt;" o:ole="t" filled="f" o:preferrelative="t" stroked="f" coordsize="21600,21600">
            <v:path/>
            <v:fill on="f" focussize="0,0"/>
            <v:stroke on="f"/>
            <v:imagedata r:id="rId55" o:title=""/>
            <o:lock v:ext="edit" aspectratio="t"/>
            <w10:wrap type="none"/>
            <w10:anchorlock/>
          </v:shape>
          <o:OLEObject Type="Embed" ProgID="Equation.KSEE3" ShapeID="_x0000_i1043" DrawAspect="Content" ObjectID="_1468075743" r:id="rId54">
            <o:LockedField>false</o:LockedField>
          </o:OLEObject>
        </w:objec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式中：</w:t>
      </w:r>
      <w:r>
        <w:rPr>
          <w:rFonts w:hint="eastAsia"/>
          <w:color w:val="auto"/>
          <w:position w:val="-10"/>
          <w:sz w:val="24"/>
          <w:u w:val="none"/>
          <w:lang w:val="en-US" w:eastAsia="zh-CN"/>
        </w:rPr>
        <w:object>
          <v:shape id="_x0000_i1044"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4" DrawAspect="Content" ObjectID="_1468075744" r:id="rId56">
            <o:LockedField>false</o:LockedField>
          </o:OLEObject>
        </w:object>
      </w:r>
      <w:r>
        <w:rPr>
          <w:rFonts w:hint="eastAsia"/>
          <w:color w:val="auto"/>
          <w:sz w:val="24"/>
          <w:u w:val="none"/>
          <w:lang w:val="en-US" w:eastAsia="zh-CN"/>
        </w:rPr>
        <w:t>——指向性因数，通常对无指向性声源，当声源放在房间中心时，Q=1；当放在一面墙的中心时，Q=2；当放在两面墙夹角处时，Q=4；当放在三面墙夹角处时，Q=8。</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4"/>
          <w:sz w:val="24"/>
          <w:u w:val="none"/>
          <w:lang w:val="en-US" w:eastAsia="zh-CN"/>
        </w:rPr>
        <w:object>
          <v:shape id="_x0000_i1045" o:spt="75" type="#_x0000_t75" style="height:13pt;width:12pt;" o:ole="t" filled="f" o:preferrelative="t" stroked="f" coordsize="21600,21600">
            <v:path/>
            <v:fill on="f" focussize="0,0"/>
            <v:stroke on="f"/>
            <v:imagedata r:id="rId59" o:title=""/>
            <o:lock v:ext="edit" aspectratio="t"/>
            <w10:wrap type="none"/>
            <w10:anchorlock/>
          </v:shape>
          <o:OLEObject Type="Embed" ProgID="Equation.KSEE3" ShapeID="_x0000_i1045" DrawAspect="Content" ObjectID="_1468075745" r:id="rId58">
            <o:LockedField>false</o:LockedField>
          </o:OLEObject>
        </w:object>
      </w:r>
      <w:r>
        <w:rPr>
          <w:rFonts w:hint="eastAsia"/>
          <w:color w:val="auto"/>
          <w:sz w:val="24"/>
          <w:u w:val="none"/>
          <w:lang w:val="en-US" w:eastAsia="zh-CN"/>
        </w:rPr>
        <w:t>——房间常数，</w:t>
      </w:r>
      <w:r>
        <w:rPr>
          <w:rFonts w:hint="eastAsia"/>
          <w:color w:val="auto"/>
          <w:position w:val="-10"/>
          <w:sz w:val="24"/>
          <w:u w:val="none"/>
          <w:lang w:val="en-US" w:eastAsia="zh-CN"/>
        </w:rPr>
        <w:object>
          <v:shape id="_x0000_i1046" o:spt="75" type="#_x0000_t75" style="height:16pt;width:70pt;" o:ole="t" filled="f" o:preferrelative="t" stroked="f" coordsize="21600,21600">
            <v:path/>
            <v:fill on="f" focussize="0,0"/>
            <v:stroke on="f"/>
            <v:imagedata r:id="rId61" o:title=""/>
            <o:lock v:ext="edit" aspectratio="t"/>
            <w10:wrap type="none"/>
            <w10:anchorlock/>
          </v:shape>
          <o:OLEObject Type="Embed" ProgID="Equation.KSEE3" ShapeID="_x0000_i1046" DrawAspect="Content" ObjectID="_1468075746" r:id="rId60">
            <o:LockedField>false</o:LockedField>
          </o:OLEObject>
        </w:object>
      </w:r>
      <w:r>
        <w:rPr>
          <w:rFonts w:hint="eastAsia"/>
          <w:color w:val="auto"/>
          <w:sz w:val="24"/>
          <w:u w:val="none"/>
          <w:lang w:val="en-US" w:eastAsia="zh-CN"/>
        </w:rPr>
        <w:t>，</w:t>
      </w:r>
      <w:r>
        <w:rPr>
          <w:rFonts w:hint="eastAsia"/>
          <w:color w:val="auto"/>
          <w:position w:val="-6"/>
          <w:sz w:val="24"/>
          <w:u w:val="none"/>
          <w:lang w:val="en-US" w:eastAsia="zh-CN"/>
        </w:rPr>
        <w:object>
          <v:shape id="_x0000_i1047" o:spt="75" type="#_x0000_t75" style="height:13.95pt;width:11pt;" o:ole="t" filled="f" o:preferrelative="t" stroked="f" coordsize="21600,21600">
            <v:path/>
            <v:fill on="f" focussize="0,0"/>
            <v:stroke on="f"/>
            <v:imagedata r:id="rId63" o:title=""/>
            <o:lock v:ext="edit" aspectratio="t"/>
            <w10:wrap type="none"/>
            <w10:anchorlock/>
          </v:shape>
          <o:OLEObject Type="Embed" ProgID="Equation.KSEE3" ShapeID="_x0000_i1047" DrawAspect="Content" ObjectID="_1468075747" r:id="rId62">
            <o:LockedField>false</o:LockedField>
          </o:OLEObject>
        </w:object>
      </w:r>
      <w:r>
        <w:rPr>
          <w:rFonts w:hint="eastAsia"/>
          <w:color w:val="auto"/>
          <w:sz w:val="24"/>
          <w:u w:val="none"/>
          <w:lang w:val="en-US" w:eastAsia="zh-CN"/>
        </w:rPr>
        <w:t>为房间内表面面积，m²，</w:t>
      </w:r>
      <w:r>
        <w:rPr>
          <w:rFonts w:hint="eastAsia"/>
          <w:color w:val="auto"/>
          <w:position w:val="-6"/>
          <w:sz w:val="24"/>
          <w:u w:val="none"/>
          <w:lang w:val="en-US" w:eastAsia="zh-CN"/>
        </w:rPr>
        <w:object>
          <v:shape id="_x0000_i1048" o:spt="75" type="#_x0000_t75" style="height:11pt;width:10pt;" o:ole="t" filled="f" o:preferrelative="t" stroked="f" coordsize="21600,21600">
            <v:path/>
            <v:fill on="f" focussize="0,0"/>
            <v:stroke on="f"/>
            <v:imagedata r:id="rId65" o:title=""/>
            <o:lock v:ext="edit" aspectratio="t"/>
            <w10:wrap type="none"/>
            <w10:anchorlock/>
          </v:shape>
          <o:OLEObject Type="Embed" ProgID="Equation.KSEE3" ShapeID="_x0000_i1048" DrawAspect="Content" ObjectID="_1468075748" r:id="rId64">
            <o:LockedField>false</o:LockedField>
          </o:OLEObject>
        </w:object>
      </w:r>
      <w:r>
        <w:rPr>
          <w:rFonts w:hint="eastAsia"/>
          <w:color w:val="auto"/>
          <w:sz w:val="24"/>
          <w:u w:val="none"/>
          <w:lang w:val="en-US" w:eastAsia="zh-CN"/>
        </w:rPr>
        <w:t>为平均吸声系数。</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4"/>
          <w:sz w:val="24"/>
          <w:u w:val="none"/>
          <w:lang w:val="en-US" w:eastAsia="zh-CN"/>
        </w:rPr>
        <w:object>
          <v:shape id="_x0000_i1049" o:spt="75" type="#_x0000_t75" style="height:10pt;width:9pt;" o:ole="t" filled="f" o:preferrelative="t" stroked="f" coordsize="21600,21600">
            <v:path/>
            <v:fill on="f" focussize="0,0"/>
            <v:stroke on="f"/>
            <v:imagedata r:id="rId67" o:title=""/>
            <o:lock v:ext="edit" aspectratio="t"/>
            <w10:wrap type="none"/>
            <w10:anchorlock/>
          </v:shape>
          <o:OLEObject Type="Embed" ProgID="Equation.KSEE3" ShapeID="_x0000_i1049" DrawAspect="Content" ObjectID="_1468075749" r:id="rId66">
            <o:LockedField>false</o:LockedField>
          </o:OLEObject>
        </w:object>
      </w:r>
      <w:r>
        <w:rPr>
          <w:rFonts w:hint="eastAsia"/>
          <w:color w:val="auto"/>
          <w:sz w:val="24"/>
          <w:u w:val="none"/>
          <w:lang w:val="en-US" w:eastAsia="zh-CN"/>
        </w:rPr>
        <w:t>——声源到靠近围护结构某点处的距离，m。</w:t>
      </w:r>
    </w:p>
    <w:p>
      <w:pPr>
        <w:topLinePunct/>
        <w:snapToGrid w:val="0"/>
        <w:spacing w:line="360" w:lineRule="auto"/>
        <w:ind w:firstLine="480" w:firstLineChars="200"/>
        <w:jc w:val="left"/>
        <w:rPr>
          <w:rFonts w:hint="eastAsia"/>
          <w:color w:val="auto"/>
          <w:sz w:val="24"/>
          <w:u w:val="none"/>
          <w:lang w:val="en-US" w:eastAsia="zh-CN"/>
        </w:rPr>
      </w:pPr>
      <w:r>
        <w:rPr>
          <w:rFonts w:hint="eastAsia"/>
          <w:color w:val="auto"/>
          <w:sz w:val="24"/>
          <w:u w:val="none"/>
          <w:lang w:val="en-US" w:eastAsia="zh-CN"/>
        </w:rPr>
        <w:t>（2）再计算所有室内声源在靠近围护结构处产生的总声级：</w:t>
      </w:r>
    </w:p>
    <w:p>
      <w:pPr>
        <w:topLinePunct/>
        <w:snapToGrid w:val="0"/>
        <w:spacing w:line="360" w:lineRule="auto"/>
        <w:ind w:firstLine="480" w:firstLineChars="200"/>
        <w:jc w:val="center"/>
        <w:rPr>
          <w:rFonts w:hint="default"/>
          <w:color w:val="auto"/>
          <w:sz w:val="24"/>
          <w:u w:val="none"/>
          <w:lang w:val="en-US" w:eastAsia="zh-CN"/>
        </w:rPr>
      </w:pPr>
      <w:r>
        <w:rPr>
          <w:rFonts w:hint="default"/>
          <w:color w:val="auto"/>
          <w:position w:val="-32"/>
          <w:sz w:val="24"/>
          <w:u w:val="none"/>
          <w:lang w:val="en-US" w:eastAsia="zh-CN"/>
        </w:rPr>
        <w:object>
          <v:shape id="_x0000_i1050" o:spt="75" type="#_x0000_t75" style="height:38pt;width:131pt;" o:ole="t" filled="f" o:preferrelative="t" stroked="f" coordsize="21600,21600">
            <v:path/>
            <v:fill on="f" focussize="0,0"/>
            <v:stroke on="f"/>
            <v:imagedata r:id="rId69" o:title=""/>
            <o:lock v:ext="edit" aspectratio="t"/>
            <w10:wrap type="none"/>
            <w10:anchorlock/>
          </v:shape>
          <o:OLEObject Type="Embed" ProgID="Equation.KSEE3" ShapeID="_x0000_i1050" DrawAspect="Content" ObjectID="_1468075750" r:id="rId68">
            <o:LockedField>false</o:LockedField>
          </o:OLEObject>
        </w:object>
      </w:r>
    </w:p>
    <w:p>
      <w:pPr>
        <w:topLinePunct/>
        <w:snapToGrid w:val="0"/>
        <w:spacing w:line="360" w:lineRule="auto"/>
        <w:ind w:firstLine="480" w:firstLineChars="200"/>
        <w:jc w:val="both"/>
        <w:rPr>
          <w:rFonts w:hint="eastAsia"/>
          <w:color w:val="auto"/>
          <w:sz w:val="24"/>
          <w:u w:val="none"/>
          <w:lang w:val="en-US" w:eastAsia="zh-CN"/>
        </w:rPr>
      </w:pPr>
      <w:r>
        <w:rPr>
          <w:rFonts w:hint="eastAsia"/>
          <w:color w:val="auto"/>
          <w:sz w:val="24"/>
          <w:u w:val="none"/>
          <w:lang w:val="en-US" w:eastAsia="zh-CN"/>
        </w:rPr>
        <w:t>（3）计算处室外靠近围护结构处的A声级：</w:t>
      </w:r>
    </w:p>
    <w:p>
      <w:pPr>
        <w:topLinePunct/>
        <w:snapToGrid w:val="0"/>
        <w:spacing w:line="360" w:lineRule="auto"/>
        <w:ind w:firstLine="480" w:firstLineChars="200"/>
        <w:jc w:val="center"/>
        <w:rPr>
          <w:rFonts w:hint="default"/>
          <w:color w:val="auto"/>
          <w:sz w:val="24"/>
          <w:u w:val="none"/>
          <w:lang w:val="en-US" w:eastAsia="zh-CN"/>
        </w:rPr>
      </w:pPr>
      <w:r>
        <w:rPr>
          <w:rFonts w:hint="default"/>
          <w:color w:val="auto"/>
          <w:position w:val="-14"/>
          <w:sz w:val="24"/>
          <w:u w:val="none"/>
          <w:lang w:val="en-US" w:eastAsia="zh-CN"/>
        </w:rPr>
        <w:object>
          <v:shape id="_x0000_i1051" o:spt="75" type="#_x0000_t75" style="height:19pt;width:124pt;" o:ole="t" filled="f" o:preferrelative="t" stroked="f" coordsize="21600,21600">
            <v:path/>
            <v:fill on="f" focussize="0,0"/>
            <v:stroke on="f"/>
            <v:imagedata r:id="rId71" o:title=""/>
            <o:lock v:ext="edit" aspectratio="t"/>
            <w10:wrap type="none"/>
            <w10:anchorlock/>
          </v:shape>
          <o:OLEObject Type="Embed" ProgID="Equation.KSEE3" ShapeID="_x0000_i1051" DrawAspect="Content" ObjectID="_1468075751" r:id="rId70">
            <o:LockedField>false</o:LockedField>
          </o:OLEObject>
        </w:object>
      </w:r>
    </w:p>
    <w:p>
      <w:pPr>
        <w:topLinePunct/>
        <w:snapToGrid w:val="0"/>
        <w:spacing w:line="360" w:lineRule="auto"/>
        <w:ind w:firstLine="480" w:firstLineChars="200"/>
        <w:jc w:val="both"/>
        <w:rPr>
          <w:rFonts w:hint="eastAsia"/>
          <w:color w:val="auto"/>
          <w:sz w:val="24"/>
          <w:u w:val="none"/>
          <w:lang w:val="en-US" w:eastAsia="zh-CN"/>
        </w:rPr>
      </w:pPr>
      <w:r>
        <w:rPr>
          <w:rFonts w:hint="eastAsia"/>
          <w:color w:val="auto"/>
          <w:sz w:val="24"/>
          <w:u w:val="none"/>
          <w:lang w:val="en-US" w:eastAsia="zh-CN"/>
        </w:rPr>
        <w:t>式中：</w:t>
      </w:r>
      <w:r>
        <w:rPr>
          <w:rFonts w:hint="eastAsia"/>
          <w:color w:val="auto"/>
          <w:position w:val="-4"/>
          <w:sz w:val="24"/>
          <w:u w:val="none"/>
          <w:lang w:val="en-US" w:eastAsia="zh-CN"/>
        </w:rPr>
        <w:object>
          <v:shape id="_x0000_i1052" o:spt="75" type="#_x0000_t75" style="height:13pt;width:17pt;" o:ole="t" filled="f" o:preferrelative="t" stroked="f" coordsize="21600,21600">
            <v:path/>
            <v:fill on="f" focussize="0,0"/>
            <v:stroke on="f"/>
            <v:imagedata r:id="rId73" o:title=""/>
            <o:lock v:ext="edit" aspectratio="t"/>
            <w10:wrap type="none"/>
            <w10:anchorlock/>
          </v:shape>
          <o:OLEObject Type="Embed" ProgID="Equation.KSEE3" ShapeID="_x0000_i1052" DrawAspect="Content" ObjectID="_1468075752" r:id="rId72">
            <o:LockedField>false</o:LockedField>
          </o:OLEObject>
        </w:object>
      </w:r>
      <w:r>
        <w:rPr>
          <w:rFonts w:hint="eastAsia"/>
          <w:color w:val="auto"/>
          <w:sz w:val="24"/>
          <w:u w:val="none"/>
          <w:lang w:val="en-US" w:eastAsia="zh-CN"/>
        </w:rPr>
        <w:t>——隔墙（或窗户）倍频带的隔声量，其经验公式为：</w:t>
      </w:r>
    </w:p>
    <w:p>
      <w:pPr>
        <w:topLinePunct/>
        <w:snapToGrid w:val="0"/>
        <w:spacing w:line="360" w:lineRule="auto"/>
        <w:ind w:firstLine="480" w:firstLineChars="200"/>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0"/>
          <w:sz w:val="24"/>
          <w:u w:val="none"/>
          <w:lang w:val="en-US" w:eastAsia="zh-CN"/>
        </w:rPr>
        <w:object>
          <v:shape id="_x0000_i1053" o:spt="75" type="#_x0000_t75" style="height:16pt;width:76pt;" o:ole="t" filled="f" o:preferrelative="t" stroked="f" coordsize="21600,21600">
            <v:path/>
            <v:fill on="f" focussize="0,0"/>
            <v:stroke on="f"/>
            <v:imagedata r:id="rId75" o:title=""/>
            <o:lock v:ext="edit" aspectratio="t"/>
            <w10:wrap type="none"/>
            <w10:anchorlock/>
          </v:shape>
          <o:OLEObject Type="Embed" ProgID="Equation.KSEE3" ShapeID="_x0000_i1053" DrawAspect="Content" ObjectID="_1468075753" r:id="rId74">
            <o:LockedField>false</o:LockedField>
          </o:OLEObject>
        </w:object>
      </w:r>
      <w:r>
        <w:rPr>
          <w:rFonts w:hint="eastAsia"/>
          <w:color w:val="auto"/>
          <w:sz w:val="24"/>
          <w:u w:val="none"/>
          <w:lang w:val="en-US" w:eastAsia="zh-CN"/>
        </w:rPr>
        <w:t xml:space="preserve">            （</w:t>
      </w:r>
      <w:r>
        <w:rPr>
          <w:rFonts w:hint="eastAsia"/>
          <w:color w:val="auto"/>
          <w:position w:val="-6"/>
          <w:sz w:val="24"/>
          <w:u w:val="none"/>
          <w:lang w:val="en-US" w:eastAsia="zh-CN"/>
        </w:rPr>
        <w:object>
          <v:shape id="_x0000_i1054" o:spt="75" type="#_x0000_t75" style="height:11pt;width:13pt;" o:ole="t" filled="f" o:preferrelative="t" stroked="f" coordsize="21600,21600">
            <v:path/>
            <v:fill on="f" focussize="0,0"/>
            <v:stroke on="f"/>
            <v:imagedata r:id="rId77" o:title=""/>
            <o:lock v:ext="edit" aspectratio="t"/>
            <w10:wrap type="none"/>
            <w10:anchorlock/>
          </v:shape>
          <o:OLEObject Type="Embed" ProgID="Equation.KSEE3" ShapeID="_x0000_i1054" DrawAspect="Content" ObjectID="_1468075754" r:id="rId76">
            <o:LockedField>false</o:LockedField>
          </o:OLEObject>
        </w:object>
      </w:r>
      <w:r>
        <w:rPr>
          <w:rFonts w:hint="eastAsia"/>
          <w:color w:val="auto"/>
          <w:sz w:val="24"/>
          <w:u w:val="none"/>
          <w:lang w:val="en-US" w:eastAsia="zh-CN"/>
        </w:rPr>
        <w:t>＞100kg/m²）</w:t>
      </w:r>
    </w:p>
    <w:p>
      <w:pPr>
        <w:topLinePunct/>
        <w:snapToGrid w:val="0"/>
        <w:spacing w:line="360" w:lineRule="auto"/>
        <w:ind w:firstLine="480" w:firstLineChars="200"/>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0"/>
          <w:sz w:val="24"/>
          <w:u w:val="none"/>
          <w:lang w:val="en-US" w:eastAsia="zh-CN"/>
        </w:rPr>
        <w:object>
          <v:shape id="_x0000_i1055" o:spt="75" type="#_x0000_t75" style="height:16pt;width:90pt;" o:ole="t" filled="f" o:preferrelative="t" stroked="f" coordsize="21600,21600">
            <v:path/>
            <v:fill on="f" focussize="0,0"/>
            <v:stroke on="f"/>
            <v:imagedata r:id="rId79" o:title=""/>
            <o:lock v:ext="edit" aspectratio="t"/>
            <w10:wrap type="none"/>
            <w10:anchorlock/>
          </v:shape>
          <o:OLEObject Type="Embed" ProgID="Equation.KSEE3" ShapeID="_x0000_i1055" DrawAspect="Content" ObjectID="_1468075755" r:id="rId78">
            <o:LockedField>false</o:LockedField>
          </o:OLEObject>
        </w:object>
      </w:r>
      <w:r>
        <w:rPr>
          <w:rFonts w:hint="eastAsia"/>
          <w:color w:val="auto"/>
          <w:sz w:val="24"/>
          <w:u w:val="none"/>
          <w:lang w:val="en-US" w:eastAsia="zh-CN"/>
        </w:rPr>
        <w:t xml:space="preserve">          （</w:t>
      </w:r>
      <w:r>
        <w:rPr>
          <w:rFonts w:hint="eastAsia"/>
          <w:color w:val="auto"/>
          <w:position w:val="-6"/>
          <w:sz w:val="24"/>
          <w:u w:val="none"/>
          <w:lang w:val="en-US" w:eastAsia="zh-CN"/>
        </w:rPr>
        <w:object>
          <v:shape id="_x0000_i1056" o:spt="75" type="#_x0000_t75" style="height:11pt;width:13pt;" o:ole="t" filled="f" o:preferrelative="t" stroked="f" coordsize="21600,21600">
            <v:path/>
            <v:fill on="f" focussize="0,0"/>
            <v:stroke on="f"/>
            <v:imagedata r:id="rId77" o:title=""/>
            <o:lock v:ext="edit" aspectratio="t"/>
            <w10:wrap type="none"/>
            <w10:anchorlock/>
          </v:shape>
          <o:OLEObject Type="Embed" ProgID="Equation.KSEE3" ShapeID="_x0000_i1056" DrawAspect="Content" ObjectID="_1468075756" r:id="rId80">
            <o:LockedField>false</o:LockedField>
          </o:OLEObject>
        </w:object>
      </w:r>
      <w:r>
        <w:rPr>
          <w:rFonts w:hint="eastAsia"/>
          <w:color w:val="auto"/>
          <w:sz w:val="24"/>
          <w:u w:val="none"/>
          <w:lang w:val="en-US" w:eastAsia="zh-CN"/>
        </w:rPr>
        <w:t>＜100kg/m²）</w:t>
      </w:r>
    </w:p>
    <w:p>
      <w:pPr>
        <w:topLinePunct/>
        <w:snapToGrid w:val="0"/>
        <w:spacing w:line="360" w:lineRule="auto"/>
        <w:ind w:firstLine="480" w:firstLineChars="200"/>
        <w:jc w:val="both"/>
        <w:rPr>
          <w:rFonts w:hint="eastAsia"/>
          <w:color w:val="auto"/>
          <w:sz w:val="24"/>
          <w:u w:val="none"/>
          <w:lang w:val="en-US" w:eastAsia="zh-CN"/>
        </w:rPr>
      </w:pPr>
      <w:r>
        <w:rPr>
          <w:rFonts w:hint="eastAsia"/>
          <w:color w:val="auto"/>
          <w:sz w:val="24"/>
          <w:u w:val="none"/>
          <w:lang w:val="en-US" w:eastAsia="zh-CN"/>
        </w:rPr>
        <w:t>（4）将室外声源的声压级和透过面积换算成等效室外声源，计算出中心位置位于透声面积（S）处的等效声源的倍频带声功率级：</w:t>
      </w:r>
    </w:p>
    <w:p>
      <w:pPr>
        <w:topLinePunct/>
        <w:snapToGrid w:val="0"/>
        <w:spacing w:line="360" w:lineRule="auto"/>
        <w:ind w:firstLine="480" w:firstLineChars="200"/>
        <w:jc w:val="center"/>
        <w:rPr>
          <w:rFonts w:hint="default"/>
          <w:color w:val="auto"/>
          <w:sz w:val="24"/>
          <w:u w:val="none"/>
          <w:lang w:val="en-US" w:eastAsia="zh-CN"/>
        </w:rPr>
      </w:pPr>
      <w:r>
        <w:rPr>
          <w:rFonts w:hint="default"/>
          <w:color w:val="auto"/>
          <w:position w:val="-14"/>
          <w:sz w:val="24"/>
          <w:u w:val="none"/>
          <w:lang w:val="en-US" w:eastAsia="zh-CN"/>
        </w:rPr>
        <w:object>
          <v:shape id="_x0000_i1057" o:spt="75" type="#_x0000_t75" style="height:19pt;width:102pt;" o:ole="t" filled="f" o:preferrelative="t" stroked="f" coordsize="21600,21600">
            <v:path/>
            <v:fill on="f" focussize="0,0"/>
            <v:stroke on="f"/>
            <v:imagedata r:id="rId82" o:title=""/>
            <o:lock v:ext="edit" aspectratio="t"/>
            <w10:wrap type="none"/>
            <w10:anchorlock/>
          </v:shape>
          <o:OLEObject Type="Embed" ProgID="Equation.KSEE3" ShapeID="_x0000_i1057" DrawAspect="Content" ObjectID="_1468075757" r:id="rId81">
            <o:LockedField>false</o:LockedField>
          </o:OLEObject>
        </w:objec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式中：</w:t>
      </w:r>
      <w:r>
        <w:rPr>
          <w:rFonts w:hint="eastAsia"/>
          <w:color w:val="auto"/>
          <w:position w:val="-6"/>
          <w:sz w:val="24"/>
          <w:u w:val="none"/>
          <w:lang w:val="en-US" w:eastAsia="zh-CN"/>
        </w:rPr>
        <w:object>
          <v:shape id="_x0000_i1058" o:spt="75" type="#_x0000_t75" style="height:13.95pt;width:11pt;" o:ole="t" filled="f" o:preferrelative="t" stroked="f" coordsize="21600,21600">
            <v:path/>
            <v:fill on="f" focussize="0,0"/>
            <v:stroke on="f"/>
            <v:imagedata r:id="rId84" o:title=""/>
            <o:lock v:ext="edit" aspectratio="t"/>
            <w10:wrap type="none"/>
            <w10:anchorlock/>
          </v:shape>
          <o:OLEObject Type="Embed" ProgID="Equation.KSEE3" ShapeID="_x0000_i1058" DrawAspect="Content" ObjectID="_1468075758" r:id="rId83">
            <o:LockedField>false</o:LockedField>
          </o:OLEObject>
        </w:object>
      </w:r>
      <w:r>
        <w:rPr>
          <w:rFonts w:hint="eastAsia"/>
          <w:color w:val="auto"/>
          <w:sz w:val="24"/>
          <w:u w:val="none"/>
          <w:lang w:val="en-US" w:eastAsia="zh-CN"/>
        </w:rPr>
        <w:t>——透声面积。</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然后按室外声源预测方法计算预测点处的A声级。</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2、室外声源无指向性几何发散衰减</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在已知距离无指向性点声源参考点</w:t>
      </w:r>
      <w:r>
        <w:rPr>
          <w:rFonts w:hint="eastAsia"/>
          <w:color w:val="auto"/>
          <w:position w:val="-12"/>
          <w:sz w:val="24"/>
          <w:u w:val="none"/>
          <w:lang w:val="en-US" w:eastAsia="zh-CN"/>
        </w:rPr>
        <w:object>
          <v:shape id="_x0000_i1059" o:spt="75" type="#_x0000_t75" style="height:18pt;width:11pt;" o:ole="t" filled="f" o:preferrelative="t" stroked="f" coordsize="21600,21600">
            <v:path/>
            <v:fill on="f" focussize="0,0"/>
            <v:stroke on="f"/>
            <v:imagedata r:id="rId86" o:title=""/>
            <o:lock v:ext="edit" aspectratio="t"/>
            <w10:wrap type="none"/>
            <w10:anchorlock/>
          </v:shape>
          <o:OLEObject Type="Embed" ProgID="Equation.KSEE3" ShapeID="_x0000_i1059" DrawAspect="Content" ObjectID="_1468075759" r:id="rId85">
            <o:LockedField>false</o:LockedField>
          </o:OLEObject>
        </w:object>
      </w:r>
      <w:r>
        <w:rPr>
          <w:rFonts w:hint="eastAsia"/>
          <w:color w:val="auto"/>
          <w:sz w:val="24"/>
          <w:u w:val="none"/>
          <w:lang w:val="en-US" w:eastAsia="zh-CN"/>
        </w:rPr>
        <w:t>处的倍频带声压级</w:t>
      </w:r>
      <w:r>
        <w:rPr>
          <w:rFonts w:hint="eastAsia"/>
          <w:color w:val="auto"/>
          <w:position w:val="-14"/>
          <w:sz w:val="24"/>
          <w:u w:val="none"/>
          <w:lang w:val="en-US" w:eastAsia="zh-CN"/>
        </w:rPr>
        <w:object>
          <v:shape id="_x0000_i1060" o:spt="75" type="#_x0000_t75" style="height:19pt;width:24.95pt;" o:ole="t" filled="f" o:preferrelative="t" stroked="f" coordsize="21600,21600">
            <v:path/>
            <v:fill on="f" focussize="0,0"/>
            <v:stroke on="f"/>
            <v:imagedata r:id="rId88" o:title=""/>
            <o:lock v:ext="edit" aspectratio="t"/>
            <w10:wrap type="none"/>
            <w10:anchorlock/>
          </v:shape>
          <o:OLEObject Type="Embed" ProgID="Equation.KSEE3" ShapeID="_x0000_i1060" DrawAspect="Content" ObjectID="_1468075760" r:id="rId87">
            <o:LockedField>false</o:LockedField>
          </o:OLEObject>
        </w:object>
      </w:r>
      <w:r>
        <w:rPr>
          <w:rFonts w:hint="eastAsia"/>
          <w:color w:val="auto"/>
          <w:sz w:val="24"/>
          <w:u w:val="none"/>
          <w:lang w:val="en-US" w:eastAsia="zh-CN"/>
        </w:rPr>
        <w:t>和计算出参考点</w:t>
      </w:r>
      <w:r>
        <w:rPr>
          <w:rFonts w:hint="eastAsia"/>
          <w:color w:val="auto"/>
          <w:position w:val="-12"/>
          <w:sz w:val="24"/>
          <w:u w:val="none"/>
          <w:lang w:val="en-US" w:eastAsia="zh-CN"/>
        </w:rPr>
        <w:object>
          <v:shape id="_x0000_i1061" o:spt="75" type="#_x0000_t75" style="height:18pt;width:11pt;" o:ole="t" filled="f" o:preferrelative="t" stroked="f" coordsize="21600,21600">
            <v:path/>
            <v:fill on="f" focussize="0,0"/>
            <v:stroke on="f"/>
            <v:imagedata r:id="rId86" o:title=""/>
            <o:lock v:ext="edit" aspectratio="t"/>
            <w10:wrap type="none"/>
            <w10:anchorlock/>
          </v:shape>
          <o:OLEObject Type="Embed" ProgID="Equation.KSEE3" ShapeID="_x0000_i1061" DrawAspect="Content" ObjectID="_1468075761" r:id="rId89">
            <o:LockedField>false</o:LockedField>
          </o:OLEObject>
        </w:object>
      </w:r>
      <w:r>
        <w:rPr>
          <w:rFonts w:hint="eastAsia"/>
          <w:color w:val="auto"/>
          <w:sz w:val="24"/>
          <w:u w:val="none"/>
          <w:lang w:val="en-US" w:eastAsia="zh-CN"/>
        </w:rPr>
        <w:t>和预测点</w:t>
      </w:r>
      <w:r>
        <w:rPr>
          <w:rFonts w:hint="eastAsia"/>
          <w:color w:val="auto"/>
          <w:position w:val="-4"/>
          <w:sz w:val="24"/>
          <w:u w:val="none"/>
          <w:lang w:val="en-US" w:eastAsia="zh-CN"/>
        </w:rPr>
        <w:object>
          <v:shape id="_x0000_i1062" o:spt="75" type="#_x0000_t75" style="height:10pt;width:9pt;" o:ole="t" filled="f" o:preferrelative="t" stroked="f" coordsize="21600,21600">
            <v:path/>
            <v:fill on="f" focussize="0,0"/>
            <v:stroke on="f"/>
            <v:imagedata r:id="rId91" o:title=""/>
            <o:lock v:ext="edit" aspectratio="t"/>
            <w10:wrap type="none"/>
            <w10:anchorlock/>
          </v:shape>
          <o:OLEObject Type="Embed" ProgID="Equation.KSEE3" ShapeID="_x0000_i1062" DrawAspect="Content" ObjectID="_1468075762" r:id="rId90">
            <o:LockedField>false</o:LockedField>
          </o:OLEObject>
        </w:object>
      </w:r>
      <w:r>
        <w:rPr>
          <w:rFonts w:hint="eastAsia"/>
          <w:color w:val="auto"/>
          <w:sz w:val="24"/>
          <w:u w:val="none"/>
          <w:lang w:val="en-US" w:eastAsia="zh-CN"/>
        </w:rPr>
        <w:t>之间的户外传播衰减：</w:t>
      </w:r>
    </w:p>
    <w:p>
      <w:pPr>
        <w:topLinePunct/>
        <w:snapToGrid w:val="0"/>
        <w:spacing w:line="360" w:lineRule="auto"/>
        <w:jc w:val="center"/>
        <w:rPr>
          <w:rFonts w:hint="default"/>
          <w:color w:val="auto"/>
          <w:sz w:val="24"/>
          <w:u w:val="none"/>
          <w:lang w:val="en-US" w:eastAsia="zh-CN"/>
        </w:rPr>
      </w:pPr>
      <w:r>
        <w:rPr>
          <w:rFonts w:hint="default"/>
          <w:color w:val="auto"/>
          <w:position w:val="-14"/>
          <w:sz w:val="24"/>
          <w:u w:val="none"/>
          <w:lang w:val="en-US" w:eastAsia="zh-CN"/>
        </w:rPr>
        <w:object>
          <v:shape id="_x0000_i1063" o:spt="75" type="#_x0000_t75" style="height:19pt;width:217pt;" o:ole="t" filled="f" o:preferrelative="t" stroked="f" coordsize="21600,21600">
            <v:path/>
            <v:fill on="f" focussize="0,0"/>
            <v:stroke on="f"/>
            <v:imagedata r:id="rId93" o:title=""/>
            <o:lock v:ext="edit" aspectratio="t"/>
            <w10:wrap type="none"/>
            <w10:anchorlock/>
          </v:shape>
          <o:OLEObject Type="Embed" ProgID="Equation.KSEE3" ShapeID="_x0000_i1063" DrawAspect="Content" ObjectID="_1468075763" r:id="rId92">
            <o:LockedField>false</o:LockedField>
          </o:OLEObject>
        </w:objec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式中：</w:t>
      </w:r>
      <w:r>
        <w:rPr>
          <w:rFonts w:hint="default"/>
          <w:color w:val="auto"/>
          <w:position w:val="-14"/>
          <w:sz w:val="24"/>
          <w:u w:val="none"/>
          <w:lang w:val="en-US" w:eastAsia="zh-CN"/>
        </w:rPr>
        <w:object>
          <v:shape id="_x0000_i1064" o:spt="75" type="#_x0000_t75" style="height:19pt;width:24.95pt;" o:ole="t" filled="f" o:preferrelative="t" stroked="f" coordsize="21600,21600">
            <v:path/>
            <v:fill on="f" focussize="0,0"/>
            <v:stroke on="f"/>
            <v:imagedata r:id="rId95" o:title=""/>
            <o:lock v:ext="edit" aspectratio="t"/>
            <w10:wrap type="none"/>
            <w10:anchorlock/>
          </v:shape>
          <o:OLEObject Type="Embed" ProgID="Equation.KSEE3" ShapeID="_x0000_i1064" DrawAspect="Content" ObjectID="_1468075764" r:id="rId94">
            <o:LockedField>false</o:LockedField>
          </o:OLEObject>
        </w:object>
      </w:r>
      <w:r>
        <w:rPr>
          <w:rFonts w:hint="eastAsia"/>
          <w:color w:val="auto"/>
          <w:sz w:val="24"/>
          <w:u w:val="none"/>
          <w:lang w:val="en-US" w:eastAsia="zh-CN"/>
        </w:rPr>
        <w:t>——预测点的噪声值，dB（A）；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default"/>
          <w:color w:val="auto"/>
          <w:position w:val="-14"/>
          <w:sz w:val="24"/>
          <w:u w:val="none"/>
          <w:lang w:val="en-US" w:eastAsia="zh-CN"/>
        </w:rPr>
        <w:object>
          <v:shape id="_x0000_i1065" o:spt="75" type="#_x0000_t75" style="height:19pt;width:27pt;" o:ole="t" filled="f" o:preferrelative="t" stroked="f" coordsize="21600,21600">
            <v:path/>
            <v:fill on="f" focussize="0,0"/>
            <v:stroke on="f"/>
            <v:imagedata r:id="rId97" o:title=""/>
            <o:lock v:ext="edit" aspectratio="t"/>
            <w10:wrap type="none"/>
            <w10:anchorlock/>
          </v:shape>
          <o:OLEObject Type="Embed" ProgID="Equation.KSEE3" ShapeID="_x0000_i1065" DrawAspect="Content" ObjectID="_1468075765" r:id="rId96">
            <o:LockedField>false</o:LockedField>
          </o:OLEObject>
        </w:object>
      </w:r>
      <w:r>
        <w:rPr>
          <w:rFonts w:hint="eastAsia"/>
          <w:color w:val="auto"/>
          <w:sz w:val="24"/>
          <w:u w:val="none"/>
          <w:lang w:val="en-US" w:eastAsia="zh-CN"/>
        </w:rPr>
        <w:t>——参照点的噪声值，dB（A）；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66" o:spt="75" type="#_x0000_t75" style="height:18pt;width:28pt;" o:ole="t" filled="f" o:preferrelative="t" stroked="f" coordsize="21600,21600">
            <v:path/>
            <v:fill on="f" focussize="0,0"/>
            <v:stroke on="f"/>
            <v:imagedata r:id="rId99" o:title=""/>
            <o:lock v:ext="edit" aspectratio="t"/>
            <w10:wrap type="none"/>
            <w10:anchorlock/>
          </v:shape>
          <o:OLEObject Type="Embed" ProgID="Equation.KSEE3" ShapeID="_x0000_i1066" DrawAspect="Content" ObjectID="_1468075766" r:id="rId98">
            <o:LockedField>false</o:LockedField>
          </o:OLEObject>
        </w:object>
      </w:r>
      <w:r>
        <w:rPr>
          <w:rFonts w:hint="eastAsia"/>
          <w:color w:val="auto"/>
          <w:sz w:val="24"/>
          <w:u w:val="none"/>
          <w:lang w:val="en-US" w:eastAsia="zh-CN"/>
        </w:rPr>
        <w:t>——预测点、参照点到噪声源处的距离，m；</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67" o:spt="75" type="#_x0000_t75" style="height:18pt;width:20pt;" o:ole="t" filled="f" o:preferrelative="t" stroked="f" coordsize="21600,21600">
            <v:path/>
            <v:fill on="f" focussize="0,0"/>
            <v:stroke on="f"/>
            <v:imagedata r:id="rId101" o:title=""/>
            <o:lock v:ext="edit" aspectratio="t"/>
            <w10:wrap type="none"/>
            <w10:anchorlock/>
          </v:shape>
          <o:OLEObject Type="Embed" ProgID="Equation.KSEE3" ShapeID="_x0000_i1067" DrawAspect="Content" ObjectID="_1468075767" r:id="rId100">
            <o:LockedField>false</o:LockedField>
          </o:OLEObject>
        </w:object>
      </w:r>
      <w:r>
        <w:rPr>
          <w:rFonts w:hint="eastAsia"/>
          <w:color w:val="auto"/>
          <w:sz w:val="24"/>
          <w:u w:val="none"/>
          <w:lang w:val="en-US" w:eastAsia="zh-CN"/>
        </w:rPr>
        <w:t>——几何发散衰减，</w:t>
      </w:r>
      <w:r>
        <w:rPr>
          <w:rFonts w:hint="eastAsia"/>
          <w:color w:val="auto"/>
          <w:position w:val="-12"/>
          <w:sz w:val="24"/>
          <w:u w:val="none"/>
          <w:lang w:val="en-US" w:eastAsia="zh-CN"/>
        </w:rPr>
        <w:object>
          <v:shape id="_x0000_i1068" o:spt="75" type="#_x0000_t75" style="height:18pt;width:85pt;" o:ole="t" filled="f" o:preferrelative="t" stroked="f" coordsize="21600,21600">
            <v:path/>
            <v:fill on="f" focussize="0,0"/>
            <v:stroke on="f"/>
            <v:imagedata r:id="rId103" o:title=""/>
            <o:lock v:ext="edit" aspectratio="t"/>
            <w10:wrap type="none"/>
            <w10:anchorlock/>
          </v:shape>
          <o:OLEObject Type="Embed" ProgID="Equation.KSEE3" ShapeID="_x0000_i1068" DrawAspect="Content" ObjectID="_1468075768" r:id="rId102">
            <o:LockedField>false</o:LockedField>
          </o:OLEObject>
        </w:object>
      </w:r>
      <w:r>
        <w:rPr>
          <w:rFonts w:hint="eastAsia"/>
          <w:color w:val="auto"/>
          <w:sz w:val="24"/>
          <w:u w:val="none"/>
          <w:lang w:val="en-US" w:eastAsia="zh-CN"/>
        </w:rPr>
        <w:t>，dB（A）；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69" o:spt="75" type="#_x0000_t75" style="height:18pt;width:22pt;" o:ole="t" filled="f" o:preferrelative="t" stroked="f" coordsize="21600,21600">
            <v:path/>
            <v:fill on="f" focussize="0,0"/>
            <v:stroke on="f"/>
            <v:imagedata r:id="rId105" o:title=""/>
            <o:lock v:ext="edit" aspectratio="t"/>
            <w10:wrap type="none"/>
            <w10:anchorlock/>
          </v:shape>
          <o:OLEObject Type="Embed" ProgID="Equation.KSEE3" ShapeID="_x0000_i1069" DrawAspect="Content" ObjectID="_1468075769" r:id="rId104">
            <o:LockedField>false</o:LockedField>
          </o:OLEObject>
        </w:object>
      </w:r>
      <w:r>
        <w:rPr>
          <w:rFonts w:hint="eastAsia"/>
          <w:color w:val="auto"/>
          <w:sz w:val="24"/>
          <w:u w:val="none"/>
          <w:lang w:val="en-US" w:eastAsia="zh-CN"/>
        </w:rPr>
        <w:t>——空气吸收引起的衰减，dB（A）；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70" o:spt="75" type="#_x0000_t75" style="height:18pt;width:21pt;" o:ole="t" filled="f" o:preferrelative="t" stroked="f" coordsize="21600,21600">
            <v:path/>
            <v:fill on="f" focussize="0,0"/>
            <v:stroke on="f"/>
            <v:imagedata r:id="rId107" o:title=""/>
            <o:lock v:ext="edit" aspectratio="t"/>
            <w10:wrap type="none"/>
            <w10:anchorlock/>
          </v:shape>
          <o:OLEObject Type="Embed" ProgID="Equation.KSEE3" ShapeID="_x0000_i1070" DrawAspect="Content" ObjectID="_1468075770" r:id="rId106">
            <o:LockedField>false</o:LockedField>
          </o:OLEObject>
        </w:object>
      </w:r>
      <w:r>
        <w:rPr>
          <w:rFonts w:hint="eastAsia"/>
          <w:color w:val="auto"/>
          <w:sz w:val="24"/>
          <w:u w:val="none"/>
          <w:lang w:val="en-US" w:eastAsia="zh-CN"/>
        </w:rPr>
        <w:t>——声屏障引起的衰减，dB（A）；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4"/>
          <w:sz w:val="24"/>
          <w:u w:val="none"/>
          <w:lang w:val="en-US" w:eastAsia="zh-CN"/>
        </w:rPr>
        <w:object>
          <v:shape id="_x0000_i1071" o:spt="75" type="#_x0000_t75" style="height:19pt;width:18pt;" o:ole="t" filled="f" o:preferrelative="t" stroked="f" coordsize="21600,21600">
            <v:path/>
            <v:fill on="f" focussize="0,0"/>
            <v:stroke on="f"/>
            <v:imagedata r:id="rId109" o:title=""/>
            <o:lock v:ext="edit" aspectratio="t"/>
            <w10:wrap type="none"/>
            <w10:anchorlock/>
          </v:shape>
          <o:OLEObject Type="Embed" ProgID="Equation.KSEE3" ShapeID="_x0000_i1071" DrawAspect="Content" ObjectID="_1468075771" r:id="rId108">
            <o:LockedField>false</o:LockedField>
          </o:OLEObject>
        </w:object>
      </w:r>
      <w:r>
        <w:rPr>
          <w:rFonts w:hint="eastAsia"/>
          <w:color w:val="auto"/>
          <w:sz w:val="24"/>
          <w:u w:val="none"/>
          <w:lang w:val="en-US" w:eastAsia="zh-CN"/>
        </w:rPr>
        <w:t>——地面效应衰减，dB（A）；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72" o:spt="75" type="#_x0000_t75" style="height:18pt;width:24pt;" o:ole="t" filled="f" o:preferrelative="t" stroked="f" coordsize="21600,21600">
            <v:path/>
            <v:fill on="f" focussize="0,0"/>
            <v:stroke on="f"/>
            <v:imagedata r:id="rId111" o:title=""/>
            <o:lock v:ext="edit" aspectratio="t"/>
            <w10:wrap type="none"/>
            <w10:anchorlock/>
          </v:shape>
          <o:OLEObject Type="Embed" ProgID="Equation.KSEE3" ShapeID="_x0000_i1072" DrawAspect="Content" ObjectID="_1468075772" r:id="rId110">
            <o:LockedField>false</o:LockedField>
          </o:OLEObject>
        </w:object>
      </w:r>
      <w:r>
        <w:rPr>
          <w:rFonts w:hint="eastAsia"/>
          <w:color w:val="auto"/>
          <w:sz w:val="24"/>
          <w:u w:val="none"/>
          <w:lang w:val="en-US" w:eastAsia="zh-CN"/>
        </w:rPr>
        <w:t>——其他多方面原因引起的衰减，dB（A）。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为避免计算中增大衰减量而造成预测值偏小，计算时忽略空气吸声、地面效应衰减和其他多方面原因引起的衰减。</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3、声源在预测点产生的等效声级贡献值</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设第</w:t>
      </w:r>
      <w:r>
        <w:rPr>
          <w:rFonts w:hint="eastAsia"/>
          <w:color w:val="auto"/>
          <w:position w:val="-6"/>
          <w:sz w:val="24"/>
          <w:u w:val="none"/>
          <w:lang w:val="en-US" w:eastAsia="zh-CN"/>
        </w:rPr>
        <w:object>
          <v:shape id="_x0000_i1073" o:spt="75" type="#_x0000_t75" style="height:13pt;width:6.95pt;" o:ole="t" filled="f" o:preferrelative="t" stroked="f" coordsize="21600,21600">
            <v:path/>
            <v:fill on="f" focussize="0,0"/>
            <v:stroke on="f"/>
            <v:imagedata r:id="rId113" o:title=""/>
            <o:lock v:ext="edit" aspectratio="t"/>
            <w10:wrap type="none"/>
            <w10:anchorlock/>
          </v:shape>
          <o:OLEObject Type="Embed" ProgID="Equation.KSEE3" ShapeID="_x0000_i1073" DrawAspect="Content" ObjectID="_1468075773" r:id="rId112">
            <o:LockedField>false</o:LockedField>
          </o:OLEObject>
        </w:object>
      </w:r>
      <w:r>
        <w:rPr>
          <w:rFonts w:hint="eastAsia"/>
          <w:color w:val="auto"/>
          <w:sz w:val="24"/>
          <w:u w:val="none"/>
          <w:lang w:val="en-US" w:eastAsia="zh-CN"/>
        </w:rPr>
        <w:t>个室外声源在预测点产生的A声级为</w:t>
      </w:r>
      <w:r>
        <w:rPr>
          <w:rFonts w:hint="eastAsia"/>
          <w:color w:val="auto"/>
          <w:position w:val="-12"/>
          <w:sz w:val="24"/>
          <w:u w:val="none"/>
          <w:lang w:val="en-US" w:eastAsia="zh-CN"/>
        </w:rPr>
        <w:object>
          <v:shape id="_x0000_i1074" o:spt="75" type="#_x0000_t75" style="height:18pt;width:18pt;" o:ole="t" filled="f" o:preferrelative="t" stroked="f" coordsize="21600,21600">
            <v:path/>
            <v:fill on="f" focussize="0,0"/>
            <v:stroke on="f"/>
            <v:imagedata r:id="rId115" o:title=""/>
            <o:lock v:ext="edit" aspectratio="t"/>
            <w10:wrap type="none"/>
            <w10:anchorlock/>
          </v:shape>
          <o:OLEObject Type="Embed" ProgID="Equation.KSEE3" ShapeID="_x0000_i1074" DrawAspect="Content" ObjectID="_1468075774" r:id="rId114">
            <o:LockedField>false</o:LockedField>
          </o:OLEObject>
        </w:object>
      </w:r>
      <w:r>
        <w:rPr>
          <w:rFonts w:hint="eastAsia"/>
          <w:color w:val="auto"/>
          <w:sz w:val="24"/>
          <w:u w:val="none"/>
          <w:lang w:val="en-US" w:eastAsia="zh-CN"/>
        </w:rPr>
        <w:t>，在</w:t>
      </w:r>
      <w:r>
        <w:rPr>
          <w:rFonts w:hint="eastAsia"/>
          <w:color w:val="auto"/>
          <w:position w:val="-4"/>
          <w:sz w:val="24"/>
          <w:u w:val="none"/>
          <w:lang w:val="en-US" w:eastAsia="zh-CN"/>
        </w:rPr>
        <w:object>
          <v:shape id="_x0000_i1075" o:spt="75" type="#_x0000_t75" style="height:13pt;width:11pt;" o:ole="t" filled="f" o:preferrelative="t" stroked="f" coordsize="21600,21600">
            <v:path/>
            <v:fill on="f" focussize="0,0"/>
            <v:stroke on="f"/>
            <v:imagedata r:id="rId117" o:title=""/>
            <o:lock v:ext="edit" aspectratio="t"/>
            <w10:wrap type="none"/>
            <w10:anchorlock/>
          </v:shape>
          <o:OLEObject Type="Embed" ProgID="Equation.KSEE3" ShapeID="_x0000_i1075" DrawAspect="Content" ObjectID="_1468075775" r:id="rId116">
            <o:LockedField>false</o:LockedField>
          </o:OLEObject>
        </w:object>
      </w:r>
      <w:r>
        <w:rPr>
          <w:rFonts w:hint="eastAsia"/>
          <w:color w:val="auto"/>
          <w:sz w:val="24"/>
          <w:u w:val="none"/>
          <w:lang w:val="en-US" w:eastAsia="zh-CN"/>
        </w:rPr>
        <w:t>时间内该声源工作时间为</w:t>
      </w:r>
      <w:r>
        <w:rPr>
          <w:rFonts w:hint="eastAsia"/>
          <w:color w:val="auto"/>
          <w:position w:val="-12"/>
          <w:sz w:val="24"/>
          <w:u w:val="none"/>
          <w:lang w:val="en-US" w:eastAsia="zh-CN"/>
        </w:rPr>
        <w:object>
          <v:shape id="_x0000_i1076" o:spt="75" type="#_x0000_t75" style="height:18pt;width:9pt;" o:ole="t" filled="f" o:preferrelative="t" stroked="f" coordsize="21600,21600">
            <v:path/>
            <v:fill on="f" focussize="0,0"/>
            <v:stroke on="f"/>
            <v:imagedata r:id="rId119" o:title=""/>
            <o:lock v:ext="edit" aspectratio="t"/>
            <w10:wrap type="none"/>
            <w10:anchorlock/>
          </v:shape>
          <o:OLEObject Type="Embed" ProgID="Equation.KSEE3" ShapeID="_x0000_i1076" DrawAspect="Content" ObjectID="_1468075776" r:id="rId118">
            <o:LockedField>false</o:LockedField>
          </o:OLEObject>
        </w:object>
      </w:r>
      <w:r>
        <w:rPr>
          <w:rFonts w:hint="eastAsia"/>
          <w:color w:val="auto"/>
          <w:sz w:val="24"/>
          <w:u w:val="none"/>
          <w:lang w:val="en-US" w:eastAsia="zh-CN"/>
        </w:rPr>
        <w:t>；第</w:t>
      </w:r>
      <w:r>
        <w:rPr>
          <w:rFonts w:hint="eastAsia"/>
          <w:color w:val="auto"/>
          <w:position w:val="-10"/>
          <w:sz w:val="24"/>
          <w:u w:val="none"/>
          <w:lang w:val="en-US" w:eastAsia="zh-CN"/>
        </w:rPr>
        <w:object>
          <v:shape id="_x0000_i1077" o:spt="75" type="#_x0000_t75" style="height:15pt;width:10pt;" o:ole="t" filled="f" o:preferrelative="t" stroked="f" coordsize="21600,21600">
            <v:path/>
            <v:fill on="f" focussize="0,0"/>
            <v:stroke on="f"/>
            <v:imagedata r:id="rId121" o:title=""/>
            <o:lock v:ext="edit" aspectratio="t"/>
            <w10:wrap type="none"/>
            <w10:anchorlock/>
          </v:shape>
          <o:OLEObject Type="Embed" ProgID="Equation.KSEE3" ShapeID="_x0000_i1077" DrawAspect="Content" ObjectID="_1468075777" r:id="rId120">
            <o:LockedField>false</o:LockedField>
          </o:OLEObject>
        </w:object>
      </w:r>
      <w:r>
        <w:rPr>
          <w:rFonts w:hint="eastAsia"/>
          <w:color w:val="auto"/>
          <w:sz w:val="24"/>
          <w:u w:val="none"/>
          <w:lang w:val="en-US" w:eastAsia="zh-CN"/>
        </w:rPr>
        <w:t>个等效室外声源在预测点产生的A声级为</w:t>
      </w:r>
      <w:r>
        <w:rPr>
          <w:rFonts w:hint="eastAsia"/>
          <w:color w:val="auto"/>
          <w:position w:val="-14"/>
          <w:sz w:val="24"/>
          <w:u w:val="none"/>
          <w:lang w:val="en-US" w:eastAsia="zh-CN"/>
        </w:rPr>
        <w:object>
          <v:shape id="_x0000_i1078" o:spt="75" type="#_x0000_t75" style="height:19pt;width:18pt;" o:ole="t" filled="f" o:preferrelative="t" stroked="f" coordsize="21600,21600">
            <v:path/>
            <v:fill on="f" focussize="0,0"/>
            <v:stroke on="f"/>
            <v:imagedata r:id="rId123" o:title=""/>
            <o:lock v:ext="edit" aspectratio="t"/>
            <w10:wrap type="none"/>
            <w10:anchorlock/>
          </v:shape>
          <o:OLEObject Type="Embed" ProgID="Equation.KSEE3" ShapeID="_x0000_i1078" DrawAspect="Content" ObjectID="_1468075778" r:id="rId122">
            <o:LockedField>false</o:LockedField>
          </o:OLEObject>
        </w:object>
      </w:r>
      <w:r>
        <w:rPr>
          <w:rFonts w:hint="eastAsia"/>
          <w:color w:val="auto"/>
          <w:sz w:val="24"/>
          <w:u w:val="none"/>
          <w:lang w:val="en-US" w:eastAsia="zh-CN"/>
        </w:rPr>
        <w:t>，在</w:t>
      </w:r>
      <w:r>
        <w:rPr>
          <w:rFonts w:hint="eastAsia"/>
          <w:color w:val="auto"/>
          <w:position w:val="-4"/>
          <w:sz w:val="24"/>
          <w:u w:val="none"/>
          <w:lang w:val="en-US" w:eastAsia="zh-CN"/>
        </w:rPr>
        <w:object>
          <v:shape id="_x0000_i1079" o:spt="75" type="#_x0000_t75" style="height:13pt;width:11pt;" o:ole="t" filled="f" o:preferrelative="t" stroked="f" coordsize="21600,21600">
            <v:path/>
            <v:fill on="f" focussize="0,0"/>
            <v:stroke on="f"/>
            <v:imagedata r:id="rId117" o:title=""/>
            <o:lock v:ext="edit" aspectratio="t"/>
            <w10:wrap type="none"/>
            <w10:anchorlock/>
          </v:shape>
          <o:OLEObject Type="Embed" ProgID="Equation.KSEE3" ShapeID="_x0000_i1079" DrawAspect="Content" ObjectID="_1468075779" r:id="rId124">
            <o:LockedField>false</o:LockedField>
          </o:OLEObject>
        </w:object>
      </w:r>
      <w:r>
        <w:rPr>
          <w:rFonts w:hint="eastAsia"/>
          <w:color w:val="auto"/>
          <w:sz w:val="24"/>
          <w:u w:val="none"/>
          <w:lang w:val="en-US" w:eastAsia="zh-CN"/>
        </w:rPr>
        <w:t>时间内该声源工作时间为</w:t>
      </w:r>
      <w:r>
        <w:rPr>
          <w:rFonts w:hint="eastAsia"/>
          <w:color w:val="auto"/>
          <w:position w:val="-14"/>
          <w:sz w:val="24"/>
          <w:u w:val="none"/>
          <w:lang w:val="en-US" w:eastAsia="zh-CN"/>
        </w:rPr>
        <w:object>
          <v:shape id="_x0000_i1080" o:spt="75" type="#_x0000_t75" style="height:19pt;width:11pt;" o:ole="t" filled="f" o:preferrelative="t" stroked="f" coordsize="21600,21600">
            <v:path/>
            <v:fill on="f" focussize="0,0"/>
            <v:stroke on="f"/>
            <v:imagedata r:id="rId126" o:title=""/>
            <o:lock v:ext="edit" aspectratio="t"/>
            <w10:wrap type="none"/>
            <w10:anchorlock/>
          </v:shape>
          <o:OLEObject Type="Embed" ProgID="Equation.KSEE3" ShapeID="_x0000_i1080" DrawAspect="Content" ObjectID="_1468075780" r:id="rId125">
            <o:LockedField>false</o:LockedField>
          </o:OLEObject>
        </w:object>
      </w:r>
      <w:r>
        <w:rPr>
          <w:rFonts w:hint="eastAsia"/>
          <w:color w:val="auto"/>
          <w:sz w:val="24"/>
          <w:u w:val="none"/>
          <w:lang w:val="en-US" w:eastAsia="zh-CN"/>
        </w:rPr>
        <w:t>；则拟建工程声源对预测点产生的贡献值（</w:t>
      </w:r>
      <w:r>
        <w:rPr>
          <w:rFonts w:hint="eastAsia"/>
          <w:color w:val="auto"/>
          <w:position w:val="-14"/>
          <w:sz w:val="24"/>
          <w:u w:val="none"/>
          <w:lang w:val="en-US" w:eastAsia="zh-CN"/>
        </w:rPr>
        <w:object>
          <v:shape id="_x0000_i1081" o:spt="75" type="#_x0000_t75" style="height:19pt;width:21pt;" o:ole="t" filled="f" o:preferrelative="t" stroked="f" coordsize="21600,21600">
            <v:path/>
            <v:fill on="f" focussize="0,0"/>
            <v:stroke on="f"/>
            <v:imagedata r:id="rId128" o:title=""/>
            <o:lock v:ext="edit" aspectratio="t"/>
            <w10:wrap type="none"/>
            <w10:anchorlock/>
          </v:shape>
          <o:OLEObject Type="Embed" ProgID="Equation.KSEE3" ShapeID="_x0000_i1081" DrawAspect="Content" ObjectID="_1468075781" r:id="rId127">
            <o:LockedField>false</o:LockedField>
          </o:OLEObject>
        </w:object>
      </w:r>
      <w:r>
        <w:rPr>
          <w:rFonts w:hint="eastAsia"/>
          <w:color w:val="auto"/>
          <w:sz w:val="24"/>
          <w:u w:val="none"/>
          <w:lang w:val="en-US" w:eastAsia="zh-CN"/>
        </w:rPr>
        <w:t>）为：</w:t>
      </w:r>
    </w:p>
    <w:p>
      <w:pPr>
        <w:topLinePunct/>
        <w:snapToGrid w:val="0"/>
        <w:spacing w:line="360" w:lineRule="auto"/>
        <w:jc w:val="center"/>
        <w:rPr>
          <w:rFonts w:hint="default"/>
          <w:color w:val="auto"/>
          <w:sz w:val="24"/>
          <w:u w:val="none"/>
          <w:lang w:val="en-US" w:eastAsia="zh-CN"/>
        </w:rPr>
      </w:pPr>
      <w:r>
        <w:rPr>
          <w:rFonts w:hint="default"/>
          <w:color w:val="auto"/>
          <w:position w:val="-32"/>
          <w:sz w:val="24"/>
          <w:u w:val="none"/>
          <w:lang w:val="en-US" w:eastAsia="zh-CN"/>
        </w:rPr>
        <w:object>
          <v:shape id="_x0000_i1082" o:spt="75" type="#_x0000_t75" style="height:38pt;width:202pt;" o:ole="t" filled="f" o:preferrelative="t" stroked="f" coordsize="21600,21600">
            <v:path/>
            <v:fill on="f" focussize="0,0"/>
            <v:stroke on="f"/>
            <v:imagedata r:id="rId130" o:title=""/>
            <o:lock v:ext="edit" aspectratio="t"/>
            <w10:wrap type="none"/>
            <w10:anchorlock/>
          </v:shape>
          <o:OLEObject Type="Embed" ProgID="Equation.KSEE3" ShapeID="_x0000_i1082" DrawAspect="Content" ObjectID="_1468075782" r:id="rId129">
            <o:LockedField>false</o:LockedField>
          </o:OLEObject>
        </w:objec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式中：</w:t>
      </w:r>
      <w:r>
        <w:rPr>
          <w:rFonts w:hint="eastAsia"/>
          <w:color w:val="auto"/>
          <w:position w:val="-14"/>
          <w:sz w:val="24"/>
          <w:u w:val="none"/>
          <w:lang w:val="en-US" w:eastAsia="zh-CN"/>
        </w:rPr>
        <w:object>
          <v:shape id="_x0000_i1083" o:spt="75" type="#_x0000_t75" style="height:19pt;width:21pt;" o:ole="t" filled="f" o:preferrelative="t" stroked="f" coordsize="21600,21600">
            <v:path/>
            <v:fill on="f" focussize="0,0"/>
            <v:stroke on="f"/>
            <v:imagedata r:id="rId128" o:title=""/>
            <o:lock v:ext="edit" aspectratio="t"/>
            <w10:wrap type="none"/>
            <w10:anchorlock/>
          </v:shape>
          <o:OLEObject Type="Embed" ProgID="Equation.KSEE3" ShapeID="_x0000_i1083" DrawAspect="Content" ObjectID="_1468075783" r:id="rId131">
            <o:LockedField>false</o:LockedField>
          </o:OLEObject>
        </w:object>
      </w:r>
      <w:r>
        <w:rPr>
          <w:rFonts w:hint="eastAsia"/>
          <w:color w:val="auto"/>
          <w:sz w:val="24"/>
          <w:u w:val="none"/>
          <w:lang w:val="en-US" w:eastAsia="zh-CN"/>
        </w:rPr>
        <w:t>——建设项目声源在预测点的等效声级贡献值，dB（A）；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84" o:spt="75" type="#_x0000_t75" style="height:18pt;width:18pt;" o:ole="t" filled="f" o:preferrelative="t" stroked="f" coordsize="21600,21600">
            <v:path/>
            <v:fill on="f" focussize="0,0"/>
            <v:stroke on="f"/>
            <v:imagedata r:id="rId133" o:title=""/>
            <o:lock v:ext="edit" aspectratio="t"/>
            <w10:wrap type="none"/>
            <w10:anchorlock/>
          </v:shape>
          <o:OLEObject Type="Embed" ProgID="Equation.KSEE3" ShapeID="_x0000_i1084" DrawAspect="Content" ObjectID="_1468075784" r:id="rId132">
            <o:LockedField>false</o:LockedField>
          </o:OLEObject>
        </w:object>
      </w:r>
      <w:r>
        <w:rPr>
          <w:rFonts w:hint="eastAsia"/>
          <w:color w:val="auto"/>
          <w:sz w:val="24"/>
          <w:u w:val="none"/>
          <w:lang w:val="en-US" w:eastAsia="zh-CN"/>
        </w:rPr>
        <w:t>——</w:t>
      </w:r>
      <w:r>
        <w:rPr>
          <w:rFonts w:hint="eastAsia"/>
          <w:color w:val="auto"/>
          <w:position w:val="-10"/>
          <w:sz w:val="24"/>
          <w:u w:val="none"/>
          <w:lang w:val="en-US" w:eastAsia="zh-CN"/>
        </w:rPr>
        <w:object>
          <v:shape id="_x0000_i1085" o:spt="75" type="#_x0000_t75" style="height:15pt;width:18pt;" o:ole="t" filled="f" o:preferrelative="t" stroked="f" coordsize="21600,21600">
            <v:path/>
            <v:fill on="f" focussize="0,0"/>
            <v:stroke on="f"/>
            <v:imagedata r:id="rId135" o:title=""/>
            <o:lock v:ext="edit" aspectratio="t"/>
            <w10:wrap type="none"/>
            <w10:anchorlock/>
          </v:shape>
          <o:OLEObject Type="Embed" ProgID="Equation.KSEE3" ShapeID="_x0000_i1085" DrawAspect="Content" ObjectID="_1468075785" r:id="rId134">
            <o:LockedField>false</o:LockedField>
          </o:OLEObject>
        </w:object>
      </w:r>
      <w:r>
        <w:rPr>
          <w:rFonts w:hint="eastAsia"/>
          <w:color w:val="auto"/>
          <w:sz w:val="24"/>
          <w:u w:val="none"/>
          <w:lang w:val="en-US" w:eastAsia="zh-CN"/>
        </w:rPr>
        <w:t>声源在预测点产生的A声级，dB（A）；</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4"/>
          <w:sz w:val="24"/>
          <w:u w:val="none"/>
          <w:lang w:val="en-US" w:eastAsia="zh-CN"/>
        </w:rPr>
        <w:object>
          <v:shape id="_x0000_i1086" o:spt="75" type="#_x0000_t75" style="height:13pt;width:11pt;" o:ole="t" filled="f" o:preferrelative="t" stroked="f" coordsize="21600,21600">
            <v:path/>
            <v:fill on="f" focussize="0,0"/>
            <v:stroke on="f"/>
            <v:imagedata r:id="rId117" o:title=""/>
            <o:lock v:ext="edit" aspectratio="t"/>
            <w10:wrap type="none"/>
            <w10:anchorlock/>
          </v:shape>
          <o:OLEObject Type="Embed" ProgID="Equation.KSEE3" ShapeID="_x0000_i1086" DrawAspect="Content" ObjectID="_1468075786" r:id="rId136">
            <o:LockedField>false</o:LockedField>
          </o:OLEObject>
        </w:object>
      </w:r>
      <w:r>
        <w:rPr>
          <w:rFonts w:hint="eastAsia"/>
          <w:color w:val="auto"/>
          <w:sz w:val="24"/>
          <w:u w:val="none"/>
          <w:lang w:val="en-US" w:eastAsia="zh-CN"/>
        </w:rPr>
        <w:t>——预测计算的时段，S；</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2"/>
          <w:sz w:val="24"/>
          <w:u w:val="none"/>
          <w:lang w:val="en-US" w:eastAsia="zh-CN"/>
        </w:rPr>
        <w:object>
          <v:shape id="_x0000_i1087" o:spt="75" type="#_x0000_t75" style="height:18pt;width:9pt;" o:ole="t" filled="f" o:preferrelative="t" stroked="f" coordsize="21600,21600">
            <v:path/>
            <v:fill on="f" focussize="0,0"/>
            <v:stroke on="f"/>
            <v:imagedata r:id="rId119" o:title=""/>
            <o:lock v:ext="edit" aspectratio="t"/>
            <w10:wrap type="none"/>
            <w10:anchorlock/>
          </v:shape>
          <o:OLEObject Type="Embed" ProgID="Equation.KSEE3" ShapeID="_x0000_i1087" DrawAspect="Content" ObjectID="_1468075787" r:id="rId137">
            <o:LockedField>false</o:LockedField>
          </o:OLEObject>
        </w:object>
      </w:r>
      <w:r>
        <w:rPr>
          <w:rFonts w:hint="eastAsia"/>
          <w:color w:val="auto"/>
          <w:sz w:val="24"/>
          <w:u w:val="none"/>
          <w:lang w:val="en-US" w:eastAsia="zh-CN"/>
        </w:rPr>
        <w:t>——声源在</w:t>
      </w:r>
      <w:r>
        <w:rPr>
          <w:rFonts w:hint="eastAsia"/>
          <w:color w:val="auto"/>
          <w:position w:val="-4"/>
          <w:sz w:val="24"/>
          <w:u w:val="none"/>
          <w:lang w:val="en-US" w:eastAsia="zh-CN"/>
        </w:rPr>
        <w:object>
          <v:shape id="_x0000_i1088" o:spt="75" type="#_x0000_t75" style="height:13pt;width:11pt;" o:ole="t" filled="f" o:preferrelative="t" stroked="f" coordsize="21600,21600">
            <v:path/>
            <v:fill on="f" focussize="0,0"/>
            <v:stroke on="f"/>
            <v:imagedata r:id="rId117" o:title=""/>
            <o:lock v:ext="edit" aspectratio="t"/>
            <w10:wrap type="none"/>
            <w10:anchorlock/>
          </v:shape>
          <o:OLEObject Type="Embed" ProgID="Equation.KSEE3" ShapeID="_x0000_i1088" DrawAspect="Content" ObjectID="_1468075788" r:id="rId138">
            <o:LockedField>false</o:LockedField>
          </o:OLEObject>
        </w:object>
      </w:r>
      <w:r>
        <w:rPr>
          <w:rFonts w:hint="eastAsia"/>
          <w:color w:val="auto"/>
          <w:sz w:val="24"/>
          <w:u w:val="none"/>
          <w:lang w:val="en-US" w:eastAsia="zh-CN"/>
        </w:rPr>
        <w:t>时段内的运行时间，S；</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14"/>
          <w:sz w:val="24"/>
          <w:u w:val="none"/>
          <w:lang w:val="en-US" w:eastAsia="zh-CN"/>
        </w:rPr>
        <w:object>
          <v:shape id="_x0000_i1089" o:spt="75" type="#_x0000_t75" style="height:19pt;width:11pt;" o:ole="t" filled="f" o:preferrelative="t" stroked="f" coordsize="21600,21600">
            <v:path/>
            <v:fill on="f" focussize="0,0"/>
            <v:stroke on="f"/>
            <v:imagedata r:id="rId126" o:title=""/>
            <o:lock v:ext="edit" aspectratio="t"/>
            <w10:wrap type="none"/>
            <w10:anchorlock/>
          </v:shape>
          <o:OLEObject Type="Embed" ProgID="Equation.KSEE3" ShapeID="_x0000_i1089" DrawAspect="Content" ObjectID="_1468075789" r:id="rId139">
            <o:LockedField>false</o:LockedField>
          </o:OLEObject>
        </w:object>
      </w:r>
      <w:r>
        <w:rPr>
          <w:rFonts w:hint="eastAsia"/>
          <w:color w:val="auto"/>
          <w:sz w:val="24"/>
          <w:u w:val="none"/>
          <w:lang w:val="en-US" w:eastAsia="zh-CN"/>
        </w:rPr>
        <w:t>——在</w:t>
      </w:r>
      <w:r>
        <w:rPr>
          <w:rFonts w:hint="eastAsia"/>
          <w:color w:val="auto"/>
          <w:position w:val="-4"/>
          <w:sz w:val="24"/>
          <w:u w:val="none"/>
          <w:lang w:val="en-US" w:eastAsia="zh-CN"/>
        </w:rPr>
        <w:object>
          <v:shape id="_x0000_i1090" o:spt="75" type="#_x0000_t75" style="height:13pt;width:11pt;" o:ole="t" filled="f" o:preferrelative="t" stroked="f" coordsize="21600,21600">
            <v:path/>
            <v:fill on="f" focussize="0,0"/>
            <v:stroke on="f"/>
            <v:imagedata r:id="rId117" o:title=""/>
            <o:lock v:ext="edit" aspectratio="t"/>
            <w10:wrap type="none"/>
            <w10:anchorlock/>
          </v:shape>
          <o:OLEObject Type="Embed" ProgID="Equation.KSEE3" ShapeID="_x0000_i1090" DrawAspect="Content" ObjectID="_1468075790" r:id="rId140">
            <o:LockedField>false</o:LockedField>
          </o:OLEObject>
        </w:object>
      </w:r>
      <w:r>
        <w:rPr>
          <w:rFonts w:hint="eastAsia"/>
          <w:color w:val="auto"/>
          <w:sz w:val="24"/>
          <w:u w:val="none"/>
          <w:lang w:val="en-US" w:eastAsia="zh-CN"/>
        </w:rPr>
        <w:t>时间内内</w:t>
      </w:r>
      <w:r>
        <w:rPr>
          <w:rFonts w:hint="eastAsia"/>
          <w:color w:val="auto"/>
          <w:position w:val="-10"/>
          <w:sz w:val="24"/>
          <w:u w:val="none"/>
          <w:lang w:val="en-US" w:eastAsia="zh-CN"/>
        </w:rPr>
        <w:object>
          <v:shape id="_x0000_i1091" o:spt="75" type="#_x0000_t75" style="height:15pt;width:10pt;" o:ole="t" filled="f" o:preferrelative="t" stroked="f" coordsize="21600,21600">
            <v:path/>
            <v:fill on="f" focussize="0,0"/>
            <v:stroke on="f"/>
            <v:imagedata r:id="rId142" o:title=""/>
            <o:lock v:ext="edit" aspectratio="t"/>
            <w10:wrap type="none"/>
            <w10:anchorlock/>
          </v:shape>
          <o:OLEObject Type="Embed" ProgID="Equation.KSEE3" ShapeID="_x0000_i1091" DrawAspect="Content" ObjectID="_1468075791" r:id="rId141">
            <o:LockedField>false</o:LockedField>
          </o:OLEObject>
        </w:object>
      </w:r>
      <w:r>
        <w:rPr>
          <w:rFonts w:hint="eastAsia"/>
          <w:color w:val="auto"/>
          <w:sz w:val="24"/>
          <w:u w:val="none"/>
          <w:lang w:val="en-US" w:eastAsia="zh-CN"/>
        </w:rPr>
        <w:t>声源工作时间，S；</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6"/>
          <w:sz w:val="24"/>
          <w:u w:val="none"/>
          <w:lang w:val="en-US" w:eastAsia="zh-CN"/>
        </w:rPr>
        <w:object>
          <v:shape id="_x0000_i1092" o:spt="75" type="#_x0000_t75" style="height:13.95pt;width:13.95pt;" o:ole="t" filled="f" o:preferrelative="t" stroked="f" coordsize="21600,21600">
            <v:path/>
            <v:fill on="f" focussize="0,0"/>
            <v:stroke on="f"/>
            <v:imagedata r:id="rId144" o:title=""/>
            <o:lock v:ext="edit" aspectratio="t"/>
            <w10:wrap type="none"/>
            <w10:anchorlock/>
          </v:shape>
          <o:OLEObject Type="Embed" ProgID="Equation.KSEE3" ShapeID="_x0000_i1092" DrawAspect="Content" ObjectID="_1468075792" r:id="rId143">
            <o:LockedField>false</o:LockedField>
          </o:OLEObject>
        </w:object>
      </w:r>
      <w:r>
        <w:rPr>
          <w:rFonts w:hint="eastAsia"/>
          <w:color w:val="auto"/>
          <w:sz w:val="24"/>
          <w:u w:val="none"/>
          <w:lang w:val="en-US" w:eastAsia="zh-CN"/>
        </w:rPr>
        <w:t>——室外声源个数；</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 xml:space="preserve">      </w:t>
      </w:r>
      <w:r>
        <w:rPr>
          <w:rFonts w:hint="eastAsia"/>
          <w:color w:val="auto"/>
          <w:position w:val="-4"/>
          <w:sz w:val="24"/>
          <w:u w:val="none"/>
          <w:lang w:val="en-US" w:eastAsia="zh-CN"/>
        </w:rPr>
        <w:object>
          <v:shape id="_x0000_i1093" o:spt="75" type="#_x0000_t75" style="height:13pt;width:16pt;" o:ole="t" filled="f" o:preferrelative="t" stroked="f" coordsize="21600,21600">
            <v:path/>
            <v:fill on="f" focussize="0,0"/>
            <v:stroke on="f"/>
            <v:imagedata r:id="rId146" o:title=""/>
            <o:lock v:ext="edit" aspectratio="t"/>
            <w10:wrap type="none"/>
            <w10:anchorlock/>
          </v:shape>
          <o:OLEObject Type="Embed" ProgID="Equation.KSEE3" ShapeID="_x0000_i1093" DrawAspect="Content" ObjectID="_1468075793" r:id="rId145">
            <o:LockedField>false</o:LockedField>
          </o:OLEObject>
        </w:object>
      </w:r>
      <w:r>
        <w:rPr>
          <w:rFonts w:hint="eastAsia"/>
          <w:color w:val="auto"/>
          <w:sz w:val="24"/>
          <w:u w:val="none"/>
          <w:lang w:val="en-US" w:eastAsia="zh-CN"/>
        </w:rPr>
        <w:t>——等效室外声源个数。</w:t>
      </w:r>
    </w:p>
    <w:p>
      <w:pPr>
        <w:topLinePunct/>
        <w:snapToGrid w:val="0"/>
        <w:spacing w:line="360" w:lineRule="auto"/>
        <w:jc w:val="both"/>
        <w:rPr>
          <w:rFonts w:hint="eastAsia"/>
          <w:color w:val="auto"/>
          <w:sz w:val="24"/>
          <w:u w:val="none"/>
          <w:lang w:val="en-US" w:eastAsia="zh-CN"/>
        </w:rPr>
      </w:pPr>
      <w:r>
        <w:rPr>
          <w:rFonts w:hint="eastAsia"/>
          <w:color w:val="auto"/>
          <w:sz w:val="24"/>
          <w:u w:val="none"/>
          <w:lang w:val="en-US" w:eastAsia="zh-CN"/>
        </w:rPr>
        <w:t>本项目为新建项目，由此计算拟建项目声源在厂界的贡献值作为预测值，预测结果详见下表。</w:t>
      </w:r>
    </w:p>
    <w:p>
      <w:pPr>
        <w:pStyle w:val="352"/>
        <w:rPr>
          <w:rFonts w:hint="eastAsia"/>
          <w:b/>
          <w:bCs/>
          <w:u w:val="none"/>
          <w:lang w:val="en-US" w:eastAsia="zh-CN"/>
        </w:rPr>
      </w:pPr>
      <w:r>
        <w:rPr>
          <w:rFonts w:hint="eastAsia"/>
          <w:b/>
          <w:bCs/>
          <w:u w:val="none"/>
          <w:lang w:val="en-US" w:eastAsia="zh-CN"/>
        </w:rPr>
        <w:t>表8-16  拟建项目噪声源对外环境的预测值结果表   单位：dB（A）</w:t>
      </w:r>
    </w:p>
    <w:tbl>
      <w:tblPr>
        <w:tblStyle w:val="59"/>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285"/>
        <w:gridCol w:w="1143"/>
        <w:gridCol w:w="1142"/>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28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预测点</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预测值</w:t>
            </w:r>
          </w:p>
        </w:tc>
        <w:tc>
          <w:tcPr>
            <w:tcW w:w="2285" w:type="dxa"/>
            <w:gridSpan w:val="2"/>
            <w:vAlign w:val="center"/>
          </w:tcPr>
          <w:p>
            <w:pPr>
              <w:pStyle w:val="352"/>
              <w:keepNext w:val="0"/>
              <w:keepLines w:val="0"/>
              <w:suppressLineNumbers w:val="0"/>
              <w:spacing w:before="0" w:beforeAutospacing="0" w:after="0" w:afterAutospacing="0"/>
              <w:ind w:left="0" w:right="0"/>
              <w:jc w:val="center"/>
              <w:rPr>
                <w:rFonts w:hint="eastAsia"/>
                <w:b/>
                <w:bCs/>
                <w:u w:val="none"/>
                <w:vertAlign w:val="baseline"/>
                <w:lang w:val="en-US" w:eastAsia="zh-CN"/>
              </w:rPr>
            </w:pPr>
            <w:r>
              <w:rPr>
                <w:rFonts w:hint="eastAsia"/>
                <w:b/>
                <w:bCs/>
                <w:u w:val="none"/>
                <w:vertAlign w:val="baseline"/>
                <w:lang w:val="en-US" w:eastAsia="zh-CN"/>
              </w:rPr>
              <w:t>标准值</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东厂界外1m</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48.2</w:t>
            </w:r>
          </w:p>
        </w:tc>
        <w:tc>
          <w:tcPr>
            <w:tcW w:w="114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60</w:t>
            </w:r>
          </w:p>
        </w:tc>
        <w:tc>
          <w:tcPr>
            <w:tcW w:w="114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50</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南厂界外1m</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39.15</w:t>
            </w:r>
          </w:p>
        </w:tc>
        <w:tc>
          <w:tcPr>
            <w:tcW w:w="1143"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60</w:t>
            </w:r>
          </w:p>
        </w:tc>
        <w:tc>
          <w:tcPr>
            <w:tcW w:w="1142"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50</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西厂界外1m</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49.3</w:t>
            </w:r>
          </w:p>
        </w:tc>
        <w:tc>
          <w:tcPr>
            <w:tcW w:w="1143"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60</w:t>
            </w:r>
          </w:p>
        </w:tc>
        <w:tc>
          <w:tcPr>
            <w:tcW w:w="1142"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50</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北厂界外1m</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42.37</w:t>
            </w:r>
          </w:p>
        </w:tc>
        <w:tc>
          <w:tcPr>
            <w:tcW w:w="1143"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60</w:t>
            </w:r>
          </w:p>
        </w:tc>
        <w:tc>
          <w:tcPr>
            <w:tcW w:w="1142" w:type="dxa"/>
            <w:vAlign w:val="center"/>
          </w:tcPr>
          <w:p>
            <w:pPr>
              <w:pStyle w:val="352"/>
              <w:keepNext w:val="0"/>
              <w:keepLines w:val="0"/>
              <w:suppressLineNumbers w:val="0"/>
              <w:spacing w:before="0" w:beforeAutospacing="0" w:after="0" w:afterAutospacing="0"/>
              <w:ind w:left="0" w:right="0" w:firstLine="0" w:firstLineChars="0"/>
              <w:jc w:val="center"/>
              <w:rPr>
                <w:rFonts w:hint="default"/>
                <w:b w:val="0"/>
                <w:bCs w:val="0"/>
                <w:u w:val="none"/>
                <w:vertAlign w:val="baseline"/>
                <w:lang w:val="en-US" w:eastAsia="zh-CN"/>
              </w:rPr>
            </w:pPr>
            <w:r>
              <w:rPr>
                <w:rFonts w:hint="eastAsia"/>
                <w:b w:val="0"/>
                <w:bCs w:val="0"/>
                <w:u w:val="none"/>
                <w:vertAlign w:val="baseline"/>
                <w:lang w:val="en-US" w:eastAsia="zh-CN"/>
              </w:rPr>
              <w:t>50</w:t>
            </w:r>
          </w:p>
        </w:tc>
        <w:tc>
          <w:tcPr>
            <w:tcW w:w="22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达标</w:t>
            </w:r>
          </w:p>
        </w:tc>
      </w:tr>
    </w:tbl>
    <w:p>
      <w:pPr>
        <w:topLinePunct/>
        <w:spacing w:line="360" w:lineRule="auto"/>
        <w:jc w:val="left"/>
        <w:rPr>
          <w:rFonts w:hint="eastAsia"/>
          <w:b/>
          <w:sz w:val="24"/>
          <w:u w:val="none"/>
          <w:lang w:val="en-US" w:eastAsia="zh-CN"/>
        </w:rPr>
      </w:pPr>
      <w:r>
        <w:rPr>
          <w:rFonts w:hint="eastAsia"/>
          <w:b/>
          <w:sz w:val="24"/>
          <w:u w:val="none"/>
          <w:lang w:val="en-US" w:eastAsia="zh-CN"/>
        </w:rPr>
        <w:t>8.3.3预测结果及分析</w:t>
      </w:r>
    </w:p>
    <w:p>
      <w:pPr>
        <w:topLinePunct/>
        <w:snapToGrid w:val="0"/>
        <w:spacing w:line="360" w:lineRule="auto"/>
        <w:jc w:val="both"/>
        <w:rPr>
          <w:rFonts w:hint="default"/>
          <w:b w:val="0"/>
          <w:bCs w:val="0"/>
          <w:u w:val="none"/>
          <w:lang w:val="en-US" w:eastAsia="zh-CN"/>
        </w:rPr>
      </w:pPr>
      <w:r>
        <w:rPr>
          <w:rFonts w:hint="eastAsia"/>
          <w:b w:val="0"/>
          <w:bCs w:val="0"/>
          <w:u w:val="none"/>
          <w:lang w:val="en-US" w:eastAsia="zh-CN"/>
        </w:rPr>
        <w:t>根据预测结果可知，厂区各厂界噪声预测值均满足《工业企业厂界环境噪声排放标准》（GB12348-2008）中2类标准，另，根据现场调查，项目周边200m范围内无声环境敏感点。因此，本项目噪声对周边声环境影响不大。</w:t>
      </w:r>
    </w:p>
    <w:p>
      <w:pPr>
        <w:pStyle w:val="3"/>
        <w:rPr>
          <w:rFonts w:ascii="Times New Roman" w:hAnsi="Times New Roman"/>
          <w:sz w:val="28"/>
          <w:szCs w:val="28"/>
          <w:u w:val="none"/>
        </w:rPr>
      </w:pPr>
      <w:bookmarkStart w:id="77" w:name="_Toc13006"/>
      <w:r>
        <w:rPr>
          <w:rFonts w:hint="eastAsia" w:ascii="Times New Roman" w:hAnsi="Times New Roman"/>
          <w:sz w:val="28"/>
          <w:szCs w:val="28"/>
          <w:u w:val="none"/>
          <w:lang w:val="en-US" w:eastAsia="zh-CN"/>
        </w:rPr>
        <w:t>8</w:t>
      </w:r>
      <w:r>
        <w:rPr>
          <w:rFonts w:ascii="Times New Roman" w:hAnsi="Times New Roman"/>
          <w:sz w:val="28"/>
          <w:szCs w:val="28"/>
          <w:u w:val="none"/>
        </w:rPr>
        <w:t>.</w:t>
      </w:r>
      <w:r>
        <w:rPr>
          <w:rFonts w:hint="eastAsia" w:ascii="Times New Roman" w:hAnsi="Times New Roman"/>
          <w:sz w:val="28"/>
          <w:szCs w:val="28"/>
          <w:u w:val="none"/>
          <w:lang w:val="en-US" w:eastAsia="zh-CN"/>
        </w:rPr>
        <w:t>4</w:t>
      </w:r>
      <w:r>
        <w:rPr>
          <w:rFonts w:ascii="Times New Roman" w:hAnsi="Times New Roman"/>
          <w:sz w:val="28"/>
          <w:szCs w:val="28"/>
          <w:u w:val="none"/>
        </w:rPr>
        <w:t>地下水环境影响分析</w:t>
      </w:r>
      <w:bookmarkEnd w:id="77"/>
    </w:p>
    <w:p>
      <w:pPr>
        <w:topLinePunct/>
        <w:spacing w:line="360" w:lineRule="auto"/>
        <w:jc w:val="left"/>
        <w:rPr>
          <w:rFonts w:hint="eastAsia"/>
          <w:b/>
          <w:sz w:val="24"/>
          <w:u w:val="none"/>
          <w:lang w:val="en-US" w:eastAsia="zh-CN"/>
        </w:rPr>
      </w:pPr>
      <w:r>
        <w:rPr>
          <w:rFonts w:hint="eastAsia"/>
          <w:b/>
          <w:sz w:val="24"/>
          <w:u w:val="none"/>
          <w:lang w:val="en-US" w:eastAsia="zh-CN"/>
        </w:rPr>
        <w:t>8.4.1评价目的</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本项目为医疗垃圾处置项目，在建设期及运营期可能会带来一些地下水环境问题。因此，本次地下水评价通过查清建设项目所在区域的地下水环境现状，根据该项目的工程特征和污染特征，分析项目建设对当地地下水环境可能造成的不良影响，弄清影响程度和范围，从而制定避免地下水污染、减少地下水污染的防治对策，为项目实现合理布局、最佳设计提供科学依据。</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1）结合资料调研和实地调查，掌握拟建项目地区水文地质条件，查明环境现状；</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2）根据工程建设、运行特点，对拟建项目的地下水环境影响要素进行分析和识别，预测工程建设可能对地下水环境产生的影响，评价其影响程度和范围及其可能导致的地下水环境变化趋势；</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3）针对项目建设可能产生的不利影响，提出针对性的防治对策或减缓措施，使工程建设带来的负面环境影响降至最低程度，达到项目建设和环境保护的协调发展；</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4）从地下水环境保护角度论证项目建设的可行性，为工程建设决策和环境管理提供科学依据。</w:t>
      </w:r>
    </w:p>
    <w:p>
      <w:pPr>
        <w:topLinePunct/>
        <w:snapToGrid w:val="0"/>
        <w:spacing w:line="360" w:lineRule="auto"/>
        <w:jc w:val="both"/>
        <w:rPr>
          <w:rFonts w:hint="eastAsia"/>
          <w:b/>
          <w:bCs/>
          <w:u w:val="none"/>
          <w:lang w:val="en-US" w:eastAsia="zh-CN"/>
        </w:rPr>
      </w:pPr>
      <w:r>
        <w:rPr>
          <w:rFonts w:hint="eastAsia"/>
          <w:b/>
          <w:bCs/>
          <w:u w:val="none"/>
          <w:lang w:val="en-US" w:eastAsia="zh-CN"/>
        </w:rPr>
        <w:t>8.4.2地下水环境保护目标</w:t>
      </w:r>
    </w:p>
    <w:p>
      <w:pPr>
        <w:topLinePunct/>
        <w:snapToGrid w:val="0"/>
        <w:spacing w:line="360" w:lineRule="auto"/>
        <w:jc w:val="both"/>
        <w:rPr>
          <w:rFonts w:hint="default"/>
          <w:b w:val="0"/>
          <w:bCs w:val="0"/>
          <w:u w:val="none"/>
          <w:lang w:val="en-US" w:eastAsia="zh-CN"/>
        </w:rPr>
      </w:pPr>
      <w:r>
        <w:rPr>
          <w:rFonts w:hint="default"/>
          <w:b w:val="0"/>
          <w:bCs w:val="0"/>
          <w:u w:val="none"/>
          <w:lang w:val="en-US" w:eastAsia="zh-CN"/>
        </w:rPr>
        <w:t>根据实地调查，结合区域水文地质条件的地下水埋藏分布特征与地下水流动特征，确定本项目建场地地下水环境保护目标为：地下水潜水含水层（主要为基岩裂隙水），其地下水保护目标，见下表。</w:t>
      </w:r>
    </w:p>
    <w:p>
      <w:pPr>
        <w:pStyle w:val="352"/>
        <w:rPr>
          <w:rFonts w:hint="default"/>
          <w:b/>
          <w:bCs/>
          <w:u w:val="none"/>
          <w:lang w:val="en-US" w:eastAsia="zh-CN"/>
        </w:rPr>
      </w:pPr>
      <w:r>
        <w:rPr>
          <w:rFonts w:hint="default"/>
          <w:b/>
          <w:bCs/>
          <w:u w:val="none"/>
          <w:lang w:val="en-US" w:eastAsia="zh-CN"/>
        </w:rPr>
        <w:t>表</w:t>
      </w:r>
      <w:r>
        <w:rPr>
          <w:rFonts w:hint="eastAsia"/>
          <w:b/>
          <w:bCs/>
          <w:u w:val="none"/>
          <w:lang w:val="en-US" w:eastAsia="zh-CN"/>
        </w:rPr>
        <w:t xml:space="preserve">8-17  </w:t>
      </w:r>
      <w:r>
        <w:rPr>
          <w:rFonts w:hint="default"/>
          <w:b/>
          <w:bCs/>
          <w:u w:val="none"/>
          <w:lang w:val="en-US" w:eastAsia="zh-CN"/>
        </w:rPr>
        <w:t>项目地下水环境保护目标</w:t>
      </w:r>
    </w:p>
    <w:tbl>
      <w:tblPr>
        <w:tblStyle w:val="58"/>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13"/>
        <w:gridCol w:w="844"/>
        <w:gridCol w:w="677"/>
        <w:gridCol w:w="677"/>
        <w:gridCol w:w="2675"/>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3"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环境要素</w:t>
            </w:r>
          </w:p>
        </w:tc>
        <w:tc>
          <w:tcPr>
            <w:tcW w:w="84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保护目标</w:t>
            </w:r>
          </w:p>
        </w:tc>
        <w:tc>
          <w:tcPr>
            <w:tcW w:w="677"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埋深(m)</w:t>
            </w:r>
          </w:p>
        </w:tc>
        <w:tc>
          <w:tcPr>
            <w:tcW w:w="677"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厚度(m)</w:t>
            </w:r>
          </w:p>
        </w:tc>
        <w:tc>
          <w:tcPr>
            <w:tcW w:w="267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地下水系统相对位置</w:t>
            </w:r>
          </w:p>
        </w:tc>
        <w:tc>
          <w:tcPr>
            <w:tcW w:w="3372"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地下水</w:t>
            </w:r>
          </w:p>
        </w:tc>
        <w:tc>
          <w:tcPr>
            <w:tcW w:w="8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潜水含水层</w:t>
            </w:r>
          </w:p>
        </w:tc>
        <w:tc>
          <w:tcPr>
            <w:tcW w:w="677"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677"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本项目区及附近下伏含水层与地下水下游含水层</w:t>
            </w:r>
          </w:p>
        </w:tc>
        <w:tc>
          <w:tcPr>
            <w:tcW w:w="3372"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本项目运行期废水泄露，有可能下渗进入下伏潜水含水层，影响水质</w:t>
            </w:r>
          </w:p>
        </w:tc>
      </w:tr>
    </w:tbl>
    <w:p>
      <w:pPr>
        <w:topLinePunct/>
        <w:spacing w:line="360" w:lineRule="auto"/>
        <w:jc w:val="left"/>
        <w:rPr>
          <w:rFonts w:hint="eastAsia"/>
          <w:b/>
          <w:sz w:val="24"/>
          <w:u w:val="none"/>
          <w:lang w:val="en-US" w:eastAsia="zh-CN"/>
        </w:rPr>
      </w:pPr>
      <w:r>
        <w:rPr>
          <w:rFonts w:hint="eastAsia"/>
          <w:b/>
          <w:sz w:val="24"/>
          <w:u w:val="none"/>
          <w:lang w:val="en-US" w:eastAsia="zh-CN"/>
        </w:rPr>
        <w:t>8.4.3评价等级和范围</w:t>
      </w:r>
    </w:p>
    <w:p>
      <w:pPr>
        <w:topLinePunct/>
        <w:snapToGrid w:val="0"/>
        <w:spacing w:line="360" w:lineRule="auto"/>
        <w:ind w:firstLine="480" w:firstLineChars="200"/>
        <w:jc w:val="left"/>
        <w:rPr>
          <w:rFonts w:hint="default"/>
          <w:sz w:val="24"/>
          <w:u w:val="none"/>
          <w:lang w:val="en-US" w:eastAsia="zh-CN"/>
        </w:rPr>
      </w:pPr>
      <w:r>
        <w:rPr>
          <w:rFonts w:hint="eastAsia"/>
          <w:sz w:val="24"/>
          <w:u w:val="none"/>
          <w:lang w:val="en-US" w:eastAsia="zh-CN"/>
        </w:rPr>
        <w:t>1、评价等级</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根据《环境影响评价技术导则——地下水环境》（HJ610-2016），本项目不处于地下水集中式饮用水源地准保护区或补给径流区，周边无其他地下水资源保护区或地下水环境敏感区，地下水环境敏感程度为不敏感，且项目为医疗废物集中处置项目，根据导则附录A，本项目属于</w:t>
      </w:r>
      <w:r>
        <w:rPr>
          <w:rFonts w:hint="eastAsia"/>
          <w:sz w:val="24"/>
          <w:u w:val="none"/>
          <w:lang w:val="en-US" w:eastAsia="zh-CN"/>
        </w:rPr>
        <w:fldChar w:fldCharType="begin"/>
      </w:r>
      <w:r>
        <w:rPr>
          <w:rFonts w:hint="eastAsia"/>
          <w:sz w:val="24"/>
          <w:u w:val="none"/>
          <w:lang w:val="en-US" w:eastAsia="zh-CN"/>
        </w:rPr>
        <w:instrText xml:space="preserve"> = 1 \* ROMAN \* MERGEFORMAT </w:instrText>
      </w:r>
      <w:r>
        <w:rPr>
          <w:rFonts w:hint="eastAsia"/>
          <w:sz w:val="24"/>
          <w:u w:val="none"/>
          <w:lang w:val="en-US" w:eastAsia="zh-CN"/>
        </w:rPr>
        <w:fldChar w:fldCharType="separate"/>
      </w:r>
      <w:r>
        <w:t>I</w:t>
      </w:r>
      <w:r>
        <w:rPr>
          <w:rFonts w:hint="eastAsia"/>
          <w:sz w:val="24"/>
          <w:u w:val="none"/>
          <w:lang w:val="en-US" w:eastAsia="zh-CN"/>
        </w:rPr>
        <w:fldChar w:fldCharType="end"/>
      </w:r>
      <w:r>
        <w:rPr>
          <w:rFonts w:hint="eastAsia"/>
          <w:sz w:val="24"/>
          <w:u w:val="none"/>
          <w:lang w:val="en-US" w:eastAsia="zh-CN"/>
        </w:rPr>
        <w:t>类项目，故本次地下水评价工作等级为二级。</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2、评价范围</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根据《环境影响评价技术导则——地下水环境》（HJ610-2016），地下水环境现状调查评价范围应包括与建设项目相关的地下水环境保护目标，以能说明地下水环境现状，反映调查评价区域地下水基本渗流特征，满足地下水环境影响预测和评价为基本原则。</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建设项目地下水环境现状调查评价范围的确定可采用公式计算法、查表法及自定义法。</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（1）公式计算法</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当建设项目所在地水文地质条件相对简单，且所掌握的资料能够满足公式计算法的要求时，应采用公式计算法确定：</w:t>
      </w:r>
    </w:p>
    <w:p>
      <w:pPr>
        <w:topLinePunct/>
        <w:snapToGrid w:val="0"/>
        <w:spacing w:line="360" w:lineRule="auto"/>
        <w:ind w:firstLine="480" w:firstLineChars="200"/>
        <w:jc w:val="center"/>
        <w:rPr>
          <w:rFonts w:hint="eastAsia"/>
          <w:sz w:val="24"/>
          <w:u w:val="none"/>
          <w:lang w:val="en-US" w:eastAsia="zh-CN"/>
        </w:rPr>
      </w:pPr>
      <w:r>
        <w:rPr>
          <w:rFonts w:hint="eastAsia"/>
          <w:position w:val="-12"/>
          <w:sz w:val="24"/>
          <w:u w:val="none"/>
          <w:lang w:val="en-US" w:eastAsia="zh-CN"/>
        </w:rPr>
        <w:object>
          <v:shape id="_x0000_i1094" o:spt="75" type="#_x0000_t75" style="height:18pt;width:96.95pt;" o:ole="t" filled="f" o:preferrelative="t" stroked="f" coordsize="21600,21600">
            <v:path/>
            <v:fill on="f" focussize="0,0"/>
            <v:stroke on="f"/>
            <v:imagedata r:id="rId148" o:title=""/>
            <o:lock v:ext="edit" aspectratio="t"/>
            <w10:wrap type="none"/>
            <w10:anchorlock/>
          </v:shape>
          <o:OLEObject Type="Embed" ProgID="Equation.KSEE3" ShapeID="_x0000_i1094" DrawAspect="Content" ObjectID="_1468075794" r:id="rId147">
            <o:LockedField>false</o:LockedField>
          </o:OLEObject>
        </w:object>
      </w:r>
    </w:p>
    <w:p>
      <w:pPr>
        <w:topLinePunct/>
        <w:snapToGrid w:val="0"/>
        <w:spacing w:line="360" w:lineRule="auto"/>
        <w:ind w:firstLine="480" w:firstLineChars="200"/>
        <w:jc w:val="both"/>
        <w:rPr>
          <w:rFonts w:hint="eastAsia"/>
          <w:sz w:val="24"/>
          <w:u w:val="none"/>
          <w:lang w:val="en-US" w:eastAsia="zh-CN"/>
        </w:rPr>
      </w:pPr>
      <w:r>
        <w:rPr>
          <w:rFonts w:hint="eastAsia"/>
          <w:sz w:val="24"/>
          <w:u w:val="none"/>
          <w:lang w:val="en-US" w:eastAsia="zh-CN"/>
        </w:rPr>
        <w:t>式中：</w:t>
      </w:r>
      <w:r>
        <w:rPr>
          <w:rFonts w:hint="eastAsia"/>
          <w:position w:val="-4"/>
          <w:sz w:val="24"/>
          <w:u w:val="none"/>
          <w:lang w:val="en-US" w:eastAsia="zh-CN"/>
        </w:rPr>
        <w:object>
          <v:shape id="_x0000_i1095" o:spt="75" type="#_x0000_t75" style="height:13pt;width:11pt;" o:ole="t" filled="f" o:preferrelative="t" stroked="f" coordsize="21600,21600">
            <v:path/>
            <v:fill on="f" focussize="0,0"/>
            <v:stroke on="f"/>
            <v:imagedata r:id="rId150" o:title=""/>
            <o:lock v:ext="edit" aspectratio="t"/>
            <w10:wrap type="none"/>
            <w10:anchorlock/>
          </v:shape>
          <o:OLEObject Type="Embed" ProgID="Equation.KSEE3" ShapeID="_x0000_i1095" DrawAspect="Content" ObjectID="_1468075795" r:id="rId149">
            <o:LockedField>false</o:LockedField>
          </o:OLEObject>
        </w:object>
      </w:r>
      <w:r>
        <w:rPr>
          <w:rFonts w:hint="eastAsia"/>
          <w:sz w:val="24"/>
          <w:u w:val="none"/>
          <w:lang w:val="en-US" w:eastAsia="zh-CN"/>
        </w:rPr>
        <w:t>——下游迁移距离；</w:t>
      </w:r>
    </w:p>
    <w:p>
      <w:pPr>
        <w:topLinePunct/>
        <w:snapToGrid w:val="0"/>
        <w:spacing w:line="360" w:lineRule="auto"/>
        <w:ind w:firstLine="480" w:firstLineChars="200"/>
        <w:jc w:val="both"/>
        <w:rPr>
          <w:rFonts w:hint="default"/>
          <w:sz w:val="24"/>
          <w:u w:val="none"/>
          <w:lang w:val="en-US" w:eastAsia="zh-CN"/>
        </w:rPr>
      </w:pPr>
      <w:r>
        <w:rPr>
          <w:rFonts w:hint="eastAsia"/>
          <w:sz w:val="24"/>
          <w:u w:val="none"/>
          <w:lang w:val="en-US" w:eastAsia="zh-CN"/>
        </w:rPr>
        <w:t xml:space="preserve">      </w:t>
      </w:r>
      <w:r>
        <w:rPr>
          <w:rFonts w:hint="eastAsia"/>
          <w:position w:val="-6"/>
          <w:sz w:val="24"/>
          <w:u w:val="none"/>
          <w:lang w:val="en-US" w:eastAsia="zh-CN"/>
        </w:rPr>
        <w:object>
          <v:shape id="_x0000_i1096" o:spt="75" type="#_x0000_t75" style="height:11pt;width:10pt;" o:ole="t" filled="f" o:preferrelative="t" stroked="f" coordsize="21600,21600">
            <v:path/>
            <v:fill on="f" focussize="0,0"/>
            <v:stroke on="f"/>
            <v:imagedata r:id="rId152" o:title=""/>
            <o:lock v:ext="edit" aspectratio="t"/>
            <w10:wrap type="none"/>
            <w10:anchorlock/>
          </v:shape>
          <o:OLEObject Type="Embed" ProgID="Equation.KSEE3" ShapeID="_x0000_i1096" DrawAspect="Content" ObjectID="_1468075796" r:id="rId151">
            <o:LockedField>false</o:LockedField>
          </o:OLEObject>
        </w:object>
      </w:r>
      <w:r>
        <w:rPr>
          <w:rFonts w:hint="eastAsia"/>
          <w:sz w:val="24"/>
          <w:u w:val="none"/>
          <w:lang w:val="en-US" w:eastAsia="zh-CN"/>
        </w:rPr>
        <w:t>——变化系数，</w:t>
      </w:r>
      <w:r>
        <w:rPr>
          <w:rFonts w:hint="eastAsia"/>
          <w:position w:val="-6"/>
          <w:sz w:val="24"/>
          <w:u w:val="none"/>
          <w:lang w:val="en-US" w:eastAsia="zh-CN"/>
        </w:rPr>
        <w:object>
          <v:shape id="_x0000_i1097" o:spt="75" type="#_x0000_t75" style="height:11pt;width:10pt;" o:ole="t" filled="f" o:preferrelative="t" stroked="f" coordsize="21600,21600">
            <v:path/>
            <v:fill on="f" focussize="0,0"/>
            <v:stroke on="f"/>
            <v:imagedata r:id="rId152" o:title=""/>
            <o:lock v:ext="edit" aspectratio="t"/>
            <w10:wrap type="none"/>
            <w10:anchorlock/>
          </v:shape>
          <o:OLEObject Type="Embed" ProgID="Equation.KSEE3" ShapeID="_x0000_i1097" DrawAspect="Content" ObjectID="_1468075797" r:id="rId153">
            <o:LockedField>false</o:LockedField>
          </o:OLEObject>
        </w:object>
      </w:r>
      <w:r>
        <w:rPr>
          <w:rFonts w:hint="eastAsia"/>
          <w:sz w:val="24"/>
          <w:u w:val="none"/>
          <w:lang w:val="en-US" w:eastAsia="zh-CN"/>
        </w:rPr>
        <w:t>≥1，一般取2；</w:t>
      </w:r>
    </w:p>
    <w:p>
      <w:pPr>
        <w:topLinePunct/>
        <w:snapToGrid w:val="0"/>
        <w:spacing w:line="360" w:lineRule="auto"/>
        <w:ind w:firstLine="480" w:firstLineChars="200"/>
        <w:jc w:val="left"/>
        <w:rPr>
          <w:rFonts w:hint="default"/>
          <w:sz w:val="24"/>
          <w:u w:val="none"/>
          <w:lang w:val="en-US" w:eastAsia="zh-CN"/>
        </w:rPr>
      </w:pPr>
      <w:r>
        <w:rPr>
          <w:rFonts w:hint="eastAsia"/>
          <w:sz w:val="24"/>
          <w:u w:val="none"/>
          <w:lang w:val="en-US" w:eastAsia="zh-CN"/>
        </w:rPr>
        <w:t xml:space="preserve">      </w:t>
      </w:r>
      <w:r>
        <w:rPr>
          <w:rFonts w:hint="eastAsia"/>
          <w:position w:val="-4"/>
          <w:sz w:val="24"/>
          <w:u w:val="none"/>
          <w:lang w:val="en-US" w:eastAsia="zh-CN"/>
        </w:rPr>
        <w:object>
          <v:shape id="_x0000_i1098" o:spt="75" type="#_x0000_t75" style="height:13pt;width:13pt;" o:ole="t" filled="f" o:preferrelative="t" stroked="f" coordsize="21600,21600">
            <v:path/>
            <v:fill on="f" focussize="0,0"/>
            <v:stroke on="f"/>
            <v:imagedata r:id="rId155" o:title=""/>
            <o:lock v:ext="edit" aspectratio="t"/>
            <w10:wrap type="none"/>
            <w10:anchorlock/>
          </v:shape>
          <o:OLEObject Type="Embed" ProgID="Equation.KSEE3" ShapeID="_x0000_i1098" DrawAspect="Content" ObjectID="_1468075798" r:id="rId154">
            <o:LockedField>false</o:LockedField>
          </o:OLEObject>
        </w:object>
      </w:r>
      <w:r>
        <w:rPr>
          <w:rFonts w:hint="eastAsia"/>
          <w:sz w:val="24"/>
          <w:u w:val="none"/>
          <w:lang w:val="en-US" w:eastAsia="zh-CN"/>
        </w:rPr>
        <w:t>——渗透系数，m/d；</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 xml:space="preserve">      </w:t>
      </w:r>
      <w:r>
        <w:rPr>
          <w:rFonts w:hint="eastAsia"/>
          <w:position w:val="-4"/>
          <w:sz w:val="24"/>
          <w:u w:val="none"/>
          <w:lang w:val="en-US" w:eastAsia="zh-CN"/>
        </w:rPr>
        <w:object>
          <v:shape id="_x0000_i1099" o:spt="75" type="#_x0000_t75" style="height:13pt;width:10pt;" o:ole="t" filled="f" o:preferrelative="t" stroked="f" coordsize="21600,21600">
            <v:path/>
            <v:fill on="f" focussize="0,0"/>
            <v:stroke on="f"/>
            <v:imagedata r:id="rId157" o:title=""/>
            <o:lock v:ext="edit" aspectratio="t"/>
            <w10:wrap type="none"/>
            <w10:anchorlock/>
          </v:shape>
          <o:OLEObject Type="Embed" ProgID="Equation.KSEE3" ShapeID="_x0000_i1099" DrawAspect="Content" ObjectID="_1468075799" r:id="rId156">
            <o:LockedField>false</o:LockedField>
          </o:OLEObject>
        </w:object>
      </w:r>
      <w:r>
        <w:rPr>
          <w:rFonts w:hint="eastAsia"/>
          <w:sz w:val="24"/>
          <w:u w:val="none"/>
          <w:lang w:val="en-US" w:eastAsia="zh-CN"/>
        </w:rPr>
        <w:t>——水力坡度，无量纲；</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 xml:space="preserve">      </w:t>
      </w:r>
      <w:r>
        <w:rPr>
          <w:rFonts w:hint="eastAsia"/>
          <w:position w:val="-4"/>
          <w:sz w:val="24"/>
          <w:u w:val="none"/>
          <w:lang w:val="en-US" w:eastAsia="zh-CN"/>
        </w:rPr>
        <w:object>
          <v:shape id="_x0000_i1100" o:spt="75" type="#_x0000_t75" style="height:13pt;width:11pt;" o:ole="t" filled="f" o:preferrelative="t" stroked="f" coordsize="21600,21600">
            <v:path/>
            <v:fill on="f" focussize="0,0"/>
            <v:stroke on="f"/>
            <v:imagedata r:id="rId159" o:title=""/>
            <o:lock v:ext="edit" aspectratio="t"/>
            <w10:wrap type="none"/>
            <w10:anchorlock/>
          </v:shape>
          <o:OLEObject Type="Embed" ProgID="Equation.KSEE3" ShapeID="_x0000_i1100" DrawAspect="Content" ObjectID="_1468075800" r:id="rId158">
            <o:LockedField>false</o:LockedField>
          </o:OLEObject>
        </w:object>
      </w:r>
      <w:r>
        <w:rPr>
          <w:rFonts w:hint="eastAsia"/>
          <w:sz w:val="24"/>
          <w:u w:val="none"/>
          <w:lang w:val="en-US" w:eastAsia="zh-CN"/>
        </w:rPr>
        <w:t>——质点迁移天数，取值不小于5000d；</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 xml:space="preserve">      </w:t>
      </w:r>
      <w:r>
        <w:rPr>
          <w:rFonts w:hint="eastAsia"/>
          <w:position w:val="-12"/>
          <w:sz w:val="24"/>
          <w:u w:val="none"/>
          <w:lang w:val="en-US" w:eastAsia="zh-CN"/>
        </w:rPr>
        <w:object>
          <v:shape id="_x0000_i1101" o:spt="75" type="#_x0000_t75" style="height:18pt;width:13pt;" o:ole="t" filled="f" o:preferrelative="t" stroked="f" coordsize="21600,21600">
            <v:path/>
            <v:fill on="f" focussize="0,0"/>
            <v:stroke on="f"/>
            <v:imagedata r:id="rId161" o:title=""/>
            <o:lock v:ext="edit" aspectratio="t"/>
            <w10:wrap type="none"/>
            <w10:anchorlock/>
          </v:shape>
          <o:OLEObject Type="Embed" ProgID="Equation.KSEE3" ShapeID="_x0000_i1101" DrawAspect="Content" ObjectID="_1468075801" r:id="rId160">
            <o:LockedField>false</o:LockedField>
          </o:OLEObject>
        </w:object>
      </w:r>
      <w:r>
        <w:rPr>
          <w:rFonts w:hint="eastAsia"/>
          <w:sz w:val="24"/>
          <w:u w:val="none"/>
          <w:lang w:val="en-US" w:eastAsia="zh-CN"/>
        </w:rPr>
        <w:t>——有效孔隙度，无量纲。</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（2）查表法</w:t>
      </w:r>
    </w:p>
    <w:p>
      <w:pPr>
        <w:topLinePunct/>
        <w:snapToGrid w:val="0"/>
        <w:spacing w:line="360" w:lineRule="auto"/>
        <w:ind w:firstLine="480" w:firstLineChars="200"/>
        <w:jc w:val="left"/>
        <w:rPr>
          <w:rFonts w:hint="eastAsia"/>
          <w:sz w:val="24"/>
          <w:u w:val="none"/>
          <w:lang w:val="en-US" w:eastAsia="zh-CN"/>
        </w:rPr>
      </w:pPr>
      <w:r>
        <w:rPr>
          <w:rFonts w:hint="eastAsia"/>
          <w:sz w:val="24"/>
          <w:u w:val="none"/>
          <w:lang w:val="en-US" w:eastAsia="zh-CN"/>
        </w:rPr>
        <w:t>当不满足公式计算法的要求时，可采用查表法确定，详见下表。</w:t>
      </w:r>
    </w:p>
    <w:p>
      <w:pPr>
        <w:pStyle w:val="352"/>
        <w:rPr>
          <w:rFonts w:hint="eastAsia"/>
          <w:b/>
          <w:bCs/>
          <w:u w:val="none"/>
          <w:lang w:val="en-US" w:eastAsia="zh-CN"/>
        </w:rPr>
      </w:pPr>
      <w:r>
        <w:rPr>
          <w:rFonts w:hint="eastAsia"/>
          <w:b/>
          <w:bCs/>
          <w:u w:val="none"/>
          <w:lang w:val="en-US" w:eastAsia="zh-CN"/>
        </w:rPr>
        <w:t>表8-18  地下水环境现状调查评价范围参照表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评价等级</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调查评价范围（km²）</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一级</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≥20</w:t>
            </w:r>
          </w:p>
        </w:tc>
        <w:tc>
          <w:tcPr>
            <w:tcW w:w="3096"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应包括重要的地下水环境保护目标，必要时适当扩大范围。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二级</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6~20</w:t>
            </w:r>
          </w:p>
        </w:tc>
        <w:tc>
          <w:tcPr>
            <w:tcW w:w="3096"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三级</w:t>
            </w:r>
          </w:p>
        </w:tc>
        <w:tc>
          <w:tcPr>
            <w:tcW w:w="309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w:t>
            </w:r>
          </w:p>
        </w:tc>
        <w:tc>
          <w:tcPr>
            <w:tcW w:w="3096"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bl>
    <w:p>
      <w:pPr>
        <w:topLinePunct/>
        <w:spacing w:line="360" w:lineRule="auto"/>
        <w:jc w:val="left"/>
        <w:rPr>
          <w:rFonts w:hint="eastAsia"/>
          <w:b w:val="0"/>
          <w:bCs/>
          <w:sz w:val="24"/>
          <w:u w:val="none"/>
          <w:lang w:val="en-US" w:eastAsia="zh-CN"/>
        </w:rPr>
      </w:pPr>
      <w:r>
        <w:rPr>
          <w:rFonts w:hint="eastAsia"/>
          <w:b w:val="0"/>
          <w:bCs/>
          <w:sz w:val="24"/>
          <w:u w:val="none"/>
          <w:lang w:val="en-US" w:eastAsia="zh-CN"/>
        </w:rPr>
        <w:t>（3）自定义法</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当计算或者查表范围超出所处水文地质单元边界时，应以所处水文地质单元边界为宜，可根据建设项目所在区域水文地质条件确定。</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选址于旺苍县嘉川镇石桥村，项目区各面200m范围内为山地及耕地，外环境关系简单。本项目所在区域水文地质单元界线明显，选取自定义法确定本项目地下水环境影响评价调查范围。根据现场调查以及区域水文地质资料，本项目区域地下水主要为基岩裂隙水，其次为第四系松散层孔隙水，含水层组分布连续且稳定，地形北东高南西低，整个区域地下水向南侧东河排泄，因此利用区域水文地质条件，本项目评价范围为：东、西、北边和南边以地表分水岭为界，西南边评价区内最低排泄基准面东河为界，最终确定本项目地下水环境的评价范围约2.72km²，具体情况如下图所示。</w:t>
      </w:r>
    </w:p>
    <w:tbl>
      <w:tblPr>
        <w:tblStyle w:val="59"/>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6" w:type="dxa"/>
          </w:tcPr>
          <w:p>
            <w:pPr>
              <w:pStyle w:val="352"/>
              <w:keepNext w:val="0"/>
              <w:keepLines w:val="0"/>
              <w:suppressLineNumbers w:val="0"/>
              <w:spacing w:before="0" w:beforeAutospacing="0" w:after="0" w:afterAutospacing="0"/>
              <w:ind w:left="0" w:right="0"/>
              <w:rPr>
                <w:rFonts w:hint="eastAsia"/>
                <w:b/>
                <w:bCs/>
                <w:u w:val="none"/>
                <w:vertAlign w:val="baseline"/>
                <w:lang w:val="en-US" w:eastAsia="zh-CN"/>
              </w:rPr>
            </w:pPr>
            <w:r>
              <w:rPr>
                <w:rFonts w:hint="eastAsia"/>
                <w:b/>
                <w:bCs/>
                <w:u w:val="none"/>
                <w:vertAlign w:val="baseline"/>
                <w:lang w:val="en-US" w:eastAsia="zh-CN"/>
              </w:rPr>
              <w:drawing>
                <wp:inline distT="0" distB="0" distL="114300" distR="114300">
                  <wp:extent cx="5715000" cy="3364865"/>
                  <wp:effectExtent l="9525" t="9525" r="9525" b="16510"/>
                  <wp:docPr id="12" name="图片 12" descr="地下水评价范围——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下水评价范围——制图"/>
                          <pic:cNvPicPr>
                            <a:picLocks noChangeAspect="1"/>
                          </pic:cNvPicPr>
                        </pic:nvPicPr>
                        <pic:blipFill>
                          <a:blip r:embed="rId162"/>
                          <a:srcRect t="17494" b="17086"/>
                          <a:stretch>
                            <a:fillRect/>
                          </a:stretch>
                        </pic:blipFill>
                        <pic:spPr>
                          <a:xfrm>
                            <a:off x="0" y="0"/>
                            <a:ext cx="5715000" cy="3364865"/>
                          </a:xfrm>
                          <a:prstGeom prst="rect">
                            <a:avLst/>
                          </a:prstGeom>
                          <a:ln>
                            <a:solidFill>
                              <a:srgbClr val="0000FF"/>
                            </a:solidFill>
                          </a:ln>
                        </pic:spPr>
                      </pic:pic>
                    </a:graphicData>
                  </a:graphic>
                </wp:inline>
              </w:drawing>
            </w:r>
          </w:p>
        </w:tc>
      </w:tr>
    </w:tbl>
    <w:p>
      <w:pPr>
        <w:pStyle w:val="352"/>
        <w:rPr>
          <w:rFonts w:hint="default"/>
          <w:b/>
          <w:bCs/>
          <w:u w:val="none"/>
          <w:lang w:val="en-US" w:eastAsia="zh-CN"/>
        </w:rPr>
      </w:pPr>
      <w:r>
        <w:rPr>
          <w:rFonts w:hint="eastAsia"/>
          <w:b/>
          <w:bCs/>
          <w:u w:val="none"/>
          <w:lang w:val="en-US" w:eastAsia="zh-CN"/>
        </w:rPr>
        <w:t>图8-2  地下水环境影响评价范围图</w:t>
      </w:r>
    </w:p>
    <w:p>
      <w:pPr>
        <w:topLinePunct/>
        <w:spacing w:line="360" w:lineRule="auto"/>
        <w:jc w:val="left"/>
        <w:rPr>
          <w:rFonts w:hint="eastAsia"/>
          <w:b/>
          <w:sz w:val="24"/>
          <w:u w:val="none"/>
          <w:lang w:val="en-US" w:eastAsia="zh-CN"/>
        </w:rPr>
      </w:pPr>
      <w:r>
        <w:rPr>
          <w:rFonts w:hint="eastAsia"/>
          <w:b/>
          <w:sz w:val="24"/>
          <w:u w:val="none"/>
          <w:lang w:val="en-US" w:eastAsia="zh-CN"/>
        </w:rPr>
        <w:t>8.4.4评价内容及重点</w:t>
      </w:r>
    </w:p>
    <w:p>
      <w:pPr>
        <w:topLinePunct/>
        <w:spacing w:line="360" w:lineRule="auto"/>
        <w:jc w:val="left"/>
        <w:rPr>
          <w:rFonts w:hint="eastAsia"/>
          <w:sz w:val="24"/>
          <w:u w:val="none"/>
          <w:lang w:val="en-US" w:eastAsia="zh-CN"/>
        </w:rPr>
      </w:pPr>
      <w:r>
        <w:rPr>
          <w:rFonts w:hint="eastAsia"/>
          <w:b w:val="0"/>
          <w:bCs/>
          <w:sz w:val="24"/>
          <w:u w:val="none"/>
          <w:lang w:val="en-US" w:eastAsia="zh-CN"/>
        </w:rPr>
        <w:t>根据本工程项目的性质、建设特点及其地下水环境影响特性，并结合项目及周边地区自然和社会环境，按照</w:t>
      </w:r>
      <w:r>
        <w:rPr>
          <w:rFonts w:hint="eastAsia"/>
          <w:sz w:val="24"/>
          <w:u w:val="none"/>
          <w:lang w:val="en-US" w:eastAsia="zh-CN"/>
        </w:rPr>
        <w:t>《环境影响评价技术导则——地下水环境》（HJ610-2016）要求，确定本项目地下水环境影响评价工作内容包括：</w:t>
      </w:r>
    </w:p>
    <w:p>
      <w:pPr>
        <w:topLinePunct/>
        <w:spacing w:line="360" w:lineRule="auto"/>
        <w:jc w:val="left"/>
        <w:rPr>
          <w:rFonts w:hint="eastAsia"/>
          <w:sz w:val="24"/>
          <w:u w:val="none"/>
          <w:lang w:val="en-US" w:eastAsia="zh-CN"/>
        </w:rPr>
      </w:pPr>
      <w:r>
        <w:rPr>
          <w:rFonts w:hint="eastAsia"/>
          <w:sz w:val="24"/>
          <w:u w:val="none"/>
          <w:lang w:val="en-US" w:eastAsia="zh-CN"/>
        </w:rPr>
        <w:t>1、工程分析</w:t>
      </w:r>
    </w:p>
    <w:p>
      <w:pPr>
        <w:topLinePunct/>
        <w:spacing w:line="360" w:lineRule="auto"/>
        <w:jc w:val="left"/>
        <w:rPr>
          <w:rFonts w:hint="eastAsia"/>
          <w:sz w:val="24"/>
          <w:u w:val="none"/>
          <w:lang w:val="en-US" w:eastAsia="zh-CN"/>
        </w:rPr>
      </w:pPr>
      <w:r>
        <w:rPr>
          <w:rFonts w:hint="eastAsia"/>
          <w:sz w:val="24"/>
          <w:u w:val="none"/>
          <w:lang w:val="en-US" w:eastAsia="zh-CN"/>
        </w:rPr>
        <w:t>根据项目特征分析：（1）医疗处理设施运行工艺；（2）项目产污环节分析；（3）废水产生及下渗量计算。</w:t>
      </w:r>
    </w:p>
    <w:p>
      <w:pPr>
        <w:topLinePunct/>
        <w:spacing w:line="360" w:lineRule="auto"/>
        <w:jc w:val="left"/>
        <w:rPr>
          <w:rFonts w:hint="eastAsia"/>
          <w:sz w:val="24"/>
          <w:u w:val="none"/>
          <w:lang w:val="en-US" w:eastAsia="zh-CN"/>
        </w:rPr>
      </w:pPr>
      <w:r>
        <w:rPr>
          <w:rFonts w:hint="eastAsia"/>
          <w:sz w:val="24"/>
          <w:u w:val="none"/>
          <w:lang w:val="en-US" w:eastAsia="zh-CN"/>
        </w:rPr>
        <w:t>2、地下水环境现状调查与评价</w:t>
      </w:r>
    </w:p>
    <w:p>
      <w:pPr>
        <w:topLinePunct/>
        <w:spacing w:line="360" w:lineRule="auto"/>
        <w:jc w:val="left"/>
        <w:rPr>
          <w:rFonts w:hint="eastAsia"/>
          <w:sz w:val="24"/>
          <w:u w:val="none"/>
          <w:lang w:val="en-US" w:eastAsia="zh-CN"/>
        </w:rPr>
      </w:pPr>
      <w:r>
        <w:rPr>
          <w:rFonts w:hint="eastAsia"/>
          <w:sz w:val="24"/>
          <w:u w:val="none"/>
          <w:lang w:val="en-US" w:eastAsia="zh-CN"/>
        </w:rPr>
        <w:t>根据建设项目所在地区的水环境特点，地下水环境保护目标开展调查。调查内容包括：水文地质基础调查、环境水文地质调查、地下水水质和污染调查等。主要查明工程区地质环境、水文地质条件、环境水文地质问题及地下水水质背景。</w:t>
      </w:r>
    </w:p>
    <w:p>
      <w:pPr>
        <w:topLinePunct/>
        <w:spacing w:line="360" w:lineRule="auto"/>
        <w:jc w:val="left"/>
        <w:rPr>
          <w:rFonts w:hint="eastAsia"/>
          <w:sz w:val="24"/>
          <w:u w:val="none"/>
          <w:lang w:val="en-US" w:eastAsia="zh-CN"/>
        </w:rPr>
      </w:pPr>
      <w:r>
        <w:rPr>
          <w:rFonts w:hint="eastAsia"/>
          <w:sz w:val="24"/>
          <w:u w:val="none"/>
          <w:lang w:val="en-US" w:eastAsia="zh-CN"/>
        </w:rPr>
        <w:t>（3）地下水环境影响预测</w:t>
      </w:r>
    </w:p>
    <w:p>
      <w:pPr>
        <w:topLinePunct/>
        <w:spacing w:line="360" w:lineRule="auto"/>
        <w:jc w:val="left"/>
        <w:rPr>
          <w:rFonts w:hint="eastAsia"/>
          <w:sz w:val="24"/>
          <w:u w:val="none"/>
          <w:lang w:val="en-US" w:eastAsia="zh-CN"/>
        </w:rPr>
      </w:pPr>
      <w:r>
        <w:rPr>
          <w:rFonts w:hint="eastAsia"/>
          <w:sz w:val="24"/>
          <w:u w:val="none"/>
          <w:lang w:val="en-US" w:eastAsia="zh-CN"/>
        </w:rPr>
        <w:t>根据工程分析确定的医疗处理设施运行产生污水中污染物的浓度计渗漏进入地下水系统的量，利用数值法预测项目运行后污染物进入地下水后的影响程度和范围，分析项目实施对当地地下水环境的影响。</w:t>
      </w:r>
    </w:p>
    <w:p>
      <w:pPr>
        <w:topLinePunct/>
        <w:spacing w:line="360" w:lineRule="auto"/>
        <w:jc w:val="left"/>
        <w:rPr>
          <w:rFonts w:hint="eastAsia"/>
          <w:sz w:val="24"/>
          <w:u w:val="none"/>
          <w:lang w:val="en-US" w:eastAsia="zh-CN"/>
        </w:rPr>
      </w:pPr>
      <w:r>
        <w:rPr>
          <w:rFonts w:hint="eastAsia"/>
          <w:sz w:val="24"/>
          <w:u w:val="none"/>
          <w:lang w:val="en-US" w:eastAsia="zh-CN"/>
        </w:rPr>
        <w:t>（4）地下水污染控制对策及措施</w:t>
      </w:r>
    </w:p>
    <w:p>
      <w:pPr>
        <w:topLinePunct/>
        <w:spacing w:line="360" w:lineRule="auto"/>
        <w:jc w:val="left"/>
        <w:rPr>
          <w:rFonts w:hint="eastAsia"/>
          <w:sz w:val="24"/>
          <w:u w:val="none"/>
          <w:lang w:val="en-US" w:eastAsia="zh-CN"/>
        </w:rPr>
      </w:pPr>
      <w:r>
        <w:rPr>
          <w:rFonts w:hint="eastAsia"/>
          <w:sz w:val="24"/>
          <w:u w:val="none"/>
          <w:lang w:val="en-US" w:eastAsia="zh-CN"/>
        </w:rPr>
        <w:t>根据工程特点，在分析工程产污环节和预测工程建设对地下水环境影响的基础上，提出针对性的控制对策和措施，最大程度减缓项目实施对当地地下水环境的影响。</w:t>
      </w:r>
    </w:p>
    <w:p>
      <w:pPr>
        <w:topLinePunct/>
        <w:spacing w:line="360" w:lineRule="auto"/>
        <w:jc w:val="left"/>
        <w:rPr>
          <w:rFonts w:hint="eastAsia"/>
          <w:sz w:val="24"/>
          <w:u w:val="none"/>
          <w:lang w:val="en-US" w:eastAsia="zh-CN"/>
        </w:rPr>
      </w:pPr>
      <w:r>
        <w:rPr>
          <w:rFonts w:hint="eastAsia"/>
          <w:sz w:val="24"/>
          <w:u w:val="none"/>
          <w:lang w:val="en-US" w:eastAsia="zh-CN"/>
        </w:rPr>
        <w:t>本项目对地下水环境影响评价的重点为：医疗处理设施运行产生污水下渗对当地地下水环境的影响及污染防治措施。</w:t>
      </w:r>
    </w:p>
    <w:p>
      <w:pPr>
        <w:topLinePunct/>
        <w:spacing w:line="360" w:lineRule="auto"/>
        <w:jc w:val="left"/>
        <w:rPr>
          <w:rFonts w:hint="eastAsia"/>
          <w:b/>
          <w:bCs/>
          <w:sz w:val="24"/>
          <w:u w:val="none"/>
          <w:lang w:val="en-US" w:eastAsia="zh-CN"/>
        </w:rPr>
      </w:pPr>
      <w:r>
        <w:rPr>
          <w:rFonts w:hint="eastAsia"/>
          <w:b/>
          <w:bCs/>
          <w:sz w:val="24"/>
          <w:u w:val="none"/>
          <w:lang w:val="en-US" w:eastAsia="zh-CN"/>
        </w:rPr>
        <w:t>8.4.3评价工作程序</w:t>
      </w:r>
    </w:p>
    <w:p>
      <w:pPr>
        <w:topLinePunct/>
        <w:spacing w:line="360" w:lineRule="auto"/>
        <w:jc w:val="left"/>
        <w:rPr>
          <w:rFonts w:hint="eastAsia"/>
          <w:sz w:val="24"/>
          <w:u w:val="none"/>
          <w:lang w:val="en-US" w:eastAsia="zh-CN"/>
        </w:rPr>
      </w:pPr>
      <w:r>
        <w:rPr>
          <w:rFonts w:hint="eastAsia"/>
          <w:sz w:val="24"/>
          <w:u w:val="none"/>
          <w:lang w:val="en-US" w:eastAsia="zh-CN"/>
        </w:rPr>
        <w:t>本次地下水环境影响评价技术工作程序见下图。</w:t>
      </w:r>
    </w:p>
    <w:p>
      <w:pPr>
        <w:pStyle w:val="352"/>
        <w:rPr>
          <w:rFonts w:hint="eastAsia"/>
          <w:b/>
          <w:bCs/>
          <w:u w:val="none"/>
          <w:lang w:val="en-US" w:eastAsia="zh-CN"/>
        </w:rPr>
      </w:pPr>
      <w:r>
        <w:rPr>
          <w:rFonts w:ascii="宋体" w:hAnsi="宋体" w:eastAsia="宋体" w:cs="宋体"/>
          <w:kern w:val="0"/>
          <w:sz w:val="24"/>
          <w:szCs w:val="24"/>
          <w:lang w:val="en-US" w:eastAsia="zh-CN" w:bidi="ar"/>
        </w:rPr>
        <w:drawing>
          <wp:inline distT="0" distB="0" distL="114300" distR="114300">
            <wp:extent cx="5553075" cy="7943850"/>
            <wp:effectExtent l="0" t="0" r="9525" b="0"/>
            <wp:docPr id="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5" descr="IMG_256"/>
                    <pic:cNvPicPr>
                      <a:picLocks noChangeAspect="1"/>
                    </pic:cNvPicPr>
                  </pic:nvPicPr>
                  <pic:blipFill>
                    <a:blip r:embed="rId163"/>
                    <a:stretch>
                      <a:fillRect/>
                    </a:stretch>
                  </pic:blipFill>
                  <pic:spPr>
                    <a:xfrm>
                      <a:off x="0" y="0"/>
                      <a:ext cx="5553075" cy="7943850"/>
                    </a:xfrm>
                    <a:prstGeom prst="rect">
                      <a:avLst/>
                    </a:prstGeom>
                    <a:noFill/>
                    <a:ln w="9525">
                      <a:noFill/>
                    </a:ln>
                  </pic:spPr>
                </pic:pic>
              </a:graphicData>
            </a:graphic>
          </wp:inline>
        </w:drawing>
      </w:r>
    </w:p>
    <w:p>
      <w:pPr>
        <w:pStyle w:val="352"/>
        <w:rPr>
          <w:rFonts w:hint="default"/>
          <w:b/>
          <w:bCs/>
          <w:u w:val="none"/>
          <w:lang w:val="en-US" w:eastAsia="zh-CN"/>
        </w:rPr>
      </w:pPr>
      <w:r>
        <w:rPr>
          <w:rFonts w:hint="eastAsia"/>
          <w:b/>
          <w:bCs/>
          <w:u w:val="none"/>
          <w:lang w:val="en-US" w:eastAsia="zh-CN"/>
        </w:rPr>
        <w:t>图8-3  地下水环境影响评价工作程序图</w:t>
      </w:r>
    </w:p>
    <w:p>
      <w:pPr>
        <w:topLinePunct/>
        <w:spacing w:line="360" w:lineRule="auto"/>
        <w:jc w:val="left"/>
        <w:rPr>
          <w:rFonts w:hint="eastAsia"/>
          <w:b/>
          <w:sz w:val="24"/>
          <w:u w:val="none"/>
          <w:lang w:val="en-US" w:eastAsia="zh-CN"/>
        </w:rPr>
      </w:pPr>
      <w:r>
        <w:rPr>
          <w:rFonts w:hint="eastAsia"/>
          <w:b/>
          <w:sz w:val="24"/>
          <w:u w:val="none"/>
          <w:lang w:val="en-US" w:eastAsia="zh-CN"/>
        </w:rPr>
        <w:t>8.4.5工程分析</w:t>
      </w:r>
    </w:p>
    <w:p>
      <w:pPr>
        <w:topLinePunct/>
        <w:spacing w:line="360" w:lineRule="auto"/>
        <w:jc w:val="left"/>
        <w:rPr>
          <w:rFonts w:hint="eastAsia"/>
          <w:b/>
          <w:sz w:val="24"/>
          <w:u w:val="none"/>
          <w:lang w:val="en-US" w:eastAsia="zh-CN"/>
        </w:rPr>
      </w:pPr>
      <w:r>
        <w:rPr>
          <w:rFonts w:hint="eastAsia"/>
          <w:b/>
          <w:sz w:val="24"/>
          <w:u w:val="none"/>
          <w:lang w:val="en-US" w:eastAsia="zh-CN"/>
        </w:rPr>
        <w:t>一、医疗废物处置设施运行工艺</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本项目医疗处置设施运行流程如下：</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从项目服务范围内医疗机构收集来的置于周转箱内包装好的医疗废物，通过转运车运送至本项目厂区进行卸料，装入医疗废物待处理车间内，卸料后转运车进入消毒车间，利用消毒溶液对车辆进行消毒处理，消毒后车辆方可进行下一次收运。</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2、盛装在医疗废物待处理间中周转箱内的医疗废物进入微波消毒处理单元，经破碎毁形、消毒灭菌后的医疗废物残渣运送至县城中转站，再由中转战送广元市垃圾发电厂处理处置。</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二、项目产污环节分析</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本项目运行过程中，员工生活污水、车辆及周转箱消毒清洗废水、车间地面冲洗水可能由于收集不当产生跑、冒、滴、漏等废水，废水下渗进入地下水系统，对地下水造成污染。</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三、地下水污染源分析</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1、施工期环境污染源</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项目施工期的主要工程行为主要为医疗处理厂房及配套设施修筑，施工期的污染源主要来自施工过程中施工机械跑冒滴漏产生的油污和施工人员产生的生活污水，上述污染物若收集处理不当进入地下水系统后可能对地下水造成污染。</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2、运营期环境污染源</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主要构筑物包括：污水处理站、厕所、医疗废物处理车间等。项目运行期地面防渗层破损情况下，周转箱破损且箱内医疗废物未得以及时处理，处理间及冷藏库内渗滤液将渗漏进入地下水系统，其对地下水污染程度需依赖项目下游监测井监测结果进行判定，废水泄漏及污染过程亦不易发现和处理。</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根据工程分析，项目运行过程中主要污染物为COD</w:t>
      </w:r>
      <w:r>
        <w:rPr>
          <w:rFonts w:hint="eastAsia"/>
          <w:b w:val="0"/>
          <w:bCs/>
          <w:sz w:val="24"/>
          <w:u w:val="none"/>
          <w:vertAlign w:val="subscript"/>
          <w:lang w:val="en-US" w:eastAsia="zh-CN"/>
        </w:rPr>
        <w:t>Cr</w:t>
      </w:r>
      <w:r>
        <w:rPr>
          <w:rFonts w:hint="eastAsia"/>
          <w:b w:val="0"/>
          <w:bCs/>
          <w:sz w:val="24"/>
          <w:u w:val="none"/>
          <w:lang w:val="en-US" w:eastAsia="zh-CN"/>
        </w:rPr>
        <w:t>及NH</w:t>
      </w:r>
      <w:r>
        <w:rPr>
          <w:rFonts w:hint="eastAsia"/>
          <w:b w:val="0"/>
          <w:bCs/>
          <w:sz w:val="24"/>
          <w:u w:val="none"/>
          <w:vertAlign w:val="subscript"/>
          <w:lang w:val="en-US" w:eastAsia="zh-CN"/>
        </w:rPr>
        <w:t>3</w:t>
      </w:r>
      <w:r>
        <w:rPr>
          <w:rFonts w:hint="eastAsia"/>
          <w:b w:val="0"/>
          <w:bCs/>
          <w:sz w:val="24"/>
          <w:u w:val="none"/>
          <w:lang w:val="en-US" w:eastAsia="zh-CN"/>
        </w:rPr>
        <w:t>-N，属其他类型污染物。根据本项目各生产环节及构筑物污染的难以程度，环评要求本项目设置重点防渗区。污水处理站及其配套收集设施、厕所、医疗废物处理车间等场所的地面做好防渗，防渗等级应达到《危险废物贮存污染控制标准》（GB1859-2001）要求进行建设（防渗层渗透系数小于1.0×10</w:t>
      </w:r>
      <w:r>
        <w:rPr>
          <w:rFonts w:hint="eastAsia"/>
          <w:b w:val="0"/>
          <w:bCs/>
          <w:sz w:val="24"/>
          <w:u w:val="none"/>
          <w:vertAlign w:val="superscript"/>
          <w:lang w:val="en-US" w:eastAsia="zh-CN"/>
        </w:rPr>
        <w:t>-10</w:t>
      </w:r>
      <w:r>
        <w:rPr>
          <w:rFonts w:hint="eastAsia"/>
          <w:b w:val="0"/>
          <w:bCs/>
          <w:sz w:val="24"/>
          <w:u w:val="none"/>
          <w:lang w:val="en-US" w:eastAsia="zh-CN"/>
        </w:rPr>
        <w:t>cm/s）。</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8.4.6地下水环境现状调查与评价</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一、地下水环境现状调查内容与方法</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项目区地下水环境调查是根据建设项目所在地区的水环境特点，根据地下水环境保护目标开展调查。调查的方法主要采用收集资料法、现场调查法及钻探等，现场调查包括：水文地质基础调查、环境水文地质调查、地下水水质和污染调查等，具体调查内容有：</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1、水文地质条件调查</w:t>
      </w:r>
    </w:p>
    <w:p>
      <w:pPr>
        <w:bidi w:val="0"/>
        <w:rPr>
          <w:rFonts w:hint="eastAsia"/>
          <w:lang w:val="en-US" w:eastAsia="zh-CN"/>
        </w:rPr>
      </w:pPr>
      <w:r>
        <w:rPr>
          <w:rFonts w:hint="eastAsia"/>
          <w:lang w:val="en-US" w:eastAsia="zh-CN"/>
        </w:rPr>
        <w:t>（1）气象、水文、土壤和植被状况。</w:t>
      </w:r>
    </w:p>
    <w:p>
      <w:pPr>
        <w:bidi w:val="0"/>
        <w:rPr>
          <w:rFonts w:hint="eastAsia"/>
          <w:lang w:val="en-US" w:eastAsia="zh-CN"/>
        </w:rPr>
      </w:pPr>
      <w:r>
        <w:rPr>
          <w:rFonts w:hint="eastAsia"/>
          <w:lang w:val="en-US" w:eastAsia="zh-CN"/>
        </w:rPr>
        <w:t>（2）地层岩性、地质构造、地貌特征及矿产资源。</w:t>
      </w:r>
    </w:p>
    <w:p>
      <w:pPr>
        <w:bidi w:val="0"/>
        <w:rPr>
          <w:rFonts w:hint="eastAsia"/>
          <w:lang w:val="en-US" w:eastAsia="zh-CN"/>
        </w:rPr>
      </w:pPr>
      <w:r>
        <w:rPr>
          <w:rFonts w:hint="eastAsia"/>
          <w:lang w:val="en-US" w:eastAsia="zh-CN"/>
        </w:rPr>
        <w:t>（3）通过实地钻孔资料分析含水层的岩性组成、厚度、渗透系数和富水程度；隔水层的岩性组成、厚度、渗透系统。</w:t>
      </w:r>
    </w:p>
    <w:p>
      <w:pPr>
        <w:bidi w:val="0"/>
        <w:rPr>
          <w:rFonts w:hint="eastAsia"/>
          <w:lang w:val="en-US" w:eastAsia="zh-CN"/>
        </w:rPr>
      </w:pPr>
      <w:r>
        <w:rPr>
          <w:rFonts w:hint="eastAsia"/>
          <w:lang w:val="en-US" w:eastAsia="zh-CN"/>
        </w:rPr>
        <w:t>（4）结合区域地质背景特征分析区域地下水类型、补给、径流和排泄条件。</w:t>
      </w:r>
    </w:p>
    <w:p>
      <w:pPr>
        <w:bidi w:val="0"/>
        <w:rPr>
          <w:rFonts w:hint="eastAsia"/>
          <w:lang w:val="en-US" w:eastAsia="zh-CN"/>
        </w:rPr>
      </w:pPr>
      <w:r>
        <w:rPr>
          <w:rFonts w:hint="eastAsia"/>
          <w:lang w:val="en-US" w:eastAsia="zh-CN"/>
        </w:rPr>
        <w:t>（5）地下水水位、水质、水量、水温。</w:t>
      </w:r>
    </w:p>
    <w:p>
      <w:pPr>
        <w:bidi w:val="0"/>
        <w:rPr>
          <w:rFonts w:hint="eastAsia"/>
          <w:lang w:val="en-US" w:eastAsia="zh-CN"/>
        </w:rPr>
      </w:pPr>
      <w:r>
        <w:rPr>
          <w:rFonts w:hint="eastAsia"/>
          <w:lang w:val="en-US" w:eastAsia="zh-CN"/>
        </w:rPr>
        <w:t>（6）地下水资源量及现利用情况。</w:t>
      </w:r>
    </w:p>
    <w:p>
      <w:pPr>
        <w:bidi w:val="0"/>
        <w:rPr>
          <w:rFonts w:hint="eastAsia"/>
          <w:lang w:val="en-US" w:eastAsia="zh-CN"/>
        </w:rPr>
      </w:pPr>
      <w:r>
        <w:rPr>
          <w:rFonts w:hint="eastAsia"/>
          <w:lang w:val="en-US" w:eastAsia="zh-CN"/>
        </w:rPr>
        <w:t>（7）集中供水水源地和水源井的分布情况（包括开采层的成井的密度、水井结构、深度以及开采历史）。</w:t>
      </w:r>
    </w:p>
    <w:p>
      <w:pPr>
        <w:bidi w:val="0"/>
        <w:rPr>
          <w:rFonts w:hint="eastAsia"/>
          <w:lang w:val="en-US" w:eastAsia="zh-CN"/>
        </w:rPr>
      </w:pPr>
      <w:r>
        <w:rPr>
          <w:rFonts w:hint="eastAsia"/>
          <w:lang w:val="en-US" w:eastAsia="zh-CN"/>
        </w:rPr>
        <w:t>（8）地下水背景值（或地下水污染对照值）。</w:t>
      </w:r>
    </w:p>
    <w:p>
      <w:pPr>
        <w:bidi w:val="0"/>
        <w:rPr>
          <w:rFonts w:hint="eastAsia"/>
          <w:lang w:val="en-US" w:eastAsia="zh-CN"/>
        </w:rPr>
      </w:pPr>
      <w:r>
        <w:rPr>
          <w:rFonts w:hint="eastAsia"/>
          <w:lang w:val="en-US" w:eastAsia="zh-CN"/>
        </w:rPr>
        <w:t>2、环境水文地质问题调查</w:t>
      </w:r>
    </w:p>
    <w:p>
      <w:pPr>
        <w:bidi w:val="0"/>
        <w:rPr>
          <w:rFonts w:hint="eastAsia"/>
          <w:lang w:val="en-US" w:eastAsia="zh-CN"/>
        </w:rPr>
      </w:pPr>
      <w:r>
        <w:rPr>
          <w:rFonts w:hint="eastAsia"/>
          <w:lang w:val="en-US" w:eastAsia="zh-CN"/>
        </w:rPr>
        <w:t>（1）原生环境水文地质问题：包括天然劣质水分布状况，以及由此引发的地方性疾病等环境问题。</w:t>
      </w:r>
    </w:p>
    <w:p>
      <w:pPr>
        <w:bidi w:val="0"/>
        <w:rPr>
          <w:rFonts w:hint="eastAsia"/>
          <w:lang w:val="en-US" w:eastAsia="zh-CN"/>
        </w:rPr>
      </w:pPr>
      <w:r>
        <w:rPr>
          <w:rFonts w:hint="eastAsia"/>
          <w:lang w:val="en-US" w:eastAsia="zh-CN"/>
        </w:rPr>
        <w:t>（2）地下水开采过程中水质、水量、水位的变化情况，以及引起的环境水文地质问题。</w:t>
      </w:r>
    </w:p>
    <w:p>
      <w:pPr>
        <w:bidi w:val="0"/>
        <w:rPr>
          <w:rFonts w:hint="eastAsia"/>
          <w:lang w:val="en-US" w:eastAsia="zh-CN"/>
        </w:rPr>
      </w:pPr>
      <w:r>
        <w:rPr>
          <w:rFonts w:hint="eastAsia"/>
          <w:lang w:val="en-US" w:eastAsia="zh-CN"/>
        </w:rPr>
        <w:t>（3）与地下水有关的其他人类活动情况调查，如保护区划分情况等。</w:t>
      </w:r>
    </w:p>
    <w:p>
      <w:pPr>
        <w:bidi w:val="0"/>
        <w:rPr>
          <w:rFonts w:hint="eastAsia"/>
          <w:lang w:val="en-US" w:eastAsia="zh-CN"/>
        </w:rPr>
      </w:pPr>
      <w:r>
        <w:rPr>
          <w:rFonts w:hint="eastAsia"/>
          <w:lang w:val="en-US" w:eastAsia="zh-CN"/>
        </w:rPr>
        <w:t>3、地下水污染源调查</w:t>
      </w:r>
    </w:p>
    <w:p>
      <w:pPr>
        <w:bidi w:val="0"/>
        <w:rPr>
          <w:rFonts w:hint="eastAsia"/>
          <w:lang w:val="en-US" w:eastAsia="zh-CN"/>
        </w:rPr>
      </w:pPr>
      <w:r>
        <w:rPr>
          <w:rFonts w:hint="eastAsia"/>
          <w:lang w:val="en-US" w:eastAsia="zh-CN"/>
        </w:rPr>
        <w:t>通过区域水文地质报告资料分析及现场调查场区及周边地区可能造成或已经造成地下水污染的污染源和敏感区。</w:t>
      </w:r>
    </w:p>
    <w:p>
      <w:pPr>
        <w:bidi w:val="0"/>
        <w:rPr>
          <w:rFonts w:hint="eastAsia"/>
          <w:lang w:val="en-US" w:eastAsia="zh-CN"/>
        </w:rPr>
      </w:pPr>
      <w:r>
        <w:rPr>
          <w:rFonts w:hint="eastAsia"/>
          <w:lang w:val="en-US" w:eastAsia="zh-CN"/>
        </w:rPr>
        <w:t>（1）对已有污染源调查资料的地区，通过搜集现有资料解决。</w:t>
      </w:r>
    </w:p>
    <w:p>
      <w:pPr>
        <w:bidi w:val="0"/>
        <w:rPr>
          <w:rFonts w:hint="eastAsia"/>
          <w:lang w:val="en-US" w:eastAsia="zh-CN"/>
        </w:rPr>
      </w:pPr>
      <w:r>
        <w:rPr>
          <w:rFonts w:hint="eastAsia"/>
          <w:lang w:val="en-US" w:eastAsia="zh-CN"/>
        </w:rPr>
        <w:t>（2）对于没有污染源调查资料，或已有部分调查资料，结合环境水文地质问题同步进行调查。对分散在评价区的非工业污染源，根据污染源的特点，参照上述规定进行调查。</w:t>
      </w:r>
    </w:p>
    <w:p>
      <w:pPr>
        <w:topLinePunct/>
        <w:spacing w:line="360" w:lineRule="auto"/>
        <w:jc w:val="left"/>
        <w:rPr>
          <w:rFonts w:hint="eastAsia"/>
          <w:b/>
          <w:sz w:val="24"/>
          <w:u w:val="none"/>
          <w:lang w:val="en-US" w:eastAsia="zh-CN"/>
        </w:rPr>
      </w:pPr>
      <w:r>
        <w:rPr>
          <w:rFonts w:hint="eastAsia"/>
          <w:b/>
          <w:sz w:val="24"/>
          <w:u w:val="none"/>
          <w:lang w:val="en-US" w:eastAsia="zh-CN"/>
        </w:rPr>
        <w:t>二、区域水文地质</w:t>
      </w:r>
    </w:p>
    <w:p>
      <w:pPr>
        <w:spacing w:line="360" w:lineRule="auto"/>
        <w:ind w:firstLine="480" w:firstLineChars="200"/>
        <w:jc w:val="left"/>
        <w:rPr>
          <w:rFonts w:hint="default" w:ascii="Times New Roman" w:hAnsi="Times New Roman" w:cs="Times New Roman"/>
          <w:iCs/>
          <w:kern w:val="0"/>
          <w:sz w:val="24"/>
          <w:u w:val="none"/>
          <w:lang w:val="en-US" w:eastAsia="zh-CN"/>
        </w:rPr>
      </w:pPr>
      <w:r>
        <w:rPr>
          <w:rFonts w:hint="eastAsia" w:cs="Times New Roman"/>
          <w:iCs/>
          <w:kern w:val="0"/>
          <w:sz w:val="24"/>
          <w:u w:val="none"/>
          <w:lang w:val="en-US" w:eastAsia="zh-CN"/>
        </w:rPr>
        <w:t>1、</w:t>
      </w:r>
      <w:r>
        <w:rPr>
          <w:rFonts w:hint="eastAsia" w:cs="Times New Roman"/>
          <w:iCs/>
          <w:kern w:val="0"/>
          <w:sz w:val="24"/>
          <w:u w:val="none"/>
          <w:lang w:eastAsia="zh-CN"/>
        </w:rPr>
        <w:t>场地</w:t>
      </w:r>
      <w:r>
        <w:rPr>
          <w:rFonts w:hint="default" w:ascii="Times New Roman" w:hAnsi="Times New Roman" w:cs="Times New Roman"/>
          <w:iCs/>
          <w:kern w:val="0"/>
          <w:sz w:val="24"/>
          <w:u w:val="none"/>
          <w:lang w:eastAsia="zh-CN"/>
        </w:rPr>
        <w:t>地层分布及岩土特征</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依据本次勘察钻探揭露，在拟建场地勘探深度范围内的地层主要为第四系全新统杂填土（Q</w:t>
      </w:r>
      <w:r>
        <w:rPr>
          <w:rFonts w:hint="default" w:ascii="Times New Roman" w:hAnsi="Times New Roman" w:cs="Times New Roman"/>
          <w:iCs/>
          <w:kern w:val="0"/>
          <w:sz w:val="24"/>
          <w:u w:val="none"/>
          <w:vertAlign w:val="subscript"/>
          <w:lang w:eastAsia="zh-CN"/>
        </w:rPr>
        <w:t>4</w:t>
      </w:r>
      <w:r>
        <w:rPr>
          <w:rFonts w:hint="default" w:ascii="Times New Roman" w:hAnsi="Times New Roman" w:cs="Times New Roman"/>
          <w:iCs/>
          <w:kern w:val="0"/>
          <w:sz w:val="24"/>
          <w:u w:val="none"/>
          <w:vertAlign w:val="superscript"/>
          <w:lang w:eastAsia="zh-CN"/>
        </w:rPr>
        <w:t>ml</w:t>
      </w:r>
      <w:r>
        <w:rPr>
          <w:rFonts w:hint="default" w:ascii="Times New Roman" w:hAnsi="Times New Roman" w:cs="Times New Roman"/>
          <w:iCs/>
          <w:kern w:val="0"/>
          <w:sz w:val="24"/>
          <w:u w:val="none"/>
          <w:lang w:eastAsia="zh-CN"/>
        </w:rPr>
        <w:t>），第四系全新统残坡积（Q</w:t>
      </w:r>
      <w:r>
        <w:rPr>
          <w:rFonts w:hint="default" w:ascii="Times New Roman" w:hAnsi="Times New Roman" w:cs="Times New Roman"/>
          <w:iCs/>
          <w:kern w:val="0"/>
          <w:sz w:val="24"/>
          <w:u w:val="none"/>
          <w:vertAlign w:val="subscript"/>
          <w:lang w:eastAsia="zh-CN"/>
        </w:rPr>
        <w:t>4</w:t>
      </w:r>
      <w:r>
        <w:rPr>
          <w:rFonts w:hint="default" w:ascii="Times New Roman" w:hAnsi="Times New Roman" w:cs="Times New Roman"/>
          <w:iCs/>
          <w:kern w:val="0"/>
          <w:sz w:val="24"/>
          <w:u w:val="none"/>
          <w:vertAlign w:val="superscript"/>
          <w:lang w:val="en-US" w:eastAsia="zh-CN"/>
        </w:rPr>
        <w:t>d</w:t>
      </w:r>
      <w:r>
        <w:rPr>
          <w:rFonts w:hint="default" w:ascii="Times New Roman" w:hAnsi="Times New Roman" w:cs="Times New Roman"/>
          <w:iCs/>
          <w:kern w:val="0"/>
          <w:sz w:val="24"/>
          <w:u w:val="none"/>
          <w:vertAlign w:val="superscript"/>
          <w:lang w:eastAsia="zh-CN"/>
        </w:rPr>
        <w:t>l+</w:t>
      </w:r>
      <w:r>
        <w:rPr>
          <w:rFonts w:hint="default" w:ascii="Times New Roman" w:hAnsi="Times New Roman" w:cs="Times New Roman"/>
          <w:iCs/>
          <w:kern w:val="0"/>
          <w:sz w:val="24"/>
          <w:u w:val="none"/>
          <w:vertAlign w:val="superscript"/>
          <w:lang w:val="en-US" w:eastAsia="zh-CN"/>
        </w:rPr>
        <w:t>e</w:t>
      </w:r>
      <w:r>
        <w:rPr>
          <w:rFonts w:hint="default" w:ascii="Times New Roman" w:hAnsi="Times New Roman" w:cs="Times New Roman"/>
          <w:iCs/>
          <w:kern w:val="0"/>
          <w:sz w:val="24"/>
          <w:u w:val="none"/>
          <w:vertAlign w:val="superscript"/>
          <w:lang w:eastAsia="zh-CN"/>
        </w:rPr>
        <w:t>l</w:t>
      </w:r>
      <w:r>
        <w:rPr>
          <w:rFonts w:hint="default" w:ascii="Times New Roman" w:hAnsi="Times New Roman" w:cs="Times New Roman"/>
          <w:iCs/>
          <w:kern w:val="0"/>
          <w:sz w:val="24"/>
          <w:u w:val="none"/>
          <w:lang w:eastAsia="zh-CN"/>
        </w:rPr>
        <w:t>）的粉质粘土层，下伏基岩为侏罗系中统沙溪庙组（J</w:t>
      </w:r>
      <w:r>
        <w:rPr>
          <w:rFonts w:hint="default" w:ascii="Times New Roman" w:hAnsi="Times New Roman" w:cs="Times New Roman"/>
          <w:iCs/>
          <w:kern w:val="0"/>
          <w:sz w:val="24"/>
          <w:u w:val="none"/>
          <w:vertAlign w:val="superscript"/>
          <w:lang w:eastAsia="zh-CN"/>
        </w:rPr>
        <w:t>2s</w:t>
      </w:r>
      <w:r>
        <w:rPr>
          <w:rFonts w:hint="default" w:ascii="Times New Roman" w:hAnsi="Times New Roman" w:cs="Times New Roman"/>
          <w:iCs/>
          <w:kern w:val="0"/>
          <w:sz w:val="24"/>
          <w:u w:val="none"/>
          <w:lang w:eastAsia="zh-CN"/>
        </w:rPr>
        <w:t>）泥岩，其埋藏情况和厚度特征详见《工程地质剖面图》。现将各地层的分布及特征由上至下描述如下：</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eastAsia" w:cs="Times New Roman"/>
          <w:iCs/>
          <w:kern w:val="0"/>
          <w:sz w:val="24"/>
          <w:u w:val="none"/>
          <w:lang w:val="en-US" w:eastAsia="zh-CN"/>
        </w:rPr>
        <w:t>（1）</w:t>
      </w:r>
      <w:r>
        <w:rPr>
          <w:rFonts w:hint="default" w:ascii="Times New Roman" w:hAnsi="Times New Roman" w:cs="Times New Roman"/>
          <w:iCs/>
          <w:kern w:val="0"/>
          <w:sz w:val="24"/>
          <w:u w:val="none"/>
          <w:lang w:eastAsia="zh-CN"/>
        </w:rPr>
        <w:t>第四系全新统人工填土层（Q</w:t>
      </w:r>
      <w:r>
        <w:rPr>
          <w:rFonts w:hint="default" w:ascii="Times New Roman" w:hAnsi="Times New Roman" w:cs="Times New Roman"/>
          <w:iCs/>
          <w:kern w:val="0"/>
          <w:sz w:val="24"/>
          <w:u w:val="none"/>
          <w:vertAlign w:val="subscript"/>
          <w:lang w:eastAsia="zh-CN"/>
        </w:rPr>
        <w:t>4</w:t>
      </w:r>
      <w:r>
        <w:rPr>
          <w:rFonts w:hint="default" w:ascii="Times New Roman" w:hAnsi="Times New Roman" w:cs="Times New Roman"/>
          <w:iCs/>
          <w:kern w:val="0"/>
          <w:sz w:val="24"/>
          <w:u w:val="none"/>
          <w:vertAlign w:val="superscript"/>
          <w:lang w:eastAsia="zh-CN"/>
        </w:rPr>
        <w:t>ml</w:t>
      </w:r>
      <w:r>
        <w:rPr>
          <w:rFonts w:hint="default" w:ascii="Times New Roman" w:hAnsi="Times New Roman" w:cs="Times New Roman"/>
          <w:iCs/>
          <w:kern w:val="0"/>
          <w:sz w:val="24"/>
          <w:u w:val="none"/>
          <w:lang w:eastAsia="zh-CN"/>
        </w:rPr>
        <w:t>）</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杂填土①：杂色，松散，稍湿。主要由建筑垃圾、煤渣等组成，局部位置含旧房基础、碎块石等。回填时间约</w:t>
      </w:r>
      <w:r>
        <w:rPr>
          <w:rFonts w:hint="default" w:ascii="Times New Roman" w:hAnsi="Times New Roman" w:cs="Times New Roman"/>
          <w:iCs/>
          <w:kern w:val="0"/>
          <w:sz w:val="24"/>
          <w:u w:val="none"/>
          <w:lang w:val="en-US" w:eastAsia="zh-CN"/>
        </w:rPr>
        <w:t>5</w:t>
      </w:r>
      <w:r>
        <w:rPr>
          <w:rFonts w:hint="default" w:ascii="Times New Roman" w:hAnsi="Times New Roman" w:cs="Times New Roman"/>
          <w:iCs/>
          <w:kern w:val="0"/>
          <w:sz w:val="24"/>
          <w:u w:val="none"/>
          <w:lang w:eastAsia="zh-CN"/>
        </w:rPr>
        <w:t>年，尚未完成自重固结。该层主要分布于旧房拆除区域，拟建设备用房及生产车间场地内分布广泛，层厚不均，揭露层厚</w:t>
      </w:r>
      <w:r>
        <w:rPr>
          <w:rFonts w:hint="default" w:ascii="Times New Roman" w:hAnsi="Times New Roman" w:cs="Times New Roman"/>
          <w:iCs/>
          <w:kern w:val="0"/>
          <w:sz w:val="24"/>
          <w:u w:val="none"/>
          <w:lang w:val="en-US" w:eastAsia="zh-CN"/>
        </w:rPr>
        <w:t>0.8m～4.0</w:t>
      </w:r>
      <w:r>
        <w:rPr>
          <w:rFonts w:hint="default" w:ascii="Times New Roman" w:hAnsi="Times New Roman" w:cs="Times New Roman"/>
          <w:iCs/>
          <w:kern w:val="0"/>
          <w:sz w:val="24"/>
          <w:u w:val="none"/>
          <w:lang w:eastAsia="zh-CN"/>
        </w:rPr>
        <w:t>m。在野外勘察中对该层作 N 120 超重型动力圆锥触探原位测试，</w:t>
      </w:r>
      <w:r>
        <w:rPr>
          <w:rFonts w:hint="default" w:ascii="Times New Roman" w:hAnsi="Times New Roman" w:cs="Times New Roman"/>
          <w:iCs/>
          <w:kern w:val="0"/>
          <w:sz w:val="24"/>
          <w:u w:val="none"/>
          <w:lang w:val="en-US" w:eastAsia="zh-CN"/>
        </w:rPr>
        <w:t>1</w:t>
      </w:r>
      <w:r>
        <w:rPr>
          <w:rFonts w:hint="default" w:ascii="Times New Roman" w:hAnsi="Times New Roman" w:cs="Times New Roman"/>
          <w:iCs/>
          <w:kern w:val="0"/>
          <w:sz w:val="24"/>
          <w:u w:val="none"/>
          <w:lang w:eastAsia="zh-CN"/>
        </w:rPr>
        <w:t>＜N 120 击数＜</w:t>
      </w:r>
      <w:r>
        <w:rPr>
          <w:rFonts w:hint="default" w:ascii="Times New Roman" w:hAnsi="Times New Roman" w:cs="Times New Roman"/>
          <w:iCs/>
          <w:kern w:val="0"/>
          <w:sz w:val="24"/>
          <w:u w:val="none"/>
          <w:lang w:val="en-US" w:eastAsia="zh-CN"/>
        </w:rPr>
        <w:t>6</w:t>
      </w:r>
      <w:r>
        <w:rPr>
          <w:rFonts w:hint="default" w:ascii="Times New Roman" w:hAnsi="Times New Roman" w:cs="Times New Roman"/>
          <w:iCs/>
          <w:kern w:val="0"/>
          <w:sz w:val="24"/>
          <w:u w:val="none"/>
          <w:lang w:eastAsia="zh-CN"/>
        </w:rPr>
        <w:t>。</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eastAsia" w:cs="Times New Roman"/>
          <w:iCs/>
          <w:kern w:val="0"/>
          <w:sz w:val="24"/>
          <w:u w:val="none"/>
          <w:lang w:eastAsia="zh-CN"/>
        </w:rPr>
        <w:t>（</w:t>
      </w:r>
      <w:r>
        <w:rPr>
          <w:rFonts w:hint="eastAsia" w:cs="Times New Roman"/>
          <w:iCs/>
          <w:kern w:val="0"/>
          <w:sz w:val="24"/>
          <w:u w:val="none"/>
          <w:lang w:val="en-US" w:eastAsia="zh-CN"/>
        </w:rPr>
        <w:t>2</w:t>
      </w:r>
      <w:r>
        <w:rPr>
          <w:rFonts w:hint="eastAsia" w:cs="Times New Roman"/>
          <w:iCs/>
          <w:kern w:val="0"/>
          <w:sz w:val="24"/>
          <w:u w:val="none"/>
          <w:lang w:eastAsia="zh-CN"/>
        </w:rPr>
        <w:t>）</w:t>
      </w:r>
      <w:r>
        <w:rPr>
          <w:rFonts w:hint="default" w:ascii="Times New Roman" w:hAnsi="Times New Roman" w:cs="Times New Roman"/>
          <w:iCs/>
          <w:kern w:val="0"/>
          <w:sz w:val="24"/>
          <w:u w:val="none"/>
          <w:lang w:eastAsia="zh-CN"/>
        </w:rPr>
        <w:t>第四系全新统残坡积层（Q</w:t>
      </w:r>
      <w:r>
        <w:rPr>
          <w:rFonts w:hint="default" w:ascii="Times New Roman" w:hAnsi="Times New Roman" w:cs="Times New Roman"/>
          <w:iCs/>
          <w:kern w:val="0"/>
          <w:sz w:val="24"/>
          <w:u w:val="none"/>
          <w:vertAlign w:val="subscript"/>
          <w:lang w:eastAsia="zh-CN"/>
        </w:rPr>
        <w:t>4</w:t>
      </w:r>
      <w:r>
        <w:rPr>
          <w:rFonts w:hint="default" w:ascii="Times New Roman" w:hAnsi="Times New Roman" w:cs="Times New Roman"/>
          <w:iCs/>
          <w:kern w:val="0"/>
          <w:sz w:val="24"/>
          <w:u w:val="none"/>
          <w:vertAlign w:val="superscript"/>
          <w:lang w:val="en-US" w:eastAsia="zh-CN"/>
        </w:rPr>
        <w:t>d</w:t>
      </w:r>
      <w:r>
        <w:rPr>
          <w:rFonts w:hint="default" w:ascii="Times New Roman" w:hAnsi="Times New Roman" w:cs="Times New Roman"/>
          <w:iCs/>
          <w:kern w:val="0"/>
          <w:sz w:val="24"/>
          <w:u w:val="none"/>
          <w:vertAlign w:val="superscript"/>
          <w:lang w:eastAsia="zh-CN"/>
        </w:rPr>
        <w:t>l+</w:t>
      </w:r>
      <w:r>
        <w:rPr>
          <w:rFonts w:hint="default" w:ascii="Times New Roman" w:hAnsi="Times New Roman" w:cs="Times New Roman"/>
          <w:iCs/>
          <w:kern w:val="0"/>
          <w:sz w:val="24"/>
          <w:u w:val="none"/>
          <w:vertAlign w:val="superscript"/>
          <w:lang w:val="en-US" w:eastAsia="zh-CN"/>
        </w:rPr>
        <w:t>e</w:t>
      </w:r>
      <w:r>
        <w:rPr>
          <w:rFonts w:hint="default" w:ascii="Times New Roman" w:hAnsi="Times New Roman" w:cs="Times New Roman"/>
          <w:iCs/>
          <w:kern w:val="0"/>
          <w:sz w:val="24"/>
          <w:u w:val="none"/>
          <w:vertAlign w:val="superscript"/>
          <w:lang w:eastAsia="zh-CN"/>
        </w:rPr>
        <w:t>l</w:t>
      </w:r>
      <w:r>
        <w:rPr>
          <w:rFonts w:hint="default" w:ascii="Times New Roman" w:hAnsi="Times New Roman" w:cs="Times New Roman"/>
          <w:iCs/>
          <w:kern w:val="0"/>
          <w:sz w:val="24"/>
          <w:u w:val="none"/>
          <w:lang w:eastAsia="zh-CN"/>
        </w:rPr>
        <w:t xml:space="preserve">） </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粉质粘土②：褐黄色，稍湿，可塑，切面光滑，无摇振反应，含铁锰质结核，局部夹有碎石。该层在场地内分布不均匀，主要分布于拟建设备用房及生产车间地势较低的地段，揭露层厚</w:t>
      </w:r>
      <w:r>
        <w:rPr>
          <w:rFonts w:hint="default" w:ascii="Times New Roman" w:hAnsi="Times New Roman" w:cs="Times New Roman"/>
          <w:iCs/>
          <w:kern w:val="0"/>
          <w:sz w:val="24"/>
          <w:u w:val="none"/>
          <w:lang w:val="en-US" w:eastAsia="zh-CN"/>
        </w:rPr>
        <w:t>1.8</w:t>
      </w:r>
      <w:r>
        <w:rPr>
          <w:rFonts w:hint="default" w:ascii="Times New Roman" w:hAnsi="Times New Roman" w:cs="Times New Roman"/>
          <w:iCs/>
          <w:kern w:val="0"/>
          <w:sz w:val="24"/>
          <w:u w:val="none"/>
          <w:lang w:eastAsia="zh-CN"/>
        </w:rPr>
        <w:t>m</w:t>
      </w:r>
      <w:r>
        <w:rPr>
          <w:rFonts w:hint="default" w:ascii="Times New Roman" w:hAnsi="Times New Roman" w:cs="Times New Roman"/>
          <w:iCs/>
          <w:kern w:val="0"/>
          <w:sz w:val="24"/>
          <w:u w:val="none"/>
          <w:lang w:val="en-US" w:eastAsia="zh-CN"/>
        </w:rPr>
        <w:t>～4.1</w:t>
      </w:r>
      <w:r>
        <w:rPr>
          <w:rFonts w:hint="default" w:ascii="Times New Roman" w:hAnsi="Times New Roman" w:cs="Times New Roman"/>
          <w:iCs/>
          <w:kern w:val="0"/>
          <w:sz w:val="24"/>
          <w:u w:val="none"/>
          <w:lang w:eastAsia="zh-CN"/>
        </w:rPr>
        <w:t>m。在野外勘察中对该层进行了标准贯入原位测试，其成果</w:t>
      </w:r>
      <w:r>
        <w:rPr>
          <w:rFonts w:hint="eastAsia" w:ascii="宋体" w:hAnsi="宋体" w:eastAsia="宋体" w:cs="宋体"/>
          <w:iCs/>
          <w:kern w:val="0"/>
          <w:sz w:val="24"/>
          <w:u w:val="none"/>
          <w:lang w:eastAsia="zh-CN"/>
        </w:rPr>
        <w:t>见“标准贯入试验统计表”</w:t>
      </w:r>
      <w:r>
        <w:rPr>
          <w:rFonts w:hint="default" w:ascii="Times New Roman" w:hAnsi="Times New Roman" w:cs="Times New Roman"/>
          <w:iCs/>
          <w:kern w:val="0"/>
          <w:sz w:val="24"/>
          <w:u w:val="none"/>
          <w:lang w:eastAsia="zh-CN"/>
        </w:rPr>
        <w:t>。在野外勘察中取原状土样做室内土工试验，其成果见成都德誉信工程检测有限公司提交的《旺苍县医疗废物处置中心建设项目土工试验报告》。</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eastAsia" w:cs="Times New Roman"/>
          <w:iCs/>
          <w:kern w:val="0"/>
          <w:sz w:val="24"/>
          <w:u w:val="none"/>
          <w:lang w:eastAsia="zh-CN"/>
        </w:rPr>
        <w:t>（</w:t>
      </w:r>
      <w:r>
        <w:rPr>
          <w:rFonts w:hint="eastAsia" w:cs="Times New Roman"/>
          <w:iCs/>
          <w:kern w:val="0"/>
          <w:sz w:val="24"/>
          <w:u w:val="none"/>
          <w:lang w:val="en-US" w:eastAsia="zh-CN"/>
        </w:rPr>
        <w:t>3</w:t>
      </w:r>
      <w:r>
        <w:rPr>
          <w:rFonts w:hint="eastAsia" w:cs="Times New Roman"/>
          <w:iCs/>
          <w:kern w:val="0"/>
          <w:sz w:val="24"/>
          <w:u w:val="none"/>
          <w:lang w:eastAsia="zh-CN"/>
        </w:rPr>
        <w:t>）</w:t>
      </w:r>
      <w:r>
        <w:rPr>
          <w:rFonts w:hint="default" w:ascii="Times New Roman" w:hAnsi="Times New Roman" w:cs="Times New Roman"/>
          <w:iCs/>
          <w:kern w:val="0"/>
          <w:sz w:val="24"/>
          <w:u w:val="none"/>
          <w:lang w:eastAsia="zh-CN"/>
        </w:rPr>
        <w:t>侏罗系中统沙溪庙组（J</w:t>
      </w:r>
      <w:r>
        <w:rPr>
          <w:rFonts w:hint="default" w:ascii="Times New Roman" w:hAnsi="Times New Roman" w:cs="Times New Roman"/>
          <w:iCs/>
          <w:kern w:val="0"/>
          <w:sz w:val="24"/>
          <w:u w:val="none"/>
          <w:vertAlign w:val="subscript"/>
          <w:lang w:eastAsia="zh-CN"/>
        </w:rPr>
        <w:t>2s</w:t>
      </w:r>
      <w:r>
        <w:rPr>
          <w:rFonts w:hint="default" w:ascii="Times New Roman" w:hAnsi="Times New Roman" w:cs="Times New Roman"/>
          <w:iCs/>
          <w:kern w:val="0"/>
          <w:sz w:val="24"/>
          <w:u w:val="none"/>
          <w:lang w:eastAsia="zh-CN"/>
        </w:rPr>
        <w:t>）</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泥岩③：棕红色，薄～中厚层状构造，主要矿物成份为粘土矿物，泥质胶结。属极软岩，岩层产状 1</w:t>
      </w:r>
      <w:r>
        <w:rPr>
          <w:rFonts w:hint="default" w:ascii="Times New Roman" w:hAnsi="Times New Roman" w:cs="Times New Roman"/>
          <w:iCs/>
          <w:kern w:val="0"/>
          <w:sz w:val="24"/>
          <w:u w:val="none"/>
          <w:lang w:val="en-US" w:eastAsia="zh-CN"/>
        </w:rPr>
        <w:t>4</w:t>
      </w:r>
      <w:r>
        <w:rPr>
          <w:rFonts w:hint="default" w:ascii="Times New Roman" w:hAnsi="Times New Roman" w:cs="Times New Roman"/>
          <w:iCs/>
          <w:kern w:val="0"/>
          <w:sz w:val="24"/>
          <w:u w:val="none"/>
          <w:lang w:eastAsia="zh-CN"/>
        </w:rPr>
        <w:t>2°∠1</w:t>
      </w:r>
      <w:r>
        <w:rPr>
          <w:rFonts w:hint="default" w:ascii="Times New Roman" w:hAnsi="Times New Roman" w:cs="Times New Roman"/>
          <w:iCs/>
          <w:kern w:val="0"/>
          <w:sz w:val="24"/>
          <w:u w:val="none"/>
          <w:lang w:val="en-US" w:eastAsia="zh-CN"/>
        </w:rPr>
        <w:t>0</w:t>
      </w:r>
      <w:r>
        <w:rPr>
          <w:rFonts w:hint="default" w:ascii="Times New Roman" w:hAnsi="Times New Roman" w:cs="Times New Roman"/>
          <w:iCs/>
          <w:kern w:val="0"/>
          <w:sz w:val="24"/>
          <w:u w:val="none"/>
          <w:lang w:eastAsia="zh-CN"/>
        </w:rPr>
        <w:t>°，无断层分布、发育，仅存在层间裂隙，岩石的质量等级分类Ⅴ类。根据其风化程度可分为：强风化泥岩、中风化泥岩。</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强风化层③1：岩石</w:t>
      </w:r>
      <w:r>
        <w:rPr>
          <w:rFonts w:hint="default" w:ascii="Times New Roman" w:hAnsi="Times New Roman" w:cs="Times New Roman"/>
          <w:iCs/>
          <w:kern w:val="0"/>
          <w:sz w:val="24"/>
          <w:u w:val="none"/>
          <w:lang w:val="en-US" w:eastAsia="zh-CN"/>
        </w:rPr>
        <w:t>的</w:t>
      </w:r>
      <w:r>
        <w:rPr>
          <w:rFonts w:hint="default" w:ascii="Times New Roman" w:hAnsi="Times New Roman" w:cs="Times New Roman"/>
          <w:iCs/>
          <w:kern w:val="0"/>
          <w:sz w:val="24"/>
          <w:u w:val="none"/>
          <w:lang w:eastAsia="zh-CN"/>
        </w:rPr>
        <w:t>组织结构大部分破坏,节理和风化裂隙很发育，易钻进，岩芯以块状、碎块状为主，岩体极破碎。岩石质量指标</w:t>
      </w:r>
      <w:r>
        <w:rPr>
          <w:rFonts w:hint="default" w:ascii="Times New Roman" w:hAnsi="Times New Roman" w:cs="Times New Roman"/>
          <w:iCs/>
          <w:kern w:val="0"/>
          <w:sz w:val="24"/>
          <w:u w:val="none"/>
          <w:lang w:val="en-US" w:eastAsia="zh-CN"/>
        </w:rPr>
        <w:t>RQD</w:t>
      </w:r>
      <w:r>
        <w:rPr>
          <w:rFonts w:hint="default" w:ascii="Times New Roman" w:hAnsi="Times New Roman" w:cs="Times New Roman"/>
          <w:iCs/>
          <w:kern w:val="0"/>
          <w:sz w:val="24"/>
          <w:u w:val="none"/>
          <w:lang w:eastAsia="zh-CN"/>
        </w:rPr>
        <w:t>为</w:t>
      </w:r>
      <w:r>
        <w:rPr>
          <w:rFonts w:hint="default" w:ascii="Times New Roman" w:hAnsi="Times New Roman" w:cs="Times New Roman"/>
          <w:iCs/>
          <w:kern w:val="0"/>
          <w:sz w:val="24"/>
          <w:u w:val="none"/>
          <w:lang w:val="en-US" w:eastAsia="zh-CN"/>
        </w:rPr>
        <w:t>22～33，岩芯采取率55～65％</w:t>
      </w:r>
      <w:r>
        <w:rPr>
          <w:rFonts w:hint="default" w:ascii="Times New Roman" w:hAnsi="Times New Roman" w:cs="Times New Roman"/>
          <w:iCs/>
          <w:kern w:val="0"/>
          <w:sz w:val="24"/>
          <w:u w:val="none"/>
          <w:lang w:eastAsia="zh-CN"/>
        </w:rPr>
        <w:t>。受差异风化影响，局部位置强风化层较厚，层厚</w:t>
      </w:r>
      <w:r>
        <w:rPr>
          <w:rFonts w:hint="default" w:ascii="Times New Roman" w:hAnsi="Times New Roman" w:cs="Times New Roman"/>
          <w:iCs/>
          <w:kern w:val="0"/>
          <w:sz w:val="24"/>
          <w:u w:val="none"/>
          <w:lang w:val="en-US" w:eastAsia="zh-CN"/>
        </w:rPr>
        <w:t>1.0m～2.5m</w:t>
      </w:r>
      <w:r>
        <w:rPr>
          <w:rFonts w:hint="default" w:ascii="Times New Roman" w:hAnsi="Times New Roman" w:cs="Times New Roman"/>
          <w:iCs/>
          <w:kern w:val="0"/>
          <w:sz w:val="24"/>
          <w:u w:val="none"/>
          <w:lang w:eastAsia="zh-CN"/>
        </w:rPr>
        <w:t>。</w:t>
      </w:r>
    </w:p>
    <w:p>
      <w:pPr>
        <w:spacing w:line="360" w:lineRule="auto"/>
        <w:ind w:firstLine="480" w:firstLineChars="200"/>
        <w:jc w:val="left"/>
        <w:rPr>
          <w:rFonts w:hint="default" w:ascii="Times New Roman" w:hAnsi="Times New Roman" w:cs="Times New Roman"/>
          <w:iCs/>
          <w:kern w:val="0"/>
          <w:sz w:val="24"/>
          <w:u w:val="none"/>
          <w:lang w:eastAsia="zh-CN"/>
        </w:rPr>
      </w:pPr>
      <w:r>
        <w:rPr>
          <w:rFonts w:hint="default" w:ascii="Times New Roman" w:hAnsi="Times New Roman" w:cs="Times New Roman"/>
          <w:iCs/>
          <w:kern w:val="0"/>
          <w:sz w:val="24"/>
          <w:u w:val="none"/>
          <w:lang w:eastAsia="zh-CN"/>
        </w:rPr>
        <w:t>中风化层③2：岩石的组织结构部分破坏，节理和风化裂隙较发育，岩芯钻方可钻进，岩芯以短柱状～长柱状为主，岩体结构较破碎～较完整，呈裂隙块状或巨厚层状，岩石质量指标</w:t>
      </w:r>
      <w:r>
        <w:rPr>
          <w:rFonts w:hint="default" w:ascii="Times New Roman" w:hAnsi="Times New Roman" w:cs="Times New Roman"/>
          <w:iCs/>
          <w:kern w:val="0"/>
          <w:sz w:val="24"/>
          <w:u w:val="none"/>
          <w:lang w:val="en-US" w:eastAsia="zh-CN"/>
        </w:rPr>
        <w:t>RQD</w:t>
      </w:r>
      <w:r>
        <w:rPr>
          <w:rFonts w:hint="default" w:ascii="Times New Roman" w:hAnsi="Times New Roman" w:cs="Times New Roman"/>
          <w:iCs/>
          <w:kern w:val="0"/>
          <w:sz w:val="24"/>
          <w:u w:val="none"/>
          <w:lang w:eastAsia="zh-CN"/>
        </w:rPr>
        <w:t>为78</w:t>
      </w:r>
      <w:r>
        <w:rPr>
          <w:rFonts w:hint="default" w:ascii="Times New Roman" w:hAnsi="Times New Roman" w:cs="Times New Roman"/>
          <w:iCs/>
          <w:kern w:val="0"/>
          <w:sz w:val="24"/>
          <w:u w:val="none"/>
          <w:lang w:val="en-US" w:eastAsia="zh-CN"/>
        </w:rPr>
        <w:t>～</w:t>
      </w:r>
      <w:r>
        <w:rPr>
          <w:rFonts w:hint="default" w:ascii="Times New Roman" w:hAnsi="Times New Roman" w:cs="Times New Roman"/>
          <w:iCs/>
          <w:kern w:val="0"/>
          <w:sz w:val="24"/>
          <w:u w:val="none"/>
          <w:lang w:eastAsia="zh-CN"/>
        </w:rPr>
        <w:t>85，岩芯采取率75～90％。</w:t>
      </w:r>
    </w:p>
    <w:p>
      <w:pPr>
        <w:spacing w:line="360" w:lineRule="auto"/>
        <w:ind w:firstLine="480" w:firstLineChars="200"/>
        <w:jc w:val="left"/>
        <w:rPr>
          <w:rFonts w:hint="default" w:ascii="Times New Roman" w:hAnsi="Times New Roman" w:cs="Times New Roman"/>
          <w:iCs/>
          <w:kern w:val="0"/>
          <w:sz w:val="24"/>
          <w:u w:val="none"/>
          <w:lang w:val="en-US" w:eastAsia="zh-CN"/>
        </w:rPr>
      </w:pPr>
      <w:r>
        <w:rPr>
          <w:rFonts w:hint="eastAsia" w:cs="Times New Roman"/>
          <w:iCs/>
          <w:kern w:val="0"/>
          <w:sz w:val="24"/>
          <w:u w:val="none"/>
          <w:lang w:val="en-US" w:eastAsia="zh-CN"/>
        </w:rPr>
        <w:t>2、</w:t>
      </w:r>
      <w:r>
        <w:rPr>
          <w:rFonts w:hint="default" w:ascii="Times New Roman" w:hAnsi="Times New Roman" w:cs="Times New Roman"/>
          <w:iCs/>
          <w:kern w:val="0"/>
          <w:sz w:val="24"/>
          <w:u w:val="none"/>
          <w:lang w:val="en-US" w:eastAsia="zh-CN"/>
        </w:rPr>
        <w:t>地下水类型及赋存条件</w:t>
      </w:r>
    </w:p>
    <w:p>
      <w:pPr>
        <w:spacing w:line="360" w:lineRule="auto"/>
        <w:ind w:firstLine="480" w:firstLineChars="200"/>
        <w:jc w:val="left"/>
        <w:rPr>
          <w:rFonts w:hint="eastAsia" w:cs="Times New Roman"/>
          <w:iCs/>
          <w:kern w:val="0"/>
          <w:sz w:val="24"/>
          <w:u w:val="none"/>
          <w:lang w:val="en-US" w:eastAsia="zh-CN"/>
        </w:rPr>
      </w:pPr>
      <w:r>
        <w:rPr>
          <w:rFonts w:hint="default" w:ascii="Times New Roman" w:hAnsi="Times New Roman" w:cs="Times New Roman"/>
          <w:iCs/>
          <w:kern w:val="0"/>
          <w:sz w:val="24"/>
          <w:u w:val="none"/>
          <w:lang w:val="en-US" w:eastAsia="zh-CN"/>
        </w:rPr>
        <w:t>按照不同介质下的赋存条件，旺苍县境内地下水可分为3类：孔隙水、裂隙水和岩溶水，其形成条件主要受地形地貌、地层岩性、地质构造及水文气象等因素综合控制。根据调查，</w:t>
      </w:r>
      <w:r>
        <w:rPr>
          <w:rFonts w:hint="eastAsia" w:cs="Times New Roman"/>
          <w:iCs/>
          <w:kern w:val="0"/>
          <w:sz w:val="24"/>
          <w:u w:val="none"/>
          <w:lang w:val="en-US" w:eastAsia="zh-CN"/>
        </w:rPr>
        <w:t>本项目场地地下水主要分为松散堆积层孔隙水和基岩裂隙水，具体情况如下：</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（1）松散堆积层孔隙水</w:t>
      </w:r>
    </w:p>
    <w:p>
      <w:pPr>
        <w:spacing w:line="360" w:lineRule="auto"/>
        <w:ind w:firstLine="480" w:firstLineChars="200"/>
        <w:jc w:val="left"/>
        <w:rPr>
          <w:rFonts w:hint="default" w:cs="Times New Roman"/>
          <w:iCs/>
          <w:kern w:val="0"/>
          <w:sz w:val="24"/>
          <w:u w:val="none"/>
          <w:lang w:val="en-US" w:eastAsia="zh-CN"/>
        </w:rPr>
      </w:pPr>
      <w:r>
        <w:rPr>
          <w:rFonts w:hint="default" w:cs="Times New Roman"/>
          <w:iCs/>
          <w:kern w:val="0"/>
          <w:sz w:val="24"/>
          <w:u w:val="none"/>
          <w:lang w:val="en-US" w:eastAsia="zh-CN"/>
        </w:rPr>
        <w:t>主要是中部槽谷地带及其河流两侧的台地及斜坡地带，含水层为第四系冲洪积成因的砂砾卵石层、含泥的砂砾卵石层和中上更新统冰水堆积的含泥砾卵石层和残坡、崩坡积层碎块石土，这些地层岩性松散，易于大气降雨的渗透，地下水的补给主要来自大气降水补给，沿斜坡向地势低洼的地方排泄，地下水水位变化大。</w:t>
      </w:r>
    </w:p>
    <w:p>
      <w:pPr>
        <w:spacing w:line="360" w:lineRule="auto"/>
        <w:ind w:firstLine="480" w:firstLineChars="200"/>
        <w:jc w:val="left"/>
        <w:rPr>
          <w:rFonts w:hint="default" w:ascii="Times New Roman" w:hAnsi="Times New Roman" w:cs="Times New Roman"/>
          <w:iCs/>
          <w:kern w:val="0"/>
          <w:sz w:val="24"/>
          <w:u w:val="none"/>
          <w:lang w:val="en-US" w:eastAsia="zh-CN"/>
        </w:rPr>
      </w:pPr>
      <w:r>
        <w:rPr>
          <w:rFonts w:hint="default" w:ascii="Times New Roman" w:hAnsi="Times New Roman" w:cs="Times New Roman"/>
          <w:iCs/>
          <w:kern w:val="0"/>
          <w:sz w:val="24"/>
          <w:u w:val="none"/>
          <w:lang w:val="en-US" w:eastAsia="zh-CN"/>
        </w:rPr>
        <w:t>（2）碎屑岩裂隙水</w:t>
      </w:r>
    </w:p>
    <w:p>
      <w:pPr>
        <w:spacing w:line="360" w:lineRule="auto"/>
        <w:ind w:firstLine="480" w:firstLineChars="200"/>
        <w:jc w:val="left"/>
        <w:rPr>
          <w:rFonts w:hint="default" w:ascii="Times New Roman" w:hAnsi="Times New Roman" w:cs="Times New Roman"/>
          <w:iCs/>
          <w:kern w:val="0"/>
          <w:sz w:val="24"/>
          <w:u w:val="none"/>
          <w:lang w:val="en-US" w:eastAsia="zh-CN"/>
        </w:rPr>
      </w:pPr>
      <w:r>
        <w:rPr>
          <w:rFonts w:hint="default" w:ascii="Times New Roman" w:hAnsi="Times New Roman" w:cs="Times New Roman"/>
          <w:iCs/>
          <w:kern w:val="0"/>
          <w:sz w:val="24"/>
          <w:u w:val="none"/>
          <w:lang w:val="en-US" w:eastAsia="zh-CN"/>
        </w:rPr>
        <w:t>大面积分布在南部的四川盆地区，含水层为侏罗系和白垩系砂、泥岩，主要受大气降水补给，地下水贮存在风化带裂隙、构造裂隙中，富水性差，水量贫乏，单井涌水量一般在50m³/d以下。</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（3）地下水含水层组特征</w:t>
      </w:r>
    </w:p>
    <w:p>
      <w:pPr>
        <w:spacing w:line="360" w:lineRule="auto"/>
        <w:ind w:firstLine="480" w:firstLineChars="200"/>
        <w:jc w:val="left"/>
        <w:rPr>
          <w:rFonts w:hint="default" w:cs="Times New Roman"/>
          <w:iCs/>
          <w:kern w:val="0"/>
          <w:sz w:val="24"/>
          <w:u w:val="none"/>
          <w:lang w:val="en-US" w:eastAsia="zh-CN"/>
        </w:rPr>
      </w:pPr>
      <w:r>
        <w:rPr>
          <w:rFonts w:hint="default" w:cs="Times New Roman"/>
          <w:iCs/>
          <w:kern w:val="0"/>
          <w:sz w:val="24"/>
          <w:u w:val="none"/>
          <w:lang w:val="en-US" w:eastAsia="zh-CN"/>
        </w:rPr>
        <w:t>区域内主要发育第四系松散岩类孔隙水和基岩裂隙水。</w:t>
      </w:r>
    </w:p>
    <w:p>
      <w:pPr>
        <w:spacing w:line="360" w:lineRule="auto"/>
        <w:ind w:firstLine="480" w:firstLineChars="200"/>
        <w:jc w:val="left"/>
        <w:rPr>
          <w:rFonts w:hint="default" w:cs="Times New Roman"/>
          <w:iCs/>
          <w:color w:val="FF0000"/>
          <w:kern w:val="0"/>
          <w:sz w:val="24"/>
          <w:u w:val="none"/>
          <w:lang w:val="en-US" w:eastAsia="zh-CN"/>
        </w:rPr>
      </w:pPr>
      <w:r>
        <w:rPr>
          <w:rFonts w:hint="default" w:cs="Times New Roman"/>
          <w:iCs/>
          <w:color w:val="FF0000"/>
          <w:kern w:val="0"/>
          <w:sz w:val="24"/>
          <w:u w:val="none"/>
          <w:lang w:val="en-US" w:eastAsia="zh-CN"/>
        </w:rPr>
        <w:t>第四系松散堆积层是孔隙潜水的主要含水层组，分布于</w:t>
      </w:r>
      <w:r>
        <w:rPr>
          <w:rFonts w:hint="eastAsia" w:cs="Times New Roman"/>
          <w:iCs/>
          <w:color w:val="FF0000"/>
          <w:kern w:val="0"/>
          <w:sz w:val="24"/>
          <w:u w:val="none"/>
          <w:lang w:val="en-US" w:eastAsia="zh-CN"/>
        </w:rPr>
        <w:t>东河北</w:t>
      </w:r>
      <w:r>
        <w:rPr>
          <w:rFonts w:hint="default" w:cs="Times New Roman"/>
          <w:iCs/>
          <w:color w:val="FF0000"/>
          <w:kern w:val="0"/>
          <w:sz w:val="24"/>
          <w:u w:val="none"/>
          <w:lang w:val="en-US" w:eastAsia="zh-CN"/>
        </w:rPr>
        <w:t>岸阶地的宽缓地区和谷坡平缓处，分布连续且厚度稳定。该含水层组含水介质浅灰、灰白色砂砾卵石为主，孔隙较大，固结程度较低，含水层顶板埋深一般0.8~2.5m，最深可达8m，上部包气带为粉土及粉砂土层，结构松散，透水性好。整个含水层厚度1~6m，普遍小于10m，其间局部地段有明显的粉质粘土隔水层，厚度一般小于5m，多在0~2m，左右形成上层滞水。总的说来，上部含水层组分布较稳定，地下水有密切的水力联系，构成了统一的含水层组，富水性较强。</w:t>
      </w:r>
    </w:p>
    <w:p>
      <w:pPr>
        <w:spacing w:line="360" w:lineRule="auto"/>
        <w:ind w:firstLine="480" w:firstLineChars="200"/>
        <w:jc w:val="left"/>
        <w:rPr>
          <w:rFonts w:hint="default" w:cs="Times New Roman"/>
          <w:iCs/>
          <w:color w:val="FF0000"/>
          <w:kern w:val="0"/>
          <w:sz w:val="24"/>
          <w:u w:val="none"/>
          <w:lang w:val="en-US" w:eastAsia="zh-CN"/>
        </w:rPr>
      </w:pPr>
      <w:r>
        <w:rPr>
          <w:rFonts w:hint="default" w:cs="Times New Roman"/>
          <w:iCs/>
          <w:color w:val="FF0000"/>
          <w:kern w:val="0"/>
          <w:sz w:val="24"/>
          <w:u w:val="none"/>
          <w:lang w:val="en-US" w:eastAsia="zh-CN"/>
        </w:rPr>
        <w:t>基岩裂隙水含水层为侏罗系沙溪庙组上段，岩性以泥岩为主，夹砂岩、粉砂岩。广泛分布于评价区，是区内主要含水岩组。该层组裂隙发育，为地下提供了良好的赋存空间与导水廊道。砂质泥岩性软，具失水开裂特征，浅表易于形成风化裂隙，虽然裂隙微细短小，但裂隙众多，互相穿插切割形成密集网状裂隙带。泥岩虽然构造裂隙不发育，但因该岩组含有钙质或膏盐成分，其可溶性较好，风化带岩层易被地下水溶滤形成溶孔，因此该含水岩组含水介质不仅具有风化裂隙储水，还兼具孔隙储水的性质。</w:t>
      </w:r>
    </w:p>
    <w:p>
      <w:pPr>
        <w:spacing w:line="360" w:lineRule="auto"/>
        <w:ind w:firstLine="480" w:firstLineChars="200"/>
        <w:jc w:val="left"/>
        <w:rPr>
          <w:rFonts w:hint="default" w:cs="Times New Roman"/>
          <w:iCs/>
          <w:color w:val="FF0000"/>
          <w:kern w:val="0"/>
          <w:sz w:val="24"/>
          <w:u w:val="none"/>
          <w:lang w:val="en-US" w:eastAsia="zh-CN"/>
        </w:rPr>
      </w:pPr>
      <w:r>
        <w:rPr>
          <w:rFonts w:hint="default" w:cs="Times New Roman"/>
          <w:iCs/>
          <w:color w:val="FF0000"/>
          <w:kern w:val="0"/>
          <w:sz w:val="24"/>
          <w:u w:val="none"/>
          <w:lang w:val="en-US" w:eastAsia="zh-CN"/>
        </w:rPr>
        <w:t>同时，该层组与上覆第四系含水层直接呈不整合接触，接受上部孔隙水的部分补给，从而与松散层形成紧密的水力联系。表浅部强风化层渗透性较大，储水导水能力强，中风化层渗透性相对较小，但具有一定的空间连续性，构成连续的基岩潜水含水层。一般情况下，谷地区因上部覆盖有坡洪积物，风化带保存较好，厚度较大；谷坡区易被侵蚀，风化带厚度相对较薄。根据项目附近广元市城市生活垃圾卫生填埋场检测井资料显示，基岩强风化层厚为1.2~3.8m，检测井未揭露中风化层的顶板，根据区域地质资料中风化层的厚度为15.7~22.7m，含水层厚度普遍在20m以上，富水性较弱。</w:t>
      </w:r>
    </w:p>
    <w:p>
      <w:pPr>
        <w:spacing w:line="360" w:lineRule="auto"/>
        <w:ind w:firstLine="480" w:firstLineChars="200"/>
        <w:jc w:val="left"/>
        <w:rPr>
          <w:rFonts w:hint="default" w:cs="Times New Roman"/>
          <w:iCs/>
          <w:kern w:val="0"/>
          <w:sz w:val="24"/>
          <w:u w:val="none"/>
          <w:lang w:val="en-US" w:eastAsia="zh-CN"/>
        </w:rPr>
      </w:pPr>
      <w:r>
        <w:rPr>
          <w:rFonts w:hint="default" w:cs="Times New Roman"/>
          <w:iCs/>
          <w:kern w:val="0"/>
          <w:sz w:val="24"/>
          <w:u w:val="none"/>
          <w:lang w:val="en-US" w:eastAsia="zh-CN"/>
        </w:rPr>
        <w:t>此外，在山坡顶或斜坡坡脚地带的残坡积层粉质粘土为该区的主要隔水层，该层组软至硬塑状，胶结密实，渗透性较差，且主要分布在沟谷地带，连续性一般，厚度变化大，一般为1~4m，成为化带孔隙裂隙含水层的相对隔水顶板，顶部往往易形成上层滞水。</w:t>
      </w:r>
    </w:p>
    <w:p>
      <w:pPr>
        <w:spacing w:line="360" w:lineRule="auto"/>
        <w:ind w:firstLine="480" w:firstLineChars="200"/>
        <w:jc w:val="left"/>
        <w:rPr>
          <w:rFonts w:hint="default" w:cs="Times New Roman"/>
          <w:iCs/>
          <w:kern w:val="0"/>
          <w:sz w:val="24"/>
          <w:u w:val="none"/>
          <w:lang w:val="en-US" w:eastAsia="zh-CN"/>
        </w:rPr>
      </w:pPr>
      <w:r>
        <w:rPr>
          <w:rFonts w:hint="default" w:cs="Times New Roman"/>
          <w:iCs/>
          <w:kern w:val="0"/>
          <w:sz w:val="24"/>
          <w:u w:val="none"/>
          <w:lang w:val="en-US" w:eastAsia="zh-CN"/>
        </w:rPr>
        <w:t>另外，风化带孔隙裂隙含水层底板以岩石的完整程度为特征而界定，微风化岩体较新鲜，裂隙不发育，岩体完整性好，渗透性为微透水，从而又构成含水层下伏相对隔水底板。各层组水文地质特征如下表所示。</w:t>
      </w:r>
    </w:p>
    <w:p>
      <w:pPr>
        <w:pStyle w:val="352"/>
        <w:rPr>
          <w:rFonts w:hint="default"/>
          <w:b/>
          <w:bCs/>
          <w:u w:val="none"/>
          <w:lang w:val="en-US" w:eastAsia="zh-CN"/>
        </w:rPr>
      </w:pPr>
      <w:r>
        <w:rPr>
          <w:rFonts w:hint="default"/>
          <w:b/>
          <w:bCs/>
          <w:u w:val="none"/>
          <w:lang w:val="en-US" w:eastAsia="zh-CN"/>
        </w:rPr>
        <w:t>表</w:t>
      </w:r>
      <w:r>
        <w:rPr>
          <w:rFonts w:hint="eastAsia"/>
          <w:b/>
          <w:bCs/>
          <w:u w:val="none"/>
          <w:lang w:val="en-US" w:eastAsia="zh-CN"/>
        </w:rPr>
        <w:t xml:space="preserve">8-19  </w:t>
      </w:r>
      <w:r>
        <w:rPr>
          <w:rFonts w:hint="default"/>
          <w:b/>
          <w:bCs/>
          <w:u w:val="none"/>
          <w:lang w:val="en-US" w:eastAsia="zh-CN"/>
        </w:rPr>
        <w:t>本项目区内各含水岩组特征简表</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4800"/>
        <w:gridCol w:w="1238"/>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0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地层</w:t>
            </w:r>
          </w:p>
        </w:tc>
        <w:tc>
          <w:tcPr>
            <w:tcW w:w="480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岩性特征</w:t>
            </w:r>
          </w:p>
        </w:tc>
        <w:tc>
          <w:tcPr>
            <w:tcW w:w="123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含水类型</w:t>
            </w:r>
          </w:p>
        </w:tc>
        <w:tc>
          <w:tcPr>
            <w:tcW w:w="161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含水岩组类型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第四系</w:t>
            </w:r>
            <w:r>
              <w:rPr>
                <w:rFonts w:hint="eastAsia"/>
                <w:b w:val="0"/>
                <w:bCs/>
                <w:lang w:val="en-US" w:eastAsia="zh-CN"/>
              </w:rPr>
              <w:t>全新统人工填土层</w:t>
            </w:r>
            <w:r>
              <w:rPr>
                <w:rFonts w:hint="default"/>
                <w:b w:val="0"/>
                <w:bCs/>
                <w:lang w:val="en-US" w:eastAsia="zh-CN"/>
              </w:rPr>
              <w:t>（Q</w:t>
            </w:r>
            <w:r>
              <w:rPr>
                <w:rFonts w:hint="default"/>
                <w:b w:val="0"/>
                <w:bCs/>
                <w:vertAlign w:val="subscript"/>
                <w:lang w:val="en-US" w:eastAsia="zh-CN"/>
              </w:rPr>
              <w:t>4</w:t>
            </w:r>
            <w:r>
              <w:rPr>
                <w:rFonts w:hint="eastAsia"/>
                <w:b w:val="0"/>
                <w:bCs/>
                <w:vertAlign w:val="superscript"/>
                <w:lang w:val="en-US" w:eastAsia="zh-CN"/>
              </w:rPr>
              <w:t>m1</w:t>
            </w:r>
            <w:r>
              <w:rPr>
                <w:rFonts w:hint="default"/>
                <w:b w:val="0"/>
                <w:bCs/>
                <w:lang w:val="en-US" w:eastAsia="zh-CN"/>
              </w:rPr>
              <w:t>）</w:t>
            </w:r>
          </w:p>
        </w:tc>
        <w:tc>
          <w:tcPr>
            <w:tcW w:w="480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杂填土：</w:t>
            </w:r>
            <w:r>
              <w:rPr>
                <w:rFonts w:hint="default"/>
                <w:b w:val="0"/>
                <w:bCs/>
                <w:lang w:val="en-US" w:eastAsia="zh-CN"/>
              </w:rPr>
              <w:t>杂色，松散，稍湿。主要由建筑垃圾、煤渣等组成，局部位置含旧房基础、碎块石等。回填时间约5年，尚未完成自重固结。该层主要分布于旧房拆除区域，拟建设备用房及生产车间场地内分布广泛，层厚不均，揭露层厚0.8m～4.0m。</w:t>
            </w:r>
          </w:p>
        </w:tc>
        <w:tc>
          <w:tcPr>
            <w:tcW w:w="1238"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孔隙水</w:t>
            </w:r>
          </w:p>
        </w:tc>
        <w:tc>
          <w:tcPr>
            <w:tcW w:w="161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富水含水层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第四系</w:t>
            </w:r>
            <w:r>
              <w:rPr>
                <w:rFonts w:hint="eastAsia"/>
                <w:b w:val="0"/>
                <w:bCs/>
                <w:lang w:val="en-US" w:eastAsia="zh-CN"/>
              </w:rPr>
              <w:t>全新统残坡积</w:t>
            </w:r>
            <w:r>
              <w:rPr>
                <w:rFonts w:hint="default"/>
                <w:b w:val="0"/>
                <w:bCs/>
                <w:lang w:val="en-US" w:eastAsia="zh-CN"/>
              </w:rPr>
              <w:t>（Q4</w:t>
            </w:r>
            <w:r>
              <w:rPr>
                <w:rFonts w:hint="eastAsia"/>
                <w:b w:val="0"/>
                <w:bCs/>
                <w:vertAlign w:val="superscript"/>
                <w:lang w:val="en-US" w:eastAsia="zh-CN"/>
              </w:rPr>
              <w:t>d1+e1</w:t>
            </w:r>
            <w:r>
              <w:rPr>
                <w:rFonts w:hint="default"/>
                <w:b w:val="0"/>
                <w:bCs/>
                <w:lang w:val="en-US" w:eastAsia="zh-CN"/>
              </w:rPr>
              <w:t>）</w:t>
            </w:r>
          </w:p>
        </w:tc>
        <w:tc>
          <w:tcPr>
            <w:tcW w:w="480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粉质粘土：褐黄色，稍湿，可塑，切面光滑，无摇振反应，含铁锰质结核，局部夹有碎石。该层在场地内分布不均匀，主要分布于拟建设备用房及生产车间地势较低的地段，揭露层厚1.8m～4.1m。</w:t>
            </w:r>
          </w:p>
        </w:tc>
        <w:tc>
          <w:tcPr>
            <w:tcW w:w="1238"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61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相对隔水层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侏罗系</w:t>
            </w:r>
            <w:r>
              <w:rPr>
                <w:rFonts w:hint="eastAsia"/>
                <w:b w:val="0"/>
                <w:bCs/>
                <w:lang w:val="en-US" w:eastAsia="zh-CN"/>
              </w:rPr>
              <w:t>中统</w:t>
            </w:r>
            <w:r>
              <w:rPr>
                <w:rFonts w:hint="default"/>
                <w:b w:val="0"/>
                <w:bCs/>
                <w:lang w:val="en-US" w:eastAsia="zh-CN"/>
              </w:rPr>
              <w:t>沙溪庙组（J</w:t>
            </w:r>
            <w:r>
              <w:rPr>
                <w:rFonts w:hint="default"/>
                <w:b w:val="0"/>
                <w:bCs/>
                <w:vertAlign w:val="subscript"/>
                <w:lang w:val="en-US" w:eastAsia="zh-CN"/>
              </w:rPr>
              <w:t>2</w:t>
            </w:r>
            <w:r>
              <w:rPr>
                <w:rFonts w:hint="default"/>
                <w:b w:val="0"/>
                <w:bCs/>
                <w:lang w:val="en-US" w:eastAsia="zh-CN"/>
              </w:rPr>
              <w:t>s）</w:t>
            </w:r>
          </w:p>
        </w:tc>
        <w:tc>
          <w:tcPr>
            <w:tcW w:w="480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泥岩、</w:t>
            </w:r>
            <w:r>
              <w:rPr>
                <w:rFonts w:hint="default"/>
                <w:b w:val="0"/>
                <w:bCs/>
                <w:lang w:val="en-US" w:eastAsia="zh-CN"/>
              </w:rPr>
              <w:t>强风化、中风化泥砂岩，厚度稳定，强风化带岩性破碎，裂隙发育；中风化带岩性总体较好，多呈柱状.</w:t>
            </w:r>
          </w:p>
        </w:tc>
        <w:tc>
          <w:tcPr>
            <w:tcW w:w="123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基岩裂隙水</w:t>
            </w:r>
          </w:p>
        </w:tc>
        <w:tc>
          <w:tcPr>
            <w:tcW w:w="161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弱含水层</w:t>
            </w:r>
          </w:p>
        </w:tc>
      </w:tr>
    </w:tbl>
    <w:p>
      <w:pPr>
        <w:spacing w:line="360" w:lineRule="auto"/>
        <w:ind w:firstLine="480" w:firstLineChars="200"/>
        <w:jc w:val="left"/>
        <w:rPr>
          <w:rFonts w:hint="default" w:cs="Times New Roman"/>
          <w:iCs/>
          <w:kern w:val="0"/>
          <w:sz w:val="24"/>
          <w:u w:val="none"/>
          <w:lang w:val="en-US" w:eastAsia="zh-CN"/>
        </w:rPr>
      </w:pPr>
      <w:r>
        <w:rPr>
          <w:rFonts w:hint="default" w:cs="Times New Roman"/>
          <w:iCs/>
          <w:kern w:val="0"/>
          <w:sz w:val="24"/>
          <w:u w:val="none"/>
          <w:lang w:val="en-US" w:eastAsia="zh-CN"/>
        </w:rPr>
        <w:t>根据以上区域地层分布和含水层特征可以看出，评价区场地上部覆盖层主要为人工杂填土层、粉质粘土层和砂夹卵石层，砂夹卵石层以孔隙型潜水为主；粉质粘土层透水性相对较弱，可作为相对隔水层，厚度不稳定且分布不均，连续性差，隔水作用整体不明显且具有局部性；侏罗系中统沙溪庙组下统砂泥岩为裂隙水含水层，空间连续性较好，形成基岩孔隙裂隙潜水含水层，水位及水量主要受孔隙、裂隙性质、发育程度和季节影响较明显，其浅部水质易受人为因素影响。</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3</w:t>
      </w:r>
      <w:r>
        <w:rPr>
          <w:rFonts w:hint="eastAsia" w:ascii="Times New Roman" w:hAnsi="Times New Roman" w:cs="Times New Roman"/>
          <w:iCs/>
          <w:kern w:val="0"/>
          <w:sz w:val="24"/>
          <w:u w:val="none"/>
          <w:lang w:val="en-US" w:eastAsia="zh-CN"/>
        </w:rPr>
        <w:t>、</w:t>
      </w:r>
      <w:r>
        <w:rPr>
          <w:rFonts w:hint="eastAsia" w:cs="Times New Roman"/>
          <w:iCs/>
          <w:kern w:val="0"/>
          <w:sz w:val="24"/>
          <w:u w:val="none"/>
          <w:lang w:val="en-US" w:eastAsia="zh-CN"/>
        </w:rPr>
        <w:t>地下水径流、补给及排泄条件</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（1）地下水的循环特征</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地下水的补给、径流与排泄条件受地形地貌条件、地层岩性和地质构造的控制。由于本区内含水介质以第四系覆盖层和砂泥岩为主，无岩溶发育，不存在地下水分水岭袭夺现象。根据“红层”区水文地质特征，一般地表分水岭也就是地下水分水岭，本项目含水层的径流及排泄受地形控制。故此，总体上项目评价区在接受大气降水的补给后，补给水在汇水构造作用下沿地表发育的孔隙和裂隙等渗流通道入渗，以地表分水岭为界顺水力梯度向侵蚀基准面径流与排泄。</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项目位于东河北岸，地下水类型发育有第四系松散岩类孔隙潜水和基岩裂隙水。本项目评价区地下水补给来源主要为大气降水，其次为地表塘堰或农灌囤水的入渗补给。受地形与水动力条件的控制，地下水于第四系松散土层孔隙中和砂泥岩裂隙中赋存运移。受地表河流的水文特征控制，本项目地下水由北东向南西方向径流排泄至东河。通过调查发现，项目评价区内无泉水出露地表，但有多处原始遗留的取水井，该人工井亦为地下水的排泄方式之一。总体来讲，区内地下水主要为分散排泄汇入东河和集中排泄于人工挖井出露的两种形式。</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（2）地下水动态变化特征</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区内地下水埋深较浅，潜水动态变化受季节性特征控制，一年两季，丰水期与枯水期表现出水量水位增幅的明显差异。同时，不同地貌单元的地下水动态变化也不尽一致。根据调查访问，在斜坡坡脚及凹谷地带，民井水量、水位变化较小；而处于斜坡、丘顶部位的井点，地下水水量、水位变化相对较大，一般水位年变幅在3m左右。区内地下水水位埋深基本情况如下表所示。</w:t>
      </w:r>
    </w:p>
    <w:p>
      <w:pPr>
        <w:pStyle w:val="352"/>
        <w:rPr>
          <w:rFonts w:hint="eastAsia"/>
          <w:b/>
          <w:bCs/>
          <w:u w:val="none"/>
          <w:lang w:val="en-US" w:eastAsia="zh-CN"/>
        </w:rPr>
      </w:pPr>
      <w:r>
        <w:rPr>
          <w:rFonts w:hint="eastAsia"/>
          <w:b/>
          <w:bCs/>
          <w:u w:val="none"/>
          <w:lang w:val="en-US" w:eastAsia="zh-CN"/>
        </w:rPr>
        <w:t>表 8-20  本项目区内各含水岩组特征简表</w:t>
      </w:r>
    </w:p>
    <w:tbl>
      <w:tblPr>
        <w:tblStyle w:val="58"/>
        <w:tblW w:w="8560" w:type="dxa"/>
        <w:tblInd w:w="0" w:type="dxa"/>
        <w:shd w:val="clear" w:color="auto" w:fill="auto"/>
        <w:tblLayout w:type="fixed"/>
        <w:tblCellMar>
          <w:top w:w="0" w:type="dxa"/>
          <w:left w:w="0" w:type="dxa"/>
          <w:bottom w:w="0" w:type="dxa"/>
          <w:right w:w="0" w:type="dxa"/>
        </w:tblCellMar>
      </w:tblPr>
      <w:tblGrid>
        <w:gridCol w:w="1450"/>
        <w:gridCol w:w="2426"/>
        <w:gridCol w:w="2473"/>
        <w:gridCol w:w="2211"/>
      </w:tblGrid>
      <w:tr>
        <w:tblPrEx>
          <w:shd w:val="clear" w:color="auto" w:fill="auto"/>
          <w:tblCellMar>
            <w:top w:w="0" w:type="dxa"/>
            <w:left w:w="0" w:type="dxa"/>
            <w:bottom w:w="0" w:type="dxa"/>
            <w:right w:w="0" w:type="dxa"/>
          </w:tblCellMar>
        </w:tblPrEx>
        <w:trPr>
          <w:trHeight w:val="112"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井点编号</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井口高程（m）</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水位埋深（m）</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t>地下水高程</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480.2</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2.8</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477.4</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J2</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470.5</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468.5</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J3</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475.6</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2.3</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473.3</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J4</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476.8</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2.6</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474.2</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J5</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510.2</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4.2</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506</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J6</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477.5</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2.5</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475</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J7</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476.5</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2.2</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474.3</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J8</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478.6</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2.4</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476.2</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J9</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473.8</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1.9</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471.9</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J10</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472.5</w:t>
            </w:r>
          </w:p>
        </w:tc>
        <w:tc>
          <w:tcPr>
            <w:tcW w:w="2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2.1</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470.4</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J11</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482.8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2.9</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479.9</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J12</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475.3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2.2</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473.1</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J13</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500.7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3.6</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497.1</w:t>
            </w:r>
          </w:p>
        </w:tc>
      </w:tr>
      <w:tr>
        <w:tblPrEx>
          <w:tblCellMar>
            <w:top w:w="0" w:type="dxa"/>
            <w:left w:w="0" w:type="dxa"/>
            <w:bottom w:w="0" w:type="dxa"/>
            <w:right w:w="0" w:type="dxa"/>
          </w:tblCellMar>
        </w:tblPrEx>
        <w:trPr>
          <w:trHeight w:val="109"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J14</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476.8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2.3</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474.5</w:t>
            </w:r>
          </w:p>
        </w:tc>
      </w:tr>
      <w:tr>
        <w:tblPrEx>
          <w:tblCellMar>
            <w:top w:w="0" w:type="dxa"/>
            <w:left w:w="0" w:type="dxa"/>
            <w:bottom w:w="0" w:type="dxa"/>
            <w:right w:w="0" w:type="dxa"/>
          </w:tblCellMar>
        </w:tblPrEx>
        <w:trPr>
          <w:trHeight w:val="116"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J15</w:t>
            </w:r>
          </w:p>
        </w:tc>
        <w:tc>
          <w:tcPr>
            <w:tcW w:w="2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508.3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3.9</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2"/>
              <w:keepNext w:val="0"/>
              <w:keepLines w:val="0"/>
              <w:suppressLineNumbers w:val="0"/>
              <w:spacing w:before="0" w:beforeAutospacing="0" w:after="0" w:afterAutospacing="0"/>
              <w:ind w:left="0" w:right="0"/>
              <w:rPr>
                <w:rFonts w:hint="eastAsia"/>
                <w:b w:val="0"/>
                <w:bCs w:val="0"/>
                <w:u w:val="none"/>
                <w:lang w:val="en-US" w:eastAsia="zh-CN"/>
              </w:rPr>
            </w:pPr>
            <w:r>
              <w:rPr>
                <w:rFonts w:hint="eastAsia"/>
                <w:b w:val="0"/>
                <w:bCs w:val="0"/>
                <w:u w:val="none"/>
                <w:lang w:val="en-US" w:eastAsia="zh-CN"/>
              </w:rPr>
              <w:t>504.4</w:t>
            </w:r>
          </w:p>
        </w:tc>
      </w:tr>
    </w:tbl>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综上所述，该区域地属亚热带湿润季风气候，气候温和，降雨量充沛，水文网发育，浅层地下水受降雨补给，具有分布普遍、交替循环过程快速与强烈的特征。同时，地形地貌和水文网的分布形式、发育程度，直接和间接地影响地下水的补给、径流和排泄。项目区域由于受到东河侵蚀面的控制，地势由东向西沟谷递降，水文网发育，利于地表径流与排泄。</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（3）地下水化学特征</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s="Times New Roman"/>
          <w:iCs/>
          <w:kern w:val="0"/>
          <w:sz w:val="24"/>
          <w:u w:val="none"/>
          <w:lang w:val="en-US" w:eastAsia="zh-CN"/>
        </w:rPr>
      </w:pPr>
      <w:r>
        <w:rPr>
          <w:rFonts w:hint="eastAsia" w:cs="Times New Roman"/>
          <w:iCs/>
          <w:kern w:val="0"/>
          <w:sz w:val="24"/>
          <w:u w:val="none"/>
          <w:lang w:val="en-US" w:eastAsia="zh-CN"/>
        </w:rPr>
        <w:t>为查明评价区地下水水化学特征，建设单位委托监测公司于2018年12月20日对地下水进行了现场采样监测。根据各水样水化学常量组分监测统计结果，本项目所在区域地下水矿化度在272.93~439.56mg/L，均&lt;1g/L，属于弱矿化度水；本次取得水样中，阳离子主要以Ca</w:t>
      </w:r>
      <w:r>
        <w:rPr>
          <w:rFonts w:hint="eastAsia" w:cs="Times New Roman"/>
          <w:iCs/>
          <w:kern w:val="0"/>
          <w:sz w:val="24"/>
          <w:u w:val="none"/>
          <w:vertAlign w:val="superscript"/>
          <w:lang w:val="en-US" w:eastAsia="zh-CN"/>
        </w:rPr>
        <w:t>2+</w:t>
      </w:r>
      <w:r>
        <w:rPr>
          <w:rFonts w:hint="eastAsia" w:cs="Times New Roman"/>
          <w:iCs/>
          <w:kern w:val="0"/>
          <w:sz w:val="24"/>
          <w:u w:val="none"/>
          <w:lang w:val="en-US" w:eastAsia="zh-CN"/>
        </w:rPr>
        <w:t>为主，主要阴离子为SO4</w:t>
      </w:r>
      <w:r>
        <w:rPr>
          <w:rFonts w:hint="eastAsia" w:cs="Times New Roman"/>
          <w:iCs/>
          <w:kern w:val="0"/>
          <w:sz w:val="24"/>
          <w:u w:val="none"/>
          <w:vertAlign w:val="superscript"/>
          <w:lang w:val="en-US" w:eastAsia="zh-CN"/>
        </w:rPr>
        <w:t>2-</w:t>
      </w:r>
      <w:r>
        <w:rPr>
          <w:rFonts w:hint="eastAsia" w:cs="Times New Roman"/>
          <w:iCs/>
          <w:kern w:val="0"/>
          <w:sz w:val="24"/>
          <w:u w:val="none"/>
          <w:lang w:val="en-US" w:eastAsia="zh-CN"/>
        </w:rPr>
        <w:t>和HCO</w:t>
      </w:r>
      <w:r>
        <w:rPr>
          <w:rFonts w:hint="eastAsia" w:cs="Times New Roman"/>
          <w:iCs/>
          <w:kern w:val="0"/>
          <w:sz w:val="24"/>
          <w:u w:val="none"/>
          <w:vertAlign w:val="superscript"/>
          <w:lang w:val="en-US" w:eastAsia="zh-CN"/>
        </w:rPr>
        <w:t>3-</w:t>
      </w:r>
      <w:r>
        <w:rPr>
          <w:rFonts w:hint="eastAsia" w:cs="Times New Roman"/>
          <w:iCs/>
          <w:kern w:val="0"/>
          <w:sz w:val="24"/>
          <w:u w:val="none"/>
          <w:lang w:val="en-US" w:eastAsia="zh-CN"/>
        </w:rPr>
        <w:t>。区内地下水矿化程度普遍不是很高，反映了区域内地下水的循环交替条件较好，能较为迅速得到大气降水补给，地下水以较快速度在较短途径中运移，短期内排出地表或河流，岩石或土体介质对于地下水化学类型的改造作用不明显，表现为近距离的快速补给快速排泄特征。同时，矿化度变幅也反映了地下水在运移循环过程中受构造、地形等条件的影响程度。</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s="Times New Roman"/>
          <w:iCs/>
          <w:kern w:val="0"/>
          <w:sz w:val="24"/>
          <w:u w:val="none"/>
          <w:lang w:val="en-US" w:eastAsia="zh-CN"/>
        </w:rPr>
      </w:pPr>
      <w:r>
        <w:rPr>
          <w:rFonts w:hint="eastAsia" w:cs="Times New Roman"/>
          <w:iCs/>
          <w:kern w:val="0"/>
          <w:sz w:val="24"/>
          <w:u w:val="none"/>
          <w:lang w:val="en-US" w:eastAsia="zh-CN"/>
        </w:rPr>
        <w:t>根据上述监测结果，利用地下水常量组分数据进行平均值计算，运用软件RockWare-AqQA进行分析，该区地下水水化学特征见下图所示。</w:t>
      </w:r>
    </w:p>
    <w:tbl>
      <w:tblPr>
        <w:tblStyle w:val="58"/>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drawing>
                <wp:inline distT="0" distB="0" distL="114300" distR="114300">
                  <wp:extent cx="5270500" cy="3761105"/>
                  <wp:effectExtent l="0" t="0" r="6350" b="10795"/>
                  <wp:docPr id="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6"/>
                          <pic:cNvPicPr>
                            <a:picLocks noChangeAspect="1"/>
                          </pic:cNvPicPr>
                        </pic:nvPicPr>
                        <pic:blipFill>
                          <a:blip r:embed="rId164"/>
                          <a:stretch>
                            <a:fillRect/>
                          </a:stretch>
                        </pic:blipFill>
                        <pic:spPr>
                          <a:xfrm>
                            <a:off x="0" y="0"/>
                            <a:ext cx="5270500" cy="3761105"/>
                          </a:xfrm>
                          <a:prstGeom prst="rect">
                            <a:avLst/>
                          </a:prstGeom>
                          <a:noFill/>
                          <a:ln>
                            <a:noFill/>
                          </a:ln>
                        </pic:spPr>
                      </pic:pic>
                    </a:graphicData>
                  </a:graphic>
                </wp:inline>
              </w:drawing>
            </w:r>
          </w:p>
        </w:tc>
      </w:tr>
    </w:tbl>
    <w:p>
      <w:pPr>
        <w:pStyle w:val="352"/>
        <w:rPr>
          <w:rFonts w:hint="eastAsia"/>
          <w:b/>
          <w:bCs/>
          <w:u w:val="none"/>
          <w:lang w:val="en-US" w:eastAsia="zh-CN"/>
        </w:rPr>
      </w:pPr>
      <w:r>
        <w:rPr>
          <w:rFonts w:hint="eastAsia"/>
          <w:b/>
          <w:bCs/>
          <w:u w:val="none"/>
          <w:lang w:val="en-US" w:eastAsia="zh-CN"/>
        </w:rPr>
        <w:t>图8-5  地下水水水化学piper三线图</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由上图所示，1#地下水化学类型为HCO3-Na•Ca型，3#为HCO3•Cl-Na•Ca型，2#、4#、5#均为HCO3-Ca型。水化学类型也反映了该区域地下水的埋藏和径流条件，区内地下水潜水位埋深普遍较小，在山区，钙主要是岩石中碳酸盐矿物经风化溶滤作用释放出来。重碳酸的出现主要是与侏罗系地层含有石膏成分的岩体发生溶滤作用有关。总体来说，项目场地地下水均为浅层埋藏分布的积极交替带循环水，地下潜水运移排泄过程均较快，平缓的地形决定了水流的局部滞留与水岩作用时间，故此次水样监测结果与区域背景水化学类型不同。</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（4）评价区水文地质单元划分</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水文地质单元主要依据评价区的地质条件、水文地质条件的差异性进行划分。同等级别的水文地质单元，应当具备相对独立的地下水补给、径流、排泄系统，具有相似的赋水性能及地下水类型，能够代表该区域地下水的赋存及运移规律。每一个单元都有一套独立的地下水补给、径流、排泄循环系统。</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通过野外现场调查和对评价区历史资料的查阅，可以明确区内的地质构造、地形地貌、含水岩组、岩溶发育状况、地下水补径排条件，再结合水化学资料，可以基本上得出区内的地下水流场，然后根据流场划分出水文地质单元。</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水文地质单元的划分：主要是依据区域的物理隔水层或分水岭作为单元的隔水边界，以区域大型河流作为单元的排泄边界。根据“红层”区水文地质特征，一般地表分水岭也就是地下水分水岭，本区域内，东河作为项目区域的最低侵蚀基准面，控制着整个区域的径流与排泄，同时项目北侧、东侧、西侧为地表水分水岭，因此本项目水文地质单元以北侧、东侧、西侧为地下水分水岭，南侧东河为排泄边界，整体上大气降雨入渗补给地下水，沿南西侧径流排泄。</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该单元内无地下水天然露头，仅有少量水井作为地下水的人工露头。地下水为第四系松散层孔隙潜水和基岩裂隙潜水，主要接受大气降水的补给；同时，东河作为单元的汇水边界，控制着该单元内地下水的径流方向，地下水均被切割排泄于场地南侧的东河。综上所述，项目区属水文地质条件简单场地。</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项目区域综合水文地质情况见下图示。</w:t>
      </w:r>
    </w:p>
    <w:tbl>
      <w:tblPr>
        <w:tblStyle w:val="58"/>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drawing>
                <wp:inline distT="0" distB="0" distL="114300" distR="114300">
                  <wp:extent cx="5524500" cy="3310255"/>
                  <wp:effectExtent l="9525" t="9525" r="9525" b="13970"/>
                  <wp:docPr id="14" name="图片 14" descr="地下水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地下水水文地质图"/>
                          <pic:cNvPicPr>
                            <a:picLocks noChangeAspect="1"/>
                          </pic:cNvPicPr>
                        </pic:nvPicPr>
                        <pic:blipFill>
                          <a:blip r:embed="rId165"/>
                          <a:srcRect t="16603" b="16820"/>
                          <a:stretch>
                            <a:fillRect/>
                          </a:stretch>
                        </pic:blipFill>
                        <pic:spPr>
                          <a:xfrm>
                            <a:off x="0" y="0"/>
                            <a:ext cx="5524500" cy="3310255"/>
                          </a:xfrm>
                          <a:prstGeom prst="rect">
                            <a:avLst/>
                          </a:prstGeom>
                          <a:ln>
                            <a:solidFill>
                              <a:srgbClr val="0000FF"/>
                            </a:solidFill>
                          </a:ln>
                        </pic:spPr>
                      </pic:pic>
                    </a:graphicData>
                  </a:graphic>
                </wp:inline>
              </w:drawing>
            </w:r>
          </w:p>
        </w:tc>
      </w:tr>
    </w:tbl>
    <w:p>
      <w:pPr>
        <w:pStyle w:val="352"/>
        <w:rPr>
          <w:rFonts w:hint="eastAsia"/>
          <w:b/>
          <w:bCs/>
          <w:u w:val="none"/>
          <w:lang w:val="en-US" w:eastAsia="zh-CN"/>
        </w:rPr>
      </w:pPr>
      <w:r>
        <w:rPr>
          <w:rFonts w:hint="eastAsia"/>
          <w:b/>
          <w:bCs/>
          <w:u w:val="none"/>
          <w:lang w:val="en-US" w:eastAsia="zh-CN"/>
        </w:rPr>
        <w:t>图8-6  地下水区域综合水文地质图</w:t>
      </w:r>
    </w:p>
    <w:p>
      <w:pPr>
        <w:spacing w:line="360" w:lineRule="auto"/>
        <w:ind w:firstLine="482" w:firstLineChars="200"/>
        <w:jc w:val="left"/>
        <w:rPr>
          <w:rFonts w:hint="eastAsia" w:cs="Times New Roman"/>
          <w:b/>
          <w:bCs/>
          <w:iCs/>
          <w:kern w:val="0"/>
          <w:sz w:val="24"/>
          <w:u w:val="none"/>
          <w:lang w:val="en-US" w:eastAsia="zh-CN"/>
        </w:rPr>
      </w:pPr>
      <w:r>
        <w:rPr>
          <w:rFonts w:hint="eastAsia" w:cs="Times New Roman"/>
          <w:b/>
          <w:bCs/>
          <w:iCs/>
          <w:kern w:val="0"/>
          <w:sz w:val="24"/>
          <w:u w:val="none"/>
          <w:lang w:val="en-US" w:eastAsia="zh-CN"/>
        </w:rPr>
        <w:t>8.4.7环境水文地质调查</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按地下水环境影响评价导则，根据调查区环境地质特征，着重调查以下内容：</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fldChar w:fldCharType="begin"/>
      </w:r>
      <w:r>
        <w:rPr>
          <w:rFonts w:hint="eastAsia" w:cs="Times New Roman"/>
          <w:iCs/>
          <w:kern w:val="0"/>
          <w:sz w:val="24"/>
          <w:u w:val="none"/>
          <w:lang w:val="en-US" w:eastAsia="zh-CN"/>
        </w:rPr>
        <w:instrText xml:space="preserve"> = 1 \* GB3 \* MERGEFORMAT </w:instrText>
      </w:r>
      <w:r>
        <w:rPr>
          <w:rFonts w:hint="eastAsia" w:cs="Times New Roman"/>
          <w:iCs/>
          <w:kern w:val="0"/>
          <w:sz w:val="24"/>
          <w:u w:val="none"/>
          <w:lang w:val="en-US" w:eastAsia="zh-CN"/>
        </w:rPr>
        <w:fldChar w:fldCharType="separate"/>
      </w:r>
      <w:r>
        <w:t>①</w:t>
      </w:r>
      <w:r>
        <w:rPr>
          <w:rFonts w:hint="eastAsia" w:cs="Times New Roman"/>
          <w:iCs/>
          <w:kern w:val="0"/>
          <w:sz w:val="24"/>
          <w:u w:val="none"/>
          <w:lang w:val="en-US" w:eastAsia="zh-CN"/>
        </w:rPr>
        <w:fldChar w:fldCharType="end"/>
      </w:r>
      <w:r>
        <w:rPr>
          <w:rFonts w:hint="eastAsia" w:cs="Times New Roman"/>
          <w:iCs/>
          <w:kern w:val="0"/>
          <w:sz w:val="24"/>
          <w:u w:val="none"/>
          <w:lang w:val="en-US" w:eastAsia="zh-CN"/>
        </w:rPr>
        <w:t>天然劣质水分布状况，以及由此引发的地方性疾病等环境问题；</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fldChar w:fldCharType="begin"/>
      </w:r>
      <w:r>
        <w:rPr>
          <w:rFonts w:hint="eastAsia" w:cs="Times New Roman"/>
          <w:iCs/>
          <w:kern w:val="0"/>
          <w:sz w:val="24"/>
          <w:u w:val="none"/>
          <w:lang w:val="en-US" w:eastAsia="zh-CN"/>
        </w:rPr>
        <w:instrText xml:space="preserve"> = 2 \* GB3 \* MERGEFORMAT </w:instrText>
      </w:r>
      <w:r>
        <w:rPr>
          <w:rFonts w:hint="eastAsia" w:cs="Times New Roman"/>
          <w:iCs/>
          <w:kern w:val="0"/>
          <w:sz w:val="24"/>
          <w:u w:val="none"/>
          <w:lang w:val="en-US" w:eastAsia="zh-CN"/>
        </w:rPr>
        <w:fldChar w:fldCharType="separate"/>
      </w:r>
      <w:r>
        <w:t>②</w:t>
      </w:r>
      <w:r>
        <w:rPr>
          <w:rFonts w:hint="eastAsia" w:cs="Times New Roman"/>
          <w:iCs/>
          <w:kern w:val="0"/>
          <w:sz w:val="24"/>
          <w:u w:val="none"/>
          <w:lang w:val="en-US" w:eastAsia="zh-CN"/>
        </w:rPr>
        <w:fldChar w:fldCharType="end"/>
      </w:r>
      <w:r>
        <w:rPr>
          <w:rFonts w:hint="eastAsia" w:cs="Times New Roman"/>
          <w:iCs/>
          <w:kern w:val="0"/>
          <w:sz w:val="24"/>
          <w:u w:val="none"/>
          <w:lang w:val="en-US" w:eastAsia="zh-CN"/>
        </w:rPr>
        <w:t>地下水的动态变化特征，以及引起的环境水文地质问题；</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fldChar w:fldCharType="begin"/>
      </w:r>
      <w:r>
        <w:rPr>
          <w:rFonts w:hint="eastAsia" w:cs="Times New Roman"/>
          <w:iCs/>
          <w:kern w:val="0"/>
          <w:sz w:val="24"/>
          <w:u w:val="none"/>
          <w:lang w:val="en-US" w:eastAsia="zh-CN"/>
        </w:rPr>
        <w:instrText xml:space="preserve"> = 3 \* GB3 \* MERGEFORMAT </w:instrText>
      </w:r>
      <w:r>
        <w:rPr>
          <w:rFonts w:hint="eastAsia" w:cs="Times New Roman"/>
          <w:iCs/>
          <w:kern w:val="0"/>
          <w:sz w:val="24"/>
          <w:u w:val="none"/>
          <w:lang w:val="en-US" w:eastAsia="zh-CN"/>
        </w:rPr>
        <w:fldChar w:fldCharType="separate"/>
      </w:r>
      <w:r>
        <w:t>③</w:t>
      </w:r>
      <w:r>
        <w:rPr>
          <w:rFonts w:hint="eastAsia" w:cs="Times New Roman"/>
          <w:iCs/>
          <w:kern w:val="0"/>
          <w:sz w:val="24"/>
          <w:u w:val="none"/>
          <w:lang w:val="en-US" w:eastAsia="zh-CN"/>
        </w:rPr>
        <w:fldChar w:fldCharType="end"/>
      </w:r>
      <w:r>
        <w:rPr>
          <w:rFonts w:hint="eastAsia" w:cs="Times New Roman"/>
          <w:iCs/>
          <w:kern w:val="0"/>
          <w:sz w:val="24"/>
          <w:u w:val="none"/>
          <w:lang w:val="en-US" w:eastAsia="zh-CN"/>
        </w:rPr>
        <w:t>与地下水有关的其它人类活动情况，如保护区划分情况等。</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通过调查和访问，项目场地周边居民已搬迁，而南侧300米外的居民以自来水为生活用水来源，不存在集中供水点及饮用水井。项目场地周边遗留的所有原始饮用水井已废弃或偶尔做灌溉用，场区打井抽取地下水的方式不复存在。同时，调查中并未发现由当地饮水引发的地方性疾病问题。</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总体来说，项目区以前为当地农业用地，区内地下水水位埋深较浅，常年较为稳定，水质清澈，无异味，水位动态变幅波动不大，降雨后的水位增长少有滞后性。</w:t>
      </w:r>
    </w:p>
    <w:p>
      <w:pPr>
        <w:spacing w:line="360" w:lineRule="auto"/>
        <w:ind w:firstLine="480" w:firstLineChars="200"/>
        <w:jc w:val="left"/>
        <w:rPr>
          <w:rFonts w:hint="default" w:cs="Times New Roman"/>
          <w:iCs/>
          <w:kern w:val="0"/>
          <w:sz w:val="24"/>
          <w:u w:val="none"/>
          <w:lang w:val="en-US" w:eastAsia="zh-CN"/>
        </w:rPr>
      </w:pPr>
      <w:r>
        <w:rPr>
          <w:rFonts w:hint="eastAsia" w:cs="Times New Roman"/>
          <w:iCs/>
          <w:kern w:val="0"/>
          <w:sz w:val="24"/>
          <w:u w:val="none"/>
          <w:lang w:val="en-US" w:eastAsia="zh-CN"/>
        </w:rPr>
        <w:t>1、区域地下水开采利用情况调查</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地下水的开采利用方式与当地村民所居住地的地形地貌条件、水资源分布特征及居住密度等因素有着密切的关系。项目区所处的村均有自掘水井的传统，成井方式主要为人工挖掘成井，井口以圆形为主，井径一般0.6~0.8m，井深3~8m居多，井壁由砖块镶嵌，取水目标层主要侏罗系沙溪庙组上段（J</w:t>
      </w:r>
      <w:r>
        <w:rPr>
          <w:rFonts w:hint="eastAsia" w:cs="Times New Roman"/>
          <w:iCs/>
          <w:kern w:val="0"/>
          <w:sz w:val="24"/>
          <w:u w:val="none"/>
          <w:vertAlign w:val="subscript"/>
          <w:lang w:val="en-US" w:eastAsia="zh-CN"/>
        </w:rPr>
        <w:t>2</w:t>
      </w:r>
      <w:r>
        <w:rPr>
          <w:rFonts w:hint="eastAsia" w:cs="Times New Roman"/>
          <w:iCs/>
          <w:kern w:val="0"/>
          <w:sz w:val="24"/>
          <w:u w:val="none"/>
          <w:lang w:val="en-US" w:eastAsia="zh-CN"/>
        </w:rPr>
        <w:t>s</w:t>
      </w:r>
      <w:r>
        <w:rPr>
          <w:rFonts w:hint="eastAsia" w:cs="Times New Roman"/>
          <w:iCs/>
          <w:kern w:val="0"/>
          <w:sz w:val="24"/>
          <w:u w:val="none"/>
          <w:vertAlign w:val="superscript"/>
          <w:lang w:val="en-US" w:eastAsia="zh-CN"/>
        </w:rPr>
        <w:t>2</w:t>
      </w:r>
      <w:r>
        <w:rPr>
          <w:rFonts w:hint="eastAsia" w:cs="Times New Roman"/>
          <w:iCs/>
          <w:kern w:val="0"/>
          <w:sz w:val="24"/>
          <w:u w:val="none"/>
          <w:lang w:val="en-US" w:eastAsia="zh-CN"/>
        </w:rPr>
        <w:t>）砂泥岩。据调查访问，本次评价范围内的居民均选用自来水作为饮用水源，现存自掘水井现已全部闲置废弃，不具饮用水功能，仅偶作灌溉用。</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总体来说，场地范围内没有居民集中饮用水源地，分散开采地下水水量少，几乎可忽略不计，居民均已以使用自来水为主；项目所在地居民生活污水均通过处理后用于自家农田施肥，不外排，综上，该本项目本次评价范围内不存在地下水开发利用工程。</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2、原生水文地质问题调查</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本项目区地下水化学类型为HCO</w:t>
      </w:r>
      <w:r>
        <w:rPr>
          <w:rFonts w:hint="eastAsia" w:cs="Times New Roman"/>
          <w:iCs/>
          <w:kern w:val="0"/>
          <w:sz w:val="24"/>
          <w:u w:val="none"/>
          <w:vertAlign w:val="subscript"/>
          <w:lang w:val="en-US" w:eastAsia="zh-CN"/>
        </w:rPr>
        <w:t>3</w:t>
      </w:r>
      <w:r>
        <w:rPr>
          <w:rFonts w:hint="eastAsia" w:cs="Times New Roman"/>
          <w:iCs/>
          <w:kern w:val="0"/>
          <w:sz w:val="24"/>
          <w:u w:val="none"/>
          <w:lang w:val="en-US" w:eastAsia="zh-CN"/>
        </w:rPr>
        <w:t>-SO</w:t>
      </w:r>
      <w:r>
        <w:rPr>
          <w:rFonts w:hint="eastAsia" w:cs="Times New Roman"/>
          <w:iCs/>
          <w:kern w:val="0"/>
          <w:sz w:val="24"/>
          <w:u w:val="none"/>
          <w:vertAlign w:val="subscript"/>
          <w:lang w:val="en-US" w:eastAsia="zh-CN"/>
        </w:rPr>
        <w:t>4</w:t>
      </w:r>
      <w:r>
        <w:rPr>
          <w:rFonts w:hint="eastAsia" w:cs="Times New Roman"/>
          <w:iCs/>
          <w:kern w:val="0"/>
          <w:sz w:val="24"/>
          <w:u w:val="none"/>
          <w:lang w:val="en-US" w:eastAsia="zh-CN"/>
        </w:rPr>
        <w:t>-Ca</w:t>
      </w:r>
      <w:r>
        <w:rPr>
          <w:rFonts w:hint="eastAsia" w:cs="Times New Roman"/>
          <w:iCs/>
          <w:kern w:val="0"/>
          <w:sz w:val="24"/>
          <w:u w:val="none"/>
          <w:vertAlign w:val="superscript"/>
          <w:lang w:val="en-US" w:eastAsia="zh-CN"/>
        </w:rPr>
        <w:t>2+</w:t>
      </w:r>
      <w:r>
        <w:rPr>
          <w:rFonts w:hint="eastAsia" w:cs="Times New Roman"/>
          <w:iCs/>
          <w:kern w:val="0"/>
          <w:sz w:val="24"/>
          <w:u w:val="none"/>
          <w:lang w:val="en-US" w:eastAsia="zh-CN"/>
        </w:rPr>
        <w:t>型水，水质状况良好；根据相关资料及调查访问，工程区内村民身体状况良好，未出现地方病等与地下水相关的环境问题。</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3、地下水污染源调查</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项目选址于嘉川镇石桥村，项目选址地周边多为耕地和林地，项目东北侧220m为垃圾填埋场。通过对区域相关的水文地质报告资料分析及现场水文地质调查，垃圾填埋场与本项目由分水岭相隔，不在同一水文地质单元内，故垃圾填埋场对本项目场地地下水环境影响较小。</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次评价，重点调查了项目区附近潜在地下水农业污染源状况。项目区及附近地区以农业生产为主，种植季节性农作物和果木等可能会残留一些生活和农业污染源，评价区目前当地居民，对地下水产生污染的污染源主要为生活、农业灌溉污染源。根据本次的地下水监测结果表明，项目所在区域地下水各监测点监测因子均满足《地下水质量》（GB14848-2017）相关标准，地下水质量良好。</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4、地下水现状监测与评价</w:t>
      </w:r>
    </w:p>
    <w:p>
      <w:pPr>
        <w:spacing w:line="360" w:lineRule="auto"/>
        <w:ind w:firstLine="480" w:firstLineChars="200"/>
        <w:jc w:val="left"/>
        <w:rPr>
          <w:rFonts w:hint="default" w:cs="Times New Roman"/>
          <w:iCs/>
          <w:kern w:val="0"/>
          <w:sz w:val="24"/>
          <w:u w:val="none"/>
          <w:lang w:val="en-US" w:eastAsia="zh-CN"/>
        </w:rPr>
      </w:pPr>
      <w:r>
        <w:rPr>
          <w:rFonts w:hint="eastAsia" w:cs="Times New Roman"/>
          <w:iCs/>
          <w:kern w:val="0"/>
          <w:sz w:val="24"/>
          <w:u w:val="none"/>
          <w:lang w:val="en-US" w:eastAsia="zh-CN"/>
        </w:rPr>
        <w:t>地下水现状监测与评价结果详见6.4章节。</w:t>
      </w:r>
    </w:p>
    <w:p>
      <w:pPr>
        <w:topLinePunct/>
        <w:spacing w:line="360" w:lineRule="auto"/>
        <w:jc w:val="left"/>
        <w:rPr>
          <w:rFonts w:hint="eastAsia"/>
          <w:b/>
          <w:sz w:val="24"/>
          <w:u w:val="none"/>
          <w:lang w:val="en-US" w:eastAsia="zh-CN"/>
        </w:rPr>
      </w:pPr>
      <w:r>
        <w:rPr>
          <w:rFonts w:hint="eastAsia"/>
          <w:b/>
          <w:sz w:val="24"/>
          <w:u w:val="none"/>
          <w:lang w:val="en-US" w:eastAsia="zh-CN"/>
        </w:rPr>
        <w:t>8.4.8地下水环境影响预测分析</w:t>
      </w:r>
    </w:p>
    <w:p>
      <w:pPr>
        <w:spacing w:line="360" w:lineRule="auto"/>
        <w:ind w:firstLine="480" w:firstLineChars="200"/>
        <w:jc w:val="left"/>
        <w:rPr>
          <w:rFonts w:hint="eastAsia"/>
          <w:iCs/>
          <w:kern w:val="0"/>
          <w:sz w:val="24"/>
          <w:u w:val="none"/>
          <w:lang w:eastAsia="zh-CN"/>
        </w:rPr>
      </w:pPr>
      <w:r>
        <w:rPr>
          <w:rFonts w:hint="eastAsia"/>
          <w:iCs/>
          <w:kern w:val="0"/>
          <w:sz w:val="24"/>
          <w:u w:val="none"/>
          <w:lang w:eastAsia="zh-CN"/>
        </w:rPr>
        <w:t>一、预测原则</w:t>
      </w:r>
    </w:p>
    <w:p>
      <w:pPr>
        <w:spacing w:line="360" w:lineRule="auto"/>
        <w:ind w:firstLine="480" w:firstLineChars="200"/>
        <w:jc w:val="left"/>
        <w:rPr>
          <w:rFonts w:hint="eastAsia"/>
          <w:iCs/>
          <w:kern w:val="0"/>
          <w:sz w:val="24"/>
          <w:u w:val="none"/>
          <w:lang w:eastAsia="zh-CN"/>
        </w:rPr>
      </w:pPr>
      <w:r>
        <w:rPr>
          <w:rFonts w:hint="eastAsia"/>
          <w:iCs/>
          <w:kern w:val="0"/>
          <w:sz w:val="24"/>
          <w:u w:val="none"/>
          <w:lang w:eastAsia="zh-CN"/>
        </w:rPr>
        <w:t>项目地下水环境影响预测原则为：</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1、考虑到地下水环境污染的隐蔽性和难恢复性，遵循环境安全性原则，为评价各方案的环境安全和环境保护措施的合理性提供依据。</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2、预测的范围、时段、内容和方法根据评级工作等级、工程特征与环境特征，结合当地环境功能和保护要求确定，以拟定建设项目对地下水水质的影响及由此而产生的主要环境水文地质问题为重点。</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3、在结合地下水污染防控措施的基础上，对建设项目可能引起的地下水环境影响进行预测。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二、预测范围</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按照《环境影响评价技术导则-地下水环境》（HJ610-2016）中相关要求，地下水环境影响评价预测时段应包括项目建设和生产运行两个阶段，影响预测范围一般与调查评价范围一致，同时根据项目场地的地层岩性、地质构造特征、水文地质特征，及项目建设后可能影响地下水环境的范围，结合实际调查情况，确定本次项目地下水环境影响预测评价范围总面积为2.72km</w:t>
      </w:r>
      <w:r>
        <w:rPr>
          <w:rFonts w:hint="eastAsia"/>
          <w:iCs/>
          <w:kern w:val="0"/>
          <w:sz w:val="24"/>
          <w:u w:val="none"/>
          <w:vertAlign w:val="superscript"/>
          <w:lang w:val="en-US" w:eastAsia="zh-CN"/>
        </w:rPr>
        <w:t>2</w:t>
      </w:r>
      <w:r>
        <w:rPr>
          <w:rFonts w:hint="eastAsia"/>
          <w:iCs/>
          <w:kern w:val="0"/>
          <w:sz w:val="24"/>
          <w:u w:val="none"/>
          <w:lang w:val="en-US" w:eastAsia="zh-CN"/>
        </w:rPr>
        <w:t>。</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三、预测时段</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按照《环境影响评价技术导则-地下水环境》（HJ610-2016）中相关要求，地下水环境预测时段应选取可能产生地下水污染的关键时段，至少包括污染发生后100d、1000d，服务年限或能反映特征因子迁移规律的其他重要的时间节点。</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结合本项目特点，将预测时段选取为发生污染后100d，1000d，10a，15a。</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四、预测情景</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考虑在防渗措施有无发挥作用和是否正常工况条件下的地下水环境变化，共计4种情景：</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情景一：正常工况且人工防渗正常发挥作用；</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情景二：正常工况且人工防渗部分失效；</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情景三：事故条件且人工防渗有效；</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情景四：事故条件且人工防渗部分失效。</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正常工况考虑污染场地正常跑、冒、滴、漏下的污染物进入地下水，而事故条件则考虑事故场地污染物事故泄漏进入下水。</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根据《环境影响评价技术导则-地下水环境》（HJ610-2016）中对情景设置的要求，本项目已设计地下水污染防渗措施，不进行正常状况情境下的预测，仅对情景四，即事故条件且人工防渗部分失效情景进行预测。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五、预测因子</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根据《环境影响评价技术导则-地下水环境》（HJ 610-2016）要求，建设项目预测因子选取重点应包括以下几点：</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①根据建设项目可能导致地下水污染的特征因子，按照重金属、持久性有机物和其他类别进行分类，并对每一类别中的各项因子采用标准指数法进行排序，分别取标准指数最大的因子作为预测因子；</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②现有工程已经产生的且改、扩建后将继续产生的特征因子，改、扩建后新增加的特征因子；</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③污染场地已查明的主要污染物；</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④国家或地方要求控制的污染物。</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预测因子选择应在导则要求的基础上，充分考虑选取与其排放的污染物有关的特征因子。预测因子为建设项目排放的污染物有关的特征因子。</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本项目为医疗垃废物处置项目，预测因子选择应在导则要求的基础上，充分考虑选取与其排放的污染物有关的特征因子。预测因子为建设项目排放的污染物有关的特征因子，本项目污染因子主要存在于运营期废水非正常状况下泄露的生产废水。项目地下水环评预测因子的选择基于上述要求及实际情况，一方面考虑预测的可行性，同时考虑预测因子的代表性，并以各污染物最高浓度为源强进行预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预测因子为拟建项目排放的污染物有关的特征因子。该项目主要污染物高温蒸煮罐冷凝废水，因此预测因子的选取参考本项目环评报告中废水的主要污染因子。根据《环境影响评价技术导则-地下水环境》（HJ 610-2016）要求，本次项目预测评价选取的预测因子可分为一类，即基本污染物，无重金属污染物和持久性有机污染物，本项目预测评价选取的预测因子选择：CODcr、氨氮。</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六、预测源强</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假定本项目污染物浓度最高的调节池产生裂缝，污水通过裂缝逐渐渗漏到地下水含水层中，对地下水质造成污染，排放形式可概化为点源，排放规律可简化为连续稳排放，废水泄露量按照达西公式计算源强，公式如下：</w:t>
      </w:r>
    </w:p>
    <w:p>
      <w:pPr>
        <w:spacing w:line="360" w:lineRule="auto"/>
        <w:ind w:firstLine="480" w:firstLineChars="200"/>
        <w:jc w:val="center"/>
        <w:rPr>
          <w:rFonts w:hint="eastAsia"/>
          <w:iCs/>
          <w:kern w:val="0"/>
          <w:sz w:val="24"/>
          <w:u w:val="none"/>
          <w:lang w:val="en-US" w:eastAsia="zh-CN"/>
        </w:rPr>
      </w:pPr>
      <w:r>
        <w:rPr>
          <w:rFonts w:hint="eastAsia"/>
          <w:iCs/>
          <w:kern w:val="0"/>
          <w:sz w:val="24"/>
          <w:u w:val="none"/>
          <w:lang w:val="en-US" w:eastAsia="zh-CN"/>
        </w:rPr>
        <w:object>
          <v:shape id="_x0000_i1102" o:spt="75" type="#_x0000_t75" style="height:27.85pt;width:93.8pt;" o:ole="t" filled="f" o:preferrelative="t" stroked="f" coordsize="21600,21600">
            <v:path/>
            <v:fill on="f" focussize="0,0"/>
            <v:stroke on="f"/>
            <v:imagedata r:id="rId167" o:title=""/>
            <o:lock v:ext="edit" aspectratio="t"/>
            <w10:wrap type="none"/>
            <w10:anchorlock/>
          </v:shape>
          <o:OLEObject Type="Embed" ProgID="Equation.DSMT4" ShapeID="_x0000_i1102" DrawAspect="Content" ObjectID="_1468075802" r:id="rId166">
            <o:LockedField>false</o:LockedField>
          </o:OLEObject>
        </w:objec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式中：</w:t>
      </w:r>
      <w:r>
        <w:rPr>
          <w:rFonts w:hint="eastAsia"/>
          <w:iCs/>
          <w:kern w:val="0"/>
          <w:position w:val="-10"/>
          <w:sz w:val="24"/>
          <w:u w:val="none"/>
          <w:lang w:val="en-US" w:eastAsia="zh-CN"/>
        </w:rPr>
        <w:object>
          <v:shape id="_x0000_i1103" o:spt="75" type="#_x0000_t75" style="height:16pt;width:12pt;" o:ole="t" filled="f" o:preferrelative="t" stroked="f" coordsize="21600,21600">
            <v:path/>
            <v:fill on="f" focussize="0,0"/>
            <v:stroke on="f"/>
            <v:imagedata r:id="rId169" o:title=""/>
            <o:lock v:ext="edit" aspectratio="t"/>
            <w10:wrap type="none"/>
            <w10:anchorlock/>
          </v:shape>
          <o:OLEObject Type="Embed" ProgID="Equation.KSEE3" ShapeID="_x0000_i1103" DrawAspect="Content" ObjectID="_1468075803" r:id="rId168">
            <o:LockedField>false</o:LockedField>
          </o:OLEObject>
        </w:object>
      </w:r>
      <w:r>
        <w:rPr>
          <w:rFonts w:hint="eastAsia"/>
          <w:iCs/>
          <w:kern w:val="0"/>
          <w:sz w:val="24"/>
          <w:u w:val="none"/>
          <w:lang w:val="en-US" w:eastAsia="zh-CN"/>
        </w:rPr>
        <w:t>—渗入到地下水的污水量，m</w:t>
      </w:r>
      <w:r>
        <w:rPr>
          <w:rFonts w:hint="eastAsia"/>
          <w:iCs/>
          <w:kern w:val="0"/>
          <w:sz w:val="24"/>
          <w:u w:val="none"/>
          <w:vertAlign w:val="superscript"/>
          <w:lang w:val="en-US" w:eastAsia="zh-CN"/>
        </w:rPr>
        <w:t>3</w:t>
      </w:r>
      <w:r>
        <w:rPr>
          <w:rFonts w:hint="eastAsia"/>
          <w:iCs/>
          <w:kern w:val="0"/>
          <w:sz w:val="24"/>
          <w:u w:val="none"/>
          <w:lang w:val="en-US" w:eastAsia="zh-CN"/>
        </w:rPr>
        <w:t>/d；</w:t>
      </w:r>
    </w:p>
    <w:p>
      <w:pPr>
        <w:spacing w:line="360" w:lineRule="auto"/>
        <w:ind w:firstLine="1200" w:firstLineChars="500"/>
        <w:jc w:val="left"/>
        <w:rPr>
          <w:rFonts w:hint="eastAsia"/>
          <w:iCs/>
          <w:kern w:val="0"/>
          <w:sz w:val="24"/>
          <w:u w:val="none"/>
          <w:lang w:val="en-US" w:eastAsia="zh-CN"/>
        </w:rPr>
      </w:pPr>
      <w:r>
        <w:rPr>
          <w:rFonts w:hint="eastAsia"/>
          <w:iCs/>
          <w:kern w:val="0"/>
          <w:position w:val="-4"/>
          <w:sz w:val="24"/>
          <w:u w:val="none"/>
          <w:lang w:val="en-US" w:eastAsia="zh-CN"/>
        </w:rPr>
        <w:object>
          <v:shape id="_x0000_i1104" o:spt="75" type="#_x0000_t75" style="height:13pt;width:13pt;" o:ole="t" filled="f" o:preferrelative="t" stroked="f" coordsize="21600,21600">
            <v:path/>
            <v:fill on="f" focussize="0,0"/>
            <v:stroke on="f"/>
            <v:imagedata r:id="rId171" o:title=""/>
            <o:lock v:ext="edit" aspectratio="t"/>
            <w10:wrap type="none"/>
            <w10:anchorlock/>
          </v:shape>
          <o:OLEObject Type="Embed" ProgID="Equation.KSEE3" ShapeID="_x0000_i1104" DrawAspect="Content" ObjectID="_1468075804" r:id="rId170">
            <o:LockedField>false</o:LockedField>
          </o:OLEObject>
        </w:object>
      </w:r>
      <w:r>
        <w:rPr>
          <w:rFonts w:hint="eastAsia"/>
          <w:iCs/>
          <w:kern w:val="0"/>
          <w:sz w:val="24"/>
          <w:u w:val="none"/>
          <w:lang w:val="en-US" w:eastAsia="zh-CN"/>
        </w:rPr>
        <w:t>—渗透系数，m/d，本次取值25m/d;</w:t>
      </w:r>
    </w:p>
    <w:p>
      <w:pPr>
        <w:spacing w:line="360" w:lineRule="auto"/>
        <w:ind w:firstLine="1200" w:firstLineChars="500"/>
        <w:jc w:val="left"/>
        <w:rPr>
          <w:rFonts w:hint="eastAsia"/>
          <w:iCs/>
          <w:kern w:val="0"/>
          <w:sz w:val="24"/>
          <w:u w:val="none"/>
          <w:lang w:val="en-US" w:eastAsia="zh-CN"/>
        </w:rPr>
      </w:pPr>
      <w:r>
        <w:rPr>
          <w:rFonts w:hint="eastAsia"/>
          <w:iCs/>
          <w:kern w:val="0"/>
          <w:position w:val="-4"/>
          <w:sz w:val="24"/>
          <w:u w:val="none"/>
          <w:lang w:val="en-US" w:eastAsia="zh-CN"/>
        </w:rPr>
        <w:object>
          <v:shape id="_x0000_i1105" o:spt="75" type="#_x0000_t75" style="height:13pt;width:13.95pt;" o:ole="t" filled="f" o:preferrelative="t" stroked="f" coordsize="21600,21600">
            <v:path/>
            <v:fill on="f" focussize="0,0"/>
            <v:stroke on="f"/>
            <v:imagedata r:id="rId173" o:title=""/>
            <o:lock v:ext="edit" aspectratio="t"/>
            <w10:wrap type="none"/>
            <w10:anchorlock/>
          </v:shape>
          <o:OLEObject Type="Embed" ProgID="Equation.KSEE3" ShapeID="_x0000_i1105" DrawAspect="Content" ObjectID="_1468075805" r:id="rId172">
            <o:LockedField>false</o:LockedField>
          </o:OLEObject>
        </w:object>
      </w:r>
      <w:r>
        <w:rPr>
          <w:rFonts w:hint="eastAsia"/>
          <w:iCs/>
          <w:kern w:val="0"/>
          <w:sz w:val="24"/>
          <w:u w:val="none"/>
          <w:lang w:val="en-US" w:eastAsia="zh-CN"/>
        </w:rPr>
        <w:t>—池内水深，m，本次取值3.8m；</w:t>
      </w:r>
    </w:p>
    <w:p>
      <w:pPr>
        <w:spacing w:line="360" w:lineRule="auto"/>
        <w:ind w:firstLine="1200" w:firstLineChars="500"/>
        <w:jc w:val="left"/>
        <w:rPr>
          <w:rFonts w:hint="eastAsia"/>
          <w:iCs/>
          <w:kern w:val="0"/>
          <w:sz w:val="24"/>
          <w:u w:val="none"/>
          <w:lang w:val="en-US" w:eastAsia="zh-CN"/>
        </w:rPr>
      </w:pPr>
      <w:r>
        <w:rPr>
          <w:rFonts w:hint="eastAsia"/>
          <w:iCs/>
          <w:kern w:val="0"/>
          <w:position w:val="-4"/>
          <w:sz w:val="24"/>
          <w:u w:val="none"/>
          <w:lang w:val="en-US" w:eastAsia="zh-CN"/>
        </w:rPr>
        <w:object>
          <v:shape id="_x0000_i1106" o:spt="75" type="#_x0000_t75" style="height:13pt;width:13pt;" o:ole="t" filled="f" o:preferrelative="t" stroked="f" coordsize="21600,21600">
            <v:path/>
            <v:fill on="f" focussize="0,0"/>
            <v:stroke on="f"/>
            <v:imagedata r:id="rId175" o:title=""/>
            <o:lock v:ext="edit" aspectratio="t"/>
            <w10:wrap type="none"/>
            <w10:anchorlock/>
          </v:shape>
          <o:OLEObject Type="Embed" ProgID="Equation.KSEE3" ShapeID="_x0000_i1106" DrawAspect="Content" ObjectID="_1468075806" r:id="rId174">
            <o:LockedField>false</o:LockedField>
          </o:OLEObject>
        </w:object>
      </w:r>
      <w:r>
        <w:rPr>
          <w:rFonts w:hint="eastAsia"/>
          <w:iCs/>
          <w:kern w:val="0"/>
          <w:sz w:val="24"/>
          <w:u w:val="none"/>
          <w:lang w:val="en-US" w:eastAsia="zh-CN"/>
        </w:rPr>
        <w:t>—地下水埋深，m，本次取值4.6m；</w:t>
      </w:r>
    </w:p>
    <w:p>
      <w:pPr>
        <w:spacing w:line="360" w:lineRule="auto"/>
        <w:ind w:firstLine="1200" w:firstLineChars="500"/>
        <w:jc w:val="left"/>
        <w:rPr>
          <w:rFonts w:hint="eastAsia"/>
          <w:iCs/>
          <w:kern w:val="0"/>
          <w:sz w:val="24"/>
          <w:u w:val="none"/>
          <w:lang w:val="en-US" w:eastAsia="zh-CN"/>
        </w:rPr>
      </w:pPr>
      <w:r>
        <w:rPr>
          <w:rFonts w:hint="eastAsia"/>
          <w:iCs/>
          <w:kern w:val="0"/>
          <w:position w:val="-12"/>
          <w:sz w:val="24"/>
          <w:u w:val="none"/>
          <w:lang w:val="en-US" w:eastAsia="zh-CN"/>
        </w:rPr>
        <w:object>
          <v:shape id="_x0000_i1107" o:spt="75" type="#_x0000_t75" style="height:18pt;width:24.95pt;" o:ole="t" filled="f" o:preferrelative="t" stroked="f" coordsize="21600,21600">
            <v:path/>
            <v:fill on="f" focussize="0,0"/>
            <v:stroke on="f"/>
            <v:imagedata r:id="rId177" o:title=""/>
            <o:lock v:ext="edit" aspectratio="t"/>
            <w10:wrap type="none"/>
            <w10:anchorlock/>
          </v:shape>
          <o:OLEObject Type="Embed" ProgID="Equation.KSEE3" ShapeID="_x0000_i1107" DrawAspect="Content" ObjectID="_1468075807" r:id="rId176">
            <o:LockedField>false</o:LockedField>
          </o:OLEObject>
        </w:object>
      </w:r>
      <w:r>
        <w:rPr>
          <w:rFonts w:hint="eastAsia"/>
          <w:iCs/>
          <w:kern w:val="0"/>
          <w:sz w:val="24"/>
          <w:u w:val="none"/>
          <w:lang w:val="en-US" w:eastAsia="zh-CN"/>
        </w:rPr>
        <w:t>—污水收集池池底裂缝总面积，m</w:t>
      </w:r>
      <w:r>
        <w:rPr>
          <w:rFonts w:hint="eastAsia"/>
          <w:iCs/>
          <w:kern w:val="0"/>
          <w:sz w:val="24"/>
          <w:u w:val="none"/>
          <w:vertAlign w:val="superscript"/>
          <w:lang w:val="en-US" w:eastAsia="zh-CN"/>
        </w:rPr>
        <w:t>2</w:t>
      </w:r>
      <w:r>
        <w:rPr>
          <w:rFonts w:hint="eastAsia"/>
          <w:iCs/>
          <w:kern w:val="0"/>
          <w:sz w:val="24"/>
          <w:u w:val="none"/>
          <w:lang w:val="en-US" w:eastAsia="zh-CN"/>
        </w:rPr>
        <w:t>，本次取值7.5m</w:t>
      </w:r>
      <w:r>
        <w:rPr>
          <w:rFonts w:hint="eastAsia"/>
          <w:iCs/>
          <w:kern w:val="0"/>
          <w:sz w:val="24"/>
          <w:u w:val="none"/>
          <w:vertAlign w:val="superscript"/>
          <w:lang w:val="en-US" w:eastAsia="zh-CN"/>
        </w:rPr>
        <w:t>2</w:t>
      </w:r>
      <w:r>
        <w:rPr>
          <w:rFonts w:hint="eastAsia"/>
          <w:iCs/>
          <w:kern w:val="0"/>
          <w:sz w:val="24"/>
          <w:u w:val="none"/>
          <w:lang w:val="en-US" w:eastAsia="zh-CN"/>
        </w:rPr>
        <w:t>。</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非正常工况下，项目污染物浓度最高的构筑物调节池渗入到地下水的污水量情况见下表。</w:t>
      </w:r>
    </w:p>
    <w:p>
      <w:pPr>
        <w:pStyle w:val="352"/>
        <w:rPr>
          <w:rFonts w:hint="eastAsia"/>
          <w:b/>
          <w:bCs/>
          <w:u w:val="none"/>
          <w:lang w:val="en-US" w:eastAsia="zh-CN"/>
        </w:rPr>
      </w:pPr>
      <w:r>
        <w:rPr>
          <w:rFonts w:hint="eastAsia"/>
          <w:b/>
          <w:bCs/>
          <w:u w:val="none"/>
          <w:lang w:val="en-US" w:eastAsia="zh-CN"/>
        </w:rPr>
        <w:t>表8-22   非正常工况下调节池渗入到地下水的污水量情况一览表</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158"/>
        <w:gridCol w:w="1158"/>
        <w:gridCol w:w="1158"/>
        <w:gridCol w:w="1158"/>
        <w:gridCol w:w="1158"/>
        <w:gridCol w:w="1158"/>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构筑物</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池内面积（m</w:t>
            </w:r>
            <w:r>
              <w:rPr>
                <w:rFonts w:hint="eastAsia"/>
                <w:vertAlign w:val="superscript"/>
                <w:lang w:val="en-US" w:eastAsia="zh-CN"/>
              </w:rPr>
              <w:t>2</w:t>
            </w:r>
            <w:r>
              <w:rPr>
                <w:rFonts w:hint="eastAsia"/>
                <w:lang w:val="en-US" w:eastAsia="zh-CN"/>
              </w:rPr>
              <w:t>）</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破损比例（%）</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破损面积（m</w:t>
            </w:r>
            <w:r>
              <w:rPr>
                <w:rFonts w:hint="eastAsia"/>
                <w:vertAlign w:val="superscript"/>
                <w:lang w:val="en-US" w:eastAsia="zh-CN"/>
              </w:rPr>
              <w:t>2</w:t>
            </w:r>
            <w:r>
              <w:rPr>
                <w:rFonts w:hint="eastAsia"/>
                <w:lang w:val="en-US" w:eastAsia="zh-CN"/>
              </w:rPr>
              <w:t>）</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池内水深（m）</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渗透系数（m/d）</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地下水埋深（m）</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污水量（m</w:t>
            </w:r>
            <w:r>
              <w:rPr>
                <w:rFonts w:hint="eastAsia"/>
                <w:vertAlign w:val="superscript"/>
                <w:lang w:val="en-US" w:eastAsia="zh-CN"/>
              </w:rPr>
              <w:t>3</w:t>
            </w:r>
            <w:r>
              <w:rPr>
                <w:rFonts w:hint="eastAsia"/>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调节池</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65</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5</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3.25</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0.12</w:t>
            </w:r>
          </w:p>
        </w:tc>
        <w:tc>
          <w:tcPr>
            <w:tcW w:w="1158"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2.8</w:t>
            </w:r>
          </w:p>
        </w:tc>
        <w:tc>
          <w:tcPr>
            <w:tcW w:w="1154"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0.67</w:t>
            </w:r>
          </w:p>
        </w:tc>
      </w:tr>
    </w:tbl>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项目调节池的泄露浓度按照工程分析中调节池产生的浓度计算，本项目调节池内污染物泄露量见下表。</w:t>
      </w:r>
    </w:p>
    <w:p>
      <w:pPr>
        <w:pStyle w:val="352"/>
        <w:rPr>
          <w:rFonts w:hint="eastAsia"/>
          <w:b/>
          <w:bCs/>
          <w:u w:val="none"/>
          <w:lang w:val="en-US" w:eastAsia="zh-CN"/>
        </w:rPr>
      </w:pPr>
      <w:r>
        <w:rPr>
          <w:rFonts w:hint="eastAsia"/>
          <w:b/>
          <w:bCs/>
          <w:u w:val="none"/>
          <w:lang w:val="en-US" w:eastAsia="zh-CN"/>
        </w:rPr>
        <w:t>表 8-23  非正常工况下调节池渗入到地下水的污水量情况一览表</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495"/>
        <w:gridCol w:w="2060"/>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85"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建筑物</w:t>
            </w:r>
          </w:p>
        </w:tc>
        <w:tc>
          <w:tcPr>
            <w:tcW w:w="1495"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污染物</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浓度（mg/L）</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废水量（m</w:t>
            </w:r>
            <w:r>
              <w:rPr>
                <w:rFonts w:hint="eastAsia"/>
                <w:vertAlign w:val="superscript"/>
                <w:lang w:val="en-US" w:eastAsia="zh-CN"/>
              </w:rPr>
              <w:t>3</w:t>
            </w:r>
            <w:r>
              <w:rPr>
                <w:rFonts w:hint="eastAsia"/>
                <w:lang w:val="en-US" w:eastAsia="zh-CN"/>
              </w:rPr>
              <w:t>/d）</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泄漏源强（g/d）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vMerge w:val="restart"/>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调节池</w:t>
            </w:r>
          </w:p>
        </w:tc>
        <w:tc>
          <w:tcPr>
            <w:tcW w:w="1495"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COD</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240</w:t>
            </w:r>
          </w:p>
        </w:tc>
        <w:tc>
          <w:tcPr>
            <w:tcW w:w="2060" w:type="dxa"/>
            <w:vMerge w:val="restart"/>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0.67</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5"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1495"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NH3-N</w:t>
            </w: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20</w:t>
            </w:r>
          </w:p>
        </w:tc>
        <w:tc>
          <w:tcPr>
            <w:tcW w:w="2060" w:type="dxa"/>
            <w:vMerge w:val="continue"/>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p>
        </w:tc>
        <w:tc>
          <w:tcPr>
            <w:tcW w:w="2060" w:type="dxa"/>
            <w:noWrap w:val="0"/>
            <w:vAlign w:val="center"/>
          </w:tcPr>
          <w:p>
            <w:pPr>
              <w:pStyle w:val="352"/>
              <w:keepNext w:val="0"/>
              <w:keepLines w:val="0"/>
              <w:suppressLineNumbers w:val="0"/>
              <w:bidi w:val="0"/>
              <w:spacing w:before="0" w:beforeAutospacing="0" w:after="0" w:afterAutospacing="0"/>
              <w:ind w:left="0" w:right="0"/>
              <w:rPr>
                <w:rFonts w:hint="eastAsia"/>
                <w:b w:val="0"/>
                <w:bCs/>
                <w:lang w:val="en-US" w:eastAsia="zh-CN"/>
              </w:rPr>
            </w:pPr>
            <w:r>
              <w:rPr>
                <w:rFonts w:hint="eastAsia"/>
                <w:b w:val="0"/>
                <w:bCs/>
                <w:lang w:val="en-US" w:eastAsia="zh-CN"/>
              </w:rPr>
              <w:t>13.4</w:t>
            </w:r>
          </w:p>
        </w:tc>
      </w:tr>
    </w:tbl>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七、预测方法</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本项目建设区污染对地下水的影响因素主要为两大类，一类是与入渗量有关的因素，包括降雨量、周边地形等；另一类是与包气带和含水层性质有关的因素，这主要包括包气带厚度、包气带和含水层的渗透性能、包气带和含水层对污染物的吸附能力、地下水径流强度以及污染物随地下水的迁移距离等一系列水文地质和地球化学因素。</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该项目地下水预测分析主要进行饱和带污染物迁移预测，评价等级属二级。本次对拟建项目区进行预测时，采用数值法计算。</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1、地下水稳定流数学模型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根据实际调查研究，建项目对地下水的影响主要对象为项目厂址下部潜水含水层；因此本次研究的数学模型只用于潜水。建项目厂址涉及的边界条件为河流边界和自由边界，因此使用第一类边界条件。计算数学模型如下所示：</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（1）控制方程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iCs/>
          <w:kern w:val="0"/>
          <w:position w:val="-28"/>
          <w:sz w:val="21"/>
          <w:szCs w:val="21"/>
          <w:u w:val="none"/>
          <w:lang w:val="en-US" w:eastAsia="zh-CN"/>
        </w:rPr>
        <w:object>
          <v:shape id="_x0000_i1108" o:spt="75" type="#_x0000_t75" style="height:33pt;width:244pt;" o:ole="t" filled="f" o:preferrelative="t" stroked="f" coordsize="21600,21600">
            <v:path/>
            <v:fill on="f" focussize="0,0"/>
            <v:stroke on="f"/>
            <v:imagedata r:id="rId179" o:title=""/>
            <o:lock v:ext="edit" aspectratio="t"/>
            <w10:wrap type="none"/>
            <w10:anchorlock/>
          </v:shape>
          <o:OLEObject Type="Embed" ProgID="Equation.KSEE3" ShapeID="_x0000_i1108" DrawAspect="Content" ObjectID="_1468075808" r:id="rId178">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09" o:spt="75" type="#_x0000_t75" style="height:18pt;width:15pt;" o:ole="t" filled="f" o:preferrelative="t" stroked="f" coordsize="21600,21600">
            <v:path/>
            <v:fill on="f" focussize="0,0"/>
            <v:stroke on="f"/>
            <v:imagedata r:id="rId181" o:title=""/>
            <o:lock v:ext="edit" aspectratio="t"/>
            <w10:wrap type="none"/>
            <w10:anchorlock/>
          </v:shape>
          <o:OLEObject Type="Embed" ProgID="Equation.KSEE3" ShapeID="_x0000_i1109" DrawAspect="Content" ObjectID="_1468075809" r:id="rId180">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贮水率</w: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l/</w:t>
      </w:r>
      <w:r>
        <w:rPr>
          <w:rFonts w:hint="default" w:ascii="Times New Roman" w:hAnsi="Times New Roman" w:cs="Times New Roman"/>
          <w:iCs/>
          <w:kern w:val="0"/>
          <w:sz w:val="24"/>
          <w:szCs w:val="24"/>
          <w:u w:val="none"/>
          <w:lang w:val="en-US" w:eastAsia="zh-CN"/>
        </w:rPr>
        <w:t>m；</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10" o:spt="75" type="#_x0000_t75" style="height:13.95pt;width:10pt;" o:ole="t" filled="f" o:preferrelative="t" stroked="f" coordsize="21600,21600">
            <v:path/>
            <v:fill on="f" focussize="0,0"/>
            <v:stroke on="f"/>
            <v:imagedata r:id="rId183" o:title=""/>
            <o:lock v:ext="edit" aspectratio="t"/>
            <w10:wrap type="none"/>
            <w10:anchorlock/>
          </v:shape>
          <o:OLEObject Type="Embed" ProgID="Equation.KSEE3" ShapeID="_x0000_i1110" DrawAspect="Content" ObjectID="_1468075810" r:id="rId182">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水位</w: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m</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14"/>
          <w:sz w:val="24"/>
          <w:szCs w:val="24"/>
          <w:u w:val="none"/>
          <w:lang w:val="en-US" w:eastAsia="zh-CN"/>
        </w:rPr>
        <w:object>
          <v:shape id="_x0000_i1111" o:spt="75" type="#_x0000_t75" style="height:19pt;width:54pt;" o:ole="t" filled="f" o:preferrelative="t" stroked="f" coordsize="21600,21600">
            <v:path/>
            <v:fill on="f" focussize="0,0"/>
            <v:stroke on="f"/>
            <v:imagedata r:id="rId185" o:title=""/>
            <o:lock v:ext="edit" aspectratio="t"/>
            <w10:wrap type="none"/>
            <w10:anchorlock/>
          </v:shape>
          <o:OLEObject Type="Embed" ProgID="Equation.KSEE3" ShapeID="_x0000_i1111" DrawAspect="Content" ObjectID="_1468075811" r:id="rId18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分别为x，y，z方向上的渗透系数，m/d；</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12" o:spt="75" type="#_x0000_t75" style="height:12pt;width:6.95pt;" o:ole="t" filled="f" o:preferrelative="t" stroked="f" coordsize="21600,21600">
            <v:path/>
            <v:fill on="f" focussize="0,0"/>
            <v:stroke on="f"/>
            <v:imagedata r:id="rId187" o:title=""/>
            <o:lock v:ext="edit" aspectratio="t"/>
            <w10:wrap type="none"/>
            <w10:anchorlock/>
          </v:shape>
          <o:OLEObject Type="Embed" ProgID="Equation.KSEE3" ShapeID="_x0000_i1112" DrawAspect="Content" ObjectID="_1468075812" r:id="rId186">
            <o:LockedField>false</o:LockedField>
          </o:OLEObject>
        </w:object>
      </w:r>
      <w:r>
        <w:rPr>
          <w:rFonts w:hint="eastAsia" w:cs="Times New Roman"/>
          <w:iCs/>
          <w:kern w:val="0"/>
          <w:sz w:val="24"/>
          <w:szCs w:val="24"/>
          <w:u w:val="none"/>
          <w:lang w:val="en-US" w:eastAsia="zh-CN"/>
        </w:rPr>
        <w:t>——时间，d；</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13" o:spt="75" type="#_x0000_t75" style="height:13.95pt;width:13.95pt;" o:ole="t" filled="f" o:preferrelative="t" stroked="f" coordsize="21600,21600">
            <v:path/>
            <v:fill on="f" focussize="0,0"/>
            <v:stroke on="f"/>
            <v:imagedata r:id="rId189" o:title=""/>
            <o:lock v:ext="edit" aspectratio="t"/>
            <w10:wrap type="none"/>
            <w10:anchorlock/>
          </v:shape>
          <o:OLEObject Type="Embed" ProgID="Equation.KSEE3" ShapeID="_x0000_i1113" DrawAspect="Content" ObjectID="_1468075813" r:id="rId188">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源汇项</w:t>
      </w:r>
      <w:r>
        <w:rPr>
          <w:rFonts w:hint="default" w:ascii="Times New Roman" w:hAnsi="Times New Roman" w:cs="Times New Roman"/>
          <w:iCs/>
          <w:kern w:val="0"/>
          <w:sz w:val="24"/>
          <w:szCs w:val="24"/>
          <w:u w:val="none"/>
          <w:lang w:val="en-US" w:eastAsia="zh-CN"/>
        </w:rPr>
        <w:t>，m</w:t>
      </w:r>
      <w:r>
        <w:rPr>
          <w:rFonts w:hint="eastAsia" w:cs="Times New Roman"/>
          <w:iCs/>
          <w:kern w:val="0"/>
          <w:sz w:val="24"/>
          <w:szCs w:val="24"/>
          <w:u w:val="none"/>
          <w:lang w:val="en-US" w:eastAsia="zh-CN"/>
        </w:rPr>
        <w:t>³</w:t>
      </w:r>
      <w:r>
        <w:rPr>
          <w:rFonts w:hint="default" w:ascii="Times New Roman" w:hAnsi="Times New Roman" w:cs="Times New Roman"/>
          <w:iCs/>
          <w:kern w:val="0"/>
          <w:sz w:val="24"/>
          <w:szCs w:val="24"/>
          <w:u w:val="none"/>
          <w:lang w:val="en-US" w:eastAsia="zh-CN"/>
        </w:rPr>
        <w:t>/d</w:t>
      </w:r>
      <w:r>
        <w:rPr>
          <w:rFonts w:hint="eastAsia"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（2）初始条件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12"/>
          <w:sz w:val="21"/>
          <w:szCs w:val="21"/>
          <w:u w:val="none"/>
          <w:lang w:val="en-US" w:eastAsia="zh-CN"/>
        </w:rPr>
        <w:object>
          <v:shape id="_x0000_i1114" o:spt="75" type="#_x0000_t75" style="height:18pt;width:216pt;" o:ole="t" filled="f" o:preferrelative="t" stroked="f" coordsize="21600,21600">
            <v:path/>
            <v:fill on="f" focussize="0,0"/>
            <v:stroke on="f"/>
            <v:imagedata r:id="rId191" o:title=""/>
            <o:lock v:ext="edit" aspectratio="t"/>
            <w10:wrap type="none"/>
            <w10:anchorlock/>
          </v:shape>
          <o:OLEObject Type="Embed" ProgID="Equation.KSEE3" ShapeID="_x0000_i1114" DrawAspect="Content" ObjectID="_1468075814" r:id="rId190">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15" o:spt="75" type="#_x0000_t75" style="height:18pt;width:49pt;" o:ole="t" filled="f" o:preferrelative="t" stroked="f" coordsize="21600,21600">
            <v:path/>
            <v:fill on="f" focussize="0,0"/>
            <v:stroke on="f"/>
            <v:imagedata r:id="rId193" o:title=""/>
            <o:lock v:ext="edit" aspectratio="t"/>
            <w10:wrap type="none"/>
            <w10:anchorlock/>
          </v:shape>
          <o:OLEObject Type="Embed" ProgID="Equation.KSEE3" ShapeID="_x0000_i1115" DrawAspect="Content" ObjectID="_1468075815" r:id="rId192">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已知水位分布</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4"/>
          <w:sz w:val="24"/>
          <w:szCs w:val="24"/>
          <w:u w:val="none"/>
          <w:lang w:val="en-US" w:eastAsia="zh-CN"/>
        </w:rPr>
        <w:object>
          <v:shape id="_x0000_i1116" o:spt="75" type="#_x0000_t75" style="height:13pt;width:13pt;" o:ole="t" filled="f" o:preferrelative="t" stroked="f" coordsize="21600,21600">
            <v:path/>
            <v:fill on="f" focussize="0,0"/>
            <v:stroke on="f"/>
            <v:imagedata r:id="rId195" o:title=""/>
            <o:lock v:ext="edit" aspectratio="t"/>
            <w10:wrap type="none"/>
            <w10:anchorlock/>
          </v:shape>
          <o:OLEObject Type="Embed" ProgID="Equation.KSEE3" ShapeID="_x0000_i1116" DrawAspect="Content" ObjectID="_1468075816" r:id="rId19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模型模拟区。</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（3）边界条件——第一类边界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18"/>
          <w:sz w:val="21"/>
          <w:szCs w:val="21"/>
          <w:u w:val="none"/>
          <w:lang w:val="en-US" w:eastAsia="zh-CN"/>
        </w:rPr>
        <w:object>
          <v:shape id="_x0000_i1117" o:spt="75" type="#_x0000_t75" style="height:22pt;width:229.95pt;" o:ole="t" filled="f" o:preferrelative="t" stroked="f" coordsize="21600,21600">
            <v:path/>
            <v:fill on="f" focussize="0,0"/>
            <v:stroke on="f"/>
            <v:imagedata r:id="rId197" o:title=""/>
            <o:lock v:ext="edit" aspectratio="t"/>
            <w10:wrap type="none"/>
            <w10:anchorlock/>
          </v:shape>
          <o:OLEObject Type="Embed" ProgID="Equation.KSEE3" ShapeID="_x0000_i1117" DrawAspect="Content" ObjectID="_1468075817" r:id="rId196">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0"/>
          <w:sz w:val="24"/>
          <w:szCs w:val="24"/>
          <w:u w:val="none"/>
          <w:lang w:val="en-US" w:eastAsia="zh-CN"/>
        </w:rPr>
        <w:object>
          <v:shape id="_x0000_i1118" o:spt="75" type="#_x0000_t75" style="height:17pt;width:12pt;" o:ole="t" filled="f" o:preferrelative="t" stroked="f" coordsize="21600,21600">
            <v:path/>
            <v:fill on="f" focussize="0,0"/>
            <v:stroke on="f"/>
            <v:imagedata r:id="rId199" o:title=""/>
            <o:lock v:ext="edit" aspectratio="t"/>
            <w10:wrap type="none"/>
            <w10:anchorlock/>
          </v:shape>
          <o:OLEObject Type="Embed" ProgID="Equation.KSEE3" ShapeID="_x0000_i1118" DrawAspect="Content" ObjectID="_1468075818" r:id="rId198">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一类边界</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10"/>
          <w:sz w:val="24"/>
          <w:szCs w:val="24"/>
          <w:u w:val="none"/>
          <w:lang w:val="en-US" w:eastAsia="zh-CN"/>
        </w:rPr>
        <w:object>
          <v:shape id="_x0000_i1119" o:spt="75" type="#_x0000_t75" style="height:17pt;width:53pt;" o:ole="t" filled="f" o:preferrelative="t" stroked="f" coordsize="21600,21600">
            <v:path/>
            <v:fill on="f" focussize="0,0"/>
            <v:stroke on="f"/>
            <v:imagedata r:id="rId201" o:title=""/>
            <o:lock v:ext="edit" aspectratio="t"/>
            <w10:wrap type="none"/>
            <w10:anchorlock/>
          </v:shape>
          <o:OLEObject Type="Embed" ProgID="Equation.KSEE3" ShapeID="_x0000_i1119" DrawAspect="Content" ObjectID="_1468075819" r:id="rId200">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一类边界上的已知水位函数。</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2、污染物迁移模拟数学模型</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本次评价溶质运移通过如下数学模型刻画：</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（1）控制方程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32"/>
          <w:sz w:val="21"/>
          <w:szCs w:val="21"/>
          <w:u w:val="none"/>
          <w:lang w:val="en-US" w:eastAsia="zh-CN"/>
        </w:rPr>
        <w:object>
          <v:shape id="_x0000_i1120" o:spt="75" type="#_x0000_t75" style="height:35pt;width:308pt;" o:ole="t" filled="f" o:preferrelative="t" stroked="f" coordsize="21600,21600">
            <v:path/>
            <v:fill on="f" focussize="0,0"/>
            <v:stroke on="f"/>
            <v:imagedata r:id="rId203" o:title=""/>
            <o:lock v:ext="edit" aspectratio="t"/>
            <w10:wrap type="none"/>
            <w10:anchorlock/>
          </v:shape>
          <o:OLEObject Type="Embed" ProgID="Equation.KSEE3" ShapeID="_x0000_i1120" DrawAspect="Content" ObjectID="_1468075820" r:id="rId202">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4"/>
          <w:sz w:val="24"/>
          <w:szCs w:val="24"/>
          <w:u w:val="none"/>
          <w:lang w:val="en-US" w:eastAsia="zh-CN"/>
        </w:rPr>
        <w:object>
          <v:shape id="_x0000_i1121" o:spt="75" type="#_x0000_t75" style="height:13pt;width:12pt;" o:ole="t" filled="f" o:preferrelative="t" stroked="f" coordsize="21600,21600">
            <v:path/>
            <v:fill on="f" focussize="0,0"/>
            <v:stroke on="f"/>
            <v:imagedata r:id="rId205" o:title=""/>
            <o:lock v:ext="edit" aspectratio="t"/>
            <w10:wrap type="none"/>
            <w10:anchorlock/>
          </v:shape>
          <o:OLEObject Type="Embed" ProgID="Equation.KSEE3" ShapeID="_x0000_i1121" DrawAspect="Content" ObjectID="_1468075821" r:id="rId20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迟滞系数，无量纲</w:t>
      </w:r>
      <w:r>
        <w:rPr>
          <w:rFonts w:hint="default" w:ascii="Times New Roman" w:hAnsi="Times New Roman" w:cs="Times New Roman"/>
          <w:iCs/>
          <w:kern w:val="0"/>
          <w:sz w:val="24"/>
          <w:szCs w:val="24"/>
          <w:u w:val="none"/>
          <w:lang w:val="en-US" w:eastAsia="zh-CN"/>
        </w:rPr>
        <w:t>，</w:t>
      </w:r>
      <w:r>
        <w:rPr>
          <w:rFonts w:hint="default" w:ascii="Times New Roman" w:hAnsi="Times New Roman" w:cs="Times New Roman"/>
          <w:iCs/>
          <w:kern w:val="0"/>
          <w:position w:val="-24"/>
          <w:sz w:val="24"/>
          <w:szCs w:val="24"/>
          <w:u w:val="none"/>
          <w:lang w:val="en-US" w:eastAsia="zh-CN"/>
        </w:rPr>
        <w:object>
          <v:shape id="_x0000_i1122" o:spt="75" type="#_x0000_t75" style="height:33pt;width:71pt;" o:ole="t" filled="f" o:preferrelative="t" stroked="f" coordsize="21600,21600">
            <v:path/>
            <v:fill on="f" focussize="0,0"/>
            <v:stroke on="f"/>
            <v:imagedata r:id="rId207" o:title=""/>
            <o:lock v:ext="edit" aspectratio="t"/>
            <w10:wrap type="none"/>
            <w10:anchorlock/>
          </v:shape>
          <o:OLEObject Type="Embed" ProgID="Equation.KSEE3" ShapeID="_x0000_i1122" DrawAspect="Content" ObjectID="_1468075822" r:id="rId206">
            <o:LockedField>false</o:LockedField>
          </o:OLEObject>
        </w:objec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23" o:spt="75" type="#_x0000_t75" style="height:18pt;width:15pt;" o:ole="t" filled="f" o:preferrelative="t" stroked="f" coordsize="21600,21600">
            <v:path/>
            <v:fill on="f" focussize="0,0"/>
            <v:stroke on="f"/>
            <v:imagedata r:id="rId209" o:title=""/>
            <o:lock v:ext="edit" aspectratio="t"/>
            <w10:wrap type="none"/>
            <w10:anchorlock/>
          </v:shape>
          <o:OLEObject Type="Embed" ProgID="Equation.KSEE3" ShapeID="_x0000_i1123" DrawAspect="Content" ObjectID="_1468075823" r:id="rId208">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介质密度</w: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kg/（dm）³</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24" o:spt="75" type="#_x0000_t75" style="height:13.95pt;width:10pt;" o:ole="t" filled="f" o:preferrelative="t" stroked="f" coordsize="21600,21600">
            <v:path/>
            <v:fill on="f" focussize="0,0"/>
            <v:stroke on="f"/>
            <v:imagedata r:id="rId211" o:title=""/>
            <o:lock v:ext="edit" aspectratio="t"/>
            <w10:wrap type="none"/>
            <w10:anchorlock/>
          </v:shape>
          <o:OLEObject Type="Embed" ProgID="Equation.KSEE3" ShapeID="_x0000_i1124" DrawAspect="Content" ObjectID="_1468075824" r:id="rId210">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介质孔隙度，无量纲；</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25" o:spt="75" type="#_x0000_t75" style="height:13.95pt;width:12pt;" o:ole="t" filled="f" o:preferrelative="t" stroked="f" coordsize="21600,21600">
            <v:path/>
            <v:fill on="f" focussize="0,0"/>
            <v:stroke on="f"/>
            <v:imagedata r:id="rId213" o:title=""/>
            <o:lock v:ext="edit" aspectratio="t"/>
            <w10:wrap type="none"/>
            <w10:anchorlock/>
          </v:shape>
          <o:OLEObject Type="Embed" ProgID="Equation.KSEE3" ShapeID="_x0000_i1125" DrawAspect="Content" ObjectID="_1468075825" r:id="rId212">
            <o:LockedField>false</o:LockedField>
          </o:OLEObject>
        </w:object>
      </w:r>
      <w:r>
        <w:rPr>
          <w:rFonts w:hint="eastAsia" w:cs="Times New Roman"/>
          <w:iCs/>
          <w:kern w:val="0"/>
          <w:sz w:val="24"/>
          <w:szCs w:val="24"/>
          <w:u w:val="none"/>
          <w:lang w:val="en-US" w:eastAsia="zh-CN"/>
        </w:rPr>
        <w:t>——组分的浓度，g/L；</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6"/>
          <w:sz w:val="24"/>
          <w:szCs w:val="24"/>
          <w:u w:val="none"/>
          <w:lang w:val="en-US" w:eastAsia="zh-CN"/>
        </w:rPr>
        <w:object>
          <v:shape id="_x0000_i1126" o:spt="75" type="#_x0000_t75" style="height:17pt;width:12pt;" o:ole="t" filled="f" o:preferrelative="t" stroked="f" coordsize="21600,21600">
            <v:path/>
            <v:fill on="f" focussize="0,0"/>
            <v:stroke on="f"/>
            <v:imagedata r:id="rId215" o:title=""/>
            <o:lock v:ext="edit" aspectratio="t"/>
            <w10:wrap type="none"/>
            <w10:anchorlock/>
          </v:shape>
          <o:OLEObject Type="Embed" ProgID="Equation.KSEE3" ShapeID="_x0000_i1126" DrawAspect="Content" ObjectID="_1468075826" r:id="rId21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介质骨架吸附的溶质浓度，g/kg；</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position w:val="-6"/>
          <w:sz w:val="24"/>
          <w:szCs w:val="24"/>
          <w:u w:val="none"/>
          <w:lang w:val="en-US" w:eastAsia="zh-CN"/>
        </w:rPr>
        <w:object>
          <v:shape id="_x0000_i1127" o:spt="75" type="#_x0000_t75" style="height:12pt;width:6.95pt;" o:ole="t" filled="f" o:preferrelative="t" stroked="f" coordsize="21600,21600">
            <v:path/>
            <v:fill on="f" focussize="0,0"/>
            <v:stroke on="f"/>
            <v:imagedata r:id="rId217" o:title=""/>
            <o:lock v:ext="edit" aspectratio="t"/>
            <w10:wrap type="none"/>
            <w10:anchorlock/>
          </v:shape>
          <o:OLEObject Type="Embed" ProgID="Equation.KSEE3" ShapeID="_x0000_i1127" DrawAspect="Content" ObjectID="_1468075827" r:id="rId216">
            <o:LockedField>false</o:LockedField>
          </o:OLEObject>
        </w:object>
      </w:r>
      <w:r>
        <w:rPr>
          <w:rFonts w:hint="eastAsia" w:cs="Times New Roman"/>
          <w:iCs/>
          <w:kern w:val="0"/>
          <w:sz w:val="24"/>
          <w:szCs w:val="24"/>
          <w:u w:val="none"/>
          <w:lang w:val="en-US" w:eastAsia="zh-CN"/>
        </w:rPr>
        <w:t>——时间，d；</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0"/>
          <w:sz w:val="24"/>
          <w:szCs w:val="24"/>
          <w:u w:val="none"/>
          <w:lang w:val="en-US" w:eastAsia="zh-CN"/>
        </w:rPr>
        <w:object>
          <v:shape id="_x0000_i1128" o:spt="75" type="#_x0000_t75" style="height:13pt;width:31pt;" o:ole="t" filled="f" o:preferrelative="t" stroked="f" coordsize="21600,21600">
            <v:path/>
            <v:fill on="f" focussize="0,0"/>
            <v:stroke on="f"/>
            <v:imagedata r:id="rId219" o:title=""/>
            <o:lock v:ext="edit" aspectratio="t"/>
            <w10:wrap type="none"/>
            <w10:anchorlock/>
          </v:shape>
          <o:OLEObject Type="Embed" ProgID="Equation.KSEE3" ShapeID="_x0000_i1128" DrawAspect="Content" ObjectID="_1468075828" r:id="rId218">
            <o:LockedField>false</o:LockedField>
          </o:OLEObject>
        </w:object>
      </w:r>
      <w:r>
        <w:rPr>
          <w:rFonts w:hint="eastAsia" w:cs="Times New Roman"/>
          <w:iCs/>
          <w:kern w:val="0"/>
          <w:sz w:val="24"/>
          <w:szCs w:val="24"/>
          <w:u w:val="none"/>
          <w:lang w:val="en-US" w:eastAsia="zh-CN"/>
        </w:rPr>
        <w:t>——空间位置坐标，m；</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4"/>
          <w:sz w:val="24"/>
          <w:szCs w:val="24"/>
          <w:u w:val="none"/>
          <w:lang w:val="en-US" w:eastAsia="zh-CN"/>
        </w:rPr>
        <w:object>
          <v:shape id="_x0000_i1129" o:spt="75" type="#_x0000_t75" style="height:19pt;width:17pt;" o:ole="t" filled="f" o:preferrelative="t" stroked="f" coordsize="21600,21600">
            <v:path/>
            <v:fill on="f" focussize="0,0"/>
            <v:stroke on="f"/>
            <v:imagedata r:id="rId221" o:title=""/>
            <o:lock v:ext="edit" aspectratio="t"/>
            <w10:wrap type="none"/>
            <w10:anchorlock/>
          </v:shape>
          <o:OLEObject Type="Embed" ProgID="Equation.KSEE3" ShapeID="_x0000_i1129" DrawAspect="Content" ObjectID="_1468075829" r:id="rId220">
            <o:LockedField>false</o:LockedField>
          </o:OLEObject>
        </w:object>
      </w:r>
      <w:r>
        <w:rPr>
          <w:rFonts w:hint="eastAsia" w:cs="Times New Roman"/>
          <w:iCs/>
          <w:kern w:val="0"/>
          <w:sz w:val="24"/>
          <w:szCs w:val="24"/>
          <w:u w:val="none"/>
          <w:lang w:val="en-US" w:eastAsia="zh-CN"/>
        </w:rPr>
        <w:t>——水动力弥散系数张量，m²/d；</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2"/>
          <w:sz w:val="24"/>
          <w:szCs w:val="24"/>
          <w:u w:val="none"/>
          <w:lang w:val="en-US" w:eastAsia="zh-CN"/>
        </w:rPr>
        <w:object>
          <v:shape id="_x0000_i1130" o:spt="75" type="#_x0000_t75" style="height:18pt;width:11pt;" o:ole="t" filled="f" o:preferrelative="t" stroked="f" coordsize="21600,21600">
            <v:path/>
            <v:fill on="f" focussize="0,0"/>
            <v:stroke on="f"/>
            <v:imagedata r:id="rId223" o:title=""/>
            <o:lock v:ext="edit" aspectratio="t"/>
            <w10:wrap type="none"/>
            <w10:anchorlock/>
          </v:shape>
          <o:OLEObject Type="Embed" ProgID="Equation.KSEE3" ShapeID="_x0000_i1130" DrawAspect="Content" ObjectID="_1468075830" r:id="rId222">
            <o:LockedField>false</o:LockedField>
          </o:OLEObject>
        </w:object>
      </w:r>
      <w:r>
        <w:rPr>
          <w:rFonts w:hint="eastAsia" w:cs="Times New Roman"/>
          <w:iCs/>
          <w:kern w:val="0"/>
          <w:sz w:val="24"/>
          <w:szCs w:val="24"/>
          <w:u w:val="none"/>
          <w:lang w:val="en-US" w:eastAsia="zh-CN"/>
        </w:rPr>
        <w:t>——地下水渗流速度张量，m/d；</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6"/>
          <w:sz w:val="24"/>
          <w:szCs w:val="24"/>
          <w:u w:val="none"/>
          <w:lang w:val="en-US" w:eastAsia="zh-CN"/>
        </w:rPr>
        <w:object>
          <v:shape id="_x0000_i1131" o:spt="75" type="#_x0000_t75" style="height:13.95pt;width:13.95pt;" o:ole="t" filled="f" o:preferrelative="t" stroked="f" coordsize="21600,21600">
            <v:path/>
            <v:fill on="f" focussize="0,0"/>
            <v:stroke on="f"/>
            <v:imagedata r:id="rId225" o:title=""/>
            <o:lock v:ext="edit" aspectratio="t"/>
            <w10:wrap type="none"/>
            <w10:anchorlock/>
          </v:shape>
          <o:OLEObject Type="Embed" ProgID="Equation.KSEE3" ShapeID="_x0000_i1131" DrawAspect="Content" ObjectID="_1468075831" r:id="rId224">
            <o:LockedField>false</o:LockedField>
          </o:OLEObject>
        </w:object>
      </w:r>
      <w:r>
        <w:rPr>
          <w:rFonts w:hint="eastAsia" w:cs="Times New Roman"/>
          <w:iCs/>
          <w:kern w:val="0"/>
          <w:sz w:val="24"/>
          <w:szCs w:val="24"/>
          <w:u w:val="none"/>
          <w:lang w:val="en-US" w:eastAsia="zh-CN"/>
        </w:rPr>
        <w:t>——水流的源和汇，l/d；</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2"/>
          <w:sz w:val="24"/>
          <w:szCs w:val="24"/>
          <w:u w:val="none"/>
          <w:lang w:val="en-US" w:eastAsia="zh-CN"/>
        </w:rPr>
        <w:object>
          <v:shape id="_x0000_i1132" o:spt="75" type="#_x0000_t75" style="height:18pt;width:15pt;" o:ole="t" filled="f" o:preferrelative="t" stroked="f" coordsize="21600,21600">
            <v:path/>
            <v:fill on="f" focussize="0,0"/>
            <v:stroke on="f"/>
            <v:imagedata r:id="rId227" o:title=""/>
            <o:lock v:ext="edit" aspectratio="t"/>
            <w10:wrap type="none"/>
            <w10:anchorlock/>
          </v:shape>
          <o:OLEObject Type="Embed" ProgID="Equation.KSEE3" ShapeID="_x0000_i1132" DrawAspect="Content" ObjectID="_1468075832" r:id="rId226">
            <o:LockedField>false</o:LockedField>
          </o:OLEObject>
        </w:object>
      </w:r>
      <w:r>
        <w:rPr>
          <w:rFonts w:hint="eastAsia" w:cs="Times New Roman"/>
          <w:iCs/>
          <w:kern w:val="0"/>
          <w:sz w:val="24"/>
          <w:szCs w:val="24"/>
          <w:u w:val="none"/>
          <w:lang w:val="en-US" w:eastAsia="zh-CN"/>
        </w:rPr>
        <w:t>——组分的浓度，g/L；</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0"/>
          <w:sz w:val="24"/>
          <w:szCs w:val="24"/>
          <w:u w:val="none"/>
          <w:lang w:val="en-US" w:eastAsia="zh-CN"/>
        </w:rPr>
        <w:object>
          <v:shape id="_x0000_i1133" o:spt="75" type="#_x0000_t75" style="height:17pt;width:13pt;" o:ole="t" filled="f" o:preferrelative="t" stroked="f" coordsize="21600,21600">
            <v:path/>
            <v:fill on="f" focussize="0,0"/>
            <v:stroke on="f"/>
            <v:imagedata r:id="rId229" o:title=""/>
            <o:lock v:ext="edit" aspectratio="t"/>
            <w10:wrap type="none"/>
            <w10:anchorlock/>
          </v:shape>
          <o:OLEObject Type="Embed" ProgID="Equation.KSEE3" ShapeID="_x0000_i1133" DrawAspect="Content" ObjectID="_1468075833" r:id="rId228">
            <o:LockedField>false</o:LockedField>
          </o:OLEObject>
        </w:object>
      </w:r>
      <w:r>
        <w:rPr>
          <w:rFonts w:hint="eastAsia" w:cs="Times New Roman"/>
          <w:iCs/>
          <w:kern w:val="0"/>
          <w:sz w:val="24"/>
          <w:szCs w:val="24"/>
          <w:u w:val="none"/>
          <w:lang w:val="en-US" w:eastAsia="zh-CN"/>
        </w:rPr>
        <w:t>——溶解相一级反应速率，l/d；</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position w:val="-10"/>
          <w:sz w:val="24"/>
          <w:szCs w:val="24"/>
          <w:u w:val="none"/>
          <w:lang w:val="en-US" w:eastAsia="zh-CN"/>
        </w:rPr>
        <w:object>
          <v:shape id="_x0000_i1134" o:spt="75" type="#_x0000_t75" style="height:17pt;width:13.95pt;" o:ole="t" filled="f" o:preferrelative="t" stroked="f" coordsize="21600,21600">
            <v:path/>
            <v:fill on="f" focussize="0,0"/>
            <v:stroke on="f"/>
            <v:imagedata r:id="rId231" o:title=""/>
            <o:lock v:ext="edit" aspectratio="t"/>
            <w10:wrap type="none"/>
            <w10:anchorlock/>
          </v:shape>
          <o:OLEObject Type="Embed" ProgID="Equation.KSEE3" ShapeID="_x0000_i1134" DrawAspect="Content" ObjectID="_1468075834" r:id="rId230">
            <o:LockedField>false</o:LockedField>
          </o:OLEObject>
        </w:object>
      </w:r>
      <w:r>
        <w:rPr>
          <w:rFonts w:hint="eastAsia" w:cs="Times New Roman"/>
          <w:iCs/>
          <w:kern w:val="0"/>
          <w:sz w:val="24"/>
          <w:szCs w:val="24"/>
          <w:u w:val="none"/>
          <w:lang w:val="en-US" w:eastAsia="zh-CN"/>
        </w:rPr>
        <w:t>——吸附相反应速率，l/d。</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（2）初始条件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12"/>
          <w:sz w:val="21"/>
          <w:szCs w:val="21"/>
          <w:u w:val="none"/>
          <w:lang w:val="en-US" w:eastAsia="zh-CN"/>
        </w:rPr>
        <w:object>
          <v:shape id="_x0000_i1135" o:spt="75" type="#_x0000_t75" style="height:18pt;width:224pt;" o:ole="t" filled="f" o:preferrelative="t" stroked="f" coordsize="21600,21600">
            <v:path/>
            <v:fill on="f" focussize="0,0"/>
            <v:stroke on="f"/>
            <v:imagedata r:id="rId233" o:title=""/>
            <o:lock v:ext="edit" aspectratio="t"/>
            <w10:wrap type="none"/>
            <w10:anchorlock/>
          </v:shape>
          <o:OLEObject Type="Embed" ProgID="Equation.KSEE3" ShapeID="_x0000_i1135" DrawAspect="Content" ObjectID="_1468075835" r:id="rId232">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36" o:spt="75" type="#_x0000_t75" style="height:18pt;width:51pt;" o:ole="t" filled="f" o:preferrelative="t" stroked="f" coordsize="21600,21600">
            <v:path/>
            <v:fill on="f" focussize="0,0"/>
            <v:stroke on="f"/>
            <v:imagedata r:id="rId235" o:title=""/>
            <o:lock v:ext="edit" aspectratio="t"/>
            <w10:wrap type="none"/>
            <w10:anchorlock/>
          </v:shape>
          <o:OLEObject Type="Embed" ProgID="Equation.KSEE3" ShapeID="_x0000_i1136" DrawAspect="Content" ObjectID="_1468075836" r:id="rId23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已知浓度分布</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4"/>
          <w:sz w:val="24"/>
          <w:szCs w:val="24"/>
          <w:u w:val="none"/>
          <w:lang w:val="en-US" w:eastAsia="zh-CN"/>
        </w:rPr>
        <w:object>
          <v:shape id="_x0000_i1137" o:spt="75" type="#_x0000_t75" style="height:13pt;width:13pt;" o:ole="t" filled="f" o:preferrelative="t" stroked="f" coordsize="21600,21600">
            <v:path/>
            <v:fill on="f" focussize="0,0"/>
            <v:stroke on="f"/>
            <v:imagedata r:id="rId195" o:title=""/>
            <o:lock v:ext="edit" aspectratio="t"/>
            <w10:wrap type="none"/>
            <w10:anchorlock/>
          </v:shape>
          <o:OLEObject Type="Embed" ProgID="Equation.KSEE3" ShapeID="_x0000_i1137" DrawAspect="Content" ObjectID="_1468075837" r:id="rId236">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模型模拟区。</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（3）定解条件</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1 \* GB3 \* MERGEFORMAT </w:instrText>
      </w:r>
      <w:r>
        <w:rPr>
          <w:rFonts w:hint="default" w:cs="Times New Roman"/>
          <w:iCs/>
          <w:kern w:val="0"/>
          <w:sz w:val="24"/>
          <w:szCs w:val="24"/>
          <w:u w:val="none"/>
          <w:lang w:val="en-US" w:eastAsia="zh-CN"/>
        </w:rPr>
        <w:fldChar w:fldCharType="separate"/>
      </w:r>
      <w:r>
        <w:t>①</w:t>
      </w:r>
      <w:r>
        <w:rPr>
          <w:rFonts w:hint="default" w:cs="Times New Roman"/>
          <w:iCs/>
          <w:kern w:val="0"/>
          <w:sz w:val="24"/>
          <w:szCs w:val="24"/>
          <w:u w:val="none"/>
          <w:lang w:val="en-US" w:eastAsia="zh-CN"/>
        </w:rPr>
        <w:fldChar w:fldCharType="end"/>
      </w:r>
      <w:r>
        <w:rPr>
          <w:rFonts w:hint="eastAsia" w:cs="Times New Roman"/>
          <w:iCs/>
          <w:kern w:val="0"/>
          <w:sz w:val="24"/>
          <w:szCs w:val="24"/>
          <w:u w:val="none"/>
          <w:lang w:val="en-US" w:eastAsia="zh-CN"/>
        </w:rPr>
        <w:t>第一类边界——给定浓度边界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18"/>
          <w:sz w:val="21"/>
          <w:szCs w:val="21"/>
          <w:u w:val="none"/>
          <w:lang w:val="en-US" w:eastAsia="zh-CN"/>
        </w:rPr>
        <w:object>
          <v:shape id="_x0000_i1138" o:spt="75" type="#_x0000_t75" style="height:22pt;width:234pt;" o:ole="t" filled="f" o:preferrelative="t" stroked="f" coordsize="21600,21600">
            <v:path/>
            <v:fill on="f" focussize="0,0"/>
            <v:stroke on="f"/>
            <v:imagedata r:id="rId238" o:title=""/>
            <o:lock v:ext="edit" aspectratio="t"/>
            <w10:wrap type="none"/>
            <w10:anchorlock/>
          </v:shape>
          <o:OLEObject Type="Embed" ProgID="Equation.KSEE3" ShapeID="_x0000_i1138" DrawAspect="Content" ObjectID="_1468075838" r:id="rId237">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0"/>
          <w:sz w:val="24"/>
          <w:szCs w:val="24"/>
          <w:u w:val="none"/>
          <w:lang w:val="en-US" w:eastAsia="zh-CN"/>
        </w:rPr>
        <w:object>
          <v:shape id="_x0000_i1139" o:spt="75" type="#_x0000_t75" style="height:17pt;width:12pt;" o:ole="t" filled="f" o:preferrelative="t" stroked="f" coordsize="21600,21600">
            <v:path/>
            <v:fill on="f" focussize="0,0"/>
            <v:stroke on="f"/>
            <v:imagedata r:id="rId199" o:title=""/>
            <o:lock v:ext="edit" aspectratio="t"/>
            <w10:wrap type="none"/>
            <w10:anchorlock/>
          </v:shape>
          <o:OLEObject Type="Embed" ProgID="Equation.KSEE3" ShapeID="_x0000_i1139" DrawAspect="Content" ObjectID="_1468075839" r:id="rId239">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表示给定浓度边界</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10"/>
          <w:sz w:val="24"/>
          <w:szCs w:val="24"/>
          <w:u w:val="none"/>
          <w:lang w:val="en-US" w:eastAsia="zh-CN"/>
        </w:rPr>
        <w:object>
          <v:shape id="_x0000_i1140" o:spt="75" type="#_x0000_t75" style="height:17pt;width:55pt;" o:ole="t" filled="f" o:preferrelative="t" stroked="f" coordsize="21600,21600">
            <v:path/>
            <v:fill on="f" focussize="0,0"/>
            <v:stroke on="f"/>
            <v:imagedata r:id="rId241" o:title=""/>
            <o:lock v:ext="edit" aspectratio="t"/>
            <w10:wrap type="none"/>
            <w10:anchorlock/>
          </v:shape>
          <o:OLEObject Type="Embed" ProgID="Equation.KSEE3" ShapeID="_x0000_i1140" DrawAspect="Content" ObjectID="_1468075840" r:id="rId240">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定浓度边界上的浓度分布。</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2 \* GB3 \* MERGEFORMAT </w:instrText>
      </w:r>
      <w:r>
        <w:rPr>
          <w:rFonts w:hint="default" w:cs="Times New Roman"/>
          <w:iCs/>
          <w:kern w:val="0"/>
          <w:sz w:val="24"/>
          <w:szCs w:val="24"/>
          <w:u w:val="none"/>
          <w:lang w:val="en-US" w:eastAsia="zh-CN"/>
        </w:rPr>
        <w:fldChar w:fldCharType="separate"/>
      </w:r>
      <w:r>
        <w:t>②</w:t>
      </w:r>
      <w:r>
        <w:rPr>
          <w:rFonts w:hint="default" w:cs="Times New Roman"/>
          <w:iCs/>
          <w:kern w:val="0"/>
          <w:sz w:val="24"/>
          <w:szCs w:val="24"/>
          <w:u w:val="none"/>
          <w:lang w:val="en-US" w:eastAsia="zh-CN"/>
        </w:rPr>
        <w:fldChar w:fldCharType="end"/>
      </w:r>
      <w:r>
        <w:rPr>
          <w:rFonts w:hint="eastAsia" w:cs="Times New Roman"/>
          <w:iCs/>
          <w:kern w:val="0"/>
          <w:sz w:val="24"/>
          <w:szCs w:val="24"/>
          <w:u w:val="none"/>
          <w:lang w:val="en-US" w:eastAsia="zh-CN"/>
        </w:rPr>
        <w:t>第二类边界——给定弥散通量边界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40"/>
          <w:sz w:val="21"/>
          <w:szCs w:val="21"/>
          <w:u w:val="none"/>
          <w:lang w:val="en-US" w:eastAsia="zh-CN"/>
        </w:rPr>
        <w:object>
          <v:shape id="_x0000_i1141" o:spt="75" type="#_x0000_t75" style="height:42.95pt;width:225pt;" o:ole="t" filled="f" o:preferrelative="t" stroked="f" coordsize="21600,21600">
            <v:path/>
            <v:fill on="f" focussize="0,0"/>
            <v:stroke on="f"/>
            <v:imagedata r:id="rId243" o:title=""/>
            <o:lock v:ext="edit" aspectratio="t"/>
            <w10:wrap type="none"/>
            <w10:anchorlock/>
          </v:shape>
          <o:OLEObject Type="Embed" ProgID="Equation.KSEE3" ShapeID="_x0000_i1141" DrawAspect="Content" ObjectID="_1468075841" r:id="rId242">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0"/>
          <w:sz w:val="24"/>
          <w:szCs w:val="24"/>
          <w:u w:val="none"/>
          <w:lang w:val="en-US" w:eastAsia="zh-CN"/>
        </w:rPr>
        <w:object>
          <v:shape id="_x0000_i1142" o:spt="75" type="#_x0000_t75" style="height:17pt;width:13.95pt;" o:ole="t" filled="f" o:preferrelative="t" stroked="f" coordsize="21600,21600">
            <v:path/>
            <v:fill on="f" focussize="0,0"/>
            <v:stroke on="f"/>
            <v:imagedata r:id="rId245" o:title=""/>
            <o:lock v:ext="edit" aspectratio="t"/>
            <w10:wrap type="none"/>
            <w10:anchorlock/>
          </v:shape>
          <o:OLEObject Type="Embed" ProgID="Equation.KSEE3" ShapeID="_x0000_i1142" DrawAspect="Content" ObjectID="_1468075842" r:id="rId244">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通量边界</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43" o:spt="75" type="#_x0000_t75" style="height:18pt;width:56pt;" o:ole="t" filled="f" o:preferrelative="t" stroked="f" coordsize="21600,21600">
            <v:path/>
            <v:fill on="f" focussize="0,0"/>
            <v:stroke on="f"/>
            <v:imagedata r:id="rId247" o:title=""/>
            <o:lock v:ext="edit" aspectratio="t"/>
            <w10:wrap type="none"/>
            <w10:anchorlock/>
          </v:shape>
          <o:OLEObject Type="Embed" ProgID="Equation.KSEE3" ShapeID="_x0000_i1143" DrawAspect="Content" ObjectID="_1468075843" r:id="rId246">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通量边界上已知的弥散通量函数。</w:t>
      </w:r>
    </w:p>
    <w:p>
      <w:pPr>
        <w:spacing w:line="360" w:lineRule="auto"/>
        <w:ind w:firstLine="480" w:firstLineChars="200"/>
        <w:jc w:val="left"/>
        <w:rPr>
          <w:rFonts w:hint="eastAsia" w:cs="Times New Roman"/>
          <w:iCs/>
          <w:kern w:val="0"/>
          <w:sz w:val="24"/>
          <w:szCs w:val="24"/>
          <w:u w:val="none"/>
          <w:lang w:val="en-US" w:eastAsia="zh-CN"/>
        </w:rPr>
      </w:pP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3 \* GB3 \* MERGEFORMAT </w:instrText>
      </w:r>
      <w:r>
        <w:rPr>
          <w:rFonts w:hint="default" w:cs="Times New Roman"/>
          <w:iCs/>
          <w:kern w:val="0"/>
          <w:sz w:val="24"/>
          <w:szCs w:val="24"/>
          <w:u w:val="none"/>
          <w:lang w:val="en-US" w:eastAsia="zh-CN"/>
        </w:rPr>
        <w:fldChar w:fldCharType="separate"/>
      </w:r>
      <w:r>
        <w:t>③</w:t>
      </w:r>
      <w:r>
        <w:rPr>
          <w:rFonts w:hint="default" w:cs="Times New Roman"/>
          <w:iCs/>
          <w:kern w:val="0"/>
          <w:sz w:val="24"/>
          <w:szCs w:val="24"/>
          <w:u w:val="none"/>
          <w:lang w:val="en-US" w:eastAsia="zh-CN"/>
        </w:rPr>
        <w:fldChar w:fldCharType="end"/>
      </w:r>
      <w:r>
        <w:rPr>
          <w:rFonts w:hint="eastAsia" w:cs="Times New Roman"/>
          <w:iCs/>
          <w:kern w:val="0"/>
          <w:sz w:val="24"/>
          <w:szCs w:val="24"/>
          <w:u w:val="none"/>
          <w:lang w:val="en-US" w:eastAsia="zh-CN"/>
        </w:rPr>
        <w:t>第三类边界——给定溶质通量边界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iCs/>
          <w:kern w:val="0"/>
          <w:sz w:val="21"/>
          <w:szCs w:val="21"/>
          <w:u w:val="none"/>
          <w:lang w:val="en-US" w:eastAsia="zh-CN"/>
        </w:rPr>
      </w:pPr>
      <w:r>
        <w:rPr>
          <w:rFonts w:hint="eastAsia" w:ascii="Times New Roman" w:eastAsia="宋体"/>
          <w:iCs/>
          <w:kern w:val="0"/>
          <w:position w:val="-42"/>
          <w:sz w:val="21"/>
          <w:szCs w:val="21"/>
          <w:u w:val="none"/>
          <w:lang w:val="en-US" w:eastAsia="zh-CN"/>
        </w:rPr>
        <w:object>
          <v:shape id="_x0000_i1144" o:spt="75" type="#_x0000_t75" style="height:45pt;width:264pt;" o:ole="t" filled="f" o:preferrelative="t" stroked="f" coordsize="21600,21600">
            <v:path/>
            <v:fill on="f" focussize="0,0"/>
            <v:stroke on="f"/>
            <v:imagedata r:id="rId249" o:title=""/>
            <o:lock v:ext="edit" aspectratio="t"/>
            <w10:wrap type="none"/>
            <w10:anchorlock/>
          </v:shape>
          <o:OLEObject Type="Embed" ProgID="Equation.KSEE3" ShapeID="_x0000_i1144" DrawAspect="Content" ObjectID="_1468075844" r:id="rId248">
            <o:LockedField>false</o:LockedField>
          </o:OLEObject>
        </w:objec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sz w:val="24"/>
          <w:szCs w:val="24"/>
          <w:u w:val="none"/>
          <w:lang w:val="en-US" w:eastAsia="zh-CN"/>
        </w:rPr>
        <w:t>式中：</w:t>
      </w:r>
    </w:p>
    <w:p>
      <w:pPr>
        <w:spacing w:line="360" w:lineRule="auto"/>
        <w:ind w:firstLine="480" w:firstLineChars="200"/>
        <w:jc w:val="left"/>
        <w:rPr>
          <w:rFonts w:hint="default" w:ascii="Times New Roman" w:hAnsi="Times New Roman"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45" o:spt="75" type="#_x0000_t75" style="height:18pt;width:13pt;" o:ole="t" filled="f" o:preferrelative="t" stroked="f" coordsize="21600,21600">
            <v:path/>
            <v:fill on="f" focussize="0,0"/>
            <v:stroke on="f"/>
            <v:imagedata r:id="rId251" o:title=""/>
            <o:lock v:ext="edit" aspectratio="t"/>
            <w10:wrap type="none"/>
            <w10:anchorlock/>
          </v:shape>
          <o:OLEObject Type="Embed" ProgID="Equation.KSEE3" ShapeID="_x0000_i1145" DrawAspect="Content" ObjectID="_1468075845" r:id="rId250">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混合边界</w:t>
      </w:r>
      <w:r>
        <w:rPr>
          <w:rFonts w:hint="default" w:ascii="Times New Roman" w:hAnsi="Times New Roman" w:cs="Times New Roman"/>
          <w:iCs/>
          <w:kern w:val="0"/>
          <w:sz w:val="24"/>
          <w:szCs w:val="24"/>
          <w:u w:val="none"/>
          <w:lang w:val="en-US" w:eastAsia="zh-CN"/>
        </w:rPr>
        <w:t>；</w:t>
      </w:r>
    </w:p>
    <w:p>
      <w:pPr>
        <w:spacing w:line="360" w:lineRule="auto"/>
        <w:ind w:firstLine="480" w:firstLineChars="200"/>
        <w:jc w:val="left"/>
        <w:rPr>
          <w:rFonts w:hint="eastAsia" w:cs="Times New Roman"/>
          <w:iCs/>
          <w:kern w:val="0"/>
          <w:sz w:val="24"/>
          <w:szCs w:val="24"/>
          <w:u w:val="none"/>
          <w:lang w:val="en-US" w:eastAsia="zh-CN"/>
        </w:rPr>
      </w:pPr>
      <w:r>
        <w:rPr>
          <w:rFonts w:hint="default" w:ascii="Times New Roman" w:hAnsi="Times New Roman" w:cs="Times New Roman"/>
          <w:iCs/>
          <w:kern w:val="0"/>
          <w:position w:val="-12"/>
          <w:sz w:val="24"/>
          <w:szCs w:val="24"/>
          <w:u w:val="none"/>
          <w:lang w:val="en-US" w:eastAsia="zh-CN"/>
        </w:rPr>
        <w:object>
          <v:shape id="_x0000_i1146" o:spt="75" type="#_x0000_t75" style="height:18pt;width:57pt;" o:ole="t" filled="f" o:preferrelative="t" stroked="f" coordsize="21600,21600">
            <v:path/>
            <v:fill on="f" focussize="0,0"/>
            <v:stroke on="f"/>
            <v:imagedata r:id="rId253" o:title=""/>
            <o:lock v:ext="edit" aspectratio="t"/>
            <w10:wrap type="none"/>
            <w10:anchorlock/>
          </v:shape>
          <o:OLEObject Type="Embed" ProgID="Equation.KSEE3" ShapeID="_x0000_i1146" DrawAspect="Content" ObjectID="_1468075846" r:id="rId252">
            <o:LockedField>false</o:LockedField>
          </o:OLEObject>
        </w:object>
      </w:r>
      <w:r>
        <w:rPr>
          <w:rFonts w:hint="default" w:ascii="Times New Roman" w:hAnsi="Times New Roman" w:cs="Times New Roman"/>
          <w:iCs/>
          <w:kern w:val="0"/>
          <w:sz w:val="24"/>
          <w:szCs w:val="24"/>
          <w:u w:val="none"/>
          <w:lang w:val="en-US" w:eastAsia="zh-CN"/>
        </w:rPr>
        <w:t>——</w:t>
      </w:r>
      <w:r>
        <w:rPr>
          <w:rFonts w:hint="eastAsia" w:cs="Times New Roman"/>
          <w:iCs/>
          <w:kern w:val="0"/>
          <w:sz w:val="24"/>
          <w:szCs w:val="24"/>
          <w:u w:val="none"/>
          <w:lang w:val="en-US" w:eastAsia="zh-CN"/>
        </w:rPr>
        <w:t>混合边界上已知的对流-弥散总的通量函数。</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3、预测软件</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MODFLOW是Visual MODFLOW软件中的模块之一，它是美国地质调查局于80年代开发出的一套专门用于地下水流动的三维有限差分数值模拟软件。MODFLOW自问世以来，由于其程序结构的模块化、离散方法的简单化和求解方法的多样化等特点，已被广泛用来模拟径流、河流、排泄、蒸发和补给对非均质和复杂边界条件的水流系统的影响。本次数值模拟计算采用Visual MODFLOW中MODFLOW模块模拟项目所在区域地下水流场。</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MT3DMS模块是Visual MODFLOW软件中的模块之一，它是模拟地下水系统中对流、弥散和化学反应的三维溶质运移模型。在利用MODFLOW模块模拟计算评价区地下水的流场后，采用Visual MODFLOW中MT3DMS预测本项目非正常状况下污染物的运移特征及浓度变化趋势。</w:t>
      </w:r>
    </w:p>
    <w:p>
      <w:pPr>
        <w:spacing w:line="360" w:lineRule="auto"/>
        <w:ind w:firstLine="480" w:firstLineChars="200"/>
        <w:jc w:val="left"/>
        <w:rPr>
          <w:rFonts w:hint="eastAsia" w:cs="Times New Roman"/>
          <w:iCs/>
          <w:kern w:val="0"/>
          <w:sz w:val="24"/>
          <w:szCs w:val="24"/>
          <w:u w:val="none"/>
          <w:lang w:val="en-US" w:eastAsia="zh-CN"/>
        </w:rPr>
      </w:pPr>
      <w:r>
        <w:rPr>
          <w:rFonts w:hint="eastAsia" w:cs="Times New Roman"/>
          <w:iCs/>
          <w:kern w:val="0"/>
          <w:sz w:val="24"/>
          <w:szCs w:val="24"/>
          <w:u w:val="none"/>
          <w:lang w:val="en-US" w:eastAsia="zh-CN"/>
        </w:rPr>
        <w:t>八、模型概化及边界条件设置</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根据《环境影响评价技术导则-地下水环境》（HJ 610-2016）要求，水文地质条件概化应根据调查评价区和场地环境水文地质条件，对边界性质、介质特征、水流特征和补径排等条件进行概化。</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1、</w:t>
      </w:r>
      <w:r>
        <w:rPr>
          <w:rFonts w:hint="default" w:cs="Times New Roman"/>
          <w:iCs/>
          <w:kern w:val="0"/>
          <w:sz w:val="24"/>
          <w:szCs w:val="24"/>
          <w:u w:val="none"/>
          <w:lang w:val="en-US" w:eastAsia="zh-CN"/>
        </w:rPr>
        <w:t>水文地质条件概化</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（1）</w:t>
      </w:r>
      <w:r>
        <w:rPr>
          <w:rFonts w:hint="default" w:cs="Times New Roman"/>
          <w:iCs/>
          <w:kern w:val="0"/>
          <w:sz w:val="24"/>
          <w:szCs w:val="24"/>
          <w:u w:val="none"/>
          <w:lang w:val="en-US" w:eastAsia="zh-CN"/>
        </w:rPr>
        <w:t>含水层概化</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地下水含水介质特征和赋存条件，预测评价区内地下水类型为松散岩类孔隙水和基岩裂隙水。调查评价区地层，第四系全新统冲洪积层（Q4al）和侏罗系沙溪庙组上段（J2s2）砂泥岩层构成了本区域的两个含水岩组，下伏地层完整未风化的砂岩地层为相对隔水层。模拟区域水文地质条件较为简单，地下水系统含水层与隔水层清楚，将岩性空间分布概化为两层。</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模拟层：厚约3.8～20m，模型中概化为20m厚的含水层，为弱含水层；</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隔水层：未风化的侏罗系沙溪庙组上段（J2s2）砂泥岩，概化为相对隔水层。本次模拟为潜水层。</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（2）</w:t>
      </w:r>
      <w:r>
        <w:rPr>
          <w:rFonts w:hint="default" w:cs="Times New Roman"/>
          <w:iCs/>
          <w:kern w:val="0"/>
          <w:sz w:val="24"/>
          <w:szCs w:val="24"/>
          <w:u w:val="none"/>
          <w:lang w:val="en-US" w:eastAsia="zh-CN"/>
        </w:rPr>
        <w:t>模型区边界条件</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1 \* GB3 \* MERGEFORMAT </w:instrText>
      </w:r>
      <w:r>
        <w:rPr>
          <w:rFonts w:hint="default" w:cs="Times New Roman"/>
          <w:iCs/>
          <w:kern w:val="0"/>
          <w:sz w:val="24"/>
          <w:szCs w:val="24"/>
          <w:u w:val="none"/>
          <w:lang w:val="en-US" w:eastAsia="zh-CN"/>
        </w:rPr>
        <w:fldChar w:fldCharType="separate"/>
      </w:r>
      <w:r>
        <w:t>①</w:t>
      </w:r>
      <w:r>
        <w:rPr>
          <w:rFonts w:hint="default" w:cs="Times New Roman"/>
          <w:iCs/>
          <w:kern w:val="0"/>
          <w:sz w:val="24"/>
          <w:szCs w:val="24"/>
          <w:u w:val="none"/>
          <w:lang w:val="en-US" w:eastAsia="zh-CN"/>
        </w:rPr>
        <w:fldChar w:fldCharType="end"/>
      </w:r>
      <w:r>
        <w:rPr>
          <w:rFonts w:hint="default" w:cs="Times New Roman"/>
          <w:iCs/>
          <w:kern w:val="0"/>
          <w:sz w:val="24"/>
          <w:szCs w:val="24"/>
          <w:u w:val="none"/>
          <w:lang w:val="en-US" w:eastAsia="zh-CN"/>
        </w:rPr>
        <w:t>给定水头边界</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a.地表水体：项目场地西</w:t>
      </w:r>
      <w:r>
        <w:rPr>
          <w:rFonts w:hint="eastAsia" w:cs="Times New Roman"/>
          <w:iCs/>
          <w:kern w:val="0"/>
          <w:sz w:val="24"/>
          <w:szCs w:val="24"/>
          <w:u w:val="none"/>
          <w:lang w:val="en-US" w:eastAsia="zh-CN"/>
        </w:rPr>
        <w:t>南</w:t>
      </w:r>
      <w:r>
        <w:rPr>
          <w:rFonts w:hint="default" w:cs="Times New Roman"/>
          <w:iCs/>
          <w:kern w:val="0"/>
          <w:sz w:val="24"/>
          <w:szCs w:val="24"/>
          <w:u w:val="none"/>
          <w:lang w:val="en-US" w:eastAsia="zh-CN"/>
        </w:rPr>
        <w:t>侧</w:t>
      </w:r>
      <w:r>
        <w:rPr>
          <w:rFonts w:hint="eastAsia" w:cs="Times New Roman"/>
          <w:iCs/>
          <w:kern w:val="0"/>
          <w:sz w:val="24"/>
          <w:szCs w:val="24"/>
          <w:u w:val="none"/>
          <w:lang w:val="en-US" w:eastAsia="zh-CN"/>
        </w:rPr>
        <w:t>东河</w:t>
      </w:r>
      <w:r>
        <w:rPr>
          <w:rFonts w:hint="default" w:cs="Times New Roman"/>
          <w:iCs/>
          <w:kern w:val="0"/>
          <w:sz w:val="24"/>
          <w:szCs w:val="24"/>
          <w:u w:val="none"/>
          <w:lang w:val="en-US" w:eastAsia="zh-CN"/>
        </w:rPr>
        <w:t>定位为定水头边界。</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b.井及水文地质钻孔：通过现场调查及资料收集获得水位资料，并根据该区域地下水动态变化规律利用空间插值获得更多边界数据。</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2 \* GB3 \* MERGEFORMAT </w:instrText>
      </w:r>
      <w:r>
        <w:rPr>
          <w:rFonts w:hint="default" w:cs="Times New Roman"/>
          <w:iCs/>
          <w:kern w:val="0"/>
          <w:sz w:val="24"/>
          <w:szCs w:val="24"/>
          <w:u w:val="none"/>
          <w:lang w:val="en-US" w:eastAsia="zh-CN"/>
        </w:rPr>
        <w:fldChar w:fldCharType="separate"/>
      </w:r>
      <w:r>
        <w:t>②</w:t>
      </w:r>
      <w:r>
        <w:rPr>
          <w:rFonts w:hint="default" w:cs="Times New Roman"/>
          <w:iCs/>
          <w:kern w:val="0"/>
          <w:sz w:val="24"/>
          <w:szCs w:val="24"/>
          <w:u w:val="none"/>
          <w:lang w:val="en-US" w:eastAsia="zh-CN"/>
        </w:rPr>
        <w:fldChar w:fldCharType="end"/>
      </w:r>
      <w:r>
        <w:rPr>
          <w:rFonts w:hint="default" w:cs="Times New Roman"/>
          <w:iCs/>
          <w:kern w:val="0"/>
          <w:sz w:val="24"/>
          <w:szCs w:val="24"/>
          <w:u w:val="none"/>
          <w:lang w:val="en-US" w:eastAsia="zh-CN"/>
        </w:rPr>
        <w:t>已知流量边界</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a.流量交换边界：模型的第四系区域顶边界为出露松散堆积物，通过该边界潜水与系统外发生垂向量交换主要为降水入渗补给、蒸发排泄以及人工开采等。</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b.零流量边界：相对隔水层作为系统下边界。</w:t>
      </w:r>
    </w:p>
    <w:tbl>
      <w:tblPr>
        <w:tblStyle w:val="58"/>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7" w:hRule="atLeast"/>
          <w:jc w:val="center"/>
        </w:trPr>
        <w:tc>
          <w:tcPr>
            <w:tcW w:w="8931" w:type="dxa"/>
            <w:noWrap w:val="0"/>
            <w:vAlign w:val="center"/>
          </w:tcPr>
          <w:p>
            <w:pPr>
              <w:keepNext w:val="0"/>
              <w:keepLines w:val="0"/>
              <w:suppressLineNumbers w:val="0"/>
              <w:spacing w:before="0" w:beforeAutospacing="0" w:after="0" w:afterAutospacing="0" w:line="240" w:lineRule="auto"/>
              <w:ind w:left="0" w:right="0" w:firstLine="480" w:firstLineChars="200"/>
              <w:jc w:val="center"/>
              <w:rPr>
                <w:rFonts w:hint="default" w:cs="Times New Roman"/>
                <w:iCs/>
                <w:kern w:val="0"/>
                <w:sz w:val="24"/>
                <w:szCs w:val="24"/>
                <w:u w:val="none"/>
                <w:lang w:val="en-US" w:eastAsia="zh-CN"/>
              </w:rPr>
            </w:pPr>
            <w:r>
              <w:rPr>
                <w:rFonts w:hint="default" w:cs="Times New Roman"/>
                <w:iCs/>
                <w:kern w:val="0"/>
                <w:sz w:val="24"/>
                <w:szCs w:val="24"/>
                <w:u w:val="none"/>
                <w:lang w:val="en-US" w:eastAsia="zh-CN"/>
              </w:rPr>
              <w:drawing>
                <wp:inline distT="0" distB="0" distL="114300" distR="114300">
                  <wp:extent cx="5528945" cy="2866390"/>
                  <wp:effectExtent l="0" t="0" r="14605" b="10160"/>
                  <wp:docPr id="48" name="图片 4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23"/>
                          <pic:cNvPicPr>
                            <a:picLocks noChangeAspect="1"/>
                          </pic:cNvPicPr>
                        </pic:nvPicPr>
                        <pic:blipFill>
                          <a:blip r:embed="rId254"/>
                          <a:stretch>
                            <a:fillRect/>
                          </a:stretch>
                        </pic:blipFill>
                        <pic:spPr>
                          <a:xfrm>
                            <a:off x="0" y="0"/>
                            <a:ext cx="5528945" cy="2866390"/>
                          </a:xfrm>
                          <a:prstGeom prst="rect">
                            <a:avLst/>
                          </a:prstGeom>
                        </pic:spPr>
                      </pic:pic>
                    </a:graphicData>
                  </a:graphic>
                </wp:inline>
              </w:drawing>
            </w:r>
          </w:p>
        </w:tc>
      </w:tr>
    </w:tbl>
    <w:p>
      <w:pPr>
        <w:pStyle w:val="352"/>
        <w:rPr>
          <w:rFonts w:hint="default"/>
          <w:b/>
          <w:bCs/>
          <w:u w:val="none"/>
          <w:lang w:val="en-US" w:eastAsia="zh-CN"/>
        </w:rPr>
      </w:pPr>
      <w:r>
        <w:rPr>
          <w:rFonts w:hint="eastAsia"/>
          <w:b/>
          <w:bCs/>
          <w:u w:val="none"/>
          <w:lang w:val="en-US" w:eastAsia="zh-CN"/>
        </w:rPr>
        <w:t xml:space="preserve">图8-8  </w:t>
      </w:r>
      <w:r>
        <w:rPr>
          <w:rFonts w:hint="default"/>
          <w:b/>
          <w:bCs/>
          <w:u w:val="none"/>
          <w:lang w:val="en-US" w:eastAsia="zh-CN"/>
        </w:rPr>
        <w:t>地下水模拟概化图</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2、</w:t>
      </w:r>
      <w:r>
        <w:rPr>
          <w:rFonts w:hint="default" w:cs="Times New Roman"/>
          <w:iCs/>
          <w:kern w:val="0"/>
          <w:sz w:val="24"/>
          <w:szCs w:val="24"/>
          <w:u w:val="none"/>
          <w:lang w:val="en-US" w:eastAsia="zh-CN"/>
        </w:rPr>
        <w:t>污染源概化</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本次预测主要预测调节池中产生的废水在非正常工况条件下发生泄漏，排放形式概化为点源，排放规律可简化为连续稳排放。</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3、</w:t>
      </w:r>
      <w:r>
        <w:rPr>
          <w:rFonts w:hint="default" w:cs="Times New Roman"/>
          <w:iCs/>
          <w:kern w:val="0"/>
          <w:sz w:val="24"/>
          <w:szCs w:val="24"/>
          <w:u w:val="none"/>
          <w:lang w:val="en-US" w:eastAsia="zh-CN"/>
        </w:rPr>
        <w:t>水文地质参数初始值的确定</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（1）</w:t>
      </w:r>
      <w:r>
        <w:rPr>
          <w:rFonts w:hint="default" w:cs="Times New Roman"/>
          <w:iCs/>
          <w:kern w:val="0"/>
          <w:sz w:val="24"/>
          <w:szCs w:val="24"/>
          <w:u w:val="none"/>
          <w:lang w:val="en-US" w:eastAsia="zh-CN"/>
        </w:rPr>
        <w:t>补给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根据广元市气象资料，多年平均降雨量900~1100mm。由于模拟范围较小，且为使模型简化且易于实现，本次未考虑地形地貌而造成降雨的不均匀分布特征，模拟区降雨均按多年平均降雨900mm。</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根据现场调查和中国地质调查局《地下水流数值模拟技术要求》，项目区地表主要为泥砂岩。参考粉质粘土的降雨入渗系数经验取值选取0.32。</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（2）</w:t>
      </w:r>
      <w:r>
        <w:rPr>
          <w:rFonts w:hint="default" w:cs="Times New Roman"/>
          <w:iCs/>
          <w:kern w:val="0"/>
          <w:sz w:val="24"/>
          <w:szCs w:val="24"/>
          <w:u w:val="none"/>
          <w:lang w:val="en-US" w:eastAsia="zh-CN"/>
        </w:rPr>
        <w:t>含水介质渗透性</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对于模型的不同层，不同区按照含水性进行水文地质参数赋值，模型涉及的主要参数渗透系数（K）值，参考区域水文地质报告相关地层渗透性特征及经验值、孔隙度选取经验值各参数在模型调试过程中有一定修正，模拟区相关地层水文地质参数取值如下表所示。</w:t>
      </w:r>
    </w:p>
    <w:p>
      <w:pPr>
        <w:pStyle w:val="352"/>
        <w:rPr>
          <w:rFonts w:hint="default"/>
          <w:b/>
          <w:bCs/>
          <w:u w:val="none"/>
          <w:lang w:val="en-US" w:eastAsia="zh-CN"/>
        </w:rPr>
      </w:pPr>
      <w:r>
        <w:rPr>
          <w:rFonts w:hint="default"/>
          <w:b/>
          <w:bCs/>
          <w:u w:val="none"/>
          <w:lang w:val="en-US" w:eastAsia="zh-CN"/>
        </w:rPr>
        <w:t>表</w:t>
      </w:r>
      <w:r>
        <w:rPr>
          <w:rFonts w:hint="eastAsia"/>
          <w:b/>
          <w:bCs/>
          <w:u w:val="none"/>
          <w:lang w:val="en-US" w:eastAsia="zh-CN"/>
        </w:rPr>
        <w:t xml:space="preserve">8-24  </w:t>
      </w:r>
      <w:r>
        <w:rPr>
          <w:rFonts w:hint="default"/>
          <w:b/>
          <w:bCs/>
          <w:u w:val="none"/>
          <w:lang w:val="en-US" w:eastAsia="zh-CN"/>
        </w:rPr>
        <w:t>模拟区模型水文地质参数取值表</w:t>
      </w:r>
    </w:p>
    <w:tbl>
      <w:tblPr>
        <w:tblStyle w:val="58"/>
        <w:tblW w:w="8958"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57" w:type="dxa"/>
          <w:bottom w:w="0" w:type="dxa"/>
          <w:right w:w="57" w:type="dxa"/>
        </w:tblCellMar>
      </w:tblPr>
      <w:tblGrid>
        <w:gridCol w:w="1474"/>
        <w:gridCol w:w="1577"/>
        <w:gridCol w:w="2644"/>
        <w:gridCol w:w="326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blHeade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地层参数</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第一层（中等含水层）</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第二层（</w:t>
            </w:r>
            <w:r>
              <w:rPr>
                <w:rFonts w:hint="eastAsia"/>
                <w:lang w:val="en-US" w:eastAsia="zh-CN"/>
              </w:rPr>
              <w:t>弱透水层</w:t>
            </w: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1474"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渗透系数（m/d）</w:t>
            </w:r>
          </w:p>
        </w:tc>
        <w:tc>
          <w:tcPr>
            <w:tcW w:w="1577"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Kx</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0.1</w:t>
            </w:r>
            <w:r>
              <w:rPr>
                <w:rFonts w:hint="eastAsia"/>
                <w:b w:val="0"/>
                <w:bCs/>
                <w:lang w:val="en-US" w:eastAsia="zh-CN"/>
              </w:rPr>
              <w:t>5</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w:t>
            </w:r>
            <w:r>
              <w:rPr>
                <w:rFonts w:hint="eastAsia"/>
                <w:b w:val="0"/>
                <w:bCs/>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147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577"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Ky</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0.1</w:t>
            </w:r>
            <w:r>
              <w:rPr>
                <w:rFonts w:hint="eastAsia"/>
                <w:b w:val="0"/>
                <w:bCs/>
                <w:lang w:val="en-US" w:eastAsia="zh-CN"/>
              </w:rPr>
              <w:t>5</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w:t>
            </w:r>
            <w:r>
              <w:rPr>
                <w:rFonts w:hint="eastAsia"/>
                <w:b w:val="0"/>
                <w:bCs/>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147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577"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Kz</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0.012</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0.00</w:t>
            </w:r>
            <w:r>
              <w:rPr>
                <w:rFonts w:hint="eastAsia"/>
                <w:b w:val="0"/>
                <w:bCs/>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纵向弥散系数（m/d）</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10</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横向弥散系数（m/d）</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纵向弥散系数（m</w:t>
            </w:r>
            <w:r>
              <w:rPr>
                <w:rFonts w:hint="default"/>
                <w:b w:val="0"/>
                <w:bCs/>
                <w:vertAlign w:val="superscript"/>
                <w:lang w:val="en-US" w:eastAsia="zh-CN"/>
              </w:rPr>
              <w:t>2</w:t>
            </w:r>
            <w:r>
              <w:rPr>
                <w:rFonts w:hint="default"/>
                <w:b w:val="0"/>
                <w:bCs/>
                <w:lang w:val="en-US" w:eastAsia="zh-CN"/>
              </w:rPr>
              <w:t>/d）</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0.3</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横向弥散系数（m</w:t>
            </w:r>
            <w:r>
              <w:rPr>
                <w:rFonts w:hint="default"/>
                <w:b w:val="0"/>
                <w:bCs/>
                <w:vertAlign w:val="superscript"/>
                <w:lang w:val="en-US" w:eastAsia="zh-CN"/>
              </w:rPr>
              <w:t>2</w:t>
            </w:r>
            <w:r>
              <w:rPr>
                <w:rFonts w:hint="default"/>
                <w:b w:val="0"/>
                <w:bCs/>
                <w:lang w:val="en-US" w:eastAsia="zh-CN"/>
              </w:rPr>
              <w:t>/d）</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0.03</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jc w:val="center"/>
        </w:trPr>
        <w:tc>
          <w:tcPr>
            <w:tcW w:w="3051" w:type="dxa"/>
            <w:gridSpan w:val="2"/>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有效孔隙度（Eff.Por）</w:t>
            </w:r>
          </w:p>
        </w:tc>
        <w:tc>
          <w:tcPr>
            <w:tcW w:w="264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0.1</w:t>
            </w:r>
          </w:p>
        </w:tc>
        <w:tc>
          <w:tcPr>
            <w:tcW w:w="3263"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0.01</w:t>
            </w:r>
          </w:p>
        </w:tc>
      </w:tr>
    </w:tbl>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4、</w:t>
      </w:r>
      <w:r>
        <w:rPr>
          <w:rFonts w:hint="default" w:cs="Times New Roman"/>
          <w:iCs/>
          <w:kern w:val="0"/>
          <w:sz w:val="24"/>
          <w:szCs w:val="24"/>
          <w:u w:val="none"/>
          <w:lang w:val="en-US" w:eastAsia="zh-CN"/>
        </w:rPr>
        <w:t>初始流场的建立</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本</w:t>
      </w:r>
      <w:r>
        <w:rPr>
          <w:rFonts w:hint="default" w:cs="Times New Roman"/>
          <w:iCs/>
          <w:kern w:val="0"/>
          <w:sz w:val="24"/>
          <w:szCs w:val="24"/>
          <w:u w:val="none"/>
          <w:lang w:val="en-US" w:eastAsia="zh-CN"/>
        </w:rPr>
        <w:t>项目区物理模型建立后，首先对初始渗流场进行拟合，对初始渗流场的各个参数进行校正。对模型进行稳定流计算，计算周期为</w:t>
      </w:r>
      <w:r>
        <w:rPr>
          <w:rFonts w:hint="eastAsia" w:cs="Times New Roman"/>
          <w:iCs/>
          <w:kern w:val="0"/>
          <w:sz w:val="24"/>
          <w:szCs w:val="24"/>
          <w:u w:val="none"/>
          <w:lang w:val="en-US" w:eastAsia="zh-CN"/>
        </w:rPr>
        <w:t>20</w:t>
      </w:r>
      <w:r>
        <w:rPr>
          <w:rFonts w:hint="default" w:cs="Times New Roman"/>
          <w:iCs/>
          <w:kern w:val="0"/>
          <w:sz w:val="24"/>
          <w:szCs w:val="24"/>
          <w:u w:val="none"/>
          <w:lang w:val="en-US" w:eastAsia="zh-CN"/>
        </w:rPr>
        <w:t>年。拟建项目区天然渗流场见下图。</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iCs/>
                <w:kern w:val="0"/>
                <w:sz w:val="24"/>
                <w:szCs w:val="24"/>
                <w:u w:val="none"/>
                <w:lang w:val="en-US" w:eastAsia="zh-CN"/>
              </w:rPr>
            </w:pPr>
            <w:r>
              <w:rPr>
                <w:rFonts w:hint="default" w:cs="Times New Roman"/>
                <w:iCs/>
                <w:kern w:val="0"/>
                <w:sz w:val="24"/>
                <w:szCs w:val="24"/>
                <w:u w:val="none"/>
                <w:lang w:val="en-US" w:eastAsia="zh-CN"/>
              </w:rPr>
              <w:drawing>
                <wp:inline distT="0" distB="0" distL="114300" distR="114300">
                  <wp:extent cx="5610860" cy="3218815"/>
                  <wp:effectExtent l="0" t="0" r="8890" b="635"/>
                  <wp:docPr id="49" name="图片 49" descr="天然渗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天然渗流场"/>
                          <pic:cNvPicPr>
                            <a:picLocks noChangeAspect="1"/>
                          </pic:cNvPicPr>
                        </pic:nvPicPr>
                        <pic:blipFill>
                          <a:blip r:embed="rId255"/>
                          <a:stretch>
                            <a:fillRect/>
                          </a:stretch>
                        </pic:blipFill>
                        <pic:spPr>
                          <a:xfrm>
                            <a:off x="0" y="0"/>
                            <a:ext cx="5610860" cy="3218815"/>
                          </a:xfrm>
                          <a:prstGeom prst="rect">
                            <a:avLst/>
                          </a:prstGeom>
                        </pic:spPr>
                      </pic:pic>
                    </a:graphicData>
                  </a:graphic>
                </wp:inline>
              </w:drawing>
            </w:r>
          </w:p>
        </w:tc>
      </w:tr>
    </w:tbl>
    <w:p>
      <w:pPr>
        <w:pStyle w:val="352"/>
        <w:rPr>
          <w:rFonts w:hint="default"/>
          <w:b/>
          <w:bCs/>
          <w:u w:val="none"/>
          <w:lang w:val="en-US" w:eastAsia="zh-CN"/>
        </w:rPr>
      </w:pPr>
      <w:r>
        <w:rPr>
          <w:rFonts w:hint="eastAsia"/>
          <w:b/>
          <w:bCs/>
          <w:u w:val="none"/>
          <w:lang w:val="en-US" w:eastAsia="zh-CN"/>
        </w:rPr>
        <w:t xml:space="preserve">图8-9  </w:t>
      </w:r>
      <w:r>
        <w:rPr>
          <w:rFonts w:hint="default"/>
          <w:b/>
          <w:bCs/>
          <w:u w:val="none"/>
          <w:lang w:val="en-US" w:eastAsia="zh-CN"/>
        </w:rPr>
        <w:t>地下水</w:t>
      </w:r>
      <w:r>
        <w:rPr>
          <w:rFonts w:hint="eastAsia"/>
          <w:b/>
          <w:bCs/>
          <w:u w:val="none"/>
          <w:lang w:val="en-US" w:eastAsia="zh-CN"/>
        </w:rPr>
        <w:t>渗流场</w:t>
      </w:r>
      <w:r>
        <w:rPr>
          <w:rFonts w:hint="default"/>
          <w:b/>
          <w:bCs/>
          <w:u w:val="none"/>
          <w:lang w:val="en-US" w:eastAsia="zh-CN"/>
        </w:rPr>
        <w:t>模拟概化图</w:t>
      </w:r>
    </w:p>
    <w:p>
      <w:pPr>
        <w:spacing w:line="360" w:lineRule="auto"/>
        <w:ind w:firstLine="482" w:firstLineChars="200"/>
        <w:jc w:val="left"/>
        <w:rPr>
          <w:rFonts w:hint="eastAsia" w:cs="Times New Roman"/>
          <w:b/>
          <w:bCs/>
          <w:iCs/>
          <w:kern w:val="0"/>
          <w:sz w:val="24"/>
          <w:szCs w:val="24"/>
          <w:u w:val="none"/>
          <w:lang w:val="en-US" w:eastAsia="zh-CN"/>
        </w:rPr>
      </w:pPr>
      <w:r>
        <w:rPr>
          <w:rFonts w:hint="eastAsia" w:cs="Times New Roman"/>
          <w:b/>
          <w:bCs/>
          <w:iCs/>
          <w:kern w:val="0"/>
          <w:sz w:val="24"/>
          <w:szCs w:val="24"/>
          <w:u w:val="none"/>
          <w:lang w:val="en-US" w:eastAsia="zh-CN"/>
        </w:rPr>
        <w:t>九、地下水环境影响预测结果分析</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运营期运算时将污染物以面源形式添加于评价范围内</w:t>
      </w:r>
      <w:r>
        <w:rPr>
          <w:rFonts w:hint="eastAsia" w:cs="Times New Roman"/>
          <w:iCs/>
          <w:kern w:val="0"/>
          <w:sz w:val="24"/>
          <w:szCs w:val="24"/>
          <w:u w:val="none"/>
          <w:lang w:val="en-US" w:eastAsia="zh-CN"/>
        </w:rPr>
        <w:t>，</w:t>
      </w:r>
      <w:r>
        <w:rPr>
          <w:rFonts w:hint="default" w:cs="Times New Roman"/>
          <w:iCs/>
          <w:kern w:val="0"/>
          <w:sz w:val="24"/>
          <w:szCs w:val="24"/>
          <w:u w:val="none"/>
          <w:lang w:val="en-US" w:eastAsia="zh-CN"/>
        </w:rPr>
        <w:t>考虑到项目区污染只可能对项目区下游方向（</w:t>
      </w:r>
      <w:r>
        <w:rPr>
          <w:rFonts w:hint="eastAsia" w:cs="Times New Roman"/>
          <w:iCs/>
          <w:kern w:val="0"/>
          <w:sz w:val="24"/>
          <w:szCs w:val="24"/>
          <w:u w:val="none"/>
          <w:lang w:val="en-US" w:eastAsia="zh-CN"/>
        </w:rPr>
        <w:t>东河</w:t>
      </w:r>
      <w:r>
        <w:rPr>
          <w:rFonts w:hint="default" w:cs="Times New Roman"/>
          <w:iCs/>
          <w:kern w:val="0"/>
          <w:sz w:val="24"/>
          <w:szCs w:val="24"/>
          <w:u w:val="none"/>
          <w:lang w:val="en-US" w:eastAsia="zh-CN"/>
        </w:rPr>
        <w:t>）产生影响，因此，污染物预测结果以拟建项目区下游（</w:t>
      </w:r>
      <w:r>
        <w:rPr>
          <w:rFonts w:hint="eastAsia" w:cs="Times New Roman"/>
          <w:iCs/>
          <w:kern w:val="0"/>
          <w:sz w:val="24"/>
          <w:szCs w:val="24"/>
          <w:u w:val="none"/>
          <w:lang w:val="en-US" w:eastAsia="zh-CN"/>
        </w:rPr>
        <w:t>东河</w:t>
      </w:r>
      <w:r>
        <w:rPr>
          <w:rFonts w:hint="default" w:cs="Times New Roman"/>
          <w:iCs/>
          <w:kern w:val="0"/>
          <w:sz w:val="24"/>
          <w:szCs w:val="24"/>
          <w:u w:val="none"/>
          <w:lang w:val="en-US" w:eastAsia="zh-CN"/>
        </w:rPr>
        <w:t>）作为主要输出区域。本次预测持续泄露的状况下，预测运用软件中的MODFLOW及MT3DMS模块对COD及NH3-N进行预测分析。</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1、</w:t>
      </w:r>
      <w:r>
        <w:rPr>
          <w:rFonts w:hint="default" w:cs="Times New Roman"/>
          <w:iCs/>
          <w:kern w:val="0"/>
          <w:sz w:val="24"/>
          <w:szCs w:val="24"/>
          <w:u w:val="none"/>
          <w:lang w:val="en-US" w:eastAsia="zh-CN"/>
        </w:rPr>
        <w:t>非正常工况下COD预测结果见下图</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2734945" cy="1831340"/>
                  <wp:effectExtent l="0" t="0" r="8255" b="16510"/>
                  <wp:docPr id="39" name="图片 39" descr="730d（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30d（COD）"/>
                          <pic:cNvPicPr>
                            <a:picLocks noChangeAspect="1"/>
                          </pic:cNvPicPr>
                        </pic:nvPicPr>
                        <pic:blipFill>
                          <a:blip r:embed="rId256"/>
                          <a:stretch>
                            <a:fillRect/>
                          </a:stretch>
                        </pic:blipFill>
                        <pic:spPr>
                          <a:xfrm>
                            <a:off x="0" y="0"/>
                            <a:ext cx="2734945" cy="1831340"/>
                          </a:xfrm>
                          <a:prstGeom prst="rect">
                            <a:avLst/>
                          </a:prstGeom>
                        </pic:spPr>
                      </pic:pic>
                    </a:graphicData>
                  </a:graphic>
                </wp:inline>
              </w:drawing>
            </w:r>
          </w:p>
        </w:tc>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2346960" cy="1832610"/>
                  <wp:effectExtent l="0" t="0" r="15240" b="15240"/>
                  <wp:docPr id="40" name="图片 40" descr="2190d（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190d（COD)"/>
                          <pic:cNvPicPr>
                            <a:picLocks noChangeAspect="1"/>
                          </pic:cNvPicPr>
                        </pic:nvPicPr>
                        <pic:blipFill>
                          <a:blip r:embed="rId257"/>
                          <a:stretch>
                            <a:fillRect/>
                          </a:stretch>
                        </pic:blipFill>
                        <pic:spPr>
                          <a:xfrm>
                            <a:off x="0" y="0"/>
                            <a:ext cx="2346960" cy="1832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非正常工况时COD运移分布图（</w:t>
            </w:r>
            <w:r>
              <w:rPr>
                <w:rFonts w:hint="eastAsia"/>
                <w:lang w:val="en-US" w:eastAsia="zh-CN"/>
              </w:rPr>
              <w:t>730</w:t>
            </w:r>
            <w:r>
              <w:rPr>
                <w:rFonts w:hint="default"/>
                <w:lang w:val="en-US" w:eastAsia="zh-CN"/>
              </w:rPr>
              <w:t>d）</w:t>
            </w:r>
          </w:p>
        </w:tc>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非正常工况时COD运移分布图（</w:t>
            </w:r>
            <w:r>
              <w:rPr>
                <w:rFonts w:hint="eastAsia"/>
                <w:lang w:val="en-US" w:eastAsia="zh-CN"/>
              </w:rPr>
              <w:t>2190</w:t>
            </w:r>
            <w:r>
              <w:rPr>
                <w:rFonts w:hint="default"/>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2467610" cy="1832610"/>
                  <wp:effectExtent l="0" t="0" r="8890" b="15240"/>
                  <wp:docPr id="41" name="图片 41" descr="3650d（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650d（COD）"/>
                          <pic:cNvPicPr>
                            <a:picLocks noChangeAspect="1"/>
                          </pic:cNvPicPr>
                        </pic:nvPicPr>
                        <pic:blipFill>
                          <a:blip r:embed="rId258"/>
                          <a:stretch>
                            <a:fillRect/>
                          </a:stretch>
                        </pic:blipFill>
                        <pic:spPr>
                          <a:xfrm>
                            <a:off x="0" y="0"/>
                            <a:ext cx="2467610" cy="1832610"/>
                          </a:xfrm>
                          <a:prstGeom prst="rect">
                            <a:avLst/>
                          </a:prstGeom>
                        </pic:spPr>
                      </pic:pic>
                    </a:graphicData>
                  </a:graphic>
                </wp:inline>
              </w:drawing>
            </w:r>
          </w:p>
        </w:tc>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2600960" cy="1832610"/>
                  <wp:effectExtent l="0" t="0" r="8890" b="15240"/>
                  <wp:docPr id="42" name="图片 42" descr="73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300d"/>
                          <pic:cNvPicPr>
                            <a:picLocks noChangeAspect="1"/>
                          </pic:cNvPicPr>
                        </pic:nvPicPr>
                        <pic:blipFill>
                          <a:blip r:embed="rId259"/>
                          <a:stretch>
                            <a:fillRect/>
                          </a:stretch>
                        </pic:blipFill>
                        <pic:spPr>
                          <a:xfrm>
                            <a:off x="0" y="0"/>
                            <a:ext cx="2600960" cy="1832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非正常工况时COD运移分布图（</w:t>
            </w:r>
            <w:r>
              <w:rPr>
                <w:rFonts w:hint="eastAsia"/>
                <w:lang w:val="en-US" w:eastAsia="zh-CN"/>
              </w:rPr>
              <w:t>3650d</w:t>
            </w:r>
            <w:r>
              <w:rPr>
                <w:rFonts w:hint="default"/>
                <w:lang w:val="en-US" w:eastAsia="zh-CN"/>
              </w:rPr>
              <w:t>）</w:t>
            </w:r>
          </w:p>
        </w:tc>
        <w:tc>
          <w:tcPr>
            <w:tcW w:w="4530" w:type="dxa"/>
            <w:noWrap w:val="0"/>
            <w:vAlign w:val="center"/>
          </w:tcPr>
          <w:p>
            <w:pPr>
              <w:pStyle w:val="352"/>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非正常工况时COD运移分布图（</w:t>
            </w:r>
            <w:r>
              <w:rPr>
                <w:rFonts w:hint="eastAsia"/>
                <w:lang w:val="en-US" w:eastAsia="zh-CN"/>
              </w:rPr>
              <w:t>7300d</w:t>
            </w:r>
            <w:r>
              <w:rPr>
                <w:rFonts w:hint="default"/>
                <w:lang w:val="en-US" w:eastAsia="zh-CN"/>
              </w:rPr>
              <w:t>）</w:t>
            </w:r>
          </w:p>
        </w:tc>
      </w:tr>
    </w:tbl>
    <w:p>
      <w:pPr>
        <w:pStyle w:val="352"/>
        <w:rPr>
          <w:rFonts w:hint="default"/>
          <w:b/>
          <w:bCs/>
          <w:u w:val="none"/>
          <w:lang w:val="en-US" w:eastAsia="zh-CN"/>
        </w:rPr>
      </w:pPr>
      <w:r>
        <w:rPr>
          <w:rFonts w:hint="eastAsia"/>
          <w:b/>
          <w:bCs/>
          <w:u w:val="none"/>
          <w:lang w:val="en-US" w:eastAsia="zh-CN"/>
        </w:rPr>
        <w:t xml:space="preserve">图8-10  </w:t>
      </w:r>
      <w:r>
        <w:rPr>
          <w:rFonts w:hint="default"/>
          <w:b/>
          <w:bCs/>
          <w:u w:val="none"/>
          <w:lang w:val="en-US" w:eastAsia="zh-CN"/>
        </w:rPr>
        <w:t>非正常工况下COD运移分布图</w:t>
      </w:r>
    </w:p>
    <w:p>
      <w:pPr>
        <w:spacing w:line="360" w:lineRule="auto"/>
        <w:ind w:firstLine="480" w:firstLineChars="200"/>
        <w:jc w:val="left"/>
        <w:rPr>
          <w:rFonts w:hint="default" w:cs="Times New Roman"/>
          <w:iCs/>
          <w:kern w:val="0"/>
          <w:sz w:val="24"/>
          <w:szCs w:val="24"/>
          <w:u w:val="none"/>
          <w:lang w:val="en-US" w:eastAsia="zh-CN"/>
        </w:rPr>
      </w:pPr>
      <w:r>
        <w:rPr>
          <w:rFonts w:hint="eastAsia" w:cs="Times New Roman"/>
          <w:iCs/>
          <w:kern w:val="0"/>
          <w:sz w:val="24"/>
          <w:szCs w:val="24"/>
          <w:u w:val="none"/>
          <w:lang w:val="en-US" w:eastAsia="zh-CN"/>
        </w:rPr>
        <w:t>2、</w:t>
      </w:r>
      <w:r>
        <w:rPr>
          <w:rFonts w:hint="default" w:cs="Times New Roman"/>
          <w:iCs/>
          <w:kern w:val="0"/>
          <w:sz w:val="24"/>
          <w:szCs w:val="24"/>
          <w:u w:val="none"/>
          <w:lang w:val="en-US" w:eastAsia="zh-CN"/>
        </w:rPr>
        <w:t>非正常工况下NH</w:t>
      </w:r>
      <w:r>
        <w:rPr>
          <w:rFonts w:hint="default" w:cs="Times New Roman"/>
          <w:iCs/>
          <w:kern w:val="0"/>
          <w:sz w:val="24"/>
          <w:szCs w:val="24"/>
          <w:u w:val="none"/>
          <w:vertAlign w:val="subscript"/>
          <w:lang w:val="en-US" w:eastAsia="zh-CN"/>
        </w:rPr>
        <w:t>3</w:t>
      </w:r>
      <w:r>
        <w:rPr>
          <w:rFonts w:hint="default" w:cs="Times New Roman"/>
          <w:iCs/>
          <w:kern w:val="0"/>
          <w:sz w:val="24"/>
          <w:szCs w:val="24"/>
          <w:u w:val="none"/>
          <w:lang w:val="en-US" w:eastAsia="zh-CN"/>
        </w:rPr>
        <w:t>-N预测结果见下图</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2738755" cy="1493520"/>
                  <wp:effectExtent l="0" t="0" r="4445" b="11430"/>
                  <wp:docPr id="43" name="图片 43" descr="730d（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30d（氨氮）"/>
                          <pic:cNvPicPr>
                            <a:picLocks noChangeAspect="1"/>
                          </pic:cNvPicPr>
                        </pic:nvPicPr>
                        <pic:blipFill>
                          <a:blip r:embed="rId260"/>
                          <a:stretch>
                            <a:fillRect/>
                          </a:stretch>
                        </pic:blipFill>
                        <pic:spPr>
                          <a:xfrm>
                            <a:off x="0" y="0"/>
                            <a:ext cx="2738755" cy="1493520"/>
                          </a:xfrm>
                          <a:prstGeom prst="rect">
                            <a:avLst/>
                          </a:prstGeom>
                        </pic:spPr>
                      </pic:pic>
                    </a:graphicData>
                  </a:graphic>
                </wp:inline>
              </w:drawing>
            </w:r>
          </w:p>
        </w:tc>
        <w:tc>
          <w:tcPr>
            <w:tcW w:w="4530" w:type="dxa"/>
            <w:noWrap w:val="0"/>
            <w:vAlign w:val="top"/>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2341880" cy="1494155"/>
                  <wp:effectExtent l="0" t="0" r="1270" b="10795"/>
                  <wp:docPr id="44" name="图片 44" descr="2190d（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190d（氨氮）"/>
                          <pic:cNvPicPr>
                            <a:picLocks noChangeAspect="1"/>
                          </pic:cNvPicPr>
                        </pic:nvPicPr>
                        <pic:blipFill>
                          <a:blip r:embed="rId261"/>
                          <a:stretch>
                            <a:fillRect/>
                          </a:stretch>
                        </pic:blipFill>
                        <pic:spPr>
                          <a:xfrm>
                            <a:off x="0" y="0"/>
                            <a:ext cx="2341880" cy="149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非正常工况时氨氮运移分布图（</w:t>
            </w:r>
            <w:r>
              <w:rPr>
                <w:rFonts w:hint="eastAsia"/>
                <w:lang w:val="en-US" w:eastAsia="zh-CN"/>
              </w:rPr>
              <w:t>730</w:t>
            </w:r>
            <w:r>
              <w:rPr>
                <w:rFonts w:hint="default"/>
                <w:lang w:val="en-US" w:eastAsia="zh-CN"/>
              </w:rPr>
              <w:t>d）</w:t>
            </w:r>
          </w:p>
        </w:tc>
        <w:tc>
          <w:tcPr>
            <w:tcW w:w="4530" w:type="dxa"/>
            <w:noWrap w:val="0"/>
            <w:vAlign w:val="top"/>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非正常工况时氨氮运移分布图（</w:t>
            </w:r>
            <w:r>
              <w:rPr>
                <w:rFonts w:hint="eastAsia"/>
                <w:lang w:val="en-US" w:eastAsia="zh-CN"/>
              </w:rPr>
              <w:t>2190</w:t>
            </w:r>
            <w:r>
              <w:rPr>
                <w:rFonts w:hint="default"/>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2464435" cy="1494155"/>
                  <wp:effectExtent l="0" t="0" r="12065" b="10795"/>
                  <wp:docPr id="45" name="图片 45" descr="3650d（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650d（氨氮）"/>
                          <pic:cNvPicPr>
                            <a:picLocks noChangeAspect="1"/>
                          </pic:cNvPicPr>
                        </pic:nvPicPr>
                        <pic:blipFill>
                          <a:blip r:embed="rId262"/>
                          <a:stretch>
                            <a:fillRect/>
                          </a:stretch>
                        </pic:blipFill>
                        <pic:spPr>
                          <a:xfrm>
                            <a:off x="0" y="0"/>
                            <a:ext cx="2464435" cy="1494155"/>
                          </a:xfrm>
                          <a:prstGeom prst="rect">
                            <a:avLst/>
                          </a:prstGeom>
                        </pic:spPr>
                      </pic:pic>
                    </a:graphicData>
                  </a:graphic>
                </wp:inline>
              </w:drawing>
            </w:r>
          </w:p>
        </w:tc>
        <w:tc>
          <w:tcPr>
            <w:tcW w:w="4530" w:type="dxa"/>
            <w:noWrap w:val="0"/>
            <w:vAlign w:val="top"/>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2863215" cy="1494155"/>
                  <wp:effectExtent l="0" t="0" r="13335" b="10795"/>
                  <wp:docPr id="46" name="图片 46" descr="7300d（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00d（氨氮）"/>
                          <pic:cNvPicPr>
                            <a:picLocks noChangeAspect="1"/>
                          </pic:cNvPicPr>
                        </pic:nvPicPr>
                        <pic:blipFill>
                          <a:blip r:embed="rId263"/>
                          <a:stretch>
                            <a:fillRect/>
                          </a:stretch>
                        </pic:blipFill>
                        <pic:spPr>
                          <a:xfrm>
                            <a:off x="0" y="0"/>
                            <a:ext cx="2863215" cy="149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非正常工况时氨氮运移分布图（</w:t>
            </w:r>
            <w:r>
              <w:rPr>
                <w:rFonts w:hint="eastAsia"/>
                <w:lang w:val="en-US" w:eastAsia="zh-CN"/>
              </w:rPr>
              <w:t>3650d</w:t>
            </w:r>
            <w:r>
              <w:rPr>
                <w:rFonts w:hint="default"/>
                <w:lang w:val="en-US" w:eastAsia="zh-CN"/>
              </w:rPr>
              <w:t>）</w:t>
            </w:r>
          </w:p>
        </w:tc>
        <w:tc>
          <w:tcPr>
            <w:tcW w:w="4530" w:type="dxa"/>
            <w:noWrap w:val="0"/>
            <w:vAlign w:val="top"/>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非正常工况时氨氮运移分布图（</w:t>
            </w:r>
            <w:r>
              <w:rPr>
                <w:rFonts w:hint="eastAsia"/>
                <w:lang w:val="en-US" w:eastAsia="zh-CN"/>
              </w:rPr>
              <w:t>7300d</w:t>
            </w:r>
            <w:r>
              <w:rPr>
                <w:rFonts w:hint="default"/>
                <w:lang w:val="en-US" w:eastAsia="zh-CN"/>
              </w:rPr>
              <w:t>）</w:t>
            </w:r>
          </w:p>
        </w:tc>
      </w:tr>
    </w:tbl>
    <w:p>
      <w:pPr>
        <w:pStyle w:val="352"/>
        <w:rPr>
          <w:rFonts w:hint="default"/>
          <w:b/>
          <w:bCs/>
          <w:u w:val="none"/>
          <w:lang w:val="en-US" w:eastAsia="zh-CN"/>
        </w:rPr>
      </w:pPr>
      <w:r>
        <w:rPr>
          <w:rFonts w:hint="eastAsia"/>
          <w:b/>
          <w:bCs/>
          <w:u w:val="none"/>
          <w:lang w:val="en-US" w:eastAsia="zh-CN"/>
        </w:rPr>
        <w:t xml:space="preserve">图8-11  </w:t>
      </w:r>
      <w:r>
        <w:rPr>
          <w:rFonts w:hint="default"/>
          <w:b/>
          <w:bCs/>
          <w:u w:val="none"/>
          <w:lang w:val="en-US" w:eastAsia="zh-CN"/>
        </w:rPr>
        <w:t>非正常工况下氨氮运移分布图</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通过以上模拟结果，将《地下水质量标准》（GB/T14848-2017）</w:t>
      </w:r>
      <w:r>
        <w:rPr>
          <w:rFonts w:hint="default" w:cs="Times New Roman"/>
          <w:iCs/>
          <w:kern w:val="0"/>
          <w:sz w:val="24"/>
          <w:szCs w:val="24"/>
          <w:u w:val="none"/>
          <w:lang w:val="en-US" w:eastAsia="zh-CN"/>
        </w:rPr>
        <w:fldChar w:fldCharType="begin"/>
      </w:r>
      <w:r>
        <w:rPr>
          <w:rFonts w:hint="default" w:cs="Times New Roman"/>
          <w:iCs/>
          <w:kern w:val="0"/>
          <w:sz w:val="24"/>
          <w:szCs w:val="24"/>
          <w:u w:val="none"/>
          <w:lang w:val="en-US" w:eastAsia="zh-CN"/>
        </w:rPr>
        <w:instrText xml:space="preserve"> = 3 \* ROMAN </w:instrText>
      </w:r>
      <w:r>
        <w:rPr>
          <w:rFonts w:hint="default" w:cs="Times New Roman"/>
          <w:iCs/>
          <w:kern w:val="0"/>
          <w:sz w:val="24"/>
          <w:szCs w:val="24"/>
          <w:u w:val="none"/>
          <w:lang w:val="en-US" w:eastAsia="zh-CN"/>
        </w:rPr>
        <w:fldChar w:fldCharType="separate"/>
      </w:r>
      <w:r>
        <w:rPr>
          <w:rFonts w:hint="default" w:cs="Times New Roman"/>
          <w:iCs/>
          <w:kern w:val="0"/>
          <w:sz w:val="24"/>
          <w:szCs w:val="24"/>
          <w:u w:val="none"/>
          <w:lang w:val="en-US" w:eastAsia="zh-CN"/>
        </w:rPr>
        <w:t>III</w:t>
      </w:r>
      <w:r>
        <w:rPr>
          <w:rFonts w:hint="default" w:cs="Times New Roman"/>
          <w:iCs/>
          <w:kern w:val="0"/>
          <w:sz w:val="24"/>
          <w:szCs w:val="24"/>
          <w:u w:val="none"/>
          <w:lang w:val="en-US" w:eastAsia="zh-CN"/>
        </w:rPr>
        <w:fldChar w:fldCharType="end"/>
      </w:r>
      <w:r>
        <w:rPr>
          <w:rFonts w:hint="default" w:cs="Times New Roman"/>
          <w:iCs/>
          <w:kern w:val="0"/>
          <w:sz w:val="24"/>
          <w:szCs w:val="24"/>
          <w:u w:val="none"/>
          <w:lang w:val="en-US" w:eastAsia="zh-CN"/>
        </w:rPr>
        <w:t>类限值的CODmn（3.0mg/L）、NH3-N（0.5mg/L）作为超标范围。</w:t>
      </w:r>
      <w:r>
        <w:rPr>
          <w:rFonts w:hint="eastAsia" w:cs="Times New Roman"/>
          <w:iCs/>
          <w:kern w:val="0"/>
          <w:sz w:val="24"/>
          <w:szCs w:val="24"/>
          <w:u w:val="none"/>
          <w:lang w:val="en-US" w:eastAsia="zh-CN"/>
        </w:rPr>
        <w:t>本项目</w:t>
      </w:r>
      <w:r>
        <w:rPr>
          <w:rFonts w:hint="default" w:cs="Times New Roman"/>
          <w:iCs/>
          <w:kern w:val="0"/>
          <w:sz w:val="24"/>
          <w:szCs w:val="24"/>
          <w:u w:val="none"/>
          <w:lang w:val="en-US" w:eastAsia="zh-CN"/>
        </w:rPr>
        <w:t>非正常工况下COD、NH3-N、污染影响特征情况见下表所示。</w:t>
      </w:r>
    </w:p>
    <w:p>
      <w:pPr>
        <w:pStyle w:val="352"/>
        <w:rPr>
          <w:rFonts w:hint="default"/>
          <w:b/>
          <w:bCs/>
          <w:u w:val="none"/>
          <w:lang w:val="en-US" w:eastAsia="zh-CN"/>
        </w:rPr>
      </w:pPr>
      <w:r>
        <w:rPr>
          <w:rFonts w:hint="default"/>
          <w:b/>
          <w:bCs/>
          <w:u w:val="none"/>
          <w:lang w:val="en-US" w:eastAsia="zh-CN"/>
        </w:rPr>
        <w:t>表</w:t>
      </w:r>
      <w:r>
        <w:rPr>
          <w:rFonts w:hint="eastAsia"/>
          <w:b/>
          <w:bCs/>
          <w:u w:val="none"/>
          <w:lang w:val="en-US" w:eastAsia="zh-CN"/>
        </w:rPr>
        <w:t xml:space="preserve">8-25  </w:t>
      </w:r>
      <w:r>
        <w:rPr>
          <w:rFonts w:hint="default"/>
          <w:b/>
          <w:bCs/>
          <w:u w:val="none"/>
          <w:lang w:val="en-US" w:eastAsia="zh-CN"/>
        </w:rPr>
        <w:t>COD、NH</w:t>
      </w:r>
      <w:r>
        <w:rPr>
          <w:rFonts w:hint="default"/>
          <w:b/>
          <w:bCs/>
          <w:u w:val="none"/>
          <w:vertAlign w:val="subscript"/>
          <w:lang w:val="en-US" w:eastAsia="zh-CN"/>
        </w:rPr>
        <w:t>3</w:t>
      </w:r>
      <w:r>
        <w:rPr>
          <w:rFonts w:hint="default"/>
          <w:b/>
          <w:bCs/>
          <w:u w:val="none"/>
          <w:lang w:val="en-US" w:eastAsia="zh-CN"/>
        </w:rPr>
        <w:t>-N、总磷染影响特征一览表</w:t>
      </w:r>
    </w:p>
    <w:tbl>
      <w:tblPr>
        <w:tblStyle w:val="58"/>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11"/>
        <w:gridCol w:w="2130"/>
        <w:gridCol w:w="212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151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污染因子</w:t>
            </w:r>
          </w:p>
        </w:tc>
        <w:tc>
          <w:tcPr>
            <w:tcW w:w="213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预测时间</w:t>
            </w:r>
          </w:p>
        </w:tc>
        <w:tc>
          <w:tcPr>
            <w:tcW w:w="2129"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影响距离(m)</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最大点浓度（mg/L）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COD</w:t>
            </w:r>
          </w:p>
        </w:tc>
        <w:tc>
          <w:tcPr>
            <w:tcW w:w="213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730</w:t>
            </w:r>
            <w:r>
              <w:rPr>
                <w:rFonts w:hint="default"/>
                <w:b w:val="0"/>
                <w:bCs/>
                <w:lang w:val="en-US" w:eastAsia="zh-CN"/>
              </w:rPr>
              <w:t>d</w:t>
            </w:r>
          </w:p>
        </w:tc>
        <w:tc>
          <w:tcPr>
            <w:tcW w:w="2129"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35</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2190</w:t>
            </w:r>
            <w:r>
              <w:rPr>
                <w:rFonts w:hint="default"/>
                <w:b w:val="0"/>
                <w:bCs/>
                <w:lang w:val="en-US" w:eastAsia="zh-CN"/>
              </w:rPr>
              <w:t>d</w:t>
            </w:r>
          </w:p>
        </w:tc>
        <w:tc>
          <w:tcPr>
            <w:tcW w:w="2129"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200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3650d</w:t>
            </w:r>
          </w:p>
        </w:tc>
        <w:tc>
          <w:tcPr>
            <w:tcW w:w="2129"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500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7300d</w:t>
            </w:r>
          </w:p>
        </w:tc>
        <w:tc>
          <w:tcPr>
            <w:tcW w:w="2129"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600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NH3-N</w:t>
            </w:r>
          </w:p>
        </w:tc>
        <w:tc>
          <w:tcPr>
            <w:tcW w:w="2130"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730</w:t>
            </w:r>
            <w:r>
              <w:rPr>
                <w:rFonts w:hint="default"/>
                <w:b w:val="0"/>
                <w:bCs/>
                <w:lang w:val="en-US" w:eastAsia="zh-CN"/>
              </w:rPr>
              <w:t>d</w:t>
            </w:r>
          </w:p>
        </w:tc>
        <w:tc>
          <w:tcPr>
            <w:tcW w:w="2129"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35</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2190</w:t>
            </w:r>
            <w:r>
              <w:rPr>
                <w:rFonts w:hint="default"/>
                <w:b w:val="0"/>
                <w:bCs/>
                <w:lang w:val="en-US" w:eastAsia="zh-CN"/>
              </w:rPr>
              <w:t>d</w:t>
            </w:r>
          </w:p>
        </w:tc>
        <w:tc>
          <w:tcPr>
            <w:tcW w:w="2129"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200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3650d</w:t>
            </w:r>
          </w:p>
        </w:tc>
        <w:tc>
          <w:tcPr>
            <w:tcW w:w="2129"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500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1511"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2130"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7300d</w:t>
            </w:r>
          </w:p>
        </w:tc>
        <w:tc>
          <w:tcPr>
            <w:tcW w:w="2129" w:type="dxa"/>
            <w:noWrap w:val="0"/>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b w:val="0"/>
                <w:bCs/>
                <w:lang w:val="en-US" w:eastAsia="zh-CN"/>
              </w:rPr>
            </w:pPr>
            <w:r>
              <w:rPr>
                <w:rFonts w:hint="eastAsia"/>
                <w:b w:val="0"/>
                <w:bCs/>
                <w:lang w:val="en-US" w:eastAsia="zh-CN"/>
              </w:rPr>
              <w:t>600</w:t>
            </w:r>
          </w:p>
        </w:tc>
        <w:tc>
          <w:tcPr>
            <w:tcW w:w="2390"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eastAsia"/>
                <w:b w:val="0"/>
                <w:bCs/>
                <w:lang w:val="en-US" w:eastAsia="zh-CN"/>
              </w:rPr>
              <w:t>0.00035</w:t>
            </w:r>
          </w:p>
        </w:tc>
      </w:tr>
    </w:tbl>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根据模拟结果，污染物在发生泄露后</w:t>
      </w:r>
      <w:r>
        <w:rPr>
          <w:rFonts w:hint="eastAsia" w:cs="Times New Roman"/>
          <w:iCs/>
          <w:kern w:val="0"/>
          <w:sz w:val="24"/>
          <w:szCs w:val="24"/>
          <w:u w:val="none"/>
          <w:lang w:val="en-US" w:eastAsia="zh-CN"/>
        </w:rPr>
        <w:t>，各预测点</w:t>
      </w:r>
      <w:r>
        <w:rPr>
          <w:rFonts w:hint="default" w:cs="Times New Roman"/>
          <w:iCs/>
          <w:kern w:val="0"/>
          <w:sz w:val="24"/>
          <w:szCs w:val="24"/>
          <w:u w:val="none"/>
          <w:lang w:val="en-US" w:eastAsia="zh-CN"/>
        </w:rPr>
        <w:t>CODmn、NH</w:t>
      </w:r>
      <w:r>
        <w:rPr>
          <w:rFonts w:hint="default" w:cs="Times New Roman"/>
          <w:iCs/>
          <w:kern w:val="0"/>
          <w:sz w:val="24"/>
          <w:szCs w:val="24"/>
          <w:u w:val="none"/>
          <w:vertAlign w:val="subscript"/>
          <w:lang w:val="en-US" w:eastAsia="zh-CN"/>
        </w:rPr>
        <w:t>3</w:t>
      </w:r>
      <w:r>
        <w:rPr>
          <w:rFonts w:hint="default" w:cs="Times New Roman"/>
          <w:iCs/>
          <w:kern w:val="0"/>
          <w:sz w:val="24"/>
          <w:szCs w:val="24"/>
          <w:u w:val="none"/>
          <w:lang w:val="en-US" w:eastAsia="zh-CN"/>
        </w:rPr>
        <w:t>-N</w:t>
      </w:r>
      <w:r>
        <w:rPr>
          <w:rFonts w:hint="eastAsia" w:cs="Times New Roman"/>
          <w:iCs/>
          <w:kern w:val="0"/>
          <w:sz w:val="24"/>
          <w:szCs w:val="24"/>
          <w:u w:val="none"/>
          <w:lang w:val="en-US" w:eastAsia="zh-CN"/>
        </w:rPr>
        <w:t>的浓度</w:t>
      </w:r>
      <w:r>
        <w:rPr>
          <w:rFonts w:hint="default" w:cs="Times New Roman"/>
          <w:iCs/>
          <w:kern w:val="0"/>
          <w:sz w:val="24"/>
          <w:szCs w:val="24"/>
          <w:u w:val="none"/>
          <w:lang w:val="en-US" w:eastAsia="zh-CN"/>
        </w:rPr>
        <w:t>随着时间推移逐渐增加</w:t>
      </w:r>
      <w:r>
        <w:rPr>
          <w:rFonts w:hint="eastAsia" w:cs="Times New Roman"/>
          <w:iCs/>
          <w:kern w:val="0"/>
          <w:sz w:val="24"/>
          <w:szCs w:val="24"/>
          <w:u w:val="none"/>
          <w:lang w:val="en-US" w:eastAsia="zh-CN"/>
        </w:rPr>
        <w:t>，但低于标准限值。</w:t>
      </w:r>
      <w:r>
        <w:rPr>
          <w:rFonts w:hint="default" w:cs="Times New Roman"/>
          <w:iCs/>
          <w:kern w:val="0"/>
          <w:sz w:val="24"/>
          <w:szCs w:val="24"/>
          <w:u w:val="none"/>
          <w:lang w:val="en-US" w:eastAsia="zh-CN"/>
        </w:rPr>
        <w:t>因此，即使在非正常工况条件下持续泄露并不会</w:t>
      </w:r>
      <w:r>
        <w:rPr>
          <w:rFonts w:hint="eastAsia" w:cs="Times New Roman"/>
          <w:iCs/>
          <w:kern w:val="0"/>
          <w:sz w:val="24"/>
          <w:szCs w:val="24"/>
          <w:u w:val="none"/>
          <w:lang w:val="en-US" w:eastAsia="zh-CN"/>
        </w:rPr>
        <w:t>对东河</w:t>
      </w:r>
      <w:r>
        <w:rPr>
          <w:rFonts w:hint="default" w:cs="Times New Roman"/>
          <w:iCs/>
          <w:kern w:val="0"/>
          <w:sz w:val="24"/>
          <w:szCs w:val="24"/>
          <w:u w:val="none"/>
          <w:lang w:val="en-US" w:eastAsia="zh-CN"/>
        </w:rPr>
        <w:t>水质造成影响，同时由于本项目地下水流向下游无居民水井及集中式饮用水源，对周边居民生活用水不会造成影响。</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综上所述，非正常工况下，本项目在持续泄露的条件下不会对</w:t>
      </w:r>
      <w:r>
        <w:rPr>
          <w:rFonts w:hint="eastAsia" w:cs="Times New Roman"/>
          <w:iCs/>
          <w:kern w:val="0"/>
          <w:sz w:val="24"/>
          <w:szCs w:val="24"/>
          <w:u w:val="none"/>
          <w:lang w:val="en-US" w:eastAsia="zh-CN"/>
        </w:rPr>
        <w:t>东河</w:t>
      </w:r>
      <w:r>
        <w:rPr>
          <w:rFonts w:hint="default" w:cs="Times New Roman"/>
          <w:iCs/>
          <w:kern w:val="0"/>
          <w:sz w:val="24"/>
          <w:szCs w:val="24"/>
          <w:u w:val="none"/>
          <w:lang w:val="en-US" w:eastAsia="zh-CN"/>
        </w:rPr>
        <w:t>水质造成影响，同时地下水流向下游无居民水井及集中式饮用水源，对周边居民生活用水不会造成影响。但</w:t>
      </w:r>
      <w:r>
        <w:rPr>
          <w:rFonts w:hint="eastAsia" w:cs="Times New Roman"/>
          <w:iCs/>
          <w:kern w:val="0"/>
          <w:sz w:val="24"/>
          <w:szCs w:val="24"/>
          <w:u w:val="none"/>
          <w:lang w:val="en-US" w:eastAsia="zh-CN"/>
        </w:rPr>
        <w:t>考虑持续泄漏会导致地下水污染物浓度逐渐增高</w:t>
      </w:r>
      <w:r>
        <w:rPr>
          <w:rFonts w:hint="default" w:cs="Times New Roman"/>
          <w:iCs/>
          <w:kern w:val="0"/>
          <w:sz w:val="24"/>
          <w:szCs w:val="24"/>
          <w:u w:val="none"/>
          <w:lang w:val="en-US" w:eastAsia="zh-CN"/>
        </w:rPr>
        <w:t>，因此环评要求本项目运行过程中，在项目地下水上下游布设地下水监测水质监测井，定期对地下水水质进行监测，发现水质异常，立即采取有效措施切断污染源并阻止污染扩散，从而减轻对厂区下游水质造成污染。</w:t>
      </w:r>
    </w:p>
    <w:p>
      <w:pPr>
        <w:topLinePunct/>
        <w:spacing w:line="360" w:lineRule="auto"/>
        <w:jc w:val="left"/>
        <w:rPr>
          <w:rFonts w:hint="eastAsia"/>
          <w:b/>
          <w:sz w:val="24"/>
          <w:u w:val="none"/>
          <w:lang w:val="en-US" w:eastAsia="zh-CN"/>
        </w:rPr>
      </w:pPr>
      <w:r>
        <w:rPr>
          <w:rFonts w:hint="eastAsia"/>
          <w:b/>
          <w:sz w:val="24"/>
          <w:u w:val="none"/>
          <w:lang w:val="en-US" w:eastAsia="zh-CN"/>
        </w:rPr>
        <w:t>8.4.9地下水环境保护措施及对策</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地下水污染防治措施坚持“源头控制、末端防治、污染监控、应急响应相结合”的原则，即采取主动控制和被动控制相结合的措施。</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一、施工期地下水环境保护措施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针对施工期产污特征及地下水环境相关要素，提出以下保护措施：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（1）施工现场设置防渗旱厕，施工期施工人员产生的生活污水于防渗旱厕统一收集后用作农肥，禁止随意外排。</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（2）施工期间，混凝土拌和废水、车辆冲洗废水中泥沙和石油类含量较高，应在施工场地设置临时沉砂池，经隔油沉淀处理后全部循环利用，不外排。</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（3）散料堆场采取覆盖措施，防治产生水土流失污染地下水。</w:t>
      </w:r>
    </w:p>
    <w:p>
      <w:pPr>
        <w:topLinePunct/>
        <w:spacing w:line="360" w:lineRule="auto"/>
        <w:jc w:val="left"/>
        <w:rPr>
          <w:rFonts w:hint="eastAsia"/>
          <w:b/>
          <w:bCs w:val="0"/>
          <w:sz w:val="24"/>
          <w:u w:val="none"/>
          <w:lang w:val="en-US" w:eastAsia="zh-CN"/>
        </w:rPr>
      </w:pPr>
      <w:r>
        <w:rPr>
          <w:rFonts w:hint="eastAsia"/>
          <w:b/>
          <w:bCs w:val="0"/>
          <w:sz w:val="24"/>
          <w:u w:val="none"/>
          <w:lang w:val="en-US" w:eastAsia="zh-CN"/>
        </w:rPr>
        <w:t>二、营运期地下水环境保护措施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为有效规避地下水环和土壤环境污染的风险，应做好地下水和土壤环境污染预防措施，应按照“源头控制、分区控制、污染监控、应急响应”的主动与被动防渗相结合的防渗原则，本项目拟采取的地下水和土壤环境污染防治措施如下所述：</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1、源头控制措施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项目应根据国家现行相关规范加强环境管理，采取防止和降低污染物跑、冒、滴、漏的措施。正常运营过程中应加强对防渗工程的检查，若发现防渗密封材料老化或损坏，应及时维修更换。</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2、分区防治措施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结合项目总平图和项目特征，根据各区域对地下水和土壤环境的污染途径，将全厂按各功能单元所处的位置划分为重点防渗区、一般防渗区以及简单防渗区三类地下水和土壤环境污染防治区域。其中，重点防渗区包括：冷库、微波消毒系统、消毒清洗区、污水处理站及其配套的污水收集系统；一般防渗区包括：车间或仓库内重点防渗区和简单防渗区以外的区域；简单防渗区包括：厂区绿化带等。</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（1）重点防渗区防渗措施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1 \* GB3 \* MERGEFORMAT </w:instrText>
      </w:r>
      <w:r>
        <w:rPr>
          <w:rFonts w:hint="eastAsia"/>
          <w:b w:val="0"/>
          <w:bCs/>
          <w:sz w:val="24"/>
          <w:u w:val="none"/>
          <w:lang w:val="en-US" w:eastAsia="zh-CN"/>
        </w:rPr>
        <w:fldChar w:fldCharType="separate"/>
      </w:r>
      <w:r>
        <w:rPr>
          <w:rFonts w:hint="eastAsia"/>
          <w:b w:val="0"/>
          <w:bCs/>
          <w:sz w:val="24"/>
          <w:u w:val="none"/>
          <w:lang w:val="en-US" w:eastAsia="zh-CN"/>
        </w:rPr>
        <w:t>①</w:t>
      </w:r>
      <w:r>
        <w:rPr>
          <w:rFonts w:hint="eastAsia"/>
          <w:b w:val="0"/>
          <w:bCs/>
          <w:sz w:val="24"/>
          <w:u w:val="none"/>
          <w:lang w:val="en-US" w:eastAsia="zh-CN"/>
        </w:rPr>
        <w:fldChar w:fldCharType="end"/>
      </w:r>
      <w:r>
        <w:rPr>
          <w:rFonts w:hint="eastAsia"/>
          <w:b w:val="0"/>
          <w:bCs/>
          <w:sz w:val="24"/>
          <w:u w:val="none"/>
          <w:lang w:val="en-US" w:eastAsia="zh-CN"/>
        </w:rPr>
        <w:t>重点防渗区防渗要求：等效黏土防渗层Mb≥6.0m，k≤1×10-7cm/s；或参照《危险废物填埋污染控制标准》（GB18598-2001）（2013修改）执行，可采用抗渗混凝土+HDPE土工膜（2mm）+环氧树脂漆层进行防渗防腐处理。</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2 \* GB3 \* MERGEFORMAT </w:instrText>
      </w:r>
      <w:r>
        <w:rPr>
          <w:rFonts w:hint="eastAsia"/>
          <w:b w:val="0"/>
          <w:bCs/>
          <w:sz w:val="24"/>
          <w:u w:val="none"/>
          <w:lang w:val="en-US" w:eastAsia="zh-CN"/>
        </w:rPr>
        <w:fldChar w:fldCharType="separate"/>
      </w:r>
      <w:r>
        <w:rPr>
          <w:rFonts w:hint="eastAsia"/>
          <w:b w:val="0"/>
          <w:bCs/>
          <w:sz w:val="24"/>
          <w:u w:val="none"/>
          <w:lang w:val="en-US" w:eastAsia="zh-CN"/>
        </w:rPr>
        <w:t>②</w:t>
      </w:r>
      <w:r>
        <w:rPr>
          <w:rFonts w:hint="eastAsia"/>
          <w:b w:val="0"/>
          <w:bCs/>
          <w:sz w:val="24"/>
          <w:u w:val="none"/>
          <w:lang w:val="en-US" w:eastAsia="zh-CN"/>
        </w:rPr>
        <w:fldChar w:fldCharType="end"/>
      </w:r>
      <w:r>
        <w:rPr>
          <w:rFonts w:hint="eastAsia"/>
          <w:b w:val="0"/>
          <w:bCs/>
          <w:sz w:val="24"/>
          <w:u w:val="none"/>
          <w:lang w:val="en-US" w:eastAsia="zh-CN"/>
        </w:rPr>
        <w:t>污水处理系统的所有废水处理构筑物底、侧面均采用防渗、防腐处理并满足重点防渗要求；接缝和施工方部位应密实、结合牢固，不得渗漏；预埋管件、止水带和填缝板要安装牢固，位置准确，每座水池必须做满水试验，质量达到合格；废水输送全部采用管道输送，管道材料应视输送介质的不同选择合适材质并作表面防腐、防锈蚀处理，减轻管道腐蚀造成的渗漏；并进行定期检查，确保消除跑、冒、滴、漏现象发生。</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fldChar w:fldCharType="begin"/>
      </w:r>
      <w:r>
        <w:rPr>
          <w:rFonts w:hint="eastAsia"/>
          <w:b w:val="0"/>
          <w:bCs/>
          <w:sz w:val="24"/>
          <w:u w:val="none"/>
          <w:lang w:val="en-US" w:eastAsia="zh-CN"/>
        </w:rPr>
        <w:instrText xml:space="preserve"> = 3 \* GB3 \* MERGEFORMAT </w:instrText>
      </w:r>
      <w:r>
        <w:rPr>
          <w:rFonts w:hint="eastAsia"/>
          <w:b w:val="0"/>
          <w:bCs/>
          <w:sz w:val="24"/>
          <w:u w:val="none"/>
          <w:lang w:val="en-US" w:eastAsia="zh-CN"/>
        </w:rPr>
        <w:fldChar w:fldCharType="separate"/>
      </w:r>
      <w:r>
        <w:rPr>
          <w:rFonts w:hint="eastAsia"/>
          <w:b w:val="0"/>
          <w:bCs/>
          <w:sz w:val="24"/>
          <w:u w:val="none"/>
          <w:lang w:val="en-US" w:eastAsia="zh-CN"/>
        </w:rPr>
        <w:t>③</w:t>
      </w:r>
      <w:r>
        <w:rPr>
          <w:rFonts w:hint="eastAsia"/>
          <w:b w:val="0"/>
          <w:bCs/>
          <w:sz w:val="24"/>
          <w:u w:val="none"/>
          <w:lang w:val="en-US" w:eastAsia="zh-CN"/>
        </w:rPr>
        <w:fldChar w:fldCharType="end"/>
      </w:r>
      <w:r>
        <w:rPr>
          <w:rFonts w:hint="eastAsia"/>
          <w:b w:val="0"/>
          <w:bCs/>
          <w:sz w:val="24"/>
          <w:u w:val="none"/>
          <w:lang w:val="en-US" w:eastAsia="zh-CN"/>
        </w:rPr>
        <w:t>各污染防治区应采取防治污染物流出边界的围堰，围堰采用抗渗混凝土，高度不低于10cm。</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（2）一般防渗区防渗措施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采用防渗等级不低于P1级的防渗混凝土硬化地面，厚度不低于20cm，渗透系数≤1×10-7cm/s。</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（3）绿化带简单防渗区防渗措施</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对于绿化带，土壤采用黏土夯实满足简单防渗要求即可。</w:t>
      </w:r>
    </w:p>
    <w:p>
      <w:pPr>
        <w:topLinePunct/>
        <w:spacing w:line="360" w:lineRule="auto"/>
        <w:jc w:val="left"/>
        <w:rPr>
          <w:rFonts w:hint="eastAsia"/>
          <w:b/>
          <w:sz w:val="24"/>
          <w:u w:val="none"/>
          <w:lang w:val="en-US" w:eastAsia="zh-CN"/>
        </w:rPr>
      </w:pPr>
      <w:r>
        <w:rPr>
          <w:rFonts w:hint="eastAsia"/>
          <w:b/>
          <w:sz w:val="24"/>
          <w:u w:val="none"/>
          <w:lang w:val="en-US" w:eastAsia="zh-CN"/>
        </w:rPr>
        <w:t>8.4.10地下水污染跟踪监测计划</w:t>
      </w:r>
    </w:p>
    <w:p>
      <w:pPr>
        <w:spacing w:line="360" w:lineRule="auto"/>
        <w:ind w:firstLine="482" w:firstLineChars="200"/>
        <w:jc w:val="left"/>
        <w:rPr>
          <w:rFonts w:hint="eastAsia" w:cs="Times New Roman"/>
          <w:b/>
          <w:bCs/>
          <w:iCs/>
          <w:kern w:val="0"/>
          <w:sz w:val="24"/>
          <w:szCs w:val="24"/>
          <w:u w:val="none"/>
          <w:lang w:val="en-US" w:eastAsia="zh-CN"/>
        </w:rPr>
      </w:pPr>
      <w:r>
        <w:rPr>
          <w:rFonts w:hint="eastAsia" w:cs="Times New Roman"/>
          <w:b/>
          <w:bCs/>
          <w:iCs/>
          <w:kern w:val="0"/>
          <w:sz w:val="24"/>
          <w:szCs w:val="24"/>
          <w:u w:val="none"/>
          <w:lang w:val="en-US" w:eastAsia="zh-CN"/>
        </w:rPr>
        <w:t>一、地下水监测原则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为了及时准确掌握场址及下游地区地下水环境质量状况和地下水体中污染物的动态变化，本项目应建立覆盖全区的地下水长期监控系统。包括科学、合理地设置地下水污染监控井，建立完善的监测制度，配备先进的检测仪器和设备，以便及时发现并及时控制。</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目前尚没有针对建设项目地下水环境监测的法律法规或规程规范，本项目地下水环境监测主要参考《地下水环境监测技术规范》(HJ/T164-2004)，并结合研究区含水层系统和地下水径流系统特征，考虑潜在污染源、环境保护目标等因素，并结合模型模拟预测的结果来布置地下水监测点。</w:t>
      </w:r>
    </w:p>
    <w:p>
      <w:pPr>
        <w:spacing w:line="360" w:lineRule="auto"/>
        <w:ind w:firstLine="482" w:firstLineChars="200"/>
        <w:jc w:val="left"/>
        <w:rPr>
          <w:rFonts w:hint="default" w:cs="Times New Roman"/>
          <w:b/>
          <w:bCs/>
          <w:iCs/>
          <w:kern w:val="0"/>
          <w:sz w:val="24"/>
          <w:szCs w:val="24"/>
          <w:u w:val="none"/>
          <w:lang w:val="en-US" w:eastAsia="zh-CN"/>
        </w:rPr>
      </w:pPr>
      <w:r>
        <w:rPr>
          <w:rFonts w:hint="eastAsia" w:cs="Times New Roman"/>
          <w:b/>
          <w:bCs/>
          <w:iCs/>
          <w:kern w:val="0"/>
          <w:sz w:val="24"/>
          <w:szCs w:val="24"/>
          <w:u w:val="none"/>
          <w:lang w:val="en-US" w:eastAsia="zh-CN"/>
        </w:rPr>
        <w:t>二、</w:t>
      </w:r>
      <w:r>
        <w:rPr>
          <w:rFonts w:hint="default" w:cs="Times New Roman"/>
          <w:b/>
          <w:bCs/>
          <w:iCs/>
          <w:kern w:val="0"/>
          <w:sz w:val="24"/>
          <w:szCs w:val="24"/>
          <w:u w:val="none"/>
          <w:lang w:val="en-US" w:eastAsia="zh-CN"/>
        </w:rPr>
        <w:t>地下水监测计划</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地下水监测将遵循以下原则：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①重点污染防治区加密监测原则；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②以浅层地下水监测为主的原则；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③兼顾场区边界原则；</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④水质监测项目参照《环境影响评价技术导则-地下水环境》（HJ610-2016）和《地下水质量标准》（GB/T14848-2017）相关要求和潜在污染源特征污染因子确定。各监测井可依据监测目的不同适当增加和减少监测项目。厂安全环保部门设立地下水动态监测小组，专人负责监测或者委托专业的机构分析。</w:t>
      </w:r>
    </w:p>
    <w:p>
      <w:pPr>
        <w:spacing w:line="360" w:lineRule="auto"/>
        <w:ind w:firstLine="482" w:firstLineChars="200"/>
        <w:jc w:val="left"/>
        <w:rPr>
          <w:rFonts w:hint="default" w:cs="Times New Roman"/>
          <w:b/>
          <w:bCs/>
          <w:iCs/>
          <w:kern w:val="0"/>
          <w:sz w:val="24"/>
          <w:szCs w:val="24"/>
          <w:u w:val="none"/>
          <w:lang w:val="en-US" w:eastAsia="zh-CN"/>
        </w:rPr>
      </w:pPr>
      <w:r>
        <w:rPr>
          <w:rFonts w:hint="eastAsia" w:cs="Times New Roman"/>
          <w:b/>
          <w:bCs/>
          <w:iCs/>
          <w:kern w:val="0"/>
          <w:sz w:val="24"/>
          <w:szCs w:val="24"/>
          <w:u w:val="none"/>
          <w:lang w:val="en-US" w:eastAsia="zh-CN"/>
        </w:rPr>
        <w:t>三、</w:t>
      </w:r>
      <w:r>
        <w:rPr>
          <w:rFonts w:hint="default" w:cs="Times New Roman"/>
          <w:b/>
          <w:bCs/>
          <w:iCs/>
          <w:kern w:val="0"/>
          <w:sz w:val="24"/>
          <w:szCs w:val="24"/>
          <w:u w:val="none"/>
          <w:lang w:val="en-US" w:eastAsia="zh-CN"/>
        </w:rPr>
        <w:t>监测井布置</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根据前述对项目位置水文地质条件的分析以及对现状污染物来源与迁移特征的认识，结合地下水模拟结果的分析，根据HJ610-2016《环境影响评价技术导则-地下水环境》及HJ/T164-2004《地下水环境监测技术规范》等规定，在项目区设置若干监测井，布设方式因地制宜。</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本次项目共布设3眼地下水水质监测井，监测层位为潜水含水层。监测频率为水位每季度监测一次，水质背景值监测井为每年枯水期间监测一次，污染控制监控井为逢单月采样一次，全年6次。监测计划、监测层位、监测项目见下表所示。</w:t>
      </w:r>
    </w:p>
    <w:p>
      <w:pPr>
        <w:pStyle w:val="352"/>
        <w:rPr>
          <w:rFonts w:hint="default"/>
          <w:b/>
          <w:bCs/>
          <w:u w:val="none"/>
          <w:lang w:val="en-US" w:eastAsia="zh-CN"/>
        </w:rPr>
      </w:pPr>
      <w:r>
        <w:rPr>
          <w:rFonts w:hint="default"/>
          <w:b/>
          <w:bCs/>
          <w:u w:val="none"/>
          <w:lang w:val="en-US" w:eastAsia="zh-CN"/>
        </w:rPr>
        <w:t>表</w:t>
      </w:r>
      <w:r>
        <w:rPr>
          <w:rFonts w:hint="eastAsia"/>
          <w:b/>
          <w:bCs/>
          <w:u w:val="none"/>
          <w:lang w:val="en-US" w:eastAsia="zh-CN"/>
        </w:rPr>
        <w:t xml:space="preserve">8-26  </w:t>
      </w:r>
      <w:r>
        <w:rPr>
          <w:rFonts w:hint="default"/>
          <w:b/>
          <w:bCs/>
          <w:u w:val="none"/>
          <w:lang w:val="en-US" w:eastAsia="zh-CN"/>
        </w:rPr>
        <w:t>地下水监测频次与监测因子一览表</w:t>
      </w:r>
    </w:p>
    <w:tbl>
      <w:tblPr>
        <w:tblStyle w:val="58"/>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4" w:type="dxa"/>
          <w:bottom w:w="0" w:type="dxa"/>
          <w:right w:w="34" w:type="dxa"/>
        </w:tblCellMar>
      </w:tblPr>
      <w:tblGrid>
        <w:gridCol w:w="641"/>
        <w:gridCol w:w="954"/>
        <w:gridCol w:w="1841"/>
        <w:gridCol w:w="1561"/>
        <w:gridCol w:w="1841"/>
        <w:gridCol w:w="104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blHeader/>
          <w:jc w:val="center"/>
        </w:trPr>
        <w:tc>
          <w:tcPr>
            <w:tcW w:w="641" w:type="dxa"/>
            <w:noWrap/>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编号</w:t>
            </w:r>
          </w:p>
        </w:tc>
        <w:tc>
          <w:tcPr>
            <w:tcW w:w="954" w:type="dxa"/>
            <w:noWrap/>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监测层位</w:t>
            </w:r>
          </w:p>
        </w:tc>
        <w:tc>
          <w:tcPr>
            <w:tcW w:w="1841" w:type="dxa"/>
            <w:noWrap/>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监测因子</w:t>
            </w:r>
          </w:p>
        </w:tc>
        <w:tc>
          <w:tcPr>
            <w:tcW w:w="156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地理位置</w:t>
            </w:r>
          </w:p>
        </w:tc>
        <w:tc>
          <w:tcPr>
            <w:tcW w:w="1841" w:type="dxa"/>
            <w:noWrap/>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监测目的</w:t>
            </w:r>
          </w:p>
        </w:tc>
        <w:tc>
          <w:tcPr>
            <w:tcW w:w="1046"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监测频次</w:t>
            </w:r>
          </w:p>
        </w:tc>
        <w:tc>
          <w:tcPr>
            <w:tcW w:w="102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监测目标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jc w:val="center"/>
        </w:trPr>
        <w:tc>
          <w:tcPr>
            <w:tcW w:w="6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JC1</w:t>
            </w:r>
          </w:p>
        </w:tc>
        <w:tc>
          <w:tcPr>
            <w:tcW w:w="954"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潜水含水层</w:t>
            </w:r>
          </w:p>
        </w:tc>
        <w:tc>
          <w:tcPr>
            <w:tcW w:w="1841" w:type="dxa"/>
            <w:vMerge w:val="restart"/>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pH、含氧量、氨氮、总磷、氟化物、氯化物、硫酸盐、铅、锌、砷、镉、汞、六价铬、总大肠菌群</w:t>
            </w:r>
          </w:p>
        </w:tc>
        <w:tc>
          <w:tcPr>
            <w:tcW w:w="1561"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调节池东南侧60m</w:t>
            </w:r>
          </w:p>
        </w:tc>
        <w:tc>
          <w:tcPr>
            <w:tcW w:w="18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地下水初始背景值</w:t>
            </w:r>
          </w:p>
        </w:tc>
        <w:tc>
          <w:tcPr>
            <w:tcW w:w="1046"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每年枯水期一次</w:t>
            </w:r>
          </w:p>
        </w:tc>
        <w:tc>
          <w:tcPr>
            <w:tcW w:w="102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水质+水位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jc w:val="center"/>
        </w:trPr>
        <w:tc>
          <w:tcPr>
            <w:tcW w:w="6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JC2</w:t>
            </w:r>
          </w:p>
        </w:tc>
        <w:tc>
          <w:tcPr>
            <w:tcW w:w="9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841" w:type="dxa"/>
            <w:vMerge w:val="continue"/>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561"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调节池东侧15m处</w:t>
            </w:r>
          </w:p>
        </w:tc>
        <w:tc>
          <w:tcPr>
            <w:tcW w:w="18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监测项目泄露可能产生地下水污染</w:t>
            </w:r>
          </w:p>
        </w:tc>
        <w:tc>
          <w:tcPr>
            <w:tcW w:w="1046" w:type="dxa"/>
            <w:vMerge w:val="restart"/>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逢单月采样一次，全年6次</w:t>
            </w:r>
          </w:p>
        </w:tc>
        <w:tc>
          <w:tcPr>
            <w:tcW w:w="102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水质+水位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jc w:val="center"/>
        </w:trPr>
        <w:tc>
          <w:tcPr>
            <w:tcW w:w="6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JC3</w:t>
            </w:r>
          </w:p>
        </w:tc>
        <w:tc>
          <w:tcPr>
            <w:tcW w:w="954"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841" w:type="dxa"/>
            <w:vMerge w:val="continue"/>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561"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调节池西侧25m处</w:t>
            </w:r>
          </w:p>
        </w:tc>
        <w:tc>
          <w:tcPr>
            <w:tcW w:w="1841" w:type="dxa"/>
            <w:noWrap/>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监测项目泄露可能产生地下水污染</w:t>
            </w:r>
          </w:p>
        </w:tc>
        <w:tc>
          <w:tcPr>
            <w:tcW w:w="1046" w:type="dxa"/>
            <w:vMerge w:val="continue"/>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p>
        </w:tc>
        <w:tc>
          <w:tcPr>
            <w:tcW w:w="102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水质+水位</w:t>
            </w:r>
          </w:p>
        </w:tc>
      </w:tr>
    </w:tbl>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具体的监测井结构如下图所示（注：图中尺寸长度注明者为标准尺寸；井筛和井管长度未注明者依地质状况及含水层形态而定）。</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drawing>
                <wp:inline distT="0" distB="0" distL="114300" distR="114300">
                  <wp:extent cx="3994785" cy="5015230"/>
                  <wp:effectExtent l="9525" t="9525" r="15240" b="23495"/>
                  <wp:docPr id="15" name="图片 15" descr="地下水监测井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地下水监测井布点图"/>
                          <pic:cNvPicPr>
                            <a:picLocks noChangeAspect="1"/>
                          </pic:cNvPicPr>
                        </pic:nvPicPr>
                        <pic:blipFill>
                          <a:blip r:embed="rId264"/>
                          <a:srcRect l="14063" r="14245"/>
                          <a:stretch>
                            <a:fillRect/>
                          </a:stretch>
                        </pic:blipFill>
                        <pic:spPr>
                          <a:xfrm>
                            <a:off x="0" y="0"/>
                            <a:ext cx="3994785" cy="5015230"/>
                          </a:xfrm>
                          <a:prstGeom prst="rect">
                            <a:avLst/>
                          </a:prstGeom>
                          <a:ln>
                            <a:solidFill>
                              <a:srgbClr val="0000FF"/>
                            </a:solidFill>
                          </a:ln>
                        </pic:spPr>
                      </pic:pic>
                    </a:graphicData>
                  </a:graphic>
                </wp:inline>
              </w:drawing>
            </w:r>
          </w:p>
        </w:tc>
      </w:tr>
    </w:tbl>
    <w:p>
      <w:pPr>
        <w:pStyle w:val="352"/>
        <w:rPr>
          <w:rFonts w:hint="default"/>
          <w:b/>
          <w:bCs/>
          <w:u w:val="none"/>
          <w:lang w:val="en-US" w:eastAsia="zh-CN"/>
        </w:rPr>
      </w:pPr>
      <w:r>
        <w:rPr>
          <w:rFonts w:hint="eastAsia"/>
          <w:b/>
          <w:bCs/>
          <w:u w:val="none"/>
          <w:lang w:val="en-US" w:eastAsia="zh-CN"/>
        </w:rPr>
        <w:t xml:space="preserve">图8-13  </w:t>
      </w:r>
      <w:r>
        <w:rPr>
          <w:rFonts w:hint="default"/>
          <w:b/>
          <w:bCs/>
          <w:u w:val="none"/>
          <w:lang w:val="en-US" w:eastAsia="zh-CN"/>
        </w:rPr>
        <w:t>监测井点位布置示意图</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所有监测井建设均建议按以下步骤进行：</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监测井的深度应尽可能超过已知最大地下水埋深以下10.0m，且尽量达到含水层底板，不穿透隔水层，根据项目所在地水文地质资料，建议监测井至少深15m；</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安装Φ168mm的钢管及Φ60~70mm的PVC管（纯PVC无其他添加成分，厚度依据不同的井深为4~6mm或6~9mm），滤水管宜位于多年平均最低水位面以下1m至井底。过滤器开孔率为5~10%（开孔率为井管开孔面积与相应的井管表面积的比值），使用缠丝包埋，水井顶端的盲水管上需安装一个10.0cm长的管帽。为防止地表水和地表沙土进入井中，井的顶端一般超过地面0.5~1.0m。选取不同粒径的纯净石英砂作为滤料。下管后，将石英砂及时、均匀地注入PVC管和钢管之间，并保持井管稳定，直至石英砂高出滤水管段约60cm，在滤料的顶面还应投入20~30cm粒径的半干状优质粘土球，形成一个环型密封圈起隔离作用。最后灌入混凝土，以密封地下水监测井。在灌入混凝土的过程中，边灌混凝土边拔钢管，直至混凝土灌至孔口位置，留下1.5m左右钢管（其中地表以上0.5m）于监测井中。</w:t>
      </w:r>
    </w:p>
    <w:tbl>
      <w:tblPr>
        <w:tblStyle w:val="58"/>
        <w:tblW w:w="9060" w:type="dxa"/>
        <w:jc w:val="center"/>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rPr>
          <w:jc w:val="center"/>
        </w:trPr>
        <w:tc>
          <w:tcPr>
            <w:tcW w:w="9060" w:type="dxa"/>
            <w:noWrap w:val="0"/>
            <w:vAlign w:val="center"/>
          </w:tcPr>
          <w:p>
            <w:pPr>
              <w:keepNext w:val="0"/>
              <w:keepLines w:val="0"/>
              <w:suppressLineNumbers w:val="0"/>
              <w:spacing w:before="0" w:beforeAutospacing="0" w:after="0" w:afterAutospacing="0" w:line="360" w:lineRule="auto"/>
              <w:ind w:left="0" w:right="0" w:firstLine="480" w:firstLineChars="200"/>
              <w:jc w:val="center"/>
              <w:rPr>
                <w:rFonts w:hint="default" w:cs="Times New Roman"/>
                <w:iCs/>
                <w:kern w:val="0"/>
                <w:sz w:val="24"/>
                <w:szCs w:val="24"/>
                <w:u w:val="none"/>
                <w:lang w:val="en-US" w:eastAsia="zh-CN"/>
              </w:rPr>
            </w:pPr>
            <w:r>
              <w:rPr>
                <w:rFonts w:hint="default" w:cs="Times New Roman"/>
                <w:iCs/>
                <w:kern w:val="0"/>
                <w:sz w:val="24"/>
                <w:szCs w:val="24"/>
                <w:u w:val="none"/>
                <w:lang w:val="en-US" w:eastAsia="zh-CN"/>
              </w:rPr>
              <w:drawing>
                <wp:inline distT="0" distB="0" distL="114300" distR="114300">
                  <wp:extent cx="2448560" cy="3978275"/>
                  <wp:effectExtent l="0" t="0" r="8890" b="3175"/>
                  <wp:docPr id="27" name="图片 175" descr="监测井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5" descr="监测井结构"/>
                          <pic:cNvPicPr>
                            <a:picLocks noChangeAspect="1"/>
                          </pic:cNvPicPr>
                        </pic:nvPicPr>
                        <pic:blipFill>
                          <a:blip r:embed="rId265"/>
                          <a:srcRect l="13194" t="5573" r="13329" b="5801"/>
                          <a:stretch>
                            <a:fillRect/>
                          </a:stretch>
                        </pic:blipFill>
                        <pic:spPr>
                          <a:xfrm>
                            <a:off x="0" y="0"/>
                            <a:ext cx="2448560" cy="3978275"/>
                          </a:xfrm>
                          <a:prstGeom prst="rect">
                            <a:avLst/>
                          </a:prstGeom>
                          <a:noFill/>
                          <a:ln>
                            <a:noFill/>
                          </a:ln>
                        </pic:spPr>
                      </pic:pic>
                    </a:graphicData>
                  </a:graphic>
                </wp:inline>
              </w:drawing>
            </w:r>
          </w:p>
        </w:tc>
      </w:tr>
    </w:tbl>
    <w:p>
      <w:pPr>
        <w:pStyle w:val="352"/>
        <w:rPr>
          <w:rFonts w:hint="default"/>
          <w:b/>
          <w:bCs/>
          <w:u w:val="none"/>
          <w:lang w:val="en-US" w:eastAsia="zh-CN"/>
        </w:rPr>
      </w:pPr>
      <w:r>
        <w:rPr>
          <w:rFonts w:hint="eastAsia"/>
          <w:b/>
          <w:bCs/>
          <w:u w:val="none"/>
          <w:lang w:val="en-US" w:eastAsia="zh-CN"/>
        </w:rPr>
        <w:t xml:space="preserve">图8-14  </w:t>
      </w:r>
      <w:r>
        <w:rPr>
          <w:rFonts w:hint="default"/>
          <w:b/>
          <w:bCs/>
          <w:u w:val="none"/>
          <w:lang w:val="en-US" w:eastAsia="zh-CN"/>
        </w:rPr>
        <w:t>监测井点位布置示意图</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最后用混凝土修筑井台，井台应高出地面0.5m以上，用砖石浆砌，并用水泥沙浆护面，安装井盖，并设明显标识牌。</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监测井建成后，需要清洗监测井，以去除细颗粒物质堵塞监测井并促进监测井与监测区域之间的水力连通。使用专用设备进行洗井，清洗地下水用量需大于5倍井容积。洗井过程需持续到取出的水不混浊，细微土壤颗粒不再进入水井；洗出的每个井容积水的pH值和温度连续三次的测量值误差需小于10%，洗井工作才能完成。完成洗井工作24小时后才能进行地下水样品的采集。</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在水样采集完毕后，对监测井位置进行水平勘测，并将监测井位置标示在地图上。</w:t>
      </w:r>
    </w:p>
    <w:p>
      <w:pPr>
        <w:spacing w:line="360" w:lineRule="auto"/>
        <w:ind w:firstLine="480" w:firstLineChars="200"/>
        <w:jc w:val="left"/>
        <w:rPr>
          <w:rFonts w:hint="default" w:cs="Times New Roman"/>
          <w:iCs/>
          <w:kern w:val="0"/>
          <w:sz w:val="24"/>
          <w:szCs w:val="24"/>
          <w:u w:val="none"/>
          <w:lang w:val="en-US" w:eastAsia="zh-CN"/>
        </w:rPr>
      </w:pPr>
      <w:r>
        <w:rPr>
          <w:rFonts w:hint="default" w:cs="Times New Roman"/>
          <w:iCs/>
          <w:kern w:val="0"/>
          <w:sz w:val="24"/>
          <w:szCs w:val="24"/>
          <w:u w:val="none"/>
          <w:lang w:val="en-US" w:eastAsia="zh-CN"/>
        </w:rPr>
        <w:t>在水位监测井附近选择适当建筑物建立水准标志。用以校核井口固定点高程。监测井应有较完整的地层岩性和井管结构资料，能满足进行常年连续各项监测工作的要求。</w:t>
      </w:r>
    </w:p>
    <w:p>
      <w:pPr>
        <w:topLinePunct/>
        <w:spacing w:line="360" w:lineRule="auto"/>
        <w:jc w:val="left"/>
        <w:rPr>
          <w:rFonts w:hint="default"/>
          <w:b/>
          <w:sz w:val="24"/>
          <w:u w:val="none"/>
          <w:lang w:val="en-US" w:eastAsia="zh-CN"/>
        </w:rPr>
      </w:pPr>
      <w:r>
        <w:rPr>
          <w:rFonts w:hint="eastAsia"/>
          <w:b/>
          <w:sz w:val="24"/>
          <w:u w:val="none"/>
          <w:lang w:val="en-US" w:eastAsia="zh-CN"/>
        </w:rPr>
        <w:t>8.4.11地下水污染事故应急响应</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一、地下水污染风险快速评估决策</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地下水污染风险快速评估方法与决策由连续的3个阶段组成：第1阶段为事故与场地调查：主要任务为搜集事故与污染物信息及场地水文地质资料等一些基本信息；第2阶段为计算和评价：采用简单的数学模型判断事故对地下水影响的紧迫程度，以及对下游敏感点的影响，以快速获取所需要的信息；第3阶段为分析与决策：综合分析前两阶段的结果制定场地应急控制措施。</w:t>
      </w:r>
    </w:p>
    <w:tbl>
      <w:tblPr>
        <w:tblStyle w:val="58"/>
        <w:tblW w:w="9060" w:type="dxa"/>
        <w:jc w:val="center"/>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rPr>
          <w:jc w:val="center"/>
        </w:trPr>
        <w:tc>
          <w:tcPr>
            <w:tcW w:w="9060" w:type="dxa"/>
            <w:noWrap w:val="0"/>
            <w:vAlign w:val="center"/>
          </w:tcPr>
          <w:p>
            <w:pPr>
              <w:pStyle w:val="352"/>
              <w:keepNext w:val="0"/>
              <w:keepLines w:val="0"/>
              <w:suppressLineNumbers w:val="0"/>
              <w:spacing w:before="0" w:beforeAutospacing="0" w:after="0" w:afterAutospacing="0"/>
              <w:ind w:left="0" w:right="0"/>
              <w:rPr>
                <w:rFonts w:hint="eastAsia"/>
                <w:b/>
                <w:bCs/>
                <w:u w:val="none"/>
                <w:lang w:val="en-US" w:eastAsia="zh-CN"/>
              </w:rPr>
            </w:pPr>
            <w:r>
              <w:rPr>
                <w:rFonts w:hint="eastAsia"/>
                <w:b/>
                <w:bCs/>
                <w:u w:val="none"/>
                <w:lang w:val="en-US" w:eastAsia="zh-CN"/>
              </w:rPr>
              <w:object>
                <v:shape id="_x0000_i1147" o:spt="75" type="#_x0000_t75" style="height:288.25pt;width:303.3pt;" o:ole="t" filled="f" stroked="f" coordsize="21600,21600">
                  <v:path/>
                  <v:fill on="f" focussize="0,0"/>
                  <v:stroke on="f"/>
                  <v:imagedata r:id="rId267" o:title=""/>
                  <o:lock v:ext="edit" aspectratio="t"/>
                  <w10:wrap type="none"/>
                  <w10:anchorlock/>
                </v:shape>
                <o:OLEObject Type="Embed" ProgID="Visio.Drawing.11" ShapeID="_x0000_i1147" DrawAspect="Content" ObjectID="_1468075847" r:id="rId266">
                  <o:LockedField>false</o:LockedField>
                </o:OLEObject>
              </w:object>
            </w:r>
          </w:p>
        </w:tc>
      </w:tr>
    </w:tbl>
    <w:p>
      <w:pPr>
        <w:pStyle w:val="352"/>
        <w:rPr>
          <w:rFonts w:hint="eastAsia"/>
          <w:b/>
          <w:bCs/>
          <w:u w:val="none"/>
          <w:lang w:val="en-US" w:eastAsia="zh-CN"/>
        </w:rPr>
      </w:pPr>
      <w:r>
        <w:rPr>
          <w:rFonts w:hint="eastAsia"/>
          <w:b/>
          <w:bCs/>
          <w:u w:val="none"/>
          <w:lang w:val="en-US" w:eastAsia="zh-CN"/>
        </w:rPr>
        <w:t>图8-15  地下水污染风险快速评估与决策过程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二、风险事故应急程序</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无论预防工作如何周密，风险事故总是难以根本杜绝，因此，必须制定地下水风险事故应急响应预案，明确风险事故状态下应采取封闭、截流等措施，提出防止受污染的地下水扩散和对受污染的地下水进行治理的具体方案。</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制定风险事故应急预案的目的是为了在发生风险事故时，能以最快的速度发挥最大的效能，有序地实施救援，尽快控制事态的发展，降低事故对地下水的污染。因此，建设单位应根据《中华人民共和国水污染防治法》编制相应的应急方案，并按照《企业突发环境事件风险分级方法HJ941-2018》，将地下水风险纳入建设单位环境风险事故评估中，防止对周围地下水环境造成污染。针对应急工作需要，参照相关技术导则，结合地下水污染治理的技术特点，制定地下水污染应急治理程序。</w:t>
      </w:r>
    </w:p>
    <w:tbl>
      <w:tblPr>
        <w:tblStyle w:val="58"/>
        <w:tblW w:w="9060" w:type="dxa"/>
        <w:jc w:val="center"/>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rPr>
          <w:jc w:val="center"/>
        </w:trPr>
        <w:tc>
          <w:tcPr>
            <w:tcW w:w="9060" w:type="dxa"/>
            <w:noWrap w:val="0"/>
            <w:vAlign w:val="center"/>
          </w:tcPr>
          <w:p>
            <w:pPr>
              <w:keepNext w:val="0"/>
              <w:keepLines w:val="0"/>
              <w:suppressLineNumbers w:val="0"/>
              <w:spacing w:before="0" w:beforeAutospacing="0" w:after="0" w:afterAutospacing="0" w:line="360" w:lineRule="auto"/>
              <w:ind w:left="0" w:right="0" w:firstLine="480" w:firstLineChars="200"/>
              <w:jc w:val="center"/>
              <w:rPr>
                <w:rFonts w:hint="eastAsia"/>
                <w:iCs/>
                <w:kern w:val="0"/>
                <w:sz w:val="24"/>
                <w:u w:val="none"/>
                <w:lang w:val="en-US" w:eastAsia="zh-CN"/>
              </w:rPr>
            </w:pPr>
            <w:r>
              <w:rPr>
                <w:rFonts w:hint="eastAsia"/>
                <w:iCs/>
                <w:kern w:val="0"/>
                <w:sz w:val="24"/>
                <w:u w:val="none"/>
                <w:lang w:val="en-US" w:eastAsia="zh-CN"/>
              </w:rPr>
              <w:object>
                <v:shape id="_x0000_i1148" o:spt="75" type="#_x0000_t75" style="height:300.95pt;width:255.8pt;" o:ole="t" filled="f" stroked="f" coordsize="21600,21600">
                  <v:path/>
                  <v:fill on="f" focussize="0,0"/>
                  <v:stroke on="f"/>
                  <v:imagedata r:id="rId269" o:title=""/>
                  <o:lock v:ext="edit" aspectratio="t"/>
                  <w10:wrap type="none"/>
                  <w10:anchorlock/>
                </v:shape>
                <o:OLEObject Type="Embed" ProgID="Visio.Drawing.11" ShapeID="_x0000_i1148" DrawAspect="Content" ObjectID="_1468075848" r:id="rId268">
                  <o:LockedField>false</o:LockedField>
                </o:OLEObject>
              </w:object>
            </w:r>
          </w:p>
        </w:tc>
      </w:tr>
    </w:tbl>
    <w:p>
      <w:pPr>
        <w:pStyle w:val="352"/>
        <w:rPr>
          <w:rFonts w:hint="eastAsia"/>
          <w:b/>
          <w:bCs/>
          <w:u w:val="none"/>
          <w:lang w:val="en-US" w:eastAsia="zh-CN"/>
        </w:rPr>
      </w:pPr>
      <w:r>
        <w:rPr>
          <w:rFonts w:hint="eastAsia"/>
          <w:b/>
          <w:bCs/>
          <w:u w:val="none"/>
          <w:lang w:val="en-US" w:eastAsia="zh-CN"/>
        </w:rPr>
        <w:t>图8-16  地下水污染应急治理程序</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三、风险事故应急措施</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污染质扩散影响地下水质，而且地下水一旦污染，很难恢复。一旦项目设施设备发生泄漏事故，先判定可能漏失位置，然后分析可能产生的地下水位污染质扩散范围，再利用可能扩散范围内外的已有井孔对相关层位井等地下水动态监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如果污染事故对地下水影响较大，影响到地下水供水或其它目的，可以通过变监控井为抽水井，将可能的污染质抽出处理；另外还可以通过如建造帷幕等的工程措施，隔断污染途径，辅助抽水处理，减轻甚至避免对地下水造成不利的影响</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一旦发生地下水污染事故，应立即启动应急预案，采取相应应急措施，防止事故污染物向环境转移，主要措施包括以下几点。</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①如项目区发生地下水污染事故，立即启动应急预案。</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②迅速控制项目区事故现场，切断污染源，对污染场地进行清源处理，同时上报相关部门。</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③通过长期监测井作为应急抽水井开展抽水，形成水力截获带，控制污染羽，并监测地下水污染物浓度，同时，依据抽水设计方案进行施工及各井孔出水情况进行调整。</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④如抽水水质超标，将超标地下水送至项目区污水处理厂处理，严禁随意排放。</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⑤当应急截获井地下水染物含量低于区域背景值浓度后停止抽水，继续加强地下水水质监测。</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综上，在采取上述措施后，废水事故性排放对地下水的影响将降至最低。</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四、地下水治理措施</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地下水污染治理技术归纳起来主要有：物理处理法、水动力控制法、抽出—处理法、原位处理法。</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针对污染物泄露，对已经污染的地下水，根据其污染的主要原因、污染途径等采取适当防护措施。采用被动收集法，就是在地下水流的下游挖一条足够深的沟道，在沟内布置收集系统，将水面漂浮的污染物收集起来，或将所有受污染地下水收集起来另行处理，把经过处理后的污水注回蓄水层。通过土壤和沙层净化、过滤的水，接近淡水的质量，可以用来灌溉农作物。</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具体措施：集群井、注水井的具体为在事故发生区的下游50m左右，采取施工一排集群井（4~5眼，井距10m）进行抽水，将污染物质及时抽出处理。为地下水径流速度，加快污染物的流动，使得下游集群井能快速抽出全部污染物，可在事故发生区上游20m左右施工一排注水井（2~3眼）。</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利用植物吸收去除污染：严重污染的土壤可改种一些非食用的植物如花卉、林木、纤维作物等，具体方法包括（植物提取，植物降解，植物稳定，植物挥发）。此外，对于轻度污染的土壤，采取深翻或客土的方法。对于污染严重的土壤，可采取铲除表土或换客土的方法。这些方法的优点是改良较彻底，适用于小面积改良。</w:t>
      </w:r>
    </w:p>
    <w:p>
      <w:pPr>
        <w:topLinePunct/>
        <w:spacing w:line="360" w:lineRule="auto"/>
        <w:jc w:val="left"/>
        <w:rPr>
          <w:rFonts w:hint="eastAsia"/>
          <w:b/>
          <w:sz w:val="24"/>
          <w:u w:val="none"/>
          <w:lang w:val="en-US" w:eastAsia="zh-CN"/>
        </w:rPr>
      </w:pPr>
      <w:r>
        <w:rPr>
          <w:rFonts w:hint="eastAsia"/>
          <w:b/>
          <w:sz w:val="24"/>
          <w:u w:val="none"/>
          <w:lang w:val="en-US" w:eastAsia="zh-CN"/>
        </w:rPr>
        <w:t>8.4.12地下水环境影响评价</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根据《环境影响评价技术导则-地下水环境》(HJ610-2016)，本项目属于I类建设项目，地下水环境不敏感，地下水二级评价，地下水环境保护目标主要为第四系松散堆积体孔隙水含水层，建设单位在严格执行了“源头控制、分区防治、污染监控”并做好风险防范措施后，经预测分析，运营期对区域地下水环境仍然满足《地下水质量标准》（GB/T14848-2017）III类限值。</w:t>
      </w:r>
    </w:p>
    <w:p>
      <w:pPr>
        <w:spacing w:line="360" w:lineRule="auto"/>
        <w:ind w:firstLine="480" w:firstLineChars="200"/>
        <w:jc w:val="left"/>
        <w:rPr>
          <w:rFonts w:hint="eastAsia"/>
          <w:iCs/>
          <w:kern w:val="0"/>
          <w:sz w:val="24"/>
          <w:u w:val="none"/>
          <w:lang w:val="en-US" w:eastAsia="zh-CN"/>
        </w:rPr>
      </w:pPr>
      <w:r>
        <w:rPr>
          <w:rFonts w:hint="eastAsia"/>
          <w:iCs/>
          <w:kern w:val="0"/>
          <w:sz w:val="24"/>
          <w:u w:val="none"/>
          <w:lang w:val="en-US" w:eastAsia="zh-CN"/>
        </w:rPr>
        <w:t>综上所述，本项目在认真落实本次评价提出的各项地下水污染防治措施的基础上，项目建设对当地地下水环境影响可以接受，从地下水环境保护角度而言，项目建设可行。</w:t>
      </w:r>
    </w:p>
    <w:p>
      <w:pPr>
        <w:pStyle w:val="3"/>
        <w:rPr>
          <w:rFonts w:ascii="Times New Roman" w:hAnsi="Times New Roman"/>
          <w:sz w:val="28"/>
          <w:szCs w:val="28"/>
          <w:u w:val="none"/>
        </w:rPr>
      </w:pPr>
      <w:bookmarkStart w:id="78" w:name="_Toc28574"/>
      <w:r>
        <w:rPr>
          <w:rFonts w:hint="eastAsia" w:ascii="Times New Roman" w:hAnsi="Times New Roman"/>
          <w:sz w:val="28"/>
          <w:szCs w:val="28"/>
          <w:u w:val="none"/>
          <w:lang w:val="en-US" w:eastAsia="zh-CN"/>
        </w:rPr>
        <w:t>8</w:t>
      </w:r>
      <w:r>
        <w:rPr>
          <w:rFonts w:ascii="Times New Roman" w:hAnsi="Times New Roman"/>
          <w:sz w:val="28"/>
          <w:szCs w:val="28"/>
          <w:u w:val="none"/>
        </w:rPr>
        <w:t>.5固废环境影响分析</w:t>
      </w:r>
      <w:bookmarkEnd w:id="78"/>
    </w:p>
    <w:p>
      <w:pPr>
        <w:topLinePunct/>
        <w:spacing w:line="360" w:lineRule="auto"/>
        <w:jc w:val="left"/>
        <w:rPr>
          <w:rFonts w:hint="eastAsia"/>
          <w:b/>
          <w:sz w:val="24"/>
          <w:u w:val="none"/>
          <w:lang w:val="en-US" w:eastAsia="zh-CN"/>
        </w:rPr>
      </w:pPr>
      <w:r>
        <w:rPr>
          <w:rFonts w:hint="eastAsia"/>
          <w:b/>
          <w:sz w:val="24"/>
          <w:u w:val="none"/>
          <w:lang w:val="en-US" w:eastAsia="zh-CN"/>
        </w:rPr>
        <w:t>8.5.1固体废物产生及处置情况</w:t>
      </w:r>
    </w:p>
    <w:p>
      <w:pPr>
        <w:topLinePunct/>
        <w:spacing w:line="360" w:lineRule="auto"/>
        <w:ind w:firstLine="480" w:firstLineChars="200"/>
        <w:jc w:val="left"/>
        <w:rPr>
          <w:sz w:val="24"/>
          <w:u w:val="none"/>
        </w:rPr>
      </w:pPr>
      <w:r>
        <w:rPr>
          <w:rFonts w:hint="eastAsia"/>
          <w:sz w:val="24"/>
          <w:u w:val="none"/>
          <w:lang w:eastAsia="zh-CN"/>
        </w:rPr>
        <w:t>拟建项目运营过程中会产生一定量的危险废物和一般废物，类别如下：</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1、危险废物</w:t>
      </w:r>
    </w:p>
    <w:p>
      <w:pPr>
        <w:topLinePunct/>
        <w:spacing w:line="360" w:lineRule="auto"/>
        <w:ind w:firstLine="480" w:firstLineChars="200"/>
        <w:jc w:val="left"/>
        <w:rPr>
          <w:rFonts w:hint="default"/>
          <w:sz w:val="24"/>
          <w:u w:val="none"/>
          <w:lang w:val="en-US" w:eastAsia="zh-CN"/>
        </w:rPr>
      </w:pPr>
      <w:r>
        <w:rPr>
          <w:rFonts w:hint="eastAsia"/>
          <w:sz w:val="24"/>
          <w:u w:val="none"/>
          <w:lang w:val="en-US" w:eastAsia="zh-CN"/>
        </w:rPr>
        <w:t>拟建项目过滤废气产生的旋流塔污泥、废过滤膜、废活性炭，医疗废物收集、转运、贮存及处置过程中产生的废周转箱、手套及口罩以及污水处理站产生的污泥等属于危险废物，按危险废物处置。</w:t>
      </w:r>
    </w:p>
    <w:p>
      <w:pPr>
        <w:topLinePunct/>
        <w:spacing w:line="360" w:lineRule="auto"/>
        <w:ind w:firstLine="480" w:firstLineChars="200"/>
        <w:jc w:val="left"/>
        <w:rPr>
          <w:sz w:val="24"/>
          <w:u w:val="none"/>
        </w:rPr>
      </w:pPr>
      <w:r>
        <w:rPr>
          <w:rFonts w:hint="eastAsia"/>
          <w:sz w:val="24"/>
          <w:u w:val="none"/>
          <w:lang w:val="en-US" w:eastAsia="zh-CN"/>
        </w:rPr>
        <w:t>2、</w:t>
      </w:r>
      <w:r>
        <w:rPr>
          <w:sz w:val="24"/>
          <w:u w:val="none"/>
        </w:rPr>
        <w:t>一般固废：</w:t>
      </w:r>
      <w:r>
        <w:rPr>
          <w:rFonts w:hint="eastAsia"/>
          <w:sz w:val="24"/>
          <w:u w:val="none"/>
          <w:lang w:eastAsia="zh-CN"/>
        </w:rPr>
        <w:t>医疗废物处置后的残渣及生活垃圾</w:t>
      </w:r>
      <w:r>
        <w:rPr>
          <w:sz w:val="24"/>
          <w:u w:val="none"/>
        </w:rPr>
        <w:t>；</w:t>
      </w:r>
    </w:p>
    <w:p>
      <w:pPr>
        <w:topLinePunct/>
        <w:spacing w:line="360" w:lineRule="auto"/>
        <w:jc w:val="left"/>
        <w:rPr>
          <w:rFonts w:hint="eastAsia"/>
          <w:b/>
          <w:sz w:val="24"/>
          <w:u w:val="none"/>
          <w:lang w:val="en-US" w:eastAsia="zh-CN"/>
        </w:rPr>
      </w:pPr>
      <w:r>
        <w:rPr>
          <w:rFonts w:hint="eastAsia"/>
          <w:b/>
          <w:sz w:val="24"/>
          <w:u w:val="none"/>
          <w:lang w:val="en-US" w:eastAsia="zh-CN"/>
        </w:rPr>
        <w:t>8.5.2危险废物处置措施分析</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sz w:val="24"/>
          <w:u w:val="none"/>
        </w:rPr>
      </w:pPr>
      <w:r>
        <w:rPr>
          <w:rFonts w:hint="eastAsia"/>
          <w:sz w:val="24"/>
          <w:u w:val="none"/>
          <w:lang w:val="en-US" w:eastAsia="zh-CN"/>
        </w:rPr>
        <w:t>拟建项目运营期间产生的除废活性炭以外的其他危险废物属医疗废物，可同从医疗机构收集来的医疗废物一并贮存于冷藏库内，依托项目微波消毒系统处置，处置后的残渣送垃圾焚烧发电厂处置。而废活性炭的处置，拟建</w:t>
      </w:r>
      <w:r>
        <w:rPr>
          <w:sz w:val="24"/>
          <w:u w:val="none"/>
        </w:rPr>
        <w:t>项目</w:t>
      </w:r>
      <w:r>
        <w:rPr>
          <w:rFonts w:hint="eastAsia"/>
          <w:sz w:val="24"/>
          <w:u w:val="none"/>
          <w:lang w:eastAsia="zh-CN"/>
        </w:rPr>
        <w:t>在厂区内新建一间</w:t>
      </w:r>
      <w:r>
        <w:rPr>
          <w:rFonts w:hint="eastAsia"/>
          <w:sz w:val="24"/>
          <w:u w:val="none"/>
          <w:lang w:val="en-US" w:eastAsia="zh-CN"/>
        </w:rPr>
        <w:t>10m²</w:t>
      </w:r>
      <w:r>
        <w:rPr>
          <w:rFonts w:hint="eastAsia"/>
          <w:sz w:val="24"/>
          <w:u w:val="none"/>
          <w:lang w:eastAsia="zh-CN"/>
        </w:rPr>
        <w:t>危废暂存间用于废活性炭的厂区贮存，</w:t>
      </w:r>
      <w:r>
        <w:rPr>
          <w:rFonts w:hint="eastAsia"/>
          <w:sz w:val="24"/>
          <w:u w:val="none"/>
        </w:rPr>
        <w:t>针对危险废物厂区</w:t>
      </w:r>
      <w:r>
        <w:rPr>
          <w:rFonts w:hint="eastAsia"/>
          <w:sz w:val="24"/>
          <w:u w:val="none"/>
          <w:lang w:eastAsia="zh-CN"/>
        </w:rPr>
        <w:t>暂存间的暂存及</w:t>
      </w:r>
      <w:r>
        <w:rPr>
          <w:rFonts w:hint="eastAsia"/>
          <w:sz w:val="24"/>
          <w:u w:val="none"/>
        </w:rPr>
        <w:t>管理</w:t>
      </w:r>
      <w:r>
        <w:rPr>
          <w:rFonts w:hint="eastAsia"/>
          <w:sz w:val="24"/>
          <w:u w:val="none"/>
          <w:lang w:eastAsia="zh-CN"/>
        </w:rPr>
        <w:t>，项目拟采取</w:t>
      </w:r>
      <w:r>
        <w:rPr>
          <w:rFonts w:hint="eastAsia"/>
          <w:sz w:val="24"/>
          <w:u w:val="none"/>
        </w:rPr>
        <w:t>措施</w:t>
      </w:r>
      <w:r>
        <w:rPr>
          <w:rFonts w:hint="eastAsia"/>
          <w:sz w:val="24"/>
          <w:u w:val="none"/>
          <w:lang w:eastAsia="zh-CN"/>
        </w:rPr>
        <w:t>如下</w:t>
      </w:r>
      <w:r>
        <w:rPr>
          <w:sz w:val="24"/>
          <w:u w:val="none"/>
        </w:rPr>
        <w:t>：</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rFonts w:hint="eastAsia" w:eastAsia="宋体"/>
          <w:sz w:val="24"/>
          <w:u w:val="none"/>
          <w:lang w:eastAsia="zh-CN"/>
        </w:rPr>
      </w:pPr>
      <w:r>
        <w:rPr>
          <w:sz w:val="24"/>
          <w:u w:val="none"/>
        </w:rPr>
        <w:t>（1）企业应设置专门人员负责</w:t>
      </w:r>
      <w:r>
        <w:rPr>
          <w:rFonts w:hint="eastAsia"/>
          <w:sz w:val="24"/>
          <w:u w:val="none"/>
          <w:lang w:eastAsia="zh-CN"/>
        </w:rPr>
        <w:t>危险废物暂存管理，</w:t>
      </w:r>
      <w:r>
        <w:rPr>
          <w:sz w:val="24"/>
          <w:u w:val="none"/>
        </w:rPr>
        <w:t>进行分类堆放，在运输过程中，确保不撒漏、不混放。对有毒有害废弃物，利用密闭容器储运；并加强固体废弃物的分类存放管理，确保各类固废分类存放于固废暂存间内，不散乱堆放。</w:t>
      </w:r>
      <w:r>
        <w:rPr>
          <w:rFonts w:hint="eastAsia"/>
          <w:sz w:val="24"/>
          <w:u w:val="none"/>
          <w:lang w:eastAsia="zh-CN"/>
        </w:rPr>
        <w:t>建立危险废物产生、外运、处置及最终去向的详细台账</w:t>
      </w:r>
      <w:r>
        <w:rPr>
          <w:sz w:val="24"/>
          <w:u w:val="none"/>
        </w:rPr>
        <w:t>，</w:t>
      </w:r>
      <w:r>
        <w:rPr>
          <w:rFonts w:hint="eastAsia"/>
          <w:sz w:val="24"/>
          <w:u w:val="none"/>
          <w:lang w:eastAsia="zh-CN"/>
        </w:rPr>
        <w:t>并按照《危险废物转移联单管理办法》的要求做好危险废物转移联单填报登记工作。</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sz w:val="24"/>
          <w:u w:val="none"/>
        </w:rPr>
      </w:pPr>
      <w:r>
        <w:rPr>
          <w:sz w:val="24"/>
          <w:u w:val="none"/>
        </w:rPr>
        <w:t>（2）</w:t>
      </w:r>
      <w:r>
        <w:rPr>
          <w:rFonts w:hint="eastAsia"/>
          <w:sz w:val="24"/>
          <w:u w:val="none"/>
          <w:lang w:eastAsia="zh-CN"/>
        </w:rPr>
        <w:t>废活性炭厂内贮存执行《危险废物贮存污染控制标准》（</w:t>
      </w:r>
      <w:r>
        <w:rPr>
          <w:rFonts w:hint="eastAsia"/>
          <w:sz w:val="24"/>
          <w:u w:val="none"/>
          <w:lang w:val="en-US" w:eastAsia="zh-CN"/>
        </w:rPr>
        <w:t>GB18597-2001</w:t>
      </w:r>
      <w:r>
        <w:rPr>
          <w:rFonts w:hint="eastAsia"/>
          <w:sz w:val="24"/>
          <w:u w:val="none"/>
          <w:lang w:eastAsia="zh-CN"/>
        </w:rPr>
        <w:t>）及其修改单（</w:t>
      </w:r>
      <w:r>
        <w:rPr>
          <w:rFonts w:hint="eastAsia"/>
          <w:sz w:val="24"/>
          <w:u w:val="none"/>
          <w:lang w:val="en-US" w:eastAsia="zh-CN"/>
        </w:rPr>
        <w:t>2013.6.8</w:t>
      </w:r>
      <w:r>
        <w:rPr>
          <w:rFonts w:hint="eastAsia"/>
          <w:sz w:val="24"/>
          <w:u w:val="none"/>
          <w:lang w:eastAsia="zh-CN"/>
        </w:rPr>
        <w:t>）相关要求，</w:t>
      </w:r>
      <w:r>
        <w:rPr>
          <w:sz w:val="24"/>
          <w:u w:val="none"/>
        </w:rPr>
        <w:t>危废暂</w:t>
      </w:r>
      <w:r>
        <w:rPr>
          <w:rFonts w:asciiTheme="minorEastAsia" w:hAnsiTheme="minorEastAsia" w:eastAsiaTheme="minorEastAsia"/>
          <w:sz w:val="24"/>
          <w:u w:val="none"/>
        </w:rPr>
        <w:t>存间按</w:t>
      </w:r>
      <w:r>
        <w:rPr>
          <w:rFonts w:hint="eastAsia"/>
          <w:sz w:val="24"/>
          <w:u w:val="none"/>
          <w:lang w:val="en-US" w:eastAsia="zh-CN"/>
        </w:rPr>
        <w:t>《环境保护图形标志——固体废物贮存（处置）场》（GB15562.2-1995）和《危险废物标志牌式样》有关</w:t>
      </w:r>
      <w:r>
        <w:rPr>
          <w:rFonts w:hint="eastAsia" w:asciiTheme="minorEastAsia" w:hAnsiTheme="minorEastAsia" w:eastAsiaTheme="minorEastAsia"/>
          <w:sz w:val="24"/>
          <w:u w:val="none"/>
          <w:lang w:eastAsia="zh-CN"/>
        </w:rPr>
        <w:t>要求</w:t>
      </w:r>
      <w:r>
        <w:rPr>
          <w:rFonts w:asciiTheme="minorEastAsia" w:hAnsiTheme="minorEastAsia" w:eastAsiaTheme="minorEastAsia"/>
          <w:sz w:val="24"/>
          <w:u w:val="none"/>
        </w:rPr>
        <w:t>设立</w:t>
      </w:r>
      <w:r>
        <w:rPr>
          <w:rFonts w:hint="eastAsia" w:asciiTheme="minorEastAsia" w:hAnsiTheme="minorEastAsia" w:eastAsiaTheme="minorEastAsia"/>
          <w:sz w:val="24"/>
          <w:u w:val="none"/>
          <w:lang w:eastAsia="zh-CN"/>
        </w:rPr>
        <w:t>警示</w:t>
      </w:r>
      <w:r>
        <w:rPr>
          <w:rFonts w:asciiTheme="minorEastAsia" w:hAnsiTheme="minorEastAsia" w:eastAsiaTheme="minorEastAsia"/>
          <w:sz w:val="24"/>
          <w:u w:val="none"/>
        </w:rPr>
        <w:t>标志牌，并对废物暂存区的地面作“四防（防雨、防渗、防风和防晒）”处理，</w:t>
      </w:r>
      <w:r>
        <w:rPr>
          <w:sz w:val="24"/>
          <w:u w:val="none"/>
        </w:rPr>
        <w:t>铺设防渗层，加强防渗、防漏及防溢流措施。</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（3）对危险固体废弃物应严格按照《危险废弃物管理规定》清理、转运、处置，不得泄露至外界造成污染</w:t>
      </w:r>
      <w:r>
        <w:rPr>
          <w:rFonts w:hint="eastAsia"/>
          <w:sz w:val="24"/>
          <w:u w:val="none"/>
          <w:lang w:eastAsia="zh-CN"/>
        </w:rPr>
        <w:t>，危险废物</w:t>
      </w:r>
      <w:r>
        <w:rPr>
          <w:sz w:val="24"/>
          <w:u w:val="none"/>
        </w:rPr>
        <w:t>厂区</w:t>
      </w:r>
      <w:r>
        <w:rPr>
          <w:rFonts w:hint="eastAsia"/>
          <w:sz w:val="24"/>
          <w:u w:val="none"/>
          <w:lang w:eastAsia="zh-CN"/>
        </w:rPr>
        <w:t>暂</w:t>
      </w:r>
      <w:r>
        <w:rPr>
          <w:sz w:val="24"/>
          <w:u w:val="none"/>
        </w:rPr>
        <w:t>存时间不得超过一年。废弃物转运时，运输车辆需密闭，严禁泄露。</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w:t>
      </w:r>
      <w:r>
        <w:rPr>
          <w:rFonts w:hint="eastAsia"/>
          <w:sz w:val="24"/>
          <w:u w:val="none"/>
          <w:lang w:val="en-US" w:eastAsia="zh-CN"/>
        </w:rPr>
        <w:t>4</w:t>
      </w:r>
      <w:r>
        <w:rPr>
          <w:sz w:val="24"/>
          <w:u w:val="none"/>
        </w:rPr>
        <w:t>）建设单位必须定期对所贮存的危险废物包装容器及贮存设施进行检查，发现破损，应及时采取措施清理更换，务必确保危废不外泄。</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sz w:val="24"/>
          <w:u w:val="none"/>
        </w:rPr>
      </w:pPr>
      <w:r>
        <w:rPr>
          <w:sz w:val="24"/>
          <w:u w:val="none"/>
        </w:rPr>
        <w:t>（</w:t>
      </w:r>
      <w:r>
        <w:rPr>
          <w:rFonts w:hint="eastAsia"/>
          <w:sz w:val="24"/>
          <w:u w:val="none"/>
          <w:lang w:val="en-US" w:eastAsia="zh-CN"/>
        </w:rPr>
        <w:t>5</w:t>
      </w:r>
      <w:r>
        <w:rPr>
          <w:sz w:val="24"/>
          <w:u w:val="none"/>
        </w:rPr>
        <w:t>）出厂外委进行处理的危险废物，须由危废处理资质单位采用专用车辆运输，运输路线避免经过居民集中区和饮用水源保护区，运输途中防治扬尘、洒落和泄露造成严重污染。</w:t>
      </w:r>
    </w:p>
    <w:p>
      <w:pPr>
        <w:keepNext w:val="0"/>
        <w:keepLines w:val="0"/>
        <w:pageBreakBefore w:val="0"/>
        <w:widowControl w:val="0"/>
        <w:kinsoku/>
        <w:wordWrap/>
        <w:overflowPunct/>
        <w:autoSpaceDE/>
        <w:autoSpaceDN/>
        <w:bidi w:val="0"/>
        <w:adjustRightInd/>
        <w:snapToGrid/>
        <w:spacing w:line="360" w:lineRule="auto"/>
        <w:ind w:firstLine="480" w:firstLineChars="200"/>
        <w:jc w:val="left"/>
        <w:textAlignment w:val="auto"/>
        <w:rPr>
          <w:rFonts w:hint="eastAsia" w:eastAsia="宋体"/>
          <w:sz w:val="24"/>
          <w:u w:val="none"/>
          <w:lang w:eastAsia="zh-CN"/>
        </w:rPr>
      </w:pPr>
      <w:r>
        <w:rPr>
          <w:rFonts w:hint="eastAsia"/>
          <w:sz w:val="24"/>
          <w:u w:val="none"/>
          <w:lang w:eastAsia="zh-CN"/>
        </w:rPr>
        <w:t>（</w:t>
      </w:r>
      <w:r>
        <w:rPr>
          <w:rFonts w:hint="eastAsia"/>
          <w:sz w:val="24"/>
          <w:u w:val="none"/>
          <w:lang w:val="en-US" w:eastAsia="zh-CN"/>
        </w:rPr>
        <w:t>6</w:t>
      </w:r>
      <w:r>
        <w:rPr>
          <w:rFonts w:hint="eastAsia"/>
          <w:sz w:val="24"/>
          <w:u w:val="none"/>
          <w:lang w:eastAsia="zh-CN"/>
        </w:rPr>
        <w:t>）危险废物的运输应采取危险废物转移“五联单”制度，保证运输安全，防止非法转移和非法处置，保证危险废物安全监控，防止危险废物污染事故发生。危险废物转移应符合《危险废物转移联单管理办法》有关规定。</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eastAsia="zh-CN"/>
        </w:rPr>
      </w:pPr>
      <w:r>
        <w:rPr>
          <w:rFonts w:hint="eastAsia"/>
          <w:sz w:val="24"/>
          <w:u w:val="none"/>
          <w:lang w:eastAsia="zh-CN"/>
        </w:rPr>
        <w:t>本项目在采取上述危险废物处置措施后，项目生产期间产生的各类危险废物均能得到有效处置，满足“减量化、无害化、资源化”要求。</w:t>
      </w:r>
    </w:p>
    <w:p>
      <w:pPr>
        <w:topLinePunct/>
        <w:spacing w:line="360" w:lineRule="auto"/>
        <w:jc w:val="left"/>
        <w:rPr>
          <w:rFonts w:hint="eastAsia"/>
          <w:b/>
          <w:sz w:val="24"/>
          <w:u w:val="none"/>
          <w:lang w:val="en-US" w:eastAsia="zh-CN"/>
        </w:rPr>
      </w:pPr>
      <w:r>
        <w:rPr>
          <w:rFonts w:hint="eastAsia"/>
          <w:b/>
          <w:sz w:val="24"/>
          <w:u w:val="none"/>
          <w:lang w:val="en-US" w:eastAsia="zh-CN"/>
        </w:rPr>
        <w:t>8.5.3一般工业固体废物堆场的建设要求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项目在厂区内设置一般工业固体废物堆放场，一般工业固体废物堆场参照《一般工业固体废物贮存、处置场污染控制标准》（GB18599-2001）对堆场进行规范建设，堆场应满足防雨淋、防扬散和防渗漏的要求。项目一般固废堆放场建设如下：</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A：地面采取硬化措施并满足承载力要求，必要时采取相应措施防止地基下沉；</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B：要求设置必要的防风、防雨、防晒措施，采取必要的防尘措施。</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C：按照《环境保护图形标识——固体废物贮存（处置）场》（GB15562.2）设置环境保护图形标志。</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本项目一般固废堆放场在采取上述措施后，一般固废堆放场满足相关标准要求，一般固废能得到有效收集和妥善储存，不会造成二次污染。</w:t>
      </w:r>
    </w:p>
    <w:p>
      <w:pPr>
        <w:topLinePunct/>
        <w:spacing w:line="360" w:lineRule="auto"/>
        <w:jc w:val="left"/>
        <w:rPr>
          <w:rFonts w:hint="eastAsia"/>
          <w:b/>
          <w:sz w:val="24"/>
          <w:u w:val="none"/>
          <w:lang w:val="en-US" w:eastAsia="zh-CN"/>
        </w:rPr>
      </w:pPr>
      <w:r>
        <w:rPr>
          <w:rFonts w:hint="eastAsia"/>
          <w:b/>
          <w:sz w:val="24"/>
          <w:u w:val="none"/>
          <w:lang w:val="en-US" w:eastAsia="zh-CN"/>
        </w:rPr>
        <w:t>8.5.4固体废物对环境的影响评价</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本项目生活垃圾由环卫部门统一清运处置，危险废物废活性炭厂区安全储存，定期委托有资质单位处理处置，其余危险废物随医疗废物依托本项目微波消毒处置，处置后的残渣作为一般工业固废送垃圾焚烧发电厂进行处置。</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综上，拟建项目严格按照环评提出的各项固废治理措施后，本项目各项固废处置均满足“减量化、资源化、无害化”要求，不会对周围环境造成二次污染。</w:t>
      </w:r>
    </w:p>
    <w:p>
      <w:pPr>
        <w:pStyle w:val="3"/>
        <w:rPr>
          <w:rFonts w:hint="eastAsia" w:ascii="Times New Roman" w:hAnsi="Times New Roman" w:eastAsia="宋体"/>
          <w:sz w:val="28"/>
          <w:szCs w:val="28"/>
          <w:u w:val="none"/>
          <w:lang w:val="en-US" w:eastAsia="zh-CN"/>
        </w:rPr>
      </w:pPr>
      <w:bookmarkStart w:id="79" w:name="_Toc13107"/>
      <w:r>
        <w:rPr>
          <w:rFonts w:hint="eastAsia" w:ascii="Times New Roman" w:hAnsi="Times New Roman"/>
          <w:sz w:val="28"/>
          <w:szCs w:val="28"/>
          <w:u w:val="none"/>
          <w:lang w:val="en-US" w:eastAsia="zh-CN"/>
        </w:rPr>
        <w:t>8.6土壤环境影响分析</w:t>
      </w:r>
      <w:bookmarkEnd w:id="79"/>
    </w:p>
    <w:p>
      <w:pPr>
        <w:topLinePunct/>
        <w:spacing w:line="360" w:lineRule="auto"/>
        <w:jc w:val="left"/>
        <w:rPr>
          <w:rFonts w:hint="eastAsia"/>
          <w:b/>
          <w:sz w:val="24"/>
          <w:u w:val="none"/>
          <w:lang w:val="en-US" w:eastAsia="zh-CN"/>
        </w:rPr>
      </w:pPr>
      <w:r>
        <w:rPr>
          <w:rFonts w:hint="eastAsia"/>
          <w:b/>
          <w:sz w:val="24"/>
          <w:u w:val="none"/>
          <w:lang w:val="en-US" w:eastAsia="zh-CN"/>
        </w:rPr>
        <w:t>8.6.1总论</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一、评价目的</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1、结合国家、地方土壤相关资料和实地调查，掌握拟建设项目地区土壤类型及理化特性等，查明土壤环境现状与土壤利用现状；</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根据拟建项目工程分析及土壤污染相关的地表水、地下水、大气等评价结果，分析并识别出可能进入土壤的污染物种类、数量、方式等，预测拟建项目可能对土壤环境产生的影响，评价其影响程度和范围及其可能导致的土壤环境变化趋势；</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3、针对项目建设可能产生的不利影响，提出合理、可行、操作性强的土壤环境影响防控措施，使工程建设带来的负面环境影响降至最低程度，达到项目建设和环境保护的协调发展；</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4、从土壤环境保护角度论证项目建设的可行性，为工程建设决策和环境管理提供科学依据。</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二、评价内容与评价重点</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1、评价内容</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土壤环境的现状调查、监测与评价，以及建设项目对土壤环境可能造成的直接和间接危害的预测与评价，并针对其造成的影响和危害提出防控措施与对策。</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2、评价重点</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结合工程的特点及区域环境特征，确定本次评价工作重点为：建设项目土壤环境影响类型与影响途径识别、建设项目周边土壤环境现状调查、土壤环境影响预测及评价、土壤环境污染防治措施及建议。</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3、评价工作程序</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评价工作分为准备阶段、现状调查与评价阶段、预测分析与评价阶段和结论阶段。</w:t>
      </w:r>
    </w:p>
    <w:p>
      <w:pPr>
        <w:pStyle w:val="352"/>
        <w:rPr>
          <w:rFonts w:hint="eastAsia"/>
          <w:b/>
          <w:bCs/>
          <w:u w:val="none"/>
          <w:lang w:val="en-US" w:eastAsia="zh-CN"/>
        </w:rPr>
      </w:pPr>
      <w:r>
        <w:rPr>
          <w:rFonts w:hint="eastAsia"/>
          <w:b/>
          <w:bCs/>
          <w:u w:val="none"/>
          <w:lang w:val="en-US" w:eastAsia="zh-CN"/>
        </w:rPr>
        <w:object>
          <v:shape id="_x0000_i1149" o:spt="75" type="#_x0000_t75" style="height:534.45pt;width:453.1pt;" o:ole="t" filled="f" o:preferrelative="t" stroked="f" coordsize="21600,21600">
            <v:path/>
            <v:fill on="f" focussize="0,0"/>
            <v:stroke on="f"/>
            <v:imagedata r:id="rId271" o:title=""/>
            <o:lock v:ext="edit" aspectratio="f"/>
            <w10:wrap type="none"/>
            <w10:anchorlock/>
          </v:shape>
          <o:OLEObject Type="Embed" ProgID="Visio.Drawing.11" ShapeID="_x0000_i1149" DrawAspect="Content" ObjectID="_1468075849" r:id="rId270">
            <o:LockedField>false</o:LockedField>
          </o:OLEObject>
        </w:object>
      </w:r>
    </w:p>
    <w:p>
      <w:pPr>
        <w:pStyle w:val="352"/>
        <w:rPr>
          <w:rFonts w:hint="default"/>
          <w:b/>
          <w:bCs/>
          <w:u w:val="none"/>
          <w:lang w:val="en-US" w:eastAsia="zh-CN"/>
        </w:rPr>
      </w:pPr>
      <w:r>
        <w:rPr>
          <w:rFonts w:hint="eastAsia"/>
          <w:b/>
          <w:bCs/>
          <w:u w:val="none"/>
          <w:lang w:val="en-US" w:eastAsia="zh-CN"/>
        </w:rPr>
        <w:t>图8-17  本项目土壤环境影响评价工作程序图</w:t>
      </w:r>
    </w:p>
    <w:p>
      <w:pPr>
        <w:topLinePunct/>
        <w:spacing w:line="360" w:lineRule="auto"/>
        <w:jc w:val="left"/>
        <w:rPr>
          <w:rFonts w:hint="eastAsia"/>
          <w:b/>
          <w:sz w:val="24"/>
          <w:u w:val="none"/>
          <w:lang w:val="en-US" w:eastAsia="zh-CN"/>
        </w:rPr>
      </w:pPr>
      <w:r>
        <w:rPr>
          <w:rFonts w:hint="eastAsia"/>
          <w:b/>
          <w:sz w:val="24"/>
          <w:u w:val="none"/>
          <w:lang w:val="en-US" w:eastAsia="zh-CN"/>
        </w:rPr>
        <w:t>8.6.2土壤环境影响识别与评价等级</w:t>
      </w:r>
    </w:p>
    <w:p>
      <w:pPr>
        <w:topLinePunct/>
        <w:spacing w:line="360" w:lineRule="auto"/>
        <w:jc w:val="left"/>
        <w:rPr>
          <w:rFonts w:hint="default"/>
          <w:b w:val="0"/>
          <w:bCs/>
          <w:sz w:val="24"/>
          <w:u w:val="none"/>
          <w:lang w:val="en-US" w:eastAsia="zh-CN"/>
        </w:rPr>
      </w:pPr>
      <w:r>
        <w:rPr>
          <w:rFonts w:hint="eastAsia"/>
          <w:b w:val="0"/>
          <w:bCs/>
          <w:sz w:val="24"/>
          <w:u w:val="none"/>
          <w:lang w:val="en-US" w:eastAsia="zh-CN"/>
        </w:rPr>
        <w:t>一、评价工作等级</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根据本项目工程特点，本项目土壤影响类型为污染影响型。根据行业特征，本项目属于</w:t>
      </w:r>
      <w:r>
        <w:rPr>
          <w:rFonts w:hint="eastAsia"/>
          <w:b w:val="0"/>
          <w:bCs/>
          <w:sz w:val="24"/>
          <w:u w:val="none"/>
          <w:lang w:val="en-US" w:eastAsia="zh-CN"/>
        </w:rPr>
        <w:fldChar w:fldCharType="begin"/>
      </w:r>
      <w:r>
        <w:rPr>
          <w:rFonts w:hint="eastAsia"/>
          <w:b w:val="0"/>
          <w:bCs/>
          <w:sz w:val="24"/>
          <w:u w:val="none"/>
          <w:lang w:val="en-US" w:eastAsia="zh-CN"/>
        </w:rPr>
        <w:instrText xml:space="preserve"> = 1 \* ROMAN \* MERGEFORMAT </w:instrText>
      </w:r>
      <w:r>
        <w:rPr>
          <w:rFonts w:hint="eastAsia"/>
          <w:b w:val="0"/>
          <w:bCs/>
          <w:sz w:val="24"/>
          <w:u w:val="none"/>
          <w:lang w:val="en-US" w:eastAsia="zh-CN"/>
        </w:rPr>
        <w:fldChar w:fldCharType="separate"/>
      </w:r>
      <w:r>
        <w:t>I</w:t>
      </w:r>
      <w:r>
        <w:rPr>
          <w:rFonts w:hint="eastAsia"/>
          <w:b w:val="0"/>
          <w:bCs/>
          <w:sz w:val="24"/>
          <w:u w:val="none"/>
          <w:lang w:val="en-US" w:eastAsia="zh-CN"/>
        </w:rPr>
        <w:fldChar w:fldCharType="end"/>
      </w:r>
      <w:r>
        <w:rPr>
          <w:rFonts w:hint="eastAsia"/>
          <w:b w:val="0"/>
          <w:bCs/>
          <w:sz w:val="24"/>
          <w:u w:val="none"/>
          <w:lang w:val="en-US" w:eastAsia="zh-CN"/>
        </w:rPr>
        <w:t>类建设项目。另外，根据现场调查，本项目选址嘉川镇石桥村，占地</w:t>
      </w:r>
      <w:r>
        <w:rPr>
          <w:rFonts w:hint="eastAsia"/>
          <w:b w:val="0"/>
          <w:bCs w:val="0"/>
          <w:sz w:val="24"/>
          <w:u w:val="none"/>
          <w:lang w:val="en-US" w:eastAsia="zh-CN"/>
        </w:rPr>
        <w:t>2898.89m²，占地规模小，项目</w:t>
      </w:r>
      <w:r>
        <w:rPr>
          <w:rFonts w:hint="eastAsia"/>
          <w:b w:val="0"/>
          <w:bCs/>
          <w:sz w:val="24"/>
          <w:u w:val="none"/>
          <w:lang w:val="en-US" w:eastAsia="zh-CN"/>
        </w:rPr>
        <w:t>周边有耕地和林地，本项目所在地周边的土壤环境敏感程度为敏感。</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综上，根据《环境影响评价技术导则——土壤环境（试行）》（HJ964-2018），本项目土壤环境影响评价工作等级判定如下表，</w:t>
      </w:r>
    </w:p>
    <w:p>
      <w:pPr>
        <w:pStyle w:val="352"/>
        <w:rPr>
          <w:rFonts w:hint="eastAsia"/>
          <w:b/>
          <w:bCs/>
          <w:u w:val="none"/>
          <w:lang w:val="en-US" w:eastAsia="zh-CN"/>
        </w:rPr>
      </w:pPr>
      <w:r>
        <w:rPr>
          <w:rFonts w:hint="eastAsia"/>
          <w:b/>
          <w:bCs/>
          <w:u w:val="none"/>
          <w:lang w:val="en-US" w:eastAsia="zh-CN"/>
        </w:rPr>
        <w:t>表8-27  本项目评价工作等级判定表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774"/>
        <w:gridCol w:w="774"/>
        <w:gridCol w:w="774"/>
        <w:gridCol w:w="774"/>
        <w:gridCol w:w="774"/>
        <w:gridCol w:w="774"/>
        <w:gridCol w:w="774"/>
        <w:gridCol w:w="77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2322" w:type="dxa"/>
            <w:vMerge w:val="restart"/>
            <w:vAlign w:val="center"/>
            <mc:AlternateContent>
              <mc:Choice Requires="wpsCustomData">
                <wpsCustomData:diagonals>
                  <wpsCustomData:diagonal from="30000" to="13900">
                    <wpsCustomData:border w:val="single" w:color="auto" w:sz="4" w:space="0"/>
                  </wpsCustomData:diagonal>
                  <wpsCustomData:diagonal from="30000" to="3700">
                    <wpsCustomData:border w:val="single" w:color="auto" w:sz="4" w:space="0"/>
                  </wpsCustomData:diagonal>
                </wpsCustomData:diagonals>
              </mc:Choice>
            </mc:AlternateContent>
          </w:tcPr>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mc:AlternateContent>
                <mc:Choice Requires="wpsCustomData">
                  <wpsCustomData:diagonalParaType/>
                </mc:Choice>
              </mc:AlternateContent>
              <w:rPr>
                <w:rFonts w:hint="default"/>
                <w:vertAlign w:val="baseline"/>
                <w:lang w:val="en-US" w:eastAsia="zh-CN"/>
              </w:rPr>
            </w:pPr>
            <w:r>
              <w:rPr>
                <w:rFonts w:hint="eastAsia"/>
                <w:vertAlign w:val="baseline"/>
                <w:lang w:val="en-US" w:eastAsia="zh-CN"/>
              </w:rPr>
              <w:t>敏感程度</w:t>
            </w:r>
          </w:p>
          <w:p>
            <w:pPr>
              <w:pStyle w:val="352"/>
              <w:keepNext w:val="0"/>
              <w:keepLines w:val="0"/>
              <w:suppressLineNumbers w:val="0"/>
              <w:bidi w:val="0"/>
              <w:snapToGrid w:val="0"/>
              <w:spacing w:before="0" w:beforeAutospacing="0" w:after="0" w:afterAutospacing="0" w:line="240" w:lineRule="auto"/>
              <w:ind w:left="0" w:right="0"/>
              <w:jc w:val="left"/>
              <w:rPr>
                <w:rFonts w:hint="default"/>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w:rPr>
                <w:rFonts w:hint="eastAsia"/>
                <w:vertAlign w:val="baseline"/>
                <w:lang w:val="en-US" w:eastAsia="zh-CN"/>
              </w:rPr>
            </w:pPr>
          </w:p>
          <w:p>
            <w:pPr>
              <w:pStyle w:val="352"/>
              <w:keepNext w:val="0"/>
              <w:keepLines w:val="0"/>
              <w:suppressLineNumbers w:val="0"/>
              <w:bidi w:val="0"/>
              <w:snapToGrid w:val="0"/>
              <w:spacing w:before="0" w:beforeAutospacing="0" w:after="0" w:afterAutospacing="0" w:line="240" w:lineRule="auto"/>
              <w:ind w:left="0" w:right="0"/>
              <w:jc w:val="left"/>
              <mc:AlternateContent>
                <mc:Choice Requires="wpsCustomData">
                  <wpsCustomData:diagonalParaType/>
                </mc:Choice>
              </mc:AlternateContent>
              <w:rPr>
                <w:rFonts w:hint="default"/>
                <w:vertAlign w:val="baseline"/>
                <w:lang w:val="en-US" w:eastAsia="zh-CN"/>
              </w:rPr>
            </w:pPr>
            <w:r>
              <w:rPr>
                <w:rFonts w:hint="eastAsia"/>
                <w:vertAlign w:val="baseline"/>
                <w:lang w:val="en-US" w:eastAsia="zh-CN"/>
              </w:rPr>
              <w:t>评价工作等级</w:t>
            </w:r>
          </w:p>
          <w:p>
            <w:pPr>
              <w:pStyle w:val="352"/>
              <w:keepNext w:val="0"/>
              <w:keepLines w:val="0"/>
              <w:suppressLineNumbers w:val="0"/>
              <w:bidi w:val="0"/>
              <w:spacing w:before="0" w:beforeAutospacing="0" w:after="0" w:afterAutospacing="0"/>
              <w:ind w:left="0" w:right="0"/>
              <w:jc w:val="right"/>
              <w:rPr>
                <w:rFonts w:hint="eastAsia"/>
                <w:vertAlign w:val="baseline"/>
                <w:lang w:val="en-US" w:eastAsia="zh-CN"/>
              </w:rPr>
            </w:pPr>
          </w:p>
          <w:p>
            <w:pPr>
              <w:pStyle w:val="352"/>
              <w:keepNext w:val="0"/>
              <w:keepLines w:val="0"/>
              <w:suppressLineNumbers w:val="0"/>
              <w:bidi w:val="0"/>
              <w:spacing w:before="0" w:beforeAutospacing="0" w:after="0" w:afterAutospacing="0"/>
              <w:ind w:left="0" w:right="0"/>
              <w:jc w:val="right"/>
              <w:rPr>
                <w:rFonts w:hint="eastAsia"/>
                <w:vertAlign w:val="baseline"/>
                <w:lang w:val="en-US" w:eastAsia="zh-CN"/>
              </w:rPr>
            </w:pPr>
            <w:r>
              <w:rPr>
                <w:rFonts w:hint="eastAsia"/>
                <w:vertAlign w:val="baseline"/>
                <w:lang w:val="en-US" w:eastAsia="zh-CN"/>
              </w:rPr>
              <w:t>占地规模</w:t>
            </w:r>
          </w:p>
          <w:p>
            <w:pPr>
              <w:pStyle w:val="352"/>
              <w:keepNext w:val="0"/>
              <w:keepLines w:val="0"/>
              <w:suppressLineNumbers w:val="0"/>
              <w:bidi w:val="0"/>
              <w:spacing w:before="0" w:beforeAutospacing="0" w:after="0" w:afterAutospacing="0"/>
              <w:ind w:left="0" w:right="0"/>
              <w:jc w:val="left"/>
              <w:rPr>
                <w:rFonts w:hint="default"/>
                <w:vertAlign w:val="baseline"/>
                <w:lang w:val="en-US" w:eastAsia="zh-CN"/>
              </w:rPr>
            </w:pP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highlight w:val="lightGray"/>
                <w:vertAlign w:val="baseline"/>
                <w:lang w:val="en-US" w:eastAsia="zh-CN"/>
              </w:rPr>
              <w:fldChar w:fldCharType="begin"/>
            </w:r>
            <w:r>
              <w:rPr>
                <w:rFonts w:hint="default" w:ascii="Times New Roman" w:hAnsi="Times New Roman" w:eastAsia="宋体"/>
                <w:highlight w:val="lightGray"/>
                <w:vertAlign w:val="baseline"/>
                <w:lang w:val="en-US" w:eastAsia="zh-CN"/>
              </w:rPr>
              <w:instrText xml:space="preserve"> = 1 \* ROMAN \* MERGEFORMAT </w:instrText>
            </w:r>
            <w:r>
              <w:rPr>
                <w:rFonts w:hint="default" w:ascii="Times New Roman" w:hAnsi="Times New Roman" w:eastAsia="宋体"/>
                <w:highlight w:val="lightGray"/>
                <w:vertAlign w:val="baseline"/>
                <w:lang w:val="en-US" w:eastAsia="zh-CN"/>
              </w:rPr>
              <w:fldChar w:fldCharType="separate"/>
            </w:r>
            <w:r>
              <w:rPr>
                <w:rFonts w:hint="default"/>
                <w:highlight w:val="lightGray"/>
              </w:rPr>
              <w:t>I</w:t>
            </w:r>
            <w:r>
              <w:rPr>
                <w:rFonts w:hint="default" w:ascii="Times New Roman" w:hAnsi="Times New Roman" w:eastAsia="宋体"/>
                <w:highlight w:val="lightGray"/>
                <w:vertAlign w:val="baseline"/>
                <w:lang w:val="en-US" w:eastAsia="zh-CN"/>
              </w:rPr>
              <w:fldChar w:fldCharType="end"/>
            </w:r>
            <w:r>
              <w:rPr>
                <w:rFonts w:hint="eastAsia"/>
                <w:highlight w:val="lightGray"/>
                <w:vertAlign w:val="baseline"/>
                <w:lang w:val="en-US" w:eastAsia="zh-CN"/>
              </w:rPr>
              <w:t>类</w:t>
            </w: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vertAlign w:val="baseline"/>
                <w:lang w:val="en-US" w:eastAsia="zh-CN"/>
              </w:rPr>
              <w:fldChar w:fldCharType="begin"/>
            </w:r>
            <w:r>
              <w:rPr>
                <w:rFonts w:hint="default" w:ascii="Times New Roman" w:hAnsi="Times New Roman" w:eastAsia="宋体"/>
                <w:vertAlign w:val="baseline"/>
                <w:lang w:val="en-US" w:eastAsia="zh-CN"/>
              </w:rPr>
              <w:instrText xml:space="preserve"> = 2 \* ROMAN \* MERGEFORMAT </w:instrText>
            </w:r>
            <w:r>
              <w:rPr>
                <w:rFonts w:hint="default" w:ascii="Times New Roman" w:hAnsi="Times New Roman" w:eastAsia="宋体"/>
                <w:vertAlign w:val="baseline"/>
                <w:lang w:val="en-US" w:eastAsia="zh-CN"/>
              </w:rPr>
              <w:fldChar w:fldCharType="separate"/>
            </w:r>
            <w:r>
              <w:rPr>
                <w:rFonts w:hint="default"/>
              </w:rPr>
              <w:t>II</w:t>
            </w:r>
            <w:r>
              <w:rPr>
                <w:rFonts w:hint="default" w:ascii="Times New Roman" w:hAnsi="Times New Roman" w:eastAsia="宋体"/>
                <w:vertAlign w:val="baseline"/>
                <w:lang w:val="en-US" w:eastAsia="zh-CN"/>
              </w:rPr>
              <w:fldChar w:fldCharType="end"/>
            </w:r>
            <w:r>
              <w:rPr>
                <w:rFonts w:hint="eastAsia"/>
                <w:vertAlign w:val="baseline"/>
                <w:lang w:val="en-US" w:eastAsia="zh-CN"/>
              </w:rPr>
              <w:t>类</w:t>
            </w:r>
          </w:p>
        </w:tc>
        <w:tc>
          <w:tcPr>
            <w:tcW w:w="2322" w:type="dxa"/>
            <w:gridSpan w:val="3"/>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default" w:ascii="Times New Roman" w:hAnsi="Times New Roman" w:eastAsia="宋体"/>
                <w:vertAlign w:val="baseline"/>
                <w:lang w:val="en-US" w:eastAsia="zh-CN"/>
              </w:rPr>
              <w:fldChar w:fldCharType="begin"/>
            </w:r>
            <w:r>
              <w:rPr>
                <w:rFonts w:hint="default" w:ascii="Times New Roman" w:hAnsi="Times New Roman" w:eastAsia="宋体"/>
                <w:vertAlign w:val="baseline"/>
                <w:lang w:val="en-US" w:eastAsia="zh-CN"/>
              </w:rPr>
              <w:instrText xml:space="preserve"> = 3 \* ROMAN \* MERGEFORMAT </w:instrText>
            </w:r>
            <w:r>
              <w:rPr>
                <w:rFonts w:hint="default" w:ascii="Times New Roman" w:hAnsi="Times New Roman" w:eastAsia="宋体"/>
                <w:vertAlign w:val="baseline"/>
                <w:lang w:val="en-US" w:eastAsia="zh-CN"/>
              </w:rPr>
              <w:fldChar w:fldCharType="separate"/>
            </w:r>
            <w:r>
              <w:rPr>
                <w:rFonts w:hint="default"/>
              </w:rPr>
              <w:t>III</w:t>
            </w:r>
            <w:r>
              <w:rPr>
                <w:rFonts w:hint="default" w:ascii="Times New Roman" w:hAnsi="Times New Roman" w:eastAsia="宋体"/>
                <w:vertAlign w:val="baseline"/>
                <w:lang w:val="en-US" w:eastAsia="zh-CN"/>
              </w:rPr>
              <w:fldChar w:fldCharType="end"/>
            </w:r>
            <w:r>
              <w:rPr>
                <w:rFonts w:hint="eastAsia"/>
                <w:vertAlign w:val="baseli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22" w:type="dxa"/>
            <w:vMerge w:val="continue"/>
            <w:vAlign w:val="center"/>
          </w:tcPr>
          <w:p>
            <w:pPr>
              <w:pStyle w:val="352"/>
              <w:keepNext w:val="0"/>
              <w:keepLines w:val="0"/>
              <w:suppressLineNumbers w:val="0"/>
              <w:bidi w:val="0"/>
              <w:spacing w:before="0" w:beforeAutospacing="0" w:after="0" w:afterAutospacing="0"/>
              <w:ind w:left="0" w:right="0"/>
              <w:jc w:val="left"/>
              <w:rPr>
                <w:rFonts w:hint="default"/>
                <w:vertAlign w:val="baseline"/>
                <w:lang w:val="en-US" w:eastAsia="zh-CN"/>
              </w:rPr>
            </w:pP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vertAlign w:val="baseline"/>
                <w:lang w:val="en-US" w:eastAsia="zh-CN"/>
              </w:rPr>
            </w:pPr>
            <w:r>
              <w:rPr>
                <w:rFonts w:hint="eastAsia"/>
                <w:highlight w:val="lightGray"/>
                <w:vertAlign w:val="baseline"/>
                <w:lang w:val="en-US" w:eastAsia="zh-CN"/>
              </w:rPr>
              <w:t>小</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小</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大</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中</w:t>
            </w:r>
          </w:p>
        </w:tc>
        <w:tc>
          <w:tcPr>
            <w:tcW w:w="774" w:type="dxa"/>
            <w:vAlign w:val="center"/>
          </w:tcPr>
          <w:p>
            <w:pPr>
              <w:pStyle w:val="352"/>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vertAlign w:val="baseline"/>
                <w:lang w:val="en-US" w:eastAsia="zh-CN"/>
              </w:rPr>
            </w:pPr>
            <w:r>
              <w:rPr>
                <w:rFonts w:hint="eastAsia"/>
                <w:vertAlign w:val="baseline"/>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bCs w:val="0"/>
                <w:highlight w:val="lightGray"/>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较敏感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不敏感</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一级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二级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三级</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c>
          <w:tcPr>
            <w:tcW w:w="774" w:type="dxa"/>
            <w:vAlign w:val="center"/>
          </w:tcPr>
          <w:p>
            <w:pPr>
              <w:pStyle w:val="352"/>
              <w:keepNext w:val="0"/>
              <w:keepLines w:val="0"/>
              <w:suppressLineNumbers w:val="0"/>
              <w:bidi w:val="0"/>
              <w:spacing w:before="0" w:beforeAutospacing="0" w:after="0" w:afterAutospacing="0"/>
              <w:ind w:left="0" w:right="0"/>
              <w:jc w:val="center"/>
              <w:rPr>
                <w:rFonts w:hint="default" w:ascii="Times New Roman" w:hAnsi="Times New Roman" w:eastAsia="宋体"/>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10"/>
            <w:vAlign w:val="center"/>
          </w:tcPr>
          <w:p>
            <w:pPr>
              <w:pStyle w:val="352"/>
              <w:keepNext w:val="0"/>
              <w:keepLines w:val="0"/>
              <w:suppressLineNumbers w:val="0"/>
              <w:bidi w:val="0"/>
              <w:spacing w:before="0" w:beforeAutospacing="0" w:after="0" w:afterAutospacing="0"/>
              <w:ind w:left="0" w:right="0"/>
              <w:jc w:val="left"/>
              <w:rPr>
                <w:rFonts w:hint="default" w:ascii="Times New Roman" w:hAnsi="Times New Roman" w:eastAsia="宋体"/>
                <w:b w:val="0"/>
                <w:bCs/>
                <w:vertAlign w:val="baseline"/>
                <w:lang w:val="en-US" w:eastAsia="zh-CN"/>
              </w:rPr>
            </w:pPr>
            <w:r>
              <w:rPr>
                <w:rFonts w:hint="eastAsia"/>
                <w:b w:val="0"/>
                <w:bCs/>
                <w:vertAlign w:val="baseline"/>
                <w:lang w:val="en-US" w:eastAsia="zh-CN"/>
              </w:rPr>
              <w:t>注：“-”表示可不开展土壤环境影响评价工作。</w:t>
            </w:r>
          </w:p>
        </w:tc>
      </w:tr>
    </w:tbl>
    <w:p>
      <w:pPr>
        <w:topLinePunct/>
        <w:spacing w:line="360" w:lineRule="auto"/>
        <w:jc w:val="left"/>
        <w:rPr>
          <w:rFonts w:hint="eastAsia"/>
          <w:b/>
          <w:sz w:val="24"/>
          <w:u w:val="none"/>
          <w:lang w:val="en-US" w:eastAsia="zh-CN"/>
        </w:rPr>
      </w:pPr>
      <w:r>
        <w:rPr>
          <w:rFonts w:hint="eastAsia"/>
          <w:b/>
          <w:sz w:val="24"/>
          <w:u w:val="none"/>
          <w:lang w:val="en-US" w:eastAsia="zh-CN"/>
        </w:rPr>
        <w:t>二、土壤环境影响识别</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本项目属于新建项目，根据工程组成，可分为建设期、运营期两个阶段对土壤的环境影响。</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施工期环境影响识别主要针对施工过程中施工机械在使用过程中，施工人员在施工生活过程中，固体废物在临时储存过程中对土壤产生的影响等。</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运营期环境影响识别主要针对排放的大气污染物、废水污染物等，本项目主要包含冷库、微波消毒系统、污水处理站等使用过程中对土壤产生的影响等。</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本项目对土壤的影响类型和途径见下表。</w:t>
      </w:r>
    </w:p>
    <w:p>
      <w:pPr>
        <w:pStyle w:val="352"/>
        <w:rPr>
          <w:rFonts w:hint="eastAsia"/>
          <w:b/>
          <w:bCs/>
          <w:u w:val="none"/>
          <w:lang w:val="en-US" w:eastAsia="zh-CN"/>
        </w:rPr>
      </w:pPr>
      <w:r>
        <w:rPr>
          <w:rFonts w:hint="eastAsia"/>
          <w:b/>
          <w:bCs/>
          <w:u w:val="none"/>
          <w:lang w:val="en-US" w:eastAsia="zh-CN"/>
        </w:rPr>
        <w:t>表8-28  本项目土壤影响类型与途径表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vMerge w:val="restart"/>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不同时段</w:t>
            </w:r>
          </w:p>
        </w:tc>
        <w:tc>
          <w:tcPr>
            <w:tcW w:w="6966" w:type="dxa"/>
            <w:gridSpan w:val="3"/>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2322"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大气沉降</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地面漫流</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建设期</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运营期</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c>
          <w:tcPr>
            <w:tcW w:w="2322"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ascii="Arial" w:hAnsi="Arial" w:cs="Arial"/>
                <w:b w:val="0"/>
                <w:bCs w:val="0"/>
                <w:u w:val="none"/>
                <w:vertAlign w:val="baseline"/>
                <w:lang w:val="en-US" w:eastAsia="zh-CN"/>
              </w:rPr>
              <w:t>√</w:t>
            </w:r>
          </w:p>
        </w:tc>
      </w:tr>
    </w:tbl>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本项目土壤环境影响识别见下表。</w:t>
      </w:r>
    </w:p>
    <w:p>
      <w:pPr>
        <w:pStyle w:val="352"/>
        <w:rPr>
          <w:rFonts w:hint="eastAsia"/>
          <w:b/>
          <w:bCs/>
          <w:u w:val="none"/>
          <w:lang w:val="en-US" w:eastAsia="zh-CN"/>
        </w:rPr>
      </w:pPr>
      <w:r>
        <w:rPr>
          <w:rFonts w:hint="eastAsia"/>
          <w:b/>
          <w:bCs/>
          <w:u w:val="none"/>
          <w:lang w:val="en-US" w:eastAsia="zh-CN"/>
        </w:rPr>
        <w:t>表8-29  本项目土壤环境影响源及影响因子识别表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665"/>
        <w:gridCol w:w="1140"/>
        <w:gridCol w:w="2715"/>
        <w:gridCol w:w="1935"/>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污染源</w:t>
            </w:r>
          </w:p>
        </w:tc>
        <w:tc>
          <w:tcPr>
            <w:tcW w:w="166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工艺流程/节点</w:t>
            </w:r>
          </w:p>
        </w:tc>
        <w:tc>
          <w:tcPr>
            <w:tcW w:w="114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污染途径</w:t>
            </w:r>
          </w:p>
        </w:tc>
        <w:tc>
          <w:tcPr>
            <w:tcW w:w="271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全部污染物指标</w:t>
            </w:r>
          </w:p>
        </w:tc>
        <w:tc>
          <w:tcPr>
            <w:tcW w:w="193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特征因子</w:t>
            </w:r>
          </w:p>
        </w:tc>
        <w:tc>
          <w:tcPr>
            <w:tcW w:w="89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冷库</w:t>
            </w:r>
          </w:p>
        </w:tc>
        <w:tc>
          <w:tcPr>
            <w:tcW w:w="166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医疗废物暂存</w:t>
            </w:r>
          </w:p>
        </w:tc>
        <w:tc>
          <w:tcPr>
            <w:tcW w:w="114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大气沉降</w:t>
            </w:r>
          </w:p>
        </w:tc>
        <w:tc>
          <w:tcPr>
            <w:tcW w:w="271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H</w:t>
            </w:r>
            <w:r>
              <w:rPr>
                <w:rFonts w:hint="default"/>
                <w:b w:val="0"/>
                <w:bCs w:val="0"/>
                <w:u w:val="none"/>
                <w:vertAlign w:val="subscript"/>
                <w:lang w:val="en-US" w:eastAsia="zh-CN"/>
              </w:rPr>
              <w:t>2</w:t>
            </w:r>
            <w:r>
              <w:rPr>
                <w:rFonts w:hint="default"/>
                <w:b w:val="0"/>
                <w:bCs w:val="0"/>
                <w:u w:val="none"/>
                <w:vertAlign w:val="baseline"/>
                <w:lang w:val="en-US" w:eastAsia="zh-CN"/>
              </w:rPr>
              <w:t>S、NH</w:t>
            </w:r>
            <w:r>
              <w:rPr>
                <w:rFonts w:hint="default"/>
                <w:b w:val="0"/>
                <w:bCs w:val="0"/>
                <w:u w:val="none"/>
                <w:vertAlign w:val="subscript"/>
                <w:lang w:val="en-US" w:eastAsia="zh-CN"/>
              </w:rPr>
              <w:t>3</w:t>
            </w:r>
            <w:r>
              <w:rPr>
                <w:rFonts w:hint="default"/>
                <w:b w:val="0"/>
                <w:bCs w:val="0"/>
                <w:u w:val="none"/>
                <w:vertAlign w:val="baseline"/>
                <w:lang w:val="en-US" w:eastAsia="zh-CN"/>
              </w:rPr>
              <w:t>、VOCs</w:t>
            </w:r>
          </w:p>
        </w:tc>
        <w:tc>
          <w:tcPr>
            <w:tcW w:w="193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w:t>
            </w:r>
          </w:p>
        </w:tc>
        <w:tc>
          <w:tcPr>
            <w:tcW w:w="89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微波消毒系统</w:t>
            </w:r>
          </w:p>
        </w:tc>
        <w:tc>
          <w:tcPr>
            <w:tcW w:w="166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医疗废物处置</w:t>
            </w:r>
          </w:p>
        </w:tc>
        <w:tc>
          <w:tcPr>
            <w:tcW w:w="114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大气沉降</w:t>
            </w:r>
          </w:p>
        </w:tc>
        <w:tc>
          <w:tcPr>
            <w:tcW w:w="271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颗粒物、</w:t>
            </w:r>
            <w:r>
              <w:rPr>
                <w:rFonts w:hint="default"/>
                <w:b w:val="0"/>
                <w:bCs w:val="0"/>
                <w:u w:val="none"/>
                <w:vertAlign w:val="baseline"/>
                <w:lang w:val="en-US" w:eastAsia="zh-CN"/>
              </w:rPr>
              <w:t>H</w:t>
            </w:r>
            <w:r>
              <w:rPr>
                <w:rFonts w:hint="default"/>
                <w:b w:val="0"/>
                <w:bCs w:val="0"/>
                <w:u w:val="none"/>
                <w:vertAlign w:val="subscript"/>
                <w:lang w:val="en-US" w:eastAsia="zh-CN"/>
              </w:rPr>
              <w:t>2</w:t>
            </w:r>
            <w:r>
              <w:rPr>
                <w:rFonts w:hint="default"/>
                <w:b w:val="0"/>
                <w:bCs w:val="0"/>
                <w:u w:val="none"/>
                <w:vertAlign w:val="baseline"/>
                <w:lang w:val="en-US" w:eastAsia="zh-CN"/>
              </w:rPr>
              <w:t>S、NH</w:t>
            </w:r>
            <w:r>
              <w:rPr>
                <w:rFonts w:hint="default"/>
                <w:b w:val="0"/>
                <w:bCs w:val="0"/>
                <w:u w:val="none"/>
                <w:vertAlign w:val="subscript"/>
                <w:lang w:val="en-US" w:eastAsia="zh-CN"/>
              </w:rPr>
              <w:t>3</w:t>
            </w:r>
            <w:r>
              <w:rPr>
                <w:rFonts w:hint="default"/>
                <w:b w:val="0"/>
                <w:bCs w:val="0"/>
                <w:u w:val="none"/>
                <w:vertAlign w:val="baseline"/>
                <w:lang w:val="en-US" w:eastAsia="zh-CN"/>
              </w:rPr>
              <w:t>、VOCs</w:t>
            </w:r>
          </w:p>
        </w:tc>
        <w:tc>
          <w:tcPr>
            <w:tcW w:w="193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pH、镉、铅、铬（六价）、铜、锌、镍、汞、砷、锰、钴、硒、钒、锑、铊、铍、钼、氰化物</w:t>
            </w:r>
          </w:p>
        </w:tc>
        <w:tc>
          <w:tcPr>
            <w:tcW w:w="89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938"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污水处理站</w:t>
            </w:r>
          </w:p>
        </w:tc>
        <w:tc>
          <w:tcPr>
            <w:tcW w:w="1665"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污水处理站各废水池</w:t>
            </w:r>
          </w:p>
        </w:tc>
        <w:tc>
          <w:tcPr>
            <w:tcW w:w="114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地面漫流</w:t>
            </w:r>
          </w:p>
        </w:tc>
        <w:tc>
          <w:tcPr>
            <w:tcW w:w="2715"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COD、氨氮、总磷、总氮、pH、总余氯等</w:t>
            </w:r>
          </w:p>
        </w:tc>
        <w:tc>
          <w:tcPr>
            <w:tcW w:w="1935"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w:t>
            </w:r>
          </w:p>
        </w:tc>
        <w:tc>
          <w:tcPr>
            <w:tcW w:w="895"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65"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14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垂直入渗</w:t>
            </w:r>
          </w:p>
        </w:tc>
        <w:tc>
          <w:tcPr>
            <w:tcW w:w="2715"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935"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95"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bl>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本项目为污染型项目，结合上表可知，污染途径主要为大气沉降。</w:t>
      </w:r>
    </w:p>
    <w:p>
      <w:pPr>
        <w:topLinePunct/>
        <w:spacing w:line="360" w:lineRule="auto"/>
        <w:jc w:val="left"/>
        <w:rPr>
          <w:rFonts w:hint="eastAsia"/>
          <w:b/>
          <w:sz w:val="24"/>
          <w:u w:val="none"/>
          <w:lang w:val="en-US" w:eastAsia="zh-CN"/>
        </w:rPr>
      </w:pPr>
      <w:r>
        <w:rPr>
          <w:rFonts w:hint="eastAsia"/>
          <w:b/>
          <w:sz w:val="24"/>
          <w:u w:val="none"/>
          <w:lang w:val="en-US" w:eastAsia="zh-CN"/>
        </w:rPr>
        <w:t>8.6.3土壤环境影响调查评价范围的确定</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根据《环境影响评价技术导则——土壤环境（试行）》（HJ964-2018）“表5现状调查范围”，根据评价工作等级为一级的污染影响型项目，调查范围为厂界外扩1km，本项目调查评价评价范围详见附图。</w:t>
      </w:r>
    </w:p>
    <w:p>
      <w:pPr>
        <w:topLinePunct/>
        <w:spacing w:line="360" w:lineRule="auto"/>
        <w:jc w:val="left"/>
        <w:rPr>
          <w:rFonts w:hint="eastAsia"/>
          <w:b/>
          <w:sz w:val="24"/>
          <w:u w:val="none"/>
          <w:lang w:val="en-US" w:eastAsia="zh-CN"/>
        </w:rPr>
      </w:pPr>
      <w:r>
        <w:rPr>
          <w:rFonts w:hint="eastAsia"/>
          <w:b/>
          <w:sz w:val="24"/>
          <w:u w:val="none"/>
          <w:lang w:val="en-US" w:eastAsia="zh-CN"/>
        </w:rPr>
        <w:t>8.6.4土壤环境敏感目标</w:t>
      </w:r>
    </w:p>
    <w:p>
      <w:pPr>
        <w:topLinePunct/>
        <w:spacing w:line="360" w:lineRule="auto"/>
        <w:jc w:val="left"/>
        <w:rPr>
          <w:rFonts w:hint="eastAsia"/>
          <w:b w:val="0"/>
          <w:bCs/>
          <w:sz w:val="24"/>
          <w:u w:val="none"/>
          <w:lang w:val="en-US" w:eastAsia="zh-CN"/>
        </w:rPr>
      </w:pPr>
      <w:r>
        <w:rPr>
          <w:rFonts w:hint="eastAsia"/>
          <w:b w:val="0"/>
          <w:bCs/>
          <w:sz w:val="24"/>
          <w:u w:val="none"/>
          <w:lang w:val="en-US" w:eastAsia="zh-CN"/>
        </w:rPr>
        <w:t>本项目位于旺苍县嘉川镇石桥村，项目调查评价范围内分布有居民区、耕地等，本项目环境敏感目标见下表。</w:t>
      </w:r>
    </w:p>
    <w:p>
      <w:pPr>
        <w:pStyle w:val="352"/>
        <w:rPr>
          <w:rFonts w:hint="eastAsia"/>
          <w:b/>
          <w:bCs/>
          <w:u w:val="none"/>
          <w:lang w:val="en-US" w:eastAsia="zh-CN"/>
        </w:rPr>
      </w:pPr>
      <w:r>
        <w:rPr>
          <w:rFonts w:hint="eastAsia"/>
          <w:b/>
          <w:bCs/>
          <w:u w:val="none"/>
          <w:lang w:val="en-US" w:eastAsia="zh-CN"/>
        </w:rPr>
        <w:t>表8-30  本项目土壤环境敏感目标</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30"/>
        <w:gridCol w:w="2566"/>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环境要素</w:t>
            </w:r>
          </w:p>
        </w:tc>
        <w:tc>
          <w:tcPr>
            <w:tcW w:w="53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序号</w:t>
            </w:r>
          </w:p>
        </w:tc>
        <w:tc>
          <w:tcPr>
            <w:tcW w:w="256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保护目标名称</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方位</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距厂界最近距离（m）</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土壤环境</w:t>
            </w:r>
          </w:p>
        </w:tc>
        <w:tc>
          <w:tcPr>
            <w:tcW w:w="5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w:t>
            </w:r>
          </w:p>
        </w:tc>
        <w:tc>
          <w:tcPr>
            <w:tcW w:w="2566"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周边居民区</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S</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370m</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村民住在区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p>
        </w:tc>
        <w:tc>
          <w:tcPr>
            <w:tcW w:w="5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w:t>
            </w:r>
          </w:p>
        </w:tc>
        <w:tc>
          <w:tcPr>
            <w:tcW w:w="2566"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W</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600m</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村民住宅区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p>
        </w:tc>
        <w:tc>
          <w:tcPr>
            <w:tcW w:w="5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w:t>
            </w:r>
          </w:p>
        </w:tc>
        <w:tc>
          <w:tcPr>
            <w:tcW w:w="256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嘉川镇</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S</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650m</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居民集中区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5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w:t>
            </w:r>
          </w:p>
        </w:tc>
        <w:tc>
          <w:tcPr>
            <w:tcW w:w="256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耕地</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周围</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紧邻</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p>
        </w:tc>
        <w:tc>
          <w:tcPr>
            <w:tcW w:w="5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5</w:t>
            </w:r>
          </w:p>
        </w:tc>
        <w:tc>
          <w:tcPr>
            <w:tcW w:w="2566"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石桥小学</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SE</w:t>
            </w:r>
          </w:p>
        </w:tc>
        <w:tc>
          <w:tcPr>
            <w:tcW w:w="1548"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850</w:t>
            </w:r>
          </w:p>
        </w:tc>
        <w:tc>
          <w:tcPr>
            <w:tcW w:w="1548"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学校</w:t>
            </w:r>
          </w:p>
        </w:tc>
      </w:tr>
    </w:tbl>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本项目土壤环境敏感目标分布图详见附图。</w:t>
      </w:r>
    </w:p>
    <w:p>
      <w:pPr>
        <w:topLinePunct/>
        <w:spacing w:line="360" w:lineRule="auto"/>
        <w:jc w:val="left"/>
        <w:rPr>
          <w:rFonts w:hint="eastAsia"/>
          <w:b/>
          <w:sz w:val="24"/>
          <w:u w:val="none"/>
          <w:lang w:val="en-US" w:eastAsia="zh-CN"/>
        </w:rPr>
      </w:pPr>
      <w:r>
        <w:rPr>
          <w:rFonts w:hint="eastAsia"/>
          <w:b/>
          <w:sz w:val="24"/>
          <w:u w:val="none"/>
          <w:lang w:val="en-US" w:eastAsia="zh-CN"/>
        </w:rPr>
        <w:t>8.6.5区域土壤环境现状</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一、地形地貌</w:t>
      </w:r>
    </w:p>
    <w:p>
      <w:pPr>
        <w:pStyle w:val="15"/>
        <w:spacing w:line="360" w:lineRule="auto"/>
        <w:ind w:firstLine="480"/>
        <w:rPr>
          <w:rFonts w:hint="eastAsia" w:ascii="Times New Roman" w:hAnsi="Times New Roman"/>
          <w:lang w:val="en-US" w:eastAsia="zh-CN"/>
        </w:rPr>
      </w:pPr>
      <w:r>
        <w:rPr>
          <w:rFonts w:hint="eastAsia" w:ascii="Times New Roman" w:hAnsi="Times New Roman"/>
          <w:lang w:eastAsia="zh-CN"/>
        </w:rPr>
        <w:t>旺苍县位于大巴山西脉米仓山山地与四川盆地的相接处，以中部白水——嘉川——三江槽型谷地为界，北部地区中山地形为主，南部地区是低山地形。地势北高南低，河谷切割较深，相对高差大，最高点事北部的光头山，海拔高程达到</w:t>
      </w:r>
      <w:r>
        <w:rPr>
          <w:rFonts w:hint="eastAsia" w:ascii="Times New Roman" w:hAnsi="Times New Roman"/>
          <w:lang w:val="en-US" w:eastAsia="zh-CN"/>
        </w:rPr>
        <w:t>2276m，最低点为西南部东河谷地张家湾，海拔高程约460m，最大相对高差为1816m。区域地形以山地为主，占幅员面积的97.3%，谷地及平坝占2.7%，山脉走向总体呈东西向，与地质构造线基本一致。</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本项目选址于旺苍县嘉川镇石桥村，属于构造剥蚀低山和</w:t>
      </w:r>
      <w:r>
        <w:rPr>
          <w:rFonts w:hint="eastAsia"/>
          <w:spacing w:val="0"/>
          <w:sz w:val="24"/>
          <w:szCs w:val="24"/>
          <w:lang w:eastAsia="zh-CN"/>
        </w:rPr>
        <w:t>和侵蚀堆积河谷平坝地貌形态。</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二、土壤类型</w:t>
      </w:r>
    </w:p>
    <w:p>
      <w:pPr>
        <w:spacing w:line="360" w:lineRule="auto"/>
        <w:ind w:firstLine="480" w:firstLineChars="200"/>
        <w:jc w:val="left"/>
        <w:rPr>
          <w:rFonts w:hint="default" w:cs="Times New Roman"/>
          <w:iCs/>
          <w:kern w:val="0"/>
          <w:sz w:val="24"/>
          <w:u w:val="none"/>
          <w:lang w:val="en-US" w:eastAsia="zh-CN"/>
        </w:rPr>
      </w:pPr>
      <w:r>
        <w:rPr>
          <w:rFonts w:hint="eastAsia" w:cs="Times New Roman"/>
          <w:iCs/>
          <w:kern w:val="0"/>
          <w:sz w:val="24"/>
          <w:u w:val="none"/>
          <w:lang w:val="en-US" w:eastAsia="zh-CN"/>
        </w:rPr>
        <w:t>旺苍县的土壤主要类型为粗骨土、紫色土、黄棕壤、黄壤等4类。根据国家土壤信息平台查询及现场调查，本项目调查评价范围内土壤类型为黄壤，该土种成土母质主要由晋宁期花岗岩夹少量闪长岩风化物发育而成，质地粗、发育浅，土体中含有10~15%未风化的石英颗粒，质地为多砾质砂质壤土。土体厚度60~80cm，耕层厚12~17cm，全部呈淡黄棕色，多呈微酸至中性反应。土壤层次分化不明显，剖面为A-B-C型，各种养分含量均在中等以上，微量元素中有效锌缺乏，有效硼极缺。该土种水提pH值7.0，容重1.45g/cm³。</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三、土壤环境质量现状</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土壤环境质量现状详见“6.5土壤环境质量现状”一节。根据监测结果，项目厂区范围内土壤采样点各监测因子均满足《土壤环境质量 建设用地土壤污染风险管控标准（试行）》（GB36600-2018）中表1、表2第二类用地风险筛选值要求；项目厂区范围外监测点监测因子均能满足《土壤环境质量 农用地土壤污染风险管控标准（试行）》（GB15618-2018）中表1农用地风险筛选值要求。</w:t>
      </w:r>
    </w:p>
    <w:p>
      <w:pPr>
        <w:spacing w:line="360" w:lineRule="auto"/>
        <w:ind w:firstLine="480" w:firstLineChars="200"/>
        <w:jc w:val="left"/>
        <w:rPr>
          <w:rFonts w:hint="default" w:cs="Times New Roman"/>
          <w:iCs/>
          <w:kern w:val="0"/>
          <w:sz w:val="24"/>
          <w:u w:val="none"/>
          <w:lang w:val="en-US" w:eastAsia="zh-CN"/>
        </w:rPr>
      </w:pPr>
      <w:r>
        <w:rPr>
          <w:rFonts w:hint="eastAsia" w:cs="Times New Roman"/>
          <w:iCs/>
          <w:kern w:val="0"/>
          <w:sz w:val="24"/>
          <w:u w:val="none"/>
          <w:lang w:val="en-US" w:eastAsia="zh-CN"/>
        </w:rPr>
        <w:t>综上，本项目所在区域土壤环境质量状况良好。</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四、土壤污染源调查</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结合工程分析内容，根据现场调查，本项目评价范围内分布土壤污染源主要为周边住户农业面源、旺苍县城市生活垃圾填埋场等。</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农业污染源：评价范围内有部分水田和旱地，农业污染主要为农药化肥的使用、农药废弃包装物和废弃农膜等。</w:t>
      </w:r>
    </w:p>
    <w:p>
      <w:pPr>
        <w:spacing w:line="360" w:lineRule="auto"/>
        <w:ind w:firstLine="480" w:firstLineChars="200"/>
        <w:jc w:val="left"/>
        <w:rPr>
          <w:rFonts w:hint="eastAsia" w:cs="Times New Roman"/>
          <w:iCs/>
          <w:kern w:val="0"/>
          <w:sz w:val="24"/>
          <w:u w:val="none"/>
          <w:lang w:val="en-US" w:eastAsia="zh-CN"/>
        </w:rPr>
      </w:pPr>
      <w:r>
        <w:rPr>
          <w:rFonts w:hint="eastAsia" w:cs="Times New Roman"/>
          <w:iCs/>
          <w:kern w:val="0"/>
          <w:sz w:val="24"/>
          <w:u w:val="none"/>
          <w:lang w:val="en-US" w:eastAsia="zh-CN"/>
        </w:rPr>
        <w:t>工业污染源：主要为旺苍县城市生活垃圾填埋场填埋过程中产生的废水污染物，废水污染源主要来自垃圾填埋场渗滤液、垃圾运输车辆冲洗废水、污水处理站等，主要污染物为COD、BOD、SS、氨氮、重金属、石油类、氟化物、氯化物等。污染途径包括：各类废水收集设施、涉及液体的生产装置发生渗漏引起废水污染物进入土壤，从而污染土壤环境。</w:t>
      </w:r>
    </w:p>
    <w:p>
      <w:pPr>
        <w:topLinePunct/>
        <w:spacing w:line="360" w:lineRule="auto"/>
        <w:jc w:val="left"/>
        <w:rPr>
          <w:rFonts w:hint="default"/>
          <w:b/>
          <w:sz w:val="24"/>
          <w:u w:val="none"/>
          <w:lang w:val="en-US" w:eastAsia="zh-CN"/>
        </w:rPr>
      </w:pPr>
      <w:r>
        <w:rPr>
          <w:rFonts w:hint="eastAsia"/>
          <w:b/>
          <w:sz w:val="24"/>
          <w:u w:val="none"/>
          <w:lang w:val="en-US" w:eastAsia="zh-CN"/>
        </w:rPr>
        <w:t>8.6.6土壤环境影响预测与评价</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本项目污染土壤的环节主要为微波消毒系统，在医疗废物处置粉碎过程中会产生含重金属粉尘，重金属随着含尘废气排出，然后经过通过干湿沉降进入土壤，因其不容易降解，可在土壤中进行累积，导致土壤理化性质改变，肥力下降，并有可能通过作物进入食物链，影响人群健康。</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重金属会在土壤中积累，本项目厂区采取地面硬化，设置围堰，布设完整的排水系统，并以定期巡查和电子监控的方式防止废水外泄，对土壤的影响概率较小。因此，因此，本次评价将微波消毒处理系统主要预测大气沉降途径对土壤的影响，微波消毒系统对地面漫流和垂直入渗途径对土壤的影响进行定性分析。</w:t>
      </w:r>
    </w:p>
    <w:p>
      <w:pPr>
        <w:pStyle w:val="71"/>
        <w:rPr>
          <w:rFonts w:hint="default" w:cs="Times New Roman"/>
          <w:iCs/>
          <w:kern w:val="0"/>
          <w:sz w:val="24"/>
          <w:u w:val="none"/>
          <w:lang w:val="en-US" w:eastAsia="zh-CN"/>
        </w:rPr>
      </w:pPr>
      <w:r>
        <w:rPr>
          <w:rFonts w:hint="eastAsia" w:cs="Times New Roman"/>
          <w:iCs/>
          <w:kern w:val="0"/>
          <w:sz w:val="24"/>
          <w:u w:val="none"/>
          <w:lang w:val="en-US" w:eastAsia="zh-CN"/>
        </w:rPr>
        <w:t>1、大气沉降</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（1）预测评价范围、时段和预测情景设置</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项目的预测评价范围与调查评价范围一致，评价时段为项目运营期。以项目正常运营为预测工况，废气中重金属类污染物在干湿沉降作用下进入土壤层，进入土壤的重金属多为难溶态，在土壤吸附、络合、沉淀和阻留作用下，迁移速度较缓慢，大部分残留在土壤耕作层，极少向下层土壤迁移。本次评价假定废气中污染物全部沉降在耕作层中，不考虑期输出影响；废气污染源排放量保持不变，均匀沉降在固定区域内；按最不利排放情况影响进行考虑。</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（2）预测评价因子</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本项目医疗废物中含有金属器械和水银温度计，是重金属的主要来源。因金属器械多为镍铬钢所制造，因此，参照GB36600-2018、GB15618-2018同时采用等标污染负荷法对其进行分析比较，本次评价确定土壤环境评价因子为铬、汞等重金属，见下表。</w:t>
      </w:r>
    </w:p>
    <w:p>
      <w:pPr>
        <w:pStyle w:val="352"/>
        <w:rPr>
          <w:rFonts w:hint="eastAsia"/>
          <w:b/>
          <w:bCs/>
          <w:u w:val="none"/>
          <w:lang w:val="en-US" w:eastAsia="zh-CN"/>
        </w:rPr>
      </w:pPr>
      <w:r>
        <w:rPr>
          <w:rFonts w:hint="eastAsia"/>
          <w:b/>
          <w:bCs/>
          <w:u w:val="none"/>
          <w:lang w:val="en-US" w:eastAsia="zh-CN"/>
        </w:rPr>
        <w:t>表8-31  评价因子筛选</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2523"/>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环境要素</w:t>
            </w:r>
          </w:p>
        </w:tc>
        <w:tc>
          <w:tcPr>
            <w:tcW w:w="2523"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装置区</w:t>
            </w:r>
          </w:p>
        </w:tc>
        <w:tc>
          <w:tcPr>
            <w:tcW w:w="4935"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预测评价因子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土壤环境</w:t>
            </w:r>
          </w:p>
        </w:tc>
        <w:tc>
          <w:tcPr>
            <w:tcW w:w="252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微波消毒系统</w:t>
            </w:r>
          </w:p>
        </w:tc>
        <w:tc>
          <w:tcPr>
            <w:tcW w:w="4935"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大气沉降：铬、汞等</w:t>
            </w:r>
          </w:p>
        </w:tc>
      </w:tr>
    </w:tbl>
    <w:p>
      <w:pPr>
        <w:pStyle w:val="71"/>
        <w:rPr>
          <w:rFonts w:hint="eastAsia" w:cs="Times New Roman"/>
          <w:iCs/>
          <w:kern w:val="0"/>
          <w:sz w:val="24"/>
          <w:u w:val="none"/>
          <w:lang w:val="en-US" w:eastAsia="zh-CN"/>
        </w:rPr>
      </w:pPr>
      <w:r>
        <w:rPr>
          <w:rFonts w:hint="eastAsia" w:cs="Times New Roman"/>
          <w:iCs/>
          <w:kern w:val="0"/>
          <w:sz w:val="24"/>
          <w:u w:val="none"/>
          <w:lang w:val="en-US" w:eastAsia="zh-CN"/>
        </w:rPr>
        <w:t>（3）预测方法</w:t>
      </w:r>
    </w:p>
    <w:p>
      <w:pPr>
        <w:pStyle w:val="71"/>
        <w:rPr>
          <w:rFonts w:hint="eastAsia" w:cs="Times New Roman"/>
          <w:iCs/>
          <w:kern w:val="0"/>
          <w:sz w:val="24"/>
          <w:u w:val="none"/>
          <w:lang w:val="en-US" w:eastAsia="zh-CN"/>
        </w:rPr>
      </w:pPr>
      <w:r>
        <w:rPr>
          <w:rFonts w:hint="default" w:cs="Times New Roman"/>
          <w:iCs/>
          <w:kern w:val="0"/>
          <w:sz w:val="24"/>
          <w:u w:val="none"/>
          <w:lang w:val="en-US" w:eastAsia="zh-CN"/>
        </w:rPr>
        <w:fldChar w:fldCharType="begin"/>
      </w:r>
      <w:r>
        <w:rPr>
          <w:rFonts w:hint="default" w:cs="Times New Roman"/>
          <w:iCs/>
          <w:kern w:val="0"/>
          <w:sz w:val="24"/>
          <w:u w:val="none"/>
          <w:lang w:val="en-US" w:eastAsia="zh-CN"/>
        </w:rPr>
        <w:instrText xml:space="preserve"> = 1 \* GB3 \* MERGEFORMAT </w:instrText>
      </w:r>
      <w:r>
        <w:rPr>
          <w:rFonts w:hint="default" w:cs="Times New Roman"/>
          <w:iCs/>
          <w:kern w:val="0"/>
          <w:sz w:val="24"/>
          <w:u w:val="none"/>
          <w:lang w:val="en-US" w:eastAsia="zh-CN"/>
        </w:rPr>
        <w:fldChar w:fldCharType="separate"/>
      </w:r>
      <w:r>
        <w:t>①</w:t>
      </w:r>
      <w:r>
        <w:rPr>
          <w:rFonts w:hint="default" w:cs="Times New Roman"/>
          <w:iCs/>
          <w:kern w:val="0"/>
          <w:sz w:val="24"/>
          <w:u w:val="none"/>
          <w:lang w:val="en-US" w:eastAsia="zh-CN"/>
        </w:rPr>
        <w:fldChar w:fldCharType="end"/>
      </w:r>
      <w:r>
        <w:rPr>
          <w:rFonts w:hint="eastAsia" w:cs="Times New Roman"/>
          <w:iCs/>
          <w:kern w:val="0"/>
          <w:sz w:val="24"/>
          <w:u w:val="none"/>
          <w:lang w:val="en-US" w:eastAsia="zh-CN"/>
        </w:rPr>
        <w:t>单位质量土壤中某种物质的增量可用下式计算：</w:t>
      </w:r>
    </w:p>
    <w:p>
      <w:pPr>
        <w:pStyle w:val="71"/>
        <w:jc w:val="center"/>
        <w:rPr>
          <w:rFonts w:hint="default" w:cs="Times New Roman"/>
          <w:iCs/>
          <w:kern w:val="0"/>
          <w:sz w:val="24"/>
          <w:u w:val="none"/>
          <w:lang w:val="en-US" w:eastAsia="zh-CN"/>
        </w:rPr>
      </w:pPr>
      <w:r>
        <w:rPr>
          <w:rFonts w:hint="default" w:cs="Times New Roman"/>
          <w:iCs/>
          <w:kern w:val="0"/>
          <w:position w:val="-12"/>
          <w:sz w:val="24"/>
          <w:u w:val="none"/>
          <w:lang w:val="en-US" w:eastAsia="zh-CN"/>
        </w:rPr>
        <w:object>
          <v:shape id="_x0000_i1150" o:spt="75" type="#_x0000_t75" style="height:18pt;width:162pt;" o:ole="t" filled="f" o:preferrelative="t" stroked="f" coordsize="21600,21600">
            <v:path/>
            <v:fill on="f" focussize="0,0"/>
            <v:stroke on="f"/>
            <v:imagedata r:id="rId273" o:title=""/>
            <o:lock v:ext="edit" aspectratio="t"/>
            <w10:wrap type="none"/>
            <w10:anchorlock/>
          </v:shape>
          <o:OLEObject Type="Embed" ProgID="Equation.KSEE3" ShapeID="_x0000_i1150" DrawAspect="Content" ObjectID="_1468075850" r:id="rId272">
            <o:LockedField>false</o:LockedField>
          </o:OLEObject>
        </w:objec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式中：</w:t>
      </w:r>
      <w:r>
        <w:rPr>
          <w:rFonts w:hint="eastAsia" w:cs="Times New Roman"/>
          <w:iCs/>
          <w:kern w:val="0"/>
          <w:position w:val="-6"/>
          <w:sz w:val="24"/>
          <w:u w:val="none"/>
          <w:lang w:val="en-US" w:eastAsia="zh-CN"/>
        </w:rPr>
        <w:object>
          <v:shape id="_x0000_i1151" o:spt="75" type="#_x0000_t75" style="height:13.95pt;width:18pt;" o:ole="t" filled="f" o:preferrelative="t" stroked="f" coordsize="21600,21600">
            <v:path/>
            <v:fill on="f" focussize="0,0"/>
            <v:stroke on="f"/>
            <v:imagedata r:id="rId275" o:title=""/>
            <o:lock v:ext="edit" aspectratio="t"/>
            <w10:wrap type="none"/>
            <w10:anchorlock/>
          </v:shape>
          <o:OLEObject Type="Embed" ProgID="Equation.KSEE3" ShapeID="_x0000_i1151" DrawAspect="Content" ObjectID="_1468075851" r:id="rId274">
            <o:LockedField>false</o:LockedField>
          </o:OLEObject>
        </w:object>
      </w:r>
      <w:r>
        <w:rPr>
          <w:rFonts w:hint="eastAsia" w:cs="Times New Roman"/>
          <w:iCs/>
          <w:kern w:val="0"/>
          <w:sz w:val="24"/>
          <w:u w:val="none"/>
          <w:lang w:val="en-US" w:eastAsia="zh-CN"/>
        </w:rPr>
        <w:t>——单位质量表层土壤中某种物质的增量，g/kg；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12"/>
          <w:sz w:val="24"/>
          <w:u w:val="none"/>
          <w:lang w:val="en-US" w:eastAsia="zh-CN"/>
        </w:rPr>
        <w:object>
          <v:shape id="_x0000_i1152" o:spt="75" type="#_x0000_t75" style="height:18pt;width:13pt;" o:ole="t" filled="f" o:preferrelative="t" stroked="f" coordsize="21600,21600">
            <v:path/>
            <v:fill on="f" focussize="0,0"/>
            <v:stroke on="f"/>
            <v:imagedata r:id="rId277" o:title=""/>
            <o:lock v:ext="edit" aspectratio="t"/>
            <w10:wrap type="none"/>
            <w10:anchorlock/>
          </v:shape>
          <o:OLEObject Type="Embed" ProgID="Equation.KSEE3" ShapeID="_x0000_i1152" DrawAspect="Content" ObjectID="_1468075852" r:id="rId276">
            <o:LockedField>false</o:LockedField>
          </o:OLEObject>
        </w:object>
      </w:r>
      <w:r>
        <w:rPr>
          <w:rFonts w:hint="eastAsia" w:cs="Times New Roman"/>
          <w:iCs/>
          <w:kern w:val="0"/>
          <w:sz w:val="24"/>
          <w:u w:val="none"/>
          <w:lang w:val="en-US" w:eastAsia="zh-CN"/>
        </w:rPr>
        <w:t>——预测评价范围内单位年份表层土壤中某种物质的输入量，g；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12"/>
          <w:sz w:val="24"/>
          <w:u w:val="none"/>
          <w:lang w:val="en-US" w:eastAsia="zh-CN"/>
        </w:rPr>
        <w:object>
          <v:shape id="_x0000_i1153" o:spt="75" type="#_x0000_t75" style="height:18pt;width:15pt;" o:ole="t" filled="f" o:preferrelative="t" stroked="f" coordsize="21600,21600">
            <v:path/>
            <v:fill on="f" focussize="0,0"/>
            <v:stroke on="f"/>
            <v:imagedata r:id="rId279" o:title=""/>
            <o:lock v:ext="edit" aspectratio="t"/>
            <w10:wrap type="none"/>
            <w10:anchorlock/>
          </v:shape>
          <o:OLEObject Type="Embed" ProgID="Equation.KSEE3" ShapeID="_x0000_i1153" DrawAspect="Content" ObjectID="_1468075853" r:id="rId278">
            <o:LockedField>false</o:LockedField>
          </o:OLEObject>
        </w:object>
      </w:r>
      <w:r>
        <w:rPr>
          <w:rFonts w:hint="eastAsia" w:cs="Times New Roman"/>
          <w:iCs/>
          <w:kern w:val="0"/>
          <w:sz w:val="24"/>
          <w:u w:val="none"/>
          <w:lang w:val="en-US" w:eastAsia="zh-CN"/>
        </w:rPr>
        <w:t>——预测评价范围内单位年份表层土壤中某种物质经淋溶排出的量，g；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12"/>
          <w:sz w:val="24"/>
          <w:u w:val="none"/>
          <w:lang w:val="en-US" w:eastAsia="zh-CN"/>
        </w:rPr>
        <w:object>
          <v:shape id="_x0000_i1154" o:spt="75" type="#_x0000_t75" style="height:18pt;width:16pt;" o:ole="t" filled="f" o:preferrelative="t" stroked="f" coordsize="21600,21600">
            <v:path/>
            <v:fill on="f" focussize="0,0"/>
            <v:stroke on="f"/>
            <v:imagedata r:id="rId281" o:title=""/>
            <o:lock v:ext="edit" aspectratio="t"/>
            <w10:wrap type="none"/>
            <w10:anchorlock/>
          </v:shape>
          <o:OLEObject Type="Embed" ProgID="Equation.KSEE3" ShapeID="_x0000_i1154" DrawAspect="Content" ObjectID="_1468075854" r:id="rId280">
            <o:LockedField>false</o:LockedField>
          </o:OLEObject>
        </w:object>
      </w:r>
      <w:r>
        <w:rPr>
          <w:rFonts w:hint="eastAsia" w:cs="Times New Roman"/>
          <w:iCs/>
          <w:kern w:val="0"/>
          <w:sz w:val="24"/>
          <w:u w:val="none"/>
          <w:lang w:val="en-US" w:eastAsia="zh-CN"/>
        </w:rPr>
        <w:t>——预测评价范围内单位年份表层土壤中某种物质经径流排出的量，g；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12"/>
          <w:sz w:val="24"/>
          <w:u w:val="none"/>
          <w:lang w:val="en-US" w:eastAsia="zh-CN"/>
        </w:rPr>
        <w:object>
          <v:shape id="_x0000_i1155" o:spt="75" type="#_x0000_t75" style="height:18pt;width:15pt;" o:ole="t" filled="f" o:preferrelative="t" stroked="f" coordsize="21600,21600">
            <v:path/>
            <v:fill on="f" focussize="0,0"/>
            <v:stroke on="f"/>
            <v:imagedata r:id="rId283" o:title=""/>
            <o:lock v:ext="edit" aspectratio="t"/>
            <w10:wrap type="none"/>
            <w10:anchorlock/>
          </v:shape>
          <o:OLEObject Type="Embed" ProgID="Equation.KSEE3" ShapeID="_x0000_i1155" DrawAspect="Content" ObjectID="_1468075855" r:id="rId282">
            <o:LockedField>false</o:LockedField>
          </o:OLEObject>
        </w:object>
      </w:r>
      <w:r>
        <w:rPr>
          <w:rFonts w:hint="eastAsia" w:cs="Times New Roman"/>
          <w:iCs/>
          <w:kern w:val="0"/>
          <w:sz w:val="24"/>
          <w:u w:val="none"/>
          <w:lang w:val="en-US" w:eastAsia="zh-CN"/>
        </w:rPr>
        <w:t>——表层土壤容重，kg/m³；</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4"/>
          <w:sz w:val="24"/>
          <w:u w:val="none"/>
          <w:lang w:val="en-US" w:eastAsia="zh-CN"/>
        </w:rPr>
        <w:object>
          <v:shape id="_x0000_i1156" o:spt="75" type="#_x0000_t75" style="height:13pt;width:12pt;" o:ole="t" filled="f" o:preferrelative="t" stroked="f" coordsize="21600,21600">
            <v:path/>
            <v:fill on="f" focussize="0,0"/>
            <v:stroke on="f"/>
            <v:imagedata r:id="rId285" o:title=""/>
            <o:lock v:ext="edit" aspectratio="t"/>
            <w10:wrap type="none"/>
            <w10:anchorlock/>
          </v:shape>
          <o:OLEObject Type="Embed" ProgID="Equation.KSEE3" ShapeID="_x0000_i1156" DrawAspect="Content" ObjectID="_1468075856" r:id="rId284">
            <o:LockedField>false</o:LockedField>
          </o:OLEObject>
        </w:object>
      </w:r>
      <w:r>
        <w:rPr>
          <w:rFonts w:hint="eastAsia" w:cs="Times New Roman"/>
          <w:iCs/>
          <w:kern w:val="0"/>
          <w:sz w:val="24"/>
          <w:u w:val="none"/>
          <w:lang w:val="en-US" w:eastAsia="zh-CN"/>
        </w:rPr>
        <w:t>——预测评价范围，m²；</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4"/>
          <w:sz w:val="24"/>
          <w:u w:val="none"/>
          <w:lang w:val="en-US" w:eastAsia="zh-CN"/>
        </w:rPr>
        <w:object>
          <v:shape id="_x0000_i1157" o:spt="75" type="#_x0000_t75" style="height:13pt;width:13pt;" o:ole="t" filled="f" o:preferrelative="t" stroked="f" coordsize="21600,21600">
            <v:path/>
            <v:fill on="f" focussize="0,0"/>
            <v:stroke on="f"/>
            <v:imagedata r:id="rId287" o:title=""/>
            <o:lock v:ext="edit" aspectratio="t"/>
            <w10:wrap type="none"/>
            <w10:anchorlock/>
          </v:shape>
          <o:OLEObject Type="Embed" ProgID="Equation.KSEE3" ShapeID="_x0000_i1157" DrawAspect="Content" ObjectID="_1468075857" r:id="rId286">
            <o:LockedField>false</o:LockedField>
          </o:OLEObject>
        </w:object>
      </w:r>
      <w:r>
        <w:rPr>
          <w:rFonts w:hint="eastAsia" w:cs="Times New Roman"/>
          <w:iCs/>
          <w:kern w:val="0"/>
          <w:sz w:val="24"/>
          <w:u w:val="none"/>
          <w:lang w:val="en-US" w:eastAsia="zh-CN"/>
        </w:rPr>
        <w:t>——表层土壤深度，一般取0.2m，可根据实际情况适当调整；</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6"/>
          <w:sz w:val="24"/>
          <w:u w:val="none"/>
          <w:lang w:val="en-US" w:eastAsia="zh-CN"/>
        </w:rPr>
        <w:object>
          <v:shape id="_x0000_i1158" o:spt="75" type="#_x0000_t75" style="height:11pt;width:10pt;" o:ole="t" filled="f" o:preferrelative="t" stroked="f" coordsize="21600,21600">
            <v:path/>
            <v:fill on="f" focussize="0,0"/>
            <v:stroke on="f"/>
            <v:imagedata r:id="rId289" o:title=""/>
            <o:lock v:ext="edit" aspectratio="t"/>
            <w10:wrap type="none"/>
            <w10:anchorlock/>
          </v:shape>
          <o:OLEObject Type="Embed" ProgID="Equation.KSEE3" ShapeID="_x0000_i1158" DrawAspect="Content" ObjectID="_1468075858" r:id="rId288">
            <o:LockedField>false</o:LockedField>
          </o:OLEObject>
        </w:object>
      </w:r>
      <w:r>
        <w:rPr>
          <w:rFonts w:hint="eastAsia" w:cs="Times New Roman"/>
          <w:iCs/>
          <w:kern w:val="0"/>
          <w:sz w:val="24"/>
          <w:u w:val="none"/>
          <w:lang w:val="en-US" w:eastAsia="zh-CN"/>
        </w:rPr>
        <w:t>——持续年份，a。</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根据土壤导则附录E，项目涉及大气沉降影响的，可不考虑输出量，因此，上述公式可简化为如下：</w:t>
      </w:r>
    </w:p>
    <w:p>
      <w:pPr>
        <w:pStyle w:val="71"/>
        <w:jc w:val="center"/>
        <w:rPr>
          <w:rFonts w:hint="default" w:cs="Times New Roman"/>
          <w:iCs/>
          <w:kern w:val="0"/>
          <w:sz w:val="24"/>
          <w:u w:val="none"/>
          <w:lang w:val="en-US" w:eastAsia="zh-CN"/>
        </w:rPr>
      </w:pPr>
      <w:r>
        <w:rPr>
          <w:rFonts w:hint="default" w:cs="Times New Roman"/>
          <w:iCs/>
          <w:kern w:val="0"/>
          <w:position w:val="-12"/>
          <w:sz w:val="24"/>
          <w:u w:val="none"/>
          <w:lang w:val="en-US" w:eastAsia="zh-CN"/>
        </w:rPr>
        <w:object>
          <v:shape id="_x0000_i1159" o:spt="75" type="#_x0000_t75" style="height:18pt;width:108pt;" o:ole="t" filled="f" o:preferrelative="t" stroked="f" coordsize="21600,21600">
            <v:path/>
            <v:fill on="f" focussize="0,0"/>
            <v:stroke on="f"/>
            <v:imagedata r:id="rId291" o:title=""/>
            <o:lock v:ext="edit" aspectratio="t"/>
            <w10:wrap type="none"/>
            <w10:anchorlock/>
          </v:shape>
          <o:OLEObject Type="Embed" ProgID="Equation.KSEE3" ShapeID="_x0000_i1159" DrawAspect="Content" ObjectID="_1468075859" r:id="rId290">
            <o:LockedField>false</o:LockedField>
          </o:OLEObject>
        </w:object>
      </w:r>
    </w:p>
    <w:p>
      <w:pPr>
        <w:pStyle w:val="71"/>
        <w:jc w:val="both"/>
        <w:rPr>
          <w:rFonts w:hint="eastAsia" w:cs="Times New Roman"/>
          <w:iCs/>
          <w:kern w:val="0"/>
          <w:sz w:val="24"/>
          <w:u w:val="none"/>
          <w:lang w:val="en-US" w:eastAsia="zh-CN"/>
        </w:rPr>
      </w:pPr>
      <w:r>
        <w:rPr>
          <w:rFonts w:hint="default" w:cs="Times New Roman"/>
          <w:iCs/>
          <w:kern w:val="0"/>
          <w:sz w:val="24"/>
          <w:u w:val="none"/>
          <w:lang w:val="en-US" w:eastAsia="zh-CN"/>
        </w:rPr>
        <w:fldChar w:fldCharType="begin"/>
      </w:r>
      <w:r>
        <w:rPr>
          <w:rFonts w:hint="default" w:cs="Times New Roman"/>
          <w:iCs/>
          <w:kern w:val="0"/>
          <w:sz w:val="24"/>
          <w:u w:val="none"/>
          <w:lang w:val="en-US" w:eastAsia="zh-CN"/>
        </w:rPr>
        <w:instrText xml:space="preserve"> = 2 \* GB3 \* MERGEFORMAT </w:instrText>
      </w:r>
      <w:r>
        <w:rPr>
          <w:rFonts w:hint="default" w:cs="Times New Roman"/>
          <w:iCs/>
          <w:kern w:val="0"/>
          <w:sz w:val="24"/>
          <w:u w:val="none"/>
          <w:lang w:val="en-US" w:eastAsia="zh-CN"/>
        </w:rPr>
        <w:fldChar w:fldCharType="separate"/>
      </w:r>
      <w:r>
        <w:t>②</w:t>
      </w:r>
      <w:r>
        <w:rPr>
          <w:rFonts w:hint="default" w:cs="Times New Roman"/>
          <w:iCs/>
          <w:kern w:val="0"/>
          <w:sz w:val="24"/>
          <w:u w:val="none"/>
          <w:lang w:val="en-US" w:eastAsia="zh-CN"/>
        </w:rPr>
        <w:fldChar w:fldCharType="end"/>
      </w:r>
      <w:r>
        <w:rPr>
          <w:rFonts w:hint="eastAsia" w:cs="Times New Roman"/>
          <w:iCs/>
          <w:kern w:val="0"/>
          <w:sz w:val="24"/>
          <w:u w:val="none"/>
          <w:lang w:val="en-US" w:eastAsia="zh-CN"/>
        </w:rPr>
        <w:t>单位质量土壤中某种物质的预测值可根据其增量叠加现状值进行计算：</w:t>
      </w:r>
    </w:p>
    <w:p>
      <w:pPr>
        <w:pStyle w:val="71"/>
        <w:jc w:val="center"/>
        <w:rPr>
          <w:rFonts w:hint="default" w:cs="Times New Roman"/>
          <w:iCs/>
          <w:kern w:val="0"/>
          <w:sz w:val="24"/>
          <w:u w:val="none"/>
          <w:lang w:val="en-US" w:eastAsia="zh-CN"/>
        </w:rPr>
      </w:pPr>
      <w:r>
        <w:rPr>
          <w:rFonts w:hint="default" w:cs="Times New Roman"/>
          <w:iCs/>
          <w:kern w:val="0"/>
          <w:position w:val="-12"/>
          <w:sz w:val="24"/>
          <w:u w:val="none"/>
          <w:lang w:val="en-US" w:eastAsia="zh-CN"/>
        </w:rPr>
        <w:object>
          <v:shape id="_x0000_i1160" o:spt="75" type="#_x0000_t75" style="height:18pt;width:60pt;" o:ole="t" filled="f" o:preferrelative="t" stroked="f" coordsize="21600,21600">
            <v:path/>
            <v:fill on="f" focussize="0,0"/>
            <v:stroke on="f"/>
            <v:imagedata r:id="rId293" o:title=""/>
            <o:lock v:ext="edit" aspectratio="t"/>
            <w10:wrap type="none"/>
            <w10:anchorlock/>
          </v:shape>
          <o:OLEObject Type="Embed" ProgID="Equation.KSEE3" ShapeID="_x0000_i1160" DrawAspect="Content" ObjectID="_1468075860" r:id="rId292">
            <o:LockedField>false</o:LockedField>
          </o:OLEObject>
        </w:objec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式中：</w:t>
      </w:r>
      <w:r>
        <w:rPr>
          <w:rFonts w:hint="eastAsia" w:cs="Times New Roman"/>
          <w:iCs/>
          <w:kern w:val="0"/>
          <w:position w:val="-12"/>
          <w:sz w:val="24"/>
          <w:u w:val="none"/>
          <w:lang w:val="en-US" w:eastAsia="zh-CN"/>
        </w:rPr>
        <w:object>
          <v:shape id="_x0000_i1161" o:spt="75" type="#_x0000_t75" style="height:18pt;width:13.95pt;" o:ole="t" filled="f" o:preferrelative="t" stroked="f" coordsize="21600,21600">
            <v:path/>
            <v:fill on="f" focussize="0,0"/>
            <v:stroke on="f"/>
            <v:imagedata r:id="rId295" o:title=""/>
            <o:lock v:ext="edit" aspectratio="t"/>
            <w10:wrap type="none"/>
            <w10:anchorlock/>
          </v:shape>
          <o:OLEObject Type="Embed" ProgID="Equation.KSEE3" ShapeID="_x0000_i1161" DrawAspect="Content" ObjectID="_1468075861" r:id="rId294">
            <o:LockedField>false</o:LockedField>
          </o:OLEObject>
        </w:object>
      </w:r>
      <w:r>
        <w:rPr>
          <w:rFonts w:hint="eastAsia" w:cs="Times New Roman"/>
          <w:iCs/>
          <w:kern w:val="0"/>
          <w:sz w:val="24"/>
          <w:u w:val="none"/>
          <w:lang w:val="en-US" w:eastAsia="zh-CN"/>
        </w:rPr>
        <w:t>——单位质量表层土壤中某种物质的现状值，g/kg；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 xml:space="preserve">      </w:t>
      </w:r>
      <w:r>
        <w:rPr>
          <w:rFonts w:hint="eastAsia" w:cs="Times New Roman"/>
          <w:iCs/>
          <w:kern w:val="0"/>
          <w:position w:val="-6"/>
          <w:sz w:val="24"/>
          <w:u w:val="none"/>
          <w:lang w:val="en-US" w:eastAsia="zh-CN"/>
        </w:rPr>
        <w:object>
          <v:shape id="_x0000_i1162" o:spt="75" type="#_x0000_t75" style="height:13.95pt;width:11pt;" o:ole="t" filled="f" o:preferrelative="t" stroked="f" coordsize="21600,21600">
            <v:path/>
            <v:fill on="f" focussize="0,0"/>
            <v:stroke on="f"/>
            <v:imagedata r:id="rId297" o:title=""/>
            <o:lock v:ext="edit" aspectratio="t"/>
            <w10:wrap type="none"/>
            <w10:anchorlock/>
          </v:shape>
          <o:OLEObject Type="Embed" ProgID="Equation.KSEE3" ShapeID="_x0000_i1162" DrawAspect="Content" ObjectID="_1468075862" r:id="rId296">
            <o:LockedField>false</o:LockedField>
          </o:OLEObject>
        </w:object>
      </w:r>
      <w:r>
        <w:rPr>
          <w:rFonts w:hint="eastAsia" w:cs="Times New Roman"/>
          <w:iCs/>
          <w:kern w:val="0"/>
          <w:sz w:val="24"/>
          <w:u w:val="none"/>
          <w:lang w:val="en-US" w:eastAsia="zh-CN"/>
        </w:rPr>
        <w:t>——单位质量表层土壤中某种物质的预测值，g/kg。</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（4）预测结果</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本项目预测评价范围为5.0km²（即调查评价范围，含厂区），根据大气污染物扩散情况，建设污染物全部沉降至某一地块，设置不同的地块面积情形（分别占预测评价范围的5%、20%、50%和100%）和不同持续年份（分为5年、10年、30年）的情形进行土壤增量预测，预测评价范围内单位年份表层土壤中某种物质的输入量采用大气环境影响预测中正常工况下最大落地浓度，其预测情形参数设置详见下表。</w:t>
      </w:r>
    </w:p>
    <w:p>
      <w:pPr>
        <w:pStyle w:val="352"/>
        <w:rPr>
          <w:rFonts w:hint="eastAsia"/>
          <w:b/>
          <w:bCs/>
          <w:u w:val="none"/>
          <w:lang w:val="en-US" w:eastAsia="zh-CN"/>
        </w:rPr>
      </w:pPr>
      <w:r>
        <w:rPr>
          <w:rFonts w:hint="eastAsia"/>
          <w:b/>
          <w:bCs/>
          <w:u w:val="none"/>
          <w:lang w:val="en-US" w:eastAsia="zh-CN"/>
        </w:rPr>
        <w:t>表8-32  预测参数设置及结果</w:t>
      </w:r>
    </w:p>
    <w:tbl>
      <w:tblPr>
        <w:tblStyle w:val="5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831"/>
        <w:gridCol w:w="1119"/>
        <w:gridCol w:w="981"/>
        <w:gridCol w:w="778"/>
        <w:gridCol w:w="954"/>
        <w:gridCol w:w="1200"/>
        <w:gridCol w:w="1241"/>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sz w:val="21"/>
                <w:szCs w:val="21"/>
                <w:u w:val="none"/>
                <w:vertAlign w:val="baseline"/>
                <w:lang w:val="en-US" w:eastAsia="zh-CN"/>
              </w:rPr>
              <w:t>预测因子</w:t>
            </w:r>
          </w:p>
        </w:tc>
        <w:tc>
          <w:tcPr>
            <w:tcW w:w="83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eastAsia" w:cs="Times New Roman"/>
                <w:iCs/>
                <w:kern w:val="0"/>
                <w:position w:val="-6"/>
                <w:sz w:val="24"/>
                <w:u w:val="none"/>
                <w:lang w:val="en-US" w:eastAsia="zh-CN"/>
              </w:rPr>
              <w:object>
                <v:shape id="_x0000_i1163" o:spt="75" type="#_x0000_t75" style="height:11pt;width:10pt;" o:ole="t" filled="f" o:preferrelative="t" stroked="f" coordsize="21600,21600">
                  <v:path/>
                  <v:fill on="f" focussize="0,0"/>
                  <v:stroke on="f"/>
                  <v:imagedata r:id="rId289" o:title=""/>
                  <o:lock v:ext="edit" aspectratio="t"/>
                  <w10:wrap type="none"/>
                  <w10:anchorlock/>
                </v:shape>
                <o:OLEObject Type="Embed" ProgID="Equation.KSEE3" ShapeID="_x0000_i1163" DrawAspect="Content" ObjectID="_1468075863" r:id="rId298">
                  <o:LockedField>false</o:LockedField>
                </o:OLEObject>
              </w:object>
            </w:r>
            <w:r>
              <w:rPr>
                <w:rFonts w:hint="default" w:ascii="Times New Roman" w:hAnsi="Times New Roman" w:cs="Times New Roman"/>
                <w:b/>
                <w:bCs/>
                <w:sz w:val="21"/>
                <w:szCs w:val="21"/>
                <w:u w:val="none"/>
                <w:vertAlign w:val="baseline"/>
                <w:lang w:val="en-US" w:eastAsia="zh-CN"/>
              </w:rPr>
              <w:t>（年）</w:t>
            </w:r>
          </w:p>
        </w:tc>
        <w:tc>
          <w:tcPr>
            <w:tcW w:w="1119"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iCs/>
                <w:kern w:val="0"/>
                <w:sz w:val="21"/>
                <w:szCs w:val="21"/>
                <w:u w:val="none"/>
                <w:lang w:val="en-US" w:eastAsia="zh-CN"/>
              </w:rPr>
            </w:pPr>
            <w:r>
              <w:rPr>
                <w:rFonts w:hint="default" w:ascii="Times New Roman" w:hAnsi="Times New Roman" w:cs="Times New Roman"/>
                <w:b/>
                <w:bCs/>
                <w:iCs/>
                <w:kern w:val="0"/>
                <w:position w:val="-12"/>
                <w:sz w:val="21"/>
                <w:szCs w:val="21"/>
                <w:u w:val="none"/>
                <w:lang w:val="en-US" w:eastAsia="zh-CN"/>
              </w:rPr>
              <w:object>
                <v:shape id="_x0000_i1164" o:spt="75" type="#_x0000_t75" style="height:18pt;width:15pt;" o:ole="t" filled="f" o:preferrelative="t" stroked="f" coordsize="21600,21600">
                  <v:path/>
                  <v:fill on="f" focussize="0,0"/>
                  <v:stroke on="f"/>
                  <v:imagedata r:id="rId283" o:title=""/>
                  <o:lock v:ext="edit" aspectratio="t"/>
                  <w10:wrap type="none"/>
                  <w10:anchorlock/>
                </v:shape>
                <o:OLEObject Type="Embed" ProgID="Equation.KSEE3" ShapeID="_x0000_i1164" DrawAspect="Content" ObjectID="_1468075864" r:id="rId299">
                  <o:LockedField>false</o:LockedField>
                </o:OLEObject>
              </w:object>
            </w:r>
          </w:p>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iCs/>
                <w:kern w:val="0"/>
                <w:sz w:val="21"/>
                <w:szCs w:val="21"/>
                <w:u w:val="none"/>
                <w:lang w:val="en-US" w:eastAsia="zh-CN"/>
              </w:rPr>
              <w:t>（kg/m³）</w:t>
            </w:r>
          </w:p>
        </w:tc>
        <w:tc>
          <w:tcPr>
            <w:tcW w:w="98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sz w:val="21"/>
                <w:szCs w:val="21"/>
                <w:u w:val="none"/>
                <w:vertAlign w:val="baseline"/>
                <w:lang w:val="en-US" w:eastAsia="zh-CN"/>
              </w:rPr>
              <w:t>A</w:t>
            </w:r>
          </w:p>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sz w:val="21"/>
                <w:szCs w:val="21"/>
                <w:u w:val="none"/>
                <w:vertAlign w:val="baseline"/>
                <w:lang w:val="en-US" w:eastAsia="zh-CN"/>
              </w:rPr>
              <w:t>（km²）</w:t>
            </w:r>
          </w:p>
        </w:tc>
        <w:tc>
          <w:tcPr>
            <w:tcW w:w="77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sz w:val="21"/>
                <w:szCs w:val="21"/>
                <w:u w:val="none"/>
                <w:vertAlign w:val="baseline"/>
                <w:lang w:val="en-US" w:eastAsia="zh-CN"/>
              </w:rPr>
              <w:t>D</w:t>
            </w:r>
          </w:p>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sz w:val="21"/>
                <w:szCs w:val="21"/>
                <w:u w:val="none"/>
                <w:vertAlign w:val="baseline"/>
                <w:lang w:val="en-US" w:eastAsia="zh-CN"/>
              </w:rPr>
              <w:t>（m）</w:t>
            </w:r>
          </w:p>
        </w:tc>
        <w:tc>
          <w:tcPr>
            <w:tcW w:w="954"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iCs/>
                <w:kern w:val="0"/>
                <w:sz w:val="21"/>
                <w:szCs w:val="21"/>
                <w:u w:val="none"/>
                <w:lang w:val="en-US" w:eastAsia="zh-CN"/>
              </w:rPr>
            </w:pPr>
            <w:r>
              <w:rPr>
                <w:rFonts w:hint="default" w:ascii="Times New Roman" w:hAnsi="Times New Roman" w:cs="Times New Roman"/>
                <w:b/>
                <w:bCs/>
                <w:iCs/>
                <w:kern w:val="0"/>
                <w:position w:val="-12"/>
                <w:sz w:val="21"/>
                <w:szCs w:val="21"/>
                <w:u w:val="none"/>
                <w:lang w:val="en-US" w:eastAsia="zh-CN"/>
              </w:rPr>
              <w:object>
                <v:shape id="_x0000_i1165" o:spt="75" type="#_x0000_t75" style="height:18pt;width:13pt;" o:ole="t" filled="f" o:preferrelative="t" stroked="f" coordsize="21600,21600">
                  <v:path/>
                  <v:fill on="f" focussize="0,0"/>
                  <v:stroke on="f"/>
                  <v:imagedata r:id="rId277" o:title=""/>
                  <o:lock v:ext="edit" aspectratio="t"/>
                  <w10:wrap type="none"/>
                  <w10:anchorlock/>
                </v:shape>
                <o:OLEObject Type="Embed" ProgID="Equation.KSEE3" ShapeID="_x0000_i1165" DrawAspect="Content" ObjectID="_1468075865" r:id="rId300">
                  <o:LockedField>false</o:LockedField>
                </o:OLEObject>
              </w:object>
            </w:r>
          </w:p>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b/>
                <w:bCs/>
                <w:iCs/>
                <w:kern w:val="0"/>
                <w:sz w:val="21"/>
                <w:szCs w:val="21"/>
                <w:u w:val="none"/>
                <w:lang w:val="en-US" w:eastAsia="zh-CN"/>
              </w:rPr>
              <w:t>（g）</w:t>
            </w:r>
          </w:p>
        </w:tc>
        <w:tc>
          <w:tcPr>
            <w:tcW w:w="1200" w:type="dxa"/>
            <w:vAlign w:val="center"/>
          </w:tcPr>
          <w:p>
            <w:pPr>
              <w:pStyle w:val="352"/>
              <w:keepNext w:val="0"/>
              <w:keepLines w:val="0"/>
              <w:suppressLineNumbers w:val="0"/>
              <w:spacing w:before="0" w:beforeAutospacing="0" w:after="0" w:afterAutospacing="0"/>
              <w:ind w:left="0" w:right="0"/>
              <w:jc w:val="center"/>
              <w:rPr>
                <w:rFonts w:hint="eastAsia" w:ascii="Times New Roman" w:hAnsi="Times New Roman" w:cs="Times New Roman"/>
                <w:b/>
                <w:bCs/>
                <w:sz w:val="21"/>
                <w:szCs w:val="21"/>
                <w:u w:val="none"/>
                <w:vertAlign w:val="baseline"/>
                <w:lang w:val="en-US" w:eastAsia="zh-CN"/>
              </w:rPr>
            </w:pPr>
            <w:r>
              <w:rPr>
                <w:rFonts w:hint="eastAsia" w:ascii="Times New Roman" w:hAnsi="Times New Roman" w:cs="Times New Roman"/>
                <w:b/>
                <w:bCs/>
                <w:sz w:val="21"/>
                <w:szCs w:val="21"/>
                <w:u w:val="none"/>
                <w:vertAlign w:val="baseline"/>
                <w:lang w:val="en-US" w:eastAsia="zh-CN"/>
              </w:rPr>
              <w:t>背景值</w:t>
            </w:r>
          </w:p>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eastAsia" w:ascii="Times New Roman" w:hAnsi="Times New Roman" w:cs="Times New Roman"/>
                <w:b/>
                <w:bCs/>
                <w:sz w:val="21"/>
                <w:szCs w:val="21"/>
                <w:u w:val="none"/>
                <w:vertAlign w:val="baseline"/>
                <w:lang w:val="en-US" w:eastAsia="zh-CN"/>
              </w:rPr>
              <w:t>（mg/kg）</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eastAsia" w:cs="Times New Roman"/>
                <w:iCs/>
                <w:kern w:val="0"/>
                <w:position w:val="-6"/>
                <w:sz w:val="24"/>
                <w:u w:val="none"/>
                <w:lang w:val="en-US" w:eastAsia="zh-CN"/>
              </w:rPr>
              <w:object>
                <v:shape id="_x0000_i1166" o:spt="75" type="#_x0000_t75" style="height:13.95pt;width:18pt;" o:ole="t" filled="f" o:preferrelative="t" stroked="f" coordsize="21600,21600">
                  <v:path/>
                  <v:fill on="f" focussize="0,0"/>
                  <v:stroke on="f"/>
                  <v:imagedata r:id="rId275" o:title=""/>
                  <o:lock v:ext="edit" aspectratio="t"/>
                  <w10:wrap type="none"/>
                  <w10:anchorlock/>
                </v:shape>
                <o:OLEObject Type="Embed" ProgID="Equation.KSEE3" ShapeID="_x0000_i1166" DrawAspect="Content" ObjectID="_1468075866" r:id="rId301">
                  <o:LockedField>false</o:LockedField>
                </o:OLEObject>
              </w:object>
            </w:r>
            <w:r>
              <w:rPr>
                <w:rFonts w:hint="eastAsia" w:cs="Times New Roman"/>
                <w:iCs/>
                <w:kern w:val="0"/>
                <w:sz w:val="24"/>
                <w:u w:val="none"/>
                <w:lang w:val="en-US" w:eastAsia="zh-CN"/>
              </w:rPr>
              <w:t>（g/kg）</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u w:val="none"/>
                <w:vertAlign w:val="baseline"/>
                <w:lang w:val="en-US" w:eastAsia="zh-CN"/>
              </w:rPr>
            </w:pPr>
            <w:r>
              <w:rPr>
                <w:rFonts w:hint="eastAsia" w:ascii="Times New Roman" w:hAnsi="Times New Roman" w:cs="Times New Roman"/>
                <w:b/>
                <w:bCs/>
                <w:sz w:val="21"/>
                <w:szCs w:val="21"/>
                <w:u w:val="none"/>
                <w:vertAlign w:val="baseline"/>
                <w:lang w:val="en-US" w:eastAsia="zh-CN"/>
              </w:rPr>
              <w:t>预测值（g/kg）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铬（六价）</w:t>
            </w:r>
          </w:p>
        </w:tc>
        <w:tc>
          <w:tcPr>
            <w:tcW w:w="831"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w:t>
            </w:r>
          </w:p>
        </w:tc>
        <w:tc>
          <w:tcPr>
            <w:tcW w:w="1119" w:type="dxa"/>
            <w:vMerge w:val="restart"/>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39.3513</w:t>
            </w: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0.0027</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0.0007</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0.0003</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0.0001</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restart"/>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1119" w:type="dxa"/>
            <w:vMerge w:val="restart"/>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39.3513</w:t>
            </w: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0.0054</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0.0014</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0.0005</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0.0003</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restart"/>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20</w:t>
            </w:r>
          </w:p>
        </w:tc>
        <w:tc>
          <w:tcPr>
            <w:tcW w:w="1119" w:type="dxa"/>
            <w:vMerge w:val="restart"/>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39.3513</w:t>
            </w: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0.0109</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0.0027</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0.0011</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0.0005</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汞</w:t>
            </w:r>
          </w:p>
        </w:tc>
        <w:tc>
          <w:tcPr>
            <w:tcW w:w="831"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w:t>
            </w:r>
          </w:p>
        </w:tc>
        <w:tc>
          <w:tcPr>
            <w:tcW w:w="1119"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25.55</w:t>
            </w:r>
          </w:p>
        </w:tc>
        <w:tc>
          <w:tcPr>
            <w:tcW w:w="1200"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0.0018</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0.0004</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0.0002</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0.0001</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1119"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25.55</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vertAlign w:val="baseline"/>
                <w:lang w:val="en-US" w:eastAsia="zh-CN"/>
              </w:rPr>
              <w:t>0.00</w:t>
            </w:r>
            <w:r>
              <w:rPr>
                <w:rFonts w:hint="eastAsia" w:cs="Times New Roman"/>
                <w:b w:val="0"/>
                <w:bCs w:val="0"/>
                <w:sz w:val="21"/>
                <w:szCs w:val="21"/>
                <w:u w:val="none"/>
                <w:vertAlign w:val="baseline"/>
                <w:lang w:val="en-US" w:eastAsia="zh-CN"/>
              </w:rPr>
              <w:t>35</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0.0009</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0.0004</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0.0002</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20</w:t>
            </w:r>
          </w:p>
        </w:tc>
        <w:tc>
          <w:tcPr>
            <w:tcW w:w="1119"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w:t>
            </w:r>
            <w:r>
              <w:rPr>
                <w:rFonts w:hint="eastAsia" w:cs="Times New Roman"/>
                <w:b w:val="0"/>
                <w:bCs w:val="0"/>
                <w:sz w:val="21"/>
                <w:szCs w:val="21"/>
                <w:u w:val="none"/>
                <w:vertAlign w:val="baseline"/>
                <w:lang w:val="en-US" w:eastAsia="zh-CN"/>
              </w:rPr>
              <w:t>45</w:t>
            </w:r>
            <w:r>
              <w:rPr>
                <w:rFonts w:hint="eastAsia" w:ascii="Times New Roman" w:hAnsi="Times New Roman" w:cs="Times New Roman"/>
                <w:b w:val="0"/>
                <w:bCs w:val="0"/>
                <w:sz w:val="21"/>
                <w:szCs w:val="21"/>
                <w:u w:val="none"/>
                <w:vertAlign w:val="baseline"/>
                <w:lang w:val="en-US" w:eastAsia="zh-CN"/>
              </w:rPr>
              <w:t>×10³</w:t>
            </w: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0.25</w:t>
            </w:r>
          </w:p>
        </w:tc>
        <w:tc>
          <w:tcPr>
            <w:tcW w:w="778" w:type="dxa"/>
            <w:vMerge w:val="restart"/>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0.2</w:t>
            </w:r>
          </w:p>
        </w:tc>
        <w:tc>
          <w:tcPr>
            <w:tcW w:w="954" w:type="dxa"/>
            <w:vMerge w:val="restart"/>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25.55</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0.0070</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1.0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vertAlign w:val="baseline"/>
                <w:lang w:val="en-US" w:eastAsia="zh-CN"/>
              </w:rPr>
              <w:t>0.0018</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2.5</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0.0007</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831"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1119" w:type="dxa"/>
            <w:vMerge w:val="continue"/>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p>
        </w:tc>
        <w:tc>
          <w:tcPr>
            <w:tcW w:w="98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b w:val="0"/>
                <w:bCs w:val="0"/>
                <w:sz w:val="21"/>
                <w:szCs w:val="21"/>
                <w:u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5.0</w:t>
            </w:r>
          </w:p>
        </w:tc>
        <w:tc>
          <w:tcPr>
            <w:tcW w:w="778"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954" w:type="dxa"/>
            <w:vMerge w:val="continue"/>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w:t>
            </w:r>
          </w:p>
        </w:tc>
        <w:tc>
          <w:tcPr>
            <w:tcW w:w="1241"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0.0004</w:t>
            </w:r>
          </w:p>
        </w:tc>
        <w:tc>
          <w:tcPr>
            <w:tcW w:w="1118" w:type="dxa"/>
            <w:vAlign w:val="center"/>
          </w:tcPr>
          <w:p>
            <w:pPr>
              <w:pStyle w:val="352"/>
              <w:keepNext w:val="0"/>
              <w:keepLines w:val="0"/>
              <w:suppressLineNumbers w:val="0"/>
              <w:spacing w:before="0" w:beforeAutospacing="0" w:after="0" w:afterAutospacing="0"/>
              <w:ind w:left="0" w:right="0"/>
              <w:jc w:val="center"/>
              <w:rPr>
                <w:rFonts w:hint="default" w:ascii="Times New Roman" w:hAnsi="Times New Roman"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0.2404</w:t>
            </w:r>
          </w:p>
        </w:tc>
      </w:tr>
    </w:tbl>
    <w:p>
      <w:pPr>
        <w:pStyle w:val="352"/>
        <w:jc w:val="both"/>
        <w:rPr>
          <w:rFonts w:hint="default"/>
          <w:b/>
          <w:bCs/>
          <w:u w:val="none"/>
          <w:lang w:val="en-US" w:eastAsia="zh-CN"/>
        </w:rPr>
      </w:pPr>
      <w:r>
        <w:rPr>
          <w:rFonts w:hint="eastAsia"/>
          <w:b/>
          <w:bCs/>
          <w:u w:val="none"/>
          <w:lang w:val="en-US" w:eastAsia="zh-CN"/>
        </w:rPr>
        <w:t>注：背景值选取本次现状监测结果中最大值。</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预测结果显示，在上述工况下，排入大气环境的铬、汞等重金属沉降对土壤均较小，预测叠加结果各因子均满足《土壤环境质量  农用地土壤污染风险管控标准（试行）》（GB15618-2018）和《土壤环境质量  建设用地土壤污染风险管控标准（试行）》（GB36600-2018）相对应标准。</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2、地面漫流</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对于地上设施，在事故情况和降雨情况下产生的废水会发生地面漫流，进一步污染土壤。企业设置废水三级防控，设置围堰拦截事故水，进入事故缓冲池，当事故缓冲池储满，事故水进一步进入厂外末端事故缓冲池，此过程由各阀门，溢流井等调控控制。同时根据地势，在东西向穿越道路的明沟上方设置栅板，并于南侧设置小挡坝，保证可能受污染的雨排水截留至雨水明沟，最终进入厂外末端事故缓冲池。全面防控事故废水和可能受污染的雨水发生地面漫流，进入土壤。在全面落实三级防控措施的情况下，物料或污染物的地面漫流对土壤影响较小。</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3、垂直入渗</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对于厂区地下水或半地下工程构筑物，在事故情况下，会造成物料、污染物等的泄漏，通过垂直入渗途径污染土壤。本项目</w:t>
      </w:r>
      <w:r>
        <w:rPr>
          <w:rFonts w:hint="eastAsia"/>
          <w:sz w:val="24"/>
          <w:u w:val="none"/>
          <w:lang w:eastAsia="zh-CN"/>
        </w:rPr>
        <w:t>冷库</w:t>
      </w:r>
      <w:r>
        <w:rPr>
          <w:sz w:val="24"/>
          <w:u w:val="none"/>
        </w:rPr>
        <w:t>、</w:t>
      </w:r>
      <w:r>
        <w:rPr>
          <w:rFonts w:hint="eastAsia"/>
          <w:sz w:val="24"/>
          <w:u w:val="none"/>
          <w:lang w:eastAsia="zh-CN"/>
        </w:rPr>
        <w:t>微波消毒系统</w:t>
      </w:r>
      <w:r>
        <w:rPr>
          <w:sz w:val="24"/>
          <w:u w:val="none"/>
        </w:rPr>
        <w:t>、</w:t>
      </w:r>
      <w:r>
        <w:rPr>
          <w:rFonts w:hint="eastAsia"/>
          <w:sz w:val="24"/>
          <w:u w:val="none"/>
          <w:lang w:eastAsia="zh-CN"/>
        </w:rPr>
        <w:t>消毒清洗区</w:t>
      </w:r>
      <w:r>
        <w:rPr>
          <w:sz w:val="24"/>
          <w:u w:val="none"/>
        </w:rPr>
        <w:t>、</w:t>
      </w:r>
      <w:r>
        <w:rPr>
          <w:rFonts w:hint="eastAsia"/>
          <w:sz w:val="24"/>
          <w:u w:val="none"/>
          <w:lang w:eastAsia="zh-CN"/>
        </w:rPr>
        <w:t>污水处理站及其配套的污水收集系统</w:t>
      </w:r>
      <w:r>
        <w:rPr>
          <w:rFonts w:hint="eastAsia" w:cs="Times New Roman"/>
          <w:iCs/>
          <w:kern w:val="0"/>
          <w:sz w:val="24"/>
          <w:u w:val="none"/>
          <w:lang w:val="en-US" w:eastAsia="zh-CN"/>
        </w:rPr>
        <w:t>等区域采取重点防渗；综合办公楼、食堂、消防水池、消防泵站、厂区道路等采取一般防渗；厂区绿化带为简单防渗区。</w:t>
      </w:r>
    </w:p>
    <w:p>
      <w:pPr>
        <w:pStyle w:val="71"/>
        <w:jc w:val="both"/>
        <w:rPr>
          <w:rFonts w:hint="eastAsia" w:cs="Times New Roman"/>
          <w:iCs/>
          <w:kern w:val="0"/>
          <w:sz w:val="24"/>
          <w:u w:val="none"/>
          <w:lang w:val="en-US" w:eastAsia="zh-CN"/>
        </w:rPr>
      </w:pPr>
      <w:r>
        <w:rPr>
          <w:rFonts w:hint="eastAsia" w:cs="Times New Roman"/>
          <w:iCs/>
          <w:kern w:val="0"/>
          <w:sz w:val="24"/>
          <w:u w:val="none"/>
          <w:lang w:val="en-US" w:eastAsia="zh-CN"/>
        </w:rPr>
        <w:t>在全面落实分区防渗措施的情况下，物料或污染物的垂直入渗对土壤影响较小。</w:t>
      </w:r>
    </w:p>
    <w:p>
      <w:pPr>
        <w:pStyle w:val="71"/>
        <w:jc w:val="left"/>
        <w:rPr>
          <w:rFonts w:hint="eastAsia" w:cs="Times New Roman"/>
          <w:iCs/>
          <w:kern w:val="0"/>
          <w:sz w:val="24"/>
          <w:u w:val="none"/>
          <w:lang w:val="en-US" w:eastAsia="zh-CN"/>
        </w:rPr>
      </w:pPr>
      <w:r>
        <w:rPr>
          <w:rFonts w:hint="eastAsia" w:cs="Times New Roman"/>
          <w:iCs/>
          <w:kern w:val="0"/>
          <w:sz w:val="24"/>
          <w:u w:val="none"/>
          <w:lang w:val="en-US" w:eastAsia="zh-CN"/>
        </w:rPr>
        <w:t>综上，评价要求：首先，建设单位须按照环评要求落实废气收集及治理设施，并保证废气治理设施的正常运行，确保各项废气做到达标排放；其次，建设单位必须做好厂区分区防渗措施，降低垂直入渗污染土壤的风险。</w:t>
      </w:r>
    </w:p>
    <w:p>
      <w:pPr>
        <w:pStyle w:val="71"/>
        <w:jc w:val="left"/>
        <w:rPr>
          <w:rFonts w:hint="default" w:cs="Times New Roman"/>
          <w:iCs/>
          <w:kern w:val="0"/>
          <w:sz w:val="24"/>
          <w:u w:val="none"/>
          <w:lang w:val="en-US" w:eastAsia="zh-CN"/>
        </w:rPr>
      </w:pPr>
      <w:r>
        <w:rPr>
          <w:rFonts w:hint="eastAsia" w:cs="Times New Roman"/>
          <w:iCs/>
          <w:kern w:val="0"/>
          <w:sz w:val="24"/>
          <w:u w:val="none"/>
          <w:lang w:val="en-US" w:eastAsia="zh-CN"/>
        </w:rPr>
        <w:t>本项目按重点污染防治区、一般污染防治区、简单防渗区分别采取不同等级的防渗措施，防渗层尽量在地表铺设，防渗材料拟选取环氧树脂、HDPE土工膜和水泥基渗透结晶型防渗材料，按照污染防治分区采取不同的设计方案。其中，</w:t>
      </w:r>
      <w:r>
        <w:rPr>
          <w:rFonts w:hint="eastAsia"/>
          <w:sz w:val="24"/>
          <w:u w:val="none"/>
          <w:lang w:eastAsia="zh-CN"/>
        </w:rPr>
        <w:t>冷库</w:t>
      </w:r>
      <w:r>
        <w:rPr>
          <w:sz w:val="24"/>
          <w:u w:val="none"/>
        </w:rPr>
        <w:t>、</w:t>
      </w:r>
      <w:r>
        <w:rPr>
          <w:rFonts w:hint="eastAsia"/>
          <w:sz w:val="24"/>
          <w:u w:val="none"/>
          <w:lang w:eastAsia="zh-CN"/>
        </w:rPr>
        <w:t>微波消毒系统</w:t>
      </w:r>
      <w:r>
        <w:rPr>
          <w:sz w:val="24"/>
          <w:u w:val="none"/>
        </w:rPr>
        <w:t>、</w:t>
      </w:r>
      <w:r>
        <w:rPr>
          <w:rFonts w:hint="eastAsia"/>
          <w:sz w:val="24"/>
          <w:u w:val="none"/>
          <w:lang w:eastAsia="zh-CN"/>
        </w:rPr>
        <w:t>消毒清洗区</w:t>
      </w:r>
      <w:r>
        <w:rPr>
          <w:sz w:val="24"/>
          <w:u w:val="none"/>
        </w:rPr>
        <w:t>、</w:t>
      </w:r>
      <w:r>
        <w:rPr>
          <w:rFonts w:hint="eastAsia"/>
          <w:sz w:val="24"/>
          <w:u w:val="none"/>
          <w:lang w:eastAsia="zh-CN"/>
        </w:rPr>
        <w:t>事故应急池、初期雨水池、污水处理站及其配套的污水收集系统</w:t>
      </w:r>
      <w:r>
        <w:rPr>
          <w:rFonts w:hint="eastAsia" w:cs="Times New Roman"/>
          <w:iCs/>
          <w:kern w:val="0"/>
          <w:sz w:val="24"/>
          <w:u w:val="none"/>
          <w:lang w:val="en-US" w:eastAsia="zh-CN"/>
        </w:rPr>
        <w:t>等重点防渗区选用人工防渗材料，防渗技术要求为等效黏土防渗层Mb≥6.0m，渗透系数K≤10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cm/s。另外，重点防渗区还要满足《危险废物贮存污染控制标准》（GB18597-2001）及其修改单中要求，即防渗层为至少1米厚黏土层（渗透系数K≤10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cm/s），或2mm厚高密度聚乙烯，或至少2mm厚的其他人工材料，渗透系数K≤10</w:t>
      </w:r>
      <w:r>
        <w:rPr>
          <w:rFonts w:hint="eastAsia" w:cs="Times New Roman"/>
          <w:iCs/>
          <w:kern w:val="0"/>
          <w:sz w:val="24"/>
          <w:u w:val="none"/>
          <w:vertAlign w:val="superscript"/>
          <w:lang w:val="en-US" w:eastAsia="zh-CN"/>
        </w:rPr>
        <w:t>-10</w:t>
      </w:r>
      <w:r>
        <w:rPr>
          <w:rFonts w:hint="eastAsia" w:cs="Times New Roman"/>
          <w:iCs/>
          <w:kern w:val="0"/>
          <w:sz w:val="24"/>
          <w:u w:val="none"/>
          <w:lang w:val="en-US" w:eastAsia="zh-CN"/>
        </w:rPr>
        <w:t>cm/s；一般污染防治区铺设配筋混凝土加防渗剂的防渗地坪，切断污染地下水途径，防渗技术要求为等效黏土防渗层Mb≥1.5m，渗透系数K≤10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简单防渗区只需进行地面硬化处理。企业在管理方面严加管理，并采取相应的防渗措施可有效防治危险废物暂存和污水处理站因物料泄漏造成对区域土壤环境的污染。在全面落实分区防渗措施的情况下，物料或污染物的垂直入渗对土壤影响较小。</w:t>
      </w:r>
    </w:p>
    <w:p>
      <w:pPr>
        <w:pStyle w:val="71"/>
        <w:rPr>
          <w:rFonts w:hint="eastAsia" w:cs="Times New Roman"/>
          <w:b/>
          <w:bCs/>
          <w:iCs/>
          <w:kern w:val="0"/>
          <w:sz w:val="24"/>
          <w:u w:val="none"/>
          <w:lang w:val="en-US" w:eastAsia="zh-CN"/>
        </w:rPr>
      </w:pPr>
      <w:r>
        <w:rPr>
          <w:rFonts w:hint="eastAsia" w:cs="Times New Roman"/>
          <w:b/>
          <w:bCs/>
          <w:iCs/>
          <w:kern w:val="0"/>
          <w:sz w:val="24"/>
          <w:u w:val="none"/>
          <w:lang w:val="en-US" w:eastAsia="zh-CN"/>
        </w:rPr>
        <w:t>8.6.7土壤环境保护措施与对策</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一、土壤环境保护与污染防控措施</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1、源头控制措施</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2、过程控制措施</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从大气沉降、地面漫流、垂直入渗三个途径分别进行控制。</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（1）大气沉降污染途径治理措施及效果</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本项目针对废气污染物采取了对应的治理措施，确保污染物达标排放，具体措施如下：</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微波消毒系统废气配套治理设施采用“旋流塔+过滤装置+UV光催化氧化+活性炭吸附”工艺进行治理，治理效率大于90%，治理后的尾气经15m高排气筒排放，排放达到《四川省固定污染源大气挥发性有机物排放标准》（DB51/2377-2017）表3相关限值和《恶臭污染物排放标准》（GB14554-93）表2限值要求。</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其次，对涉及大气沉降途径，可在消毒车间厂区绿地范围种植对Hg、As、Pb、Cd等重金属和挥发性有机物有较强吸附降解能力的植物。</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（2）地面漫流污染途径治理措施及效果</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涉及地面漫流途径须设置三级防控、围堰、地面硬化等措施。</w:t>
      </w:r>
    </w:p>
    <w:p>
      <w:pPr>
        <w:pStyle w:val="71"/>
        <w:rPr>
          <w:rFonts w:hint="eastAsia" w:cs="Times New Roman"/>
          <w:iCs/>
          <w:kern w:val="0"/>
          <w:sz w:val="24"/>
          <w:u w:val="none"/>
          <w:lang w:val="en-US" w:eastAsia="zh-CN"/>
        </w:rPr>
      </w:pPr>
      <w:r>
        <w:rPr>
          <w:rFonts w:hint="default" w:cs="Times New Roman"/>
          <w:iCs/>
          <w:kern w:val="0"/>
          <w:sz w:val="24"/>
          <w:u w:val="none"/>
          <w:lang w:val="en-US" w:eastAsia="zh-CN"/>
        </w:rPr>
        <w:fldChar w:fldCharType="begin"/>
      </w:r>
      <w:r>
        <w:rPr>
          <w:rFonts w:hint="default" w:cs="Times New Roman"/>
          <w:iCs/>
          <w:kern w:val="0"/>
          <w:sz w:val="24"/>
          <w:u w:val="none"/>
          <w:lang w:val="en-US" w:eastAsia="zh-CN"/>
        </w:rPr>
        <w:instrText xml:space="preserve"> = 1 \* GB3 \* MERGEFORMAT </w:instrText>
      </w:r>
      <w:r>
        <w:rPr>
          <w:rFonts w:hint="default" w:cs="Times New Roman"/>
          <w:iCs/>
          <w:kern w:val="0"/>
          <w:sz w:val="24"/>
          <w:u w:val="none"/>
          <w:lang w:val="en-US" w:eastAsia="zh-CN"/>
        </w:rPr>
        <w:fldChar w:fldCharType="separate"/>
      </w:r>
      <w:r>
        <w:t>①</w:t>
      </w:r>
      <w:r>
        <w:rPr>
          <w:rFonts w:hint="default" w:cs="Times New Roman"/>
          <w:iCs/>
          <w:kern w:val="0"/>
          <w:sz w:val="24"/>
          <w:u w:val="none"/>
          <w:lang w:val="en-US" w:eastAsia="zh-CN"/>
        </w:rPr>
        <w:fldChar w:fldCharType="end"/>
      </w:r>
      <w:r>
        <w:rPr>
          <w:rFonts w:hint="eastAsia" w:cs="Times New Roman"/>
          <w:iCs/>
          <w:kern w:val="0"/>
          <w:sz w:val="24"/>
          <w:u w:val="none"/>
          <w:lang w:val="en-US" w:eastAsia="zh-CN"/>
        </w:rPr>
        <w:t>三级防控</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对于项目事故状态的废水，必须保证在未经处理满足要求的前提下不得流出厂界。项目须贯彻“围、追、堵、截”的原则，采取多级防护措施，确保事故废水未经处理不得出厂界。</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a、厂区一级防控：装置区（单元）围堰和环形导流沟，暂存库地面设置环形沟，并通过管道接至事故应急池。</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b、厂区二级防控：厂界截洪沟和厂区初期雨水收集系统，整个厂区外围设置截洪沟，减少受污染的雨水量，同时防止厂区污水漫流进入外环境。厂区设置初期雨水收集及导流切换系统，与初期雨水收集池、事故应急池连通。</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c、厂区三级防控：事故应急池、初期雨水收集池，因事故池仅是为了应对处置厂的事故废水而设置，故本项目在污水处理站设置事故池和初期雨水池，用于收集事故状态下的事故废水、消防废水和初期雨水。</w:t>
      </w:r>
    </w:p>
    <w:p>
      <w:pPr>
        <w:pStyle w:val="71"/>
        <w:rPr>
          <w:rFonts w:hint="eastAsia" w:cs="Times New Roman"/>
          <w:iCs/>
          <w:kern w:val="0"/>
          <w:sz w:val="24"/>
          <w:u w:val="none"/>
          <w:lang w:val="en-US" w:eastAsia="zh-CN"/>
        </w:rPr>
      </w:pPr>
      <w:r>
        <w:rPr>
          <w:rFonts w:hint="default" w:cs="Times New Roman"/>
          <w:iCs/>
          <w:kern w:val="0"/>
          <w:sz w:val="24"/>
          <w:u w:val="none"/>
          <w:lang w:val="en-US" w:eastAsia="zh-CN"/>
        </w:rPr>
        <w:fldChar w:fldCharType="begin"/>
      </w:r>
      <w:r>
        <w:rPr>
          <w:rFonts w:hint="default" w:cs="Times New Roman"/>
          <w:iCs/>
          <w:kern w:val="0"/>
          <w:sz w:val="24"/>
          <w:u w:val="none"/>
          <w:lang w:val="en-US" w:eastAsia="zh-CN"/>
        </w:rPr>
        <w:instrText xml:space="preserve"> = 2 \* GB3 \* MERGEFORMAT </w:instrText>
      </w:r>
      <w:r>
        <w:rPr>
          <w:rFonts w:hint="default" w:cs="Times New Roman"/>
          <w:iCs/>
          <w:kern w:val="0"/>
          <w:sz w:val="24"/>
          <w:u w:val="none"/>
          <w:lang w:val="en-US" w:eastAsia="zh-CN"/>
        </w:rPr>
        <w:fldChar w:fldCharType="separate"/>
      </w:r>
      <w:r>
        <w:t>②</w:t>
      </w:r>
      <w:r>
        <w:rPr>
          <w:rFonts w:hint="default" w:cs="Times New Roman"/>
          <w:iCs/>
          <w:kern w:val="0"/>
          <w:sz w:val="24"/>
          <w:u w:val="none"/>
          <w:lang w:val="en-US" w:eastAsia="zh-CN"/>
        </w:rPr>
        <w:fldChar w:fldCharType="end"/>
      </w:r>
      <w:r>
        <w:rPr>
          <w:rFonts w:hint="eastAsia" w:cs="Times New Roman"/>
          <w:iCs/>
          <w:kern w:val="0"/>
          <w:sz w:val="24"/>
          <w:u w:val="none"/>
          <w:lang w:val="en-US" w:eastAsia="zh-CN"/>
        </w:rPr>
        <w:t>消毒区围堰等措施</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项目冷库、消毒液库房设置围堰，同时各设1个容积为2m³的事故应急池，在冷库、消毒液库房发生物料泄漏时，可用于收集储存泄漏的废液，杜绝事故排放。消毒车间、道路周边设置排水明渠，收集和导排厂内雨水。</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（3）垂直入渗污染途径治理措施及效果</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本项目按重点污染防治区、一般污染防治区、简单防渗区分别采取不同等级的防渗措施，防渗层尽量在地表铺设，防渗材料拟选取环氧树脂、HDPE土工膜和水泥基渗透结晶型防渗材料，按照污染防治分区采取不同的设计方案。其中，</w:t>
      </w:r>
      <w:r>
        <w:rPr>
          <w:rFonts w:hint="eastAsia"/>
          <w:sz w:val="24"/>
          <w:u w:val="none"/>
          <w:lang w:eastAsia="zh-CN"/>
        </w:rPr>
        <w:t>冷库</w:t>
      </w:r>
      <w:r>
        <w:rPr>
          <w:sz w:val="24"/>
          <w:u w:val="none"/>
        </w:rPr>
        <w:t>、</w:t>
      </w:r>
      <w:r>
        <w:rPr>
          <w:rFonts w:hint="eastAsia"/>
          <w:sz w:val="24"/>
          <w:u w:val="none"/>
          <w:lang w:eastAsia="zh-CN"/>
        </w:rPr>
        <w:t>微波消毒系统</w:t>
      </w:r>
      <w:r>
        <w:rPr>
          <w:sz w:val="24"/>
          <w:u w:val="none"/>
        </w:rPr>
        <w:t>、</w:t>
      </w:r>
      <w:r>
        <w:rPr>
          <w:rFonts w:hint="eastAsia"/>
          <w:sz w:val="24"/>
          <w:u w:val="none"/>
          <w:lang w:eastAsia="zh-CN"/>
        </w:rPr>
        <w:t>消毒清洗区</w:t>
      </w:r>
      <w:r>
        <w:rPr>
          <w:sz w:val="24"/>
          <w:u w:val="none"/>
        </w:rPr>
        <w:t>、</w:t>
      </w:r>
      <w:r>
        <w:rPr>
          <w:rFonts w:hint="eastAsia"/>
          <w:sz w:val="24"/>
          <w:u w:val="none"/>
          <w:lang w:eastAsia="zh-CN"/>
        </w:rPr>
        <w:t>事故应急池、初期雨水池、污水处理站及其配套的污水收集系统</w:t>
      </w:r>
      <w:r>
        <w:rPr>
          <w:rFonts w:hint="eastAsia" w:cs="Times New Roman"/>
          <w:iCs/>
          <w:kern w:val="0"/>
          <w:sz w:val="24"/>
          <w:u w:val="none"/>
          <w:lang w:val="en-US" w:eastAsia="zh-CN"/>
        </w:rPr>
        <w:t>等重点防渗区选用人工防渗材料，防渗技术要求为等效黏土防渗层Mb≥6.0m，渗透系数K≤10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cm/s。另外，重点防渗区还要满足《危险废物贮存污染控制标准》（GB18597-2001）及其修改单中要求，即防渗层为至少1米厚黏土层（渗透系数K≤10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cm/s），或2mm厚高密度聚乙烯，或至少2mm厚的其他人工材料，渗透系数K≤10</w:t>
      </w:r>
      <w:r>
        <w:rPr>
          <w:rFonts w:hint="eastAsia" w:cs="Times New Roman"/>
          <w:iCs/>
          <w:kern w:val="0"/>
          <w:sz w:val="24"/>
          <w:u w:val="none"/>
          <w:vertAlign w:val="superscript"/>
          <w:lang w:val="en-US" w:eastAsia="zh-CN"/>
        </w:rPr>
        <w:t>-10</w:t>
      </w:r>
      <w:r>
        <w:rPr>
          <w:rFonts w:hint="eastAsia" w:cs="Times New Roman"/>
          <w:iCs/>
          <w:kern w:val="0"/>
          <w:sz w:val="24"/>
          <w:u w:val="none"/>
          <w:lang w:val="en-US" w:eastAsia="zh-CN"/>
        </w:rPr>
        <w:t>cm/s；一般污染防治区铺设配筋混凝土加防渗剂的防渗地坪，切断污染地下水途径，防渗技术要求为等效黏土防渗层Mb≥1.5m，渗透系数K≤10</w:t>
      </w:r>
      <w:r>
        <w:rPr>
          <w:rFonts w:hint="eastAsia" w:cs="Times New Roman"/>
          <w:iCs/>
          <w:kern w:val="0"/>
          <w:sz w:val="24"/>
          <w:u w:val="none"/>
          <w:vertAlign w:val="superscript"/>
          <w:lang w:val="en-US" w:eastAsia="zh-CN"/>
        </w:rPr>
        <w:t>-7</w:t>
      </w:r>
      <w:r>
        <w:rPr>
          <w:rFonts w:hint="eastAsia" w:cs="Times New Roman"/>
          <w:iCs/>
          <w:kern w:val="0"/>
          <w:sz w:val="24"/>
          <w:u w:val="none"/>
          <w:lang w:val="en-US" w:eastAsia="zh-CN"/>
        </w:rPr>
        <w:t>cm/s；简单防渗区只需进行地面硬化处理。企业在管理方面严加管理，并采取相应的防渗措施可有效防治危险废物暂存和污水处理站因物料泄漏造成对区域土壤环境的污染。</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3、土壤环境跟踪监测</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对生产厂区的土壤定期监测，发现土壤污染时，及时查找泄露源，防止污染源的进一步下渗，必要时对已污染的土壤进行替换或修复。基于建设项目现状监测点设置兼顾土壤环境影响跟踪监测计划的原则，环评建议分别在消毒车间旁1#和2#、污水处理站池体旁3#、厂区南面农田处4#布设监控点，具体布点见下表。</w:t>
      </w:r>
    </w:p>
    <w:p>
      <w:pPr>
        <w:pStyle w:val="352"/>
        <w:rPr>
          <w:rFonts w:hint="eastAsia"/>
          <w:b/>
          <w:bCs/>
          <w:u w:val="none"/>
          <w:lang w:val="en-US" w:eastAsia="zh-CN"/>
        </w:rPr>
      </w:pPr>
      <w:r>
        <w:rPr>
          <w:rFonts w:hint="eastAsia"/>
          <w:b/>
          <w:bCs/>
          <w:u w:val="none"/>
          <w:lang w:val="en-US" w:eastAsia="zh-CN"/>
        </w:rPr>
        <w:t>表8-33  土壤环境跟踪监测布点</w:t>
      </w:r>
    </w:p>
    <w:tbl>
      <w:tblPr>
        <w:tblStyle w:val="59"/>
        <w:tblW w:w="9447"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667"/>
        <w:gridCol w:w="1900"/>
        <w:gridCol w:w="1234"/>
        <w:gridCol w:w="1766"/>
        <w:gridCol w:w="81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功能区</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编号</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监测点位</w:t>
            </w:r>
          </w:p>
        </w:tc>
        <w:tc>
          <w:tcPr>
            <w:tcW w:w="123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取样要求</w:t>
            </w:r>
          </w:p>
        </w:tc>
        <w:tc>
          <w:tcPr>
            <w:tcW w:w="176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监测项目</w:t>
            </w:r>
          </w:p>
        </w:tc>
        <w:tc>
          <w:tcPr>
            <w:tcW w:w="817"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监测频率</w:t>
            </w:r>
          </w:p>
        </w:tc>
        <w:tc>
          <w:tcPr>
            <w:tcW w:w="168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生产厂区</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消毒车间南侧</w:t>
            </w:r>
          </w:p>
        </w:tc>
        <w:tc>
          <w:tcPr>
            <w:tcW w:w="1234"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表层样</w:t>
            </w:r>
          </w:p>
        </w:tc>
        <w:tc>
          <w:tcPr>
            <w:tcW w:w="1766"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default"/>
                <w:b w:val="0"/>
                <w:bCs w:val="0"/>
                <w:u w:val="none"/>
                <w:vertAlign w:val="baseline"/>
                <w:lang w:val="en-US" w:eastAsia="zh-CN"/>
              </w:rPr>
              <w:t>pH、镉、铅、铬（六价）、铜、锌、镍、汞、砷、锰、钴、硒、钒、锑、铊、铍、钼、氰化物</w:t>
            </w:r>
          </w:p>
        </w:tc>
        <w:tc>
          <w:tcPr>
            <w:tcW w:w="817"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项目投产运行后每3年监测一次</w:t>
            </w:r>
          </w:p>
        </w:tc>
        <w:tc>
          <w:tcPr>
            <w:tcW w:w="1680"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GB36600-2018中表1、表2第二类用地风险筛选值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消毒车间下风向厂内空地</w:t>
            </w:r>
          </w:p>
        </w:tc>
        <w:tc>
          <w:tcPr>
            <w:tcW w:w="123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766"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污水处理站</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调节池池体旁</w:t>
            </w:r>
          </w:p>
        </w:tc>
        <w:tc>
          <w:tcPr>
            <w:tcW w:w="123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柱状样</w:t>
            </w:r>
          </w:p>
        </w:tc>
        <w:tc>
          <w:tcPr>
            <w:tcW w:w="1766"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厂区外农田</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厂区外南面农田</w:t>
            </w:r>
          </w:p>
        </w:tc>
        <w:tc>
          <w:tcPr>
            <w:tcW w:w="123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表层样</w:t>
            </w:r>
          </w:p>
        </w:tc>
        <w:tc>
          <w:tcPr>
            <w:tcW w:w="176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pH、镉、汞、砷、铅、铬、锌、镍</w:t>
            </w: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GB15618-2018中表1农用地风险筛选值</w:t>
            </w:r>
          </w:p>
        </w:tc>
      </w:tr>
    </w:tbl>
    <w:p>
      <w:pPr>
        <w:pStyle w:val="71"/>
        <w:rPr>
          <w:rFonts w:hint="eastAsia" w:cs="Times New Roman"/>
          <w:iCs/>
          <w:kern w:val="0"/>
          <w:sz w:val="24"/>
          <w:u w:val="none"/>
          <w:lang w:val="en-US" w:eastAsia="zh-CN"/>
        </w:rPr>
      </w:pPr>
      <w:r>
        <w:rPr>
          <w:rFonts w:hint="eastAsia" w:cs="Times New Roman"/>
          <w:iCs/>
          <w:kern w:val="0"/>
          <w:sz w:val="24"/>
          <w:u w:val="none"/>
          <w:lang w:val="en-US" w:eastAsia="zh-CN"/>
        </w:rPr>
        <w:t>上述监测结果应按项目有关规定及时建立档案，并定期向当地环境保护行政主管部门汇报，对于常规监测数据应该进行公开，特别是对项目所在区域的公众进行公开，满足法律中关于知情权的要求。如发现异常或发生事故，加密监测频次，改为每天监测一次，并分析污染原因，确定泄漏污染源，及时采取对应应急措施。</w:t>
      </w:r>
    </w:p>
    <w:p>
      <w:pPr>
        <w:pStyle w:val="71"/>
        <w:rPr>
          <w:rFonts w:hint="eastAsia" w:cs="Times New Roman"/>
          <w:b/>
          <w:bCs/>
          <w:iCs/>
          <w:kern w:val="0"/>
          <w:sz w:val="24"/>
          <w:u w:val="none"/>
          <w:lang w:val="en-US" w:eastAsia="zh-CN"/>
        </w:rPr>
      </w:pPr>
      <w:r>
        <w:rPr>
          <w:rFonts w:hint="eastAsia" w:cs="Times New Roman"/>
          <w:b/>
          <w:bCs/>
          <w:iCs/>
          <w:kern w:val="0"/>
          <w:sz w:val="24"/>
          <w:u w:val="none"/>
          <w:lang w:val="en-US" w:eastAsia="zh-CN"/>
        </w:rPr>
        <w:t>8.6.8小结</w:t>
      </w:r>
    </w:p>
    <w:p>
      <w:pPr>
        <w:pStyle w:val="71"/>
        <w:rPr>
          <w:rFonts w:hint="eastAsia" w:cs="Times New Roman"/>
          <w:iCs/>
          <w:kern w:val="0"/>
          <w:sz w:val="24"/>
          <w:u w:val="none"/>
          <w:lang w:val="en-US" w:eastAsia="zh-CN"/>
        </w:rPr>
      </w:pPr>
      <w:r>
        <w:rPr>
          <w:rFonts w:hint="eastAsia" w:cs="Times New Roman"/>
          <w:iCs/>
          <w:kern w:val="0"/>
          <w:sz w:val="24"/>
          <w:u w:val="none"/>
          <w:lang w:val="en-US" w:eastAsia="zh-CN"/>
        </w:rPr>
        <w:t>本项目选址于旺苍县嘉川镇石桥村，区域现状为农村生态环境，项目针对各类污染物均采取了对应的污染防治措施，可确保污染物的达标排放及防止渗漏发生，可从源头上控制项目对区域土壤环境的污染源强，确保项目对区域土壤环境的影响处于可接受水平。</w:t>
      </w:r>
    </w:p>
    <w:p>
      <w:pPr>
        <w:pStyle w:val="71"/>
        <w:rPr>
          <w:rFonts w:hint="default" w:cs="Times New Roman"/>
          <w:iCs/>
          <w:kern w:val="0"/>
          <w:sz w:val="24"/>
          <w:u w:val="none"/>
          <w:lang w:val="en-US" w:eastAsia="zh-CN"/>
        </w:rPr>
      </w:pPr>
      <w:r>
        <w:rPr>
          <w:rFonts w:hint="eastAsia" w:cs="Times New Roman"/>
          <w:iCs/>
          <w:kern w:val="0"/>
          <w:sz w:val="24"/>
          <w:u w:val="none"/>
          <w:lang w:val="en-US" w:eastAsia="zh-CN"/>
        </w:rPr>
        <w:t>因此，只要企业严格落实本报告提出的污染防治措施，项目对区域土壤环境影响是可接受的。</w:t>
      </w:r>
    </w:p>
    <w:p>
      <w:pPr>
        <w:pStyle w:val="3"/>
        <w:rPr>
          <w:rFonts w:ascii="Times New Roman" w:hAnsi="Times New Roman"/>
          <w:sz w:val="28"/>
          <w:szCs w:val="28"/>
          <w:u w:val="none"/>
        </w:rPr>
      </w:pPr>
      <w:bookmarkStart w:id="80" w:name="_Toc30744"/>
      <w:r>
        <w:rPr>
          <w:rFonts w:hint="eastAsia" w:ascii="Times New Roman" w:hAnsi="Times New Roman"/>
          <w:sz w:val="28"/>
          <w:szCs w:val="28"/>
          <w:u w:val="none"/>
          <w:lang w:val="en-US" w:eastAsia="zh-CN"/>
        </w:rPr>
        <w:t>8</w:t>
      </w:r>
      <w:r>
        <w:rPr>
          <w:rFonts w:ascii="Times New Roman" w:hAnsi="Times New Roman"/>
          <w:sz w:val="28"/>
          <w:szCs w:val="28"/>
          <w:u w:val="none"/>
        </w:rPr>
        <w:t>.</w:t>
      </w:r>
      <w:r>
        <w:rPr>
          <w:rFonts w:hint="eastAsia" w:ascii="Times New Roman" w:hAnsi="Times New Roman"/>
          <w:sz w:val="28"/>
          <w:szCs w:val="28"/>
          <w:u w:val="none"/>
          <w:lang w:val="en-US" w:eastAsia="zh-CN"/>
        </w:rPr>
        <w:t>7</w:t>
      </w:r>
      <w:r>
        <w:rPr>
          <w:rFonts w:ascii="Times New Roman" w:hAnsi="Times New Roman"/>
          <w:sz w:val="28"/>
          <w:szCs w:val="28"/>
          <w:u w:val="none"/>
        </w:rPr>
        <w:t>生态环境影响分析</w:t>
      </w:r>
      <w:bookmarkEnd w:id="80"/>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本项目选址地属于农业生态系统，不涉及珍稀动植物，且项目不涉及填埋场，占地面积小，本项目运营期间对生态环境的影响具体分析如下：</w:t>
      </w:r>
    </w:p>
    <w:p>
      <w:pPr>
        <w:pStyle w:val="71"/>
        <w:rPr>
          <w:rFonts w:hint="eastAsia" w:cs="Times New Roman"/>
          <w:b/>
          <w:bCs/>
          <w:iCs/>
          <w:kern w:val="0"/>
          <w:sz w:val="24"/>
          <w:u w:val="none"/>
          <w:lang w:val="en-US" w:eastAsia="zh-CN"/>
        </w:rPr>
      </w:pPr>
      <w:r>
        <w:rPr>
          <w:rFonts w:hint="eastAsia" w:cs="Times New Roman"/>
          <w:b/>
          <w:bCs/>
          <w:iCs/>
          <w:kern w:val="0"/>
          <w:sz w:val="24"/>
          <w:u w:val="none"/>
          <w:lang w:val="en-US" w:eastAsia="zh-CN"/>
        </w:rPr>
        <w:t>8.7.1对植物生长及植被影响分析</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结合项目运营处置过程分析，项目运营过程中仅对填埋场填埋区域或垃圾焚烧厂转运区域植被造成影响，并不会对临近区域地表植被造成直接破坏。从这一点分析，项目运营破坏植被的面积是很小的，对区域植被的影响基本可以忽略不计。</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另一方面，填埋场填埋区域生长的植物种类主要是荩草、狗牙根、苦荬菜、蕺菜等常见草本植物及稀疏分布的马桑及黄荆灌丛；这些植物种类均是广泛分布物种，在项目区域也是常见种。垃圾填埋场运营中，垃圾填埋造成的植物损失仅仅是数量上的轻微减少，不涉及植物种类的消失和分布格局的改变。如此，项目运营过程本身对区域植被及植物多样性的影响很小。但项目运营中若废水处置防渗不当，可能造成废水的泄漏，进而通过土壤、地下水、地表水污染间接影响植物的生长。</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项目运营期间，运输车辆排放的C</w:t>
      </w:r>
      <w:r>
        <w:rPr>
          <w:rFonts w:hint="eastAsia" w:cs="Times New Roman"/>
          <w:iCs/>
          <w:kern w:val="0"/>
          <w:sz w:val="24"/>
          <w:u w:val="none"/>
          <w:vertAlign w:val="subscript"/>
          <w:lang w:val="en-US" w:eastAsia="zh-CN"/>
        </w:rPr>
        <w:t>m</w:t>
      </w:r>
      <w:r>
        <w:rPr>
          <w:rFonts w:hint="eastAsia" w:cs="Times New Roman"/>
          <w:iCs/>
          <w:kern w:val="0"/>
          <w:sz w:val="24"/>
          <w:u w:val="none"/>
          <w:lang w:val="en-US" w:eastAsia="zh-CN"/>
        </w:rPr>
        <w:t>H</w:t>
      </w:r>
      <w:r>
        <w:rPr>
          <w:rFonts w:hint="eastAsia" w:cs="Times New Roman"/>
          <w:iCs/>
          <w:kern w:val="0"/>
          <w:sz w:val="24"/>
          <w:u w:val="none"/>
          <w:vertAlign w:val="subscript"/>
          <w:lang w:val="en-US" w:eastAsia="zh-CN"/>
        </w:rPr>
        <w:t>n</w:t>
      </w:r>
      <w:r>
        <w:rPr>
          <w:rFonts w:hint="eastAsia" w:cs="Times New Roman"/>
          <w:iCs/>
          <w:kern w:val="0"/>
          <w:sz w:val="24"/>
          <w:u w:val="none"/>
          <w:lang w:val="en-US" w:eastAsia="zh-CN"/>
        </w:rPr>
        <w:t>、NO</w:t>
      </w:r>
      <w:r>
        <w:rPr>
          <w:rFonts w:hint="eastAsia" w:cs="Times New Roman"/>
          <w:iCs/>
          <w:kern w:val="0"/>
          <w:sz w:val="24"/>
          <w:u w:val="none"/>
          <w:vertAlign w:val="subscript"/>
          <w:lang w:val="en-US" w:eastAsia="zh-CN"/>
        </w:rPr>
        <w:t>x</w:t>
      </w:r>
      <w:r>
        <w:rPr>
          <w:rFonts w:hint="eastAsia" w:cs="Times New Roman"/>
          <w:iCs/>
          <w:kern w:val="0"/>
          <w:sz w:val="24"/>
          <w:u w:val="none"/>
          <w:lang w:val="en-US" w:eastAsia="zh-CN"/>
        </w:rPr>
        <w:t>、SO</w:t>
      </w:r>
      <w:r>
        <w:rPr>
          <w:rFonts w:hint="eastAsia" w:cs="Times New Roman"/>
          <w:iCs/>
          <w:kern w:val="0"/>
          <w:sz w:val="24"/>
          <w:u w:val="none"/>
          <w:vertAlign w:val="subscript"/>
          <w:lang w:val="en-US" w:eastAsia="zh-CN"/>
        </w:rPr>
        <w:t>2</w:t>
      </w:r>
      <w:r>
        <w:rPr>
          <w:rFonts w:hint="eastAsia" w:cs="Times New Roman"/>
          <w:iCs/>
          <w:kern w:val="0"/>
          <w:sz w:val="24"/>
          <w:u w:val="none"/>
          <w:lang w:val="en-US" w:eastAsia="zh-CN"/>
        </w:rPr>
        <w:t>等污染物质对运输道路沿线区域大气、水、土壤等造成污染，也会间接影响植物生长发育。但这些影响都是轻微的；加之，区域降水丰富，大气降水能够迅速冲洗掉植物叶片表面的扬尘；且区域植被发育良好、覆盖率较高，对运输车辆排放的CmHn、NOx、SO2等污染物能够起到一定的净化作用，不会对道路沿线植物的生长发育产生显著的负面影响。</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综上所述，项目运营期间只要加强垃圾填埋场渗滤液的防渗处理，项目本身对区域植被及植物多样性的影响很小。</w:t>
      </w:r>
    </w:p>
    <w:p>
      <w:pPr>
        <w:pStyle w:val="71"/>
        <w:rPr>
          <w:rFonts w:hint="eastAsia" w:cs="Times New Roman"/>
          <w:b/>
          <w:bCs/>
          <w:iCs/>
          <w:kern w:val="0"/>
          <w:sz w:val="24"/>
          <w:u w:val="none"/>
          <w:lang w:val="en-US" w:eastAsia="zh-CN"/>
        </w:rPr>
      </w:pPr>
      <w:r>
        <w:rPr>
          <w:rFonts w:hint="eastAsia" w:cs="Times New Roman"/>
          <w:b/>
          <w:bCs/>
          <w:iCs/>
          <w:kern w:val="0"/>
          <w:sz w:val="24"/>
          <w:u w:val="none"/>
          <w:lang w:val="en-US" w:eastAsia="zh-CN"/>
        </w:rPr>
        <w:t>8.7.2对野生动物影响分析</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本项目所在区域动物的影响主要为项目运营过程中所产生的噪声对动物的干扰，但基本不会对区域动物产生负面影响；另外，厂内员工可能会对区域经济、可食用的动物进行捕捉，从而造成影响。</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这两方面的影响均可采取相关措施进行缓解，如加强员工宣传教育，禁止捕捉雉鸡、野兔等；做好生态保护宣传工作；避免夜间进行生产等。</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采取上述措施后，项目运营期对区域动物的影响预测较小。</w:t>
      </w:r>
    </w:p>
    <w:p>
      <w:pPr>
        <w:pStyle w:val="71"/>
        <w:rPr>
          <w:rFonts w:hint="eastAsia" w:cs="Times New Roman"/>
          <w:b/>
          <w:bCs/>
          <w:iCs/>
          <w:kern w:val="0"/>
          <w:sz w:val="24"/>
          <w:u w:val="none"/>
          <w:lang w:val="en-US" w:eastAsia="zh-CN"/>
        </w:rPr>
      </w:pPr>
      <w:bookmarkStart w:id="81" w:name="_Toc534210909"/>
      <w:r>
        <w:rPr>
          <w:rFonts w:hint="eastAsia" w:cs="Times New Roman"/>
          <w:b/>
          <w:bCs/>
          <w:iCs/>
          <w:kern w:val="0"/>
          <w:sz w:val="24"/>
          <w:u w:val="none"/>
          <w:lang w:val="en-US" w:eastAsia="zh-CN"/>
        </w:rPr>
        <w:t>8.7.3生态环境影响消减措施</w:t>
      </w:r>
      <w:bookmarkEnd w:id="81"/>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根据本项目运营期对生态环境的影响分析结果（影响预测为小），对区域动植物多样性及植被、生态系统完整性、动物分布现状及格局影响小，且运营期间区域生态环境将会与当前现状基本保持一致，不会发生显著的改变。</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结合项目运营期的特点，项目运营中对区域生态环境的最大威胁在废水的泄漏导致植被、动物等间接影响。本次评价要求废水处理站做好防渗措施，同时按环评要求落实废水处理工艺，做好废水处理后循环使用不外排至灌溉沟渠，避免污染农作物，进而影响人群生命健康。</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pPr>
      <w:r>
        <w:rPr>
          <w:rFonts w:hint="eastAsia" w:cs="Times New Roman"/>
          <w:iCs/>
          <w:kern w:val="0"/>
          <w:sz w:val="24"/>
          <w:u w:val="none"/>
          <w:lang w:val="en-US" w:eastAsia="zh-CN"/>
        </w:rPr>
        <w:t>此外，未进一步消减项目运营对区域生态环境的影响，可加强管理，做到：道路运输晴天洒水降低扬尘、严格加强员工宣传教育，不人为破坏生态环境等措施。</w:t>
      </w:r>
    </w:p>
    <w:p>
      <w:pPr>
        <w:pStyle w:val="71"/>
        <w:keepNext w:val="0"/>
        <w:keepLines w:val="0"/>
        <w:pageBreakBefore w:val="0"/>
        <w:widowControl w:val="0"/>
        <w:kinsoku/>
        <w:wordWrap/>
        <w:overflowPunct/>
        <w:topLinePunct w:val="0"/>
        <w:autoSpaceDE/>
        <w:autoSpaceDN/>
        <w:bidi w:val="0"/>
        <w:adjustRightInd/>
        <w:snapToGrid/>
        <w:textAlignment w:val="auto"/>
        <w:rPr>
          <w:rFonts w:hint="eastAsia" w:cs="Times New Roman"/>
          <w:iCs/>
          <w:kern w:val="0"/>
          <w:sz w:val="24"/>
          <w:u w:val="none"/>
          <w:lang w:val="en-US" w:eastAsia="zh-CN"/>
        </w:rPr>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p>
    <w:p>
      <w:pPr>
        <w:pStyle w:val="2"/>
        <w:topLinePunct/>
        <w:spacing w:before="120" w:after="360"/>
        <w:rPr>
          <w:sz w:val="36"/>
          <w:szCs w:val="36"/>
          <w:u w:val="none"/>
        </w:rPr>
      </w:pPr>
      <w:bookmarkStart w:id="82" w:name="_Toc16746"/>
      <w:r>
        <w:rPr>
          <w:rFonts w:hint="eastAsia"/>
          <w:sz w:val="36"/>
          <w:szCs w:val="36"/>
          <w:u w:val="none"/>
          <w:lang w:val="en-US" w:eastAsia="zh-CN"/>
        </w:rPr>
        <w:t>9</w:t>
      </w:r>
      <w:r>
        <w:rPr>
          <w:sz w:val="36"/>
          <w:szCs w:val="36"/>
          <w:u w:val="none"/>
        </w:rPr>
        <w:t>、环境影响风险评价</w:t>
      </w:r>
      <w:bookmarkEnd w:id="82"/>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环境风险评价的目的是分析和预测建设项目存在的潜在危险、有害因素，项目建设和运行期间可能发生的突发性事件或事故（一般不包括人为破坏及自然灾害），引起有毒有害和易燃易爆等物质泄漏和扩散，所造成的人身安全与环境影响和损害程度，提出合理可行的防范、应急与减缓措施，以使建设项目事故率、损失和环境影响达到可接受水平。</w:t>
      </w:r>
    </w:p>
    <w:p>
      <w:pPr>
        <w:pStyle w:val="3"/>
        <w:rPr>
          <w:rFonts w:hint="default" w:ascii="Times New Roman" w:hAnsi="Times New Roman"/>
          <w:sz w:val="28"/>
          <w:szCs w:val="28"/>
          <w:u w:val="none"/>
          <w:lang w:val="en-US" w:eastAsia="zh-CN"/>
        </w:rPr>
      </w:pPr>
      <w:bookmarkStart w:id="83" w:name="_Toc2209"/>
      <w:r>
        <w:rPr>
          <w:rFonts w:hint="eastAsia" w:ascii="Times New Roman" w:hAnsi="Times New Roman"/>
          <w:sz w:val="28"/>
          <w:szCs w:val="28"/>
          <w:u w:val="none"/>
          <w:lang w:val="en-US" w:eastAsia="zh-CN"/>
        </w:rPr>
        <w:t>9</w:t>
      </w:r>
      <w:r>
        <w:rPr>
          <w:rFonts w:ascii="Times New Roman" w:hAnsi="Times New Roman"/>
          <w:sz w:val="28"/>
          <w:szCs w:val="28"/>
          <w:u w:val="none"/>
        </w:rPr>
        <w:t>.1</w:t>
      </w:r>
      <w:r>
        <w:rPr>
          <w:rFonts w:hint="eastAsia" w:ascii="Times New Roman" w:hAnsi="Times New Roman"/>
          <w:sz w:val="28"/>
          <w:szCs w:val="28"/>
          <w:u w:val="none"/>
          <w:lang w:eastAsia="zh-CN"/>
        </w:rPr>
        <w:t>环境风险调查</w:t>
      </w:r>
      <w:bookmarkEnd w:id="83"/>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本项目为医疗废物综合处置项目，基于项目本身的特点，项目所处理的各类医疗废物，在处置、贮存、运输、使用等过程中，均可通过大气、水、土壤等多种途径进入环境，在转移或积累过程中对生态环境和人体健康具有潜在危害。因此，本项目具有潜在的事故隐患和环境风险。</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1、生产工艺特点</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本项目处置工艺为微波消毒工艺，生产厂区主要系统包括：收集和运输系统、冷藏贮存系统、微波消毒系统、消毒清洗系统、废水处理系统、废气治理系统等。类比国内同类项目，本项目所采用的技术均为国内主流成熟处置技术。</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eastAsia="zh-CN"/>
        </w:rPr>
        <w:t>医疗废物由转运车辆运输入厂后送冷库暂存，由传输系统运至微波消毒系统进行破碎预处理，然后经微波消毒后残渣送垃圾填埋场填埋处置或垃圾发电站焚烧处置。医疗废物在冷藏、破碎、微波消毒等环节产生的废气，经收集后采用“旋流塔</w:t>
      </w:r>
      <w:r>
        <w:rPr>
          <w:rFonts w:hint="eastAsia"/>
          <w:color w:val="000000"/>
          <w:sz w:val="24"/>
          <w:u w:val="none"/>
          <w:lang w:val="en-US" w:eastAsia="zh-CN"/>
        </w:rPr>
        <w:t>+过滤装置+UV光催化氧化+活性炭吸附</w:t>
      </w:r>
      <w:r>
        <w:rPr>
          <w:rFonts w:hint="eastAsia"/>
          <w:color w:val="000000"/>
          <w:sz w:val="24"/>
          <w:u w:val="none"/>
          <w:lang w:eastAsia="zh-CN"/>
        </w:rPr>
        <w:t>”工艺处理，净化后的尾气由</w:t>
      </w:r>
      <w:r>
        <w:rPr>
          <w:rFonts w:hint="eastAsia"/>
          <w:color w:val="000000"/>
          <w:sz w:val="24"/>
          <w:u w:val="none"/>
          <w:lang w:val="en-US" w:eastAsia="zh-CN"/>
        </w:rPr>
        <w:t>15m高排气筒排放。而转运车和周转箱进入消毒清洗区消毒清洗，清洗废水经截排沟收集后进入厂内污水管，最终流进厂区污水处理站处理。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根据项目特点，项目厂区内危险单元主要是冷库、微波消毒系统、消毒清洗区和污水处理站等。</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2、危险物质数量及分布情况</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本项目为医疗废物处置项目，根据《国家危险废物名录（2016年版）》关于危险废物的划分，本项目拟处置的医疗废物属于危险废物，危险特性为感染性，泄漏后对环境或者人体健康会造成有害影响。因此，本次评价将项目拟处置的医疗废物作为风险评价物质。根据业主提供资料，项目医疗废物在厂区储存情况详见下表。</w:t>
      </w:r>
    </w:p>
    <w:p>
      <w:pPr>
        <w:pStyle w:val="352"/>
        <w:bidi w:val="0"/>
      </w:pPr>
      <w:r>
        <w:t>表</w:t>
      </w:r>
      <w:r>
        <w:rPr>
          <w:rFonts w:hint="eastAsia"/>
          <w:lang w:val="en-US" w:eastAsia="zh-CN"/>
        </w:rPr>
        <w:t>9</w:t>
      </w:r>
      <w:r>
        <w:t>-</w:t>
      </w:r>
      <w:r>
        <w:rPr>
          <w:rFonts w:hint="eastAsia"/>
          <w:lang w:val="en-US" w:eastAsia="zh-CN"/>
        </w:rPr>
        <w:t>1</w:t>
      </w:r>
      <w:r>
        <w:t xml:space="preserve"> 主要化学品危险特性一览表</w:t>
      </w:r>
    </w:p>
    <w:tbl>
      <w:tblPr>
        <w:tblStyle w:val="59"/>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025"/>
        <w:gridCol w:w="767"/>
        <w:gridCol w:w="1071"/>
        <w:gridCol w:w="949"/>
        <w:gridCol w:w="1017"/>
        <w:gridCol w:w="1568"/>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blHeader/>
          <w:jc w:val="center"/>
        </w:trPr>
        <w:tc>
          <w:tcPr>
            <w:tcW w:w="585"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序号</w:t>
            </w:r>
          </w:p>
        </w:tc>
        <w:tc>
          <w:tcPr>
            <w:tcW w:w="1025"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危险物质</w:t>
            </w:r>
          </w:p>
        </w:tc>
        <w:tc>
          <w:tcPr>
            <w:tcW w:w="767"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暂存区</w:t>
            </w:r>
          </w:p>
        </w:tc>
        <w:tc>
          <w:tcPr>
            <w:tcW w:w="1071"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危废代码</w:t>
            </w:r>
          </w:p>
        </w:tc>
        <w:tc>
          <w:tcPr>
            <w:tcW w:w="949"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bCs/>
                <w:u w:val="none"/>
                <w:lang w:val="en-US" w:eastAsia="zh-CN"/>
              </w:rPr>
            </w:pPr>
            <w:r>
              <w:rPr>
                <w:rFonts w:hint="eastAsia"/>
                <w:b/>
                <w:bCs/>
                <w:u w:val="none"/>
                <w:lang w:eastAsia="zh-CN"/>
              </w:rPr>
              <w:t>形态</w:t>
            </w:r>
          </w:p>
        </w:tc>
        <w:tc>
          <w:tcPr>
            <w:tcW w:w="1017"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bCs/>
                <w:u w:val="none"/>
                <w:lang w:val="en-US" w:eastAsia="zh-CN"/>
              </w:rPr>
            </w:pPr>
            <w:r>
              <w:rPr>
                <w:rFonts w:hint="eastAsia"/>
                <w:b/>
                <w:bCs/>
                <w:u w:val="none"/>
                <w:lang w:eastAsia="zh-CN"/>
              </w:rPr>
              <w:t>危险特性</w:t>
            </w:r>
          </w:p>
        </w:tc>
        <w:tc>
          <w:tcPr>
            <w:tcW w:w="1568"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eastAsia="宋体"/>
                <w:b/>
                <w:bCs/>
                <w:u w:val="none"/>
                <w:lang w:val="en-US" w:eastAsia="zh-CN"/>
              </w:rPr>
            </w:pPr>
            <w:r>
              <w:rPr>
                <w:rFonts w:hint="eastAsia"/>
                <w:b/>
                <w:bCs/>
                <w:u w:val="none"/>
                <w:lang w:eastAsia="zh-CN"/>
              </w:rPr>
              <w:t>最大暂存量</w:t>
            </w:r>
          </w:p>
        </w:tc>
        <w:tc>
          <w:tcPr>
            <w:tcW w:w="1132" w:type="dxa"/>
            <w:shd w:val="clear" w:color="auto" w:fill="auto"/>
            <w:vAlign w:val="center"/>
          </w:tcPr>
          <w:p>
            <w:pPr>
              <w:pStyle w:val="352"/>
              <w:keepNext w:val="0"/>
              <w:keepLines w:val="0"/>
              <w:suppressLineNumbers w:val="0"/>
              <w:spacing w:before="0" w:beforeAutospacing="0" w:after="0" w:afterAutospacing="0"/>
              <w:ind w:left="0" w:right="0"/>
              <w:jc w:val="center"/>
              <w:rPr>
                <w:rFonts w:hint="eastAsia"/>
                <w:b/>
                <w:bCs/>
                <w:u w:val="none"/>
                <w:lang w:eastAsia="zh-CN"/>
              </w:rPr>
            </w:pPr>
            <w:r>
              <w:rPr>
                <w:rFonts w:hint="eastAsia"/>
                <w:b/>
                <w:bCs/>
                <w:u w:val="none"/>
                <w:lang w:eastAsia="zh-CN"/>
              </w:rPr>
              <w:t>临界量</w:t>
            </w:r>
          </w:p>
        </w:tc>
        <w:tc>
          <w:tcPr>
            <w:tcW w:w="1132" w:type="dxa"/>
            <w:shd w:val="clear" w:color="auto" w:fill="auto"/>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b/>
                <w:bCs/>
                <w:u w:val="none"/>
                <w:lang w:eastAsia="zh-CN"/>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85" w:type="dxa"/>
            <w:vAlign w:val="center"/>
          </w:tcPr>
          <w:p>
            <w:pPr>
              <w:pStyle w:val="352"/>
              <w:keepNext w:val="0"/>
              <w:keepLines w:val="0"/>
              <w:suppressLineNumbers w:val="0"/>
              <w:spacing w:before="0" w:beforeAutospacing="0" w:after="0" w:afterAutospacing="0"/>
              <w:ind w:left="0" w:right="0"/>
              <w:jc w:val="center"/>
              <w:rPr>
                <w:rFonts w:hint="eastAsia" w:eastAsia="宋体"/>
                <w:b w:val="0"/>
                <w:bCs w:val="0"/>
                <w:u w:val="none"/>
                <w:lang w:eastAsia="zh-CN"/>
              </w:rPr>
            </w:pPr>
            <w:r>
              <w:rPr>
                <w:rFonts w:hint="eastAsia"/>
                <w:b w:val="0"/>
                <w:bCs w:val="0"/>
                <w:u w:val="none"/>
                <w:lang w:val="en-US" w:eastAsia="zh-CN"/>
              </w:rPr>
              <w:t>1</w:t>
            </w:r>
          </w:p>
        </w:tc>
        <w:tc>
          <w:tcPr>
            <w:tcW w:w="1025"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val="0"/>
                <w:u w:val="none"/>
                <w:lang w:eastAsia="zh-CN"/>
              </w:rPr>
            </w:pPr>
            <w:r>
              <w:rPr>
                <w:rFonts w:hint="eastAsia"/>
                <w:b w:val="0"/>
                <w:bCs w:val="0"/>
                <w:u w:val="none"/>
                <w:lang w:val="en-US" w:eastAsia="zh-CN"/>
              </w:rPr>
              <w:t>消毒液</w:t>
            </w:r>
          </w:p>
        </w:tc>
        <w:tc>
          <w:tcPr>
            <w:tcW w:w="76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val="0"/>
                <w:u w:val="none"/>
                <w:lang w:eastAsia="zh-CN"/>
              </w:rPr>
            </w:pPr>
            <w:r>
              <w:rPr>
                <w:rFonts w:hint="eastAsia"/>
                <w:b w:val="0"/>
                <w:bCs w:val="0"/>
                <w:u w:val="none"/>
                <w:lang w:eastAsia="zh-CN"/>
              </w:rPr>
              <w:t>消毒区</w:t>
            </w:r>
          </w:p>
        </w:tc>
        <w:tc>
          <w:tcPr>
            <w:tcW w:w="107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val="en-US" w:eastAsia="zh-CN"/>
              </w:rPr>
              <w:t>/</w:t>
            </w:r>
          </w:p>
        </w:tc>
        <w:tc>
          <w:tcPr>
            <w:tcW w:w="949"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eastAsia="宋体"/>
                <w:b w:val="0"/>
                <w:bCs w:val="0"/>
                <w:u w:val="none"/>
                <w:lang w:eastAsia="zh-CN"/>
              </w:rPr>
            </w:pPr>
            <w:r>
              <w:rPr>
                <w:rFonts w:hint="eastAsia"/>
                <w:b w:val="0"/>
                <w:bCs w:val="0"/>
                <w:u w:val="none"/>
                <w:lang w:eastAsia="zh-CN"/>
              </w:rPr>
              <w:t>液态</w:t>
            </w:r>
          </w:p>
        </w:tc>
        <w:tc>
          <w:tcPr>
            <w:tcW w:w="101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eastAsia="宋体"/>
                <w:b w:val="0"/>
                <w:bCs w:val="0"/>
                <w:u w:val="none"/>
                <w:lang w:val="en-US" w:eastAsia="zh-CN"/>
              </w:rPr>
            </w:pPr>
            <w:r>
              <w:rPr>
                <w:rFonts w:hint="eastAsia"/>
                <w:b w:val="0"/>
                <w:bCs w:val="0"/>
                <w:u w:val="none"/>
                <w:lang w:val="en-US" w:eastAsia="zh-CN"/>
              </w:rPr>
              <w:t>高热分解产生有毒的腐蚀性烟气</w:t>
            </w:r>
          </w:p>
        </w:tc>
        <w:tc>
          <w:tcPr>
            <w:tcW w:w="1568"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eastAsia="宋体"/>
                <w:b w:val="0"/>
                <w:bCs w:val="0"/>
                <w:u w:val="none"/>
                <w:lang w:val="en-US" w:eastAsia="zh-CN"/>
              </w:rPr>
            </w:pPr>
            <w:r>
              <w:rPr>
                <w:rFonts w:hint="eastAsia"/>
                <w:b w:val="0"/>
                <w:bCs w:val="0"/>
                <w:u w:val="none"/>
                <w:lang w:val="en-US" w:eastAsia="zh-CN"/>
              </w:rPr>
              <w:t>0.2t</w:t>
            </w:r>
          </w:p>
        </w:tc>
        <w:tc>
          <w:tcPr>
            <w:tcW w:w="1132"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val="en-US" w:eastAsia="zh-CN"/>
              </w:rPr>
              <w:t>5t</w:t>
            </w:r>
          </w:p>
        </w:tc>
        <w:tc>
          <w:tcPr>
            <w:tcW w:w="1132"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b w:val="0"/>
                <w:bCs w:val="0"/>
                <w:u w:val="none"/>
                <w:lang w:val="en-US" w:eastAsia="zh-CN"/>
              </w:rPr>
              <w:t>30d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85" w:type="dxa"/>
            <w:vAlign w:val="center"/>
          </w:tcPr>
          <w:p>
            <w:pPr>
              <w:pStyle w:val="352"/>
              <w:keepNext w:val="0"/>
              <w:keepLines w:val="0"/>
              <w:suppressLineNumbers w:val="0"/>
              <w:spacing w:before="0" w:beforeAutospacing="0" w:after="0" w:afterAutospacing="0"/>
              <w:ind w:left="0" w:right="0"/>
              <w:jc w:val="center"/>
              <w:rPr>
                <w:rFonts w:hint="default"/>
                <w:b w:val="0"/>
                <w:bCs w:val="0"/>
                <w:u w:val="none"/>
                <w:lang w:val="en-US" w:eastAsia="zh-CN"/>
              </w:rPr>
            </w:pPr>
            <w:r>
              <w:rPr>
                <w:rFonts w:hint="eastAsia"/>
                <w:b w:val="0"/>
                <w:bCs w:val="0"/>
                <w:u w:val="none"/>
                <w:lang w:val="en-US" w:eastAsia="zh-CN"/>
              </w:rPr>
              <w:t>2</w:t>
            </w:r>
          </w:p>
        </w:tc>
        <w:tc>
          <w:tcPr>
            <w:tcW w:w="1025"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eastAsia="zh-CN"/>
              </w:rPr>
              <w:t>医疗废物</w:t>
            </w:r>
          </w:p>
        </w:tc>
        <w:tc>
          <w:tcPr>
            <w:tcW w:w="76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val="0"/>
                <w:u w:val="none"/>
                <w:lang w:eastAsia="zh-CN"/>
              </w:rPr>
            </w:pPr>
            <w:r>
              <w:rPr>
                <w:rFonts w:hint="eastAsia"/>
                <w:b w:val="0"/>
                <w:bCs w:val="0"/>
                <w:u w:val="none"/>
                <w:lang w:eastAsia="zh-CN"/>
              </w:rPr>
              <w:t>冷库</w:t>
            </w:r>
          </w:p>
        </w:tc>
        <w:tc>
          <w:tcPr>
            <w:tcW w:w="1071"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val="en-US" w:eastAsia="zh-CN"/>
              </w:rPr>
              <w:t>HW01</w:t>
            </w:r>
          </w:p>
        </w:tc>
        <w:tc>
          <w:tcPr>
            <w:tcW w:w="949"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val="0"/>
                <w:u w:val="none"/>
                <w:lang w:eastAsia="zh-CN"/>
              </w:rPr>
            </w:pPr>
            <w:r>
              <w:rPr>
                <w:rFonts w:hint="eastAsia"/>
                <w:b w:val="0"/>
                <w:bCs w:val="0"/>
                <w:u w:val="none"/>
                <w:lang w:eastAsia="zh-CN"/>
              </w:rPr>
              <w:t>固态</w:t>
            </w:r>
          </w:p>
        </w:tc>
        <w:tc>
          <w:tcPr>
            <w:tcW w:w="101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val="0"/>
                <w:u w:val="none"/>
                <w:lang w:val="en-US" w:eastAsia="zh-CN"/>
              </w:rPr>
            </w:pPr>
            <w:r>
              <w:rPr>
                <w:rFonts w:hint="eastAsia"/>
                <w:b w:val="0"/>
                <w:bCs w:val="0"/>
                <w:u w:val="none"/>
                <w:lang w:val="en-US" w:eastAsia="zh-CN"/>
              </w:rPr>
              <w:t>In</w:t>
            </w:r>
          </w:p>
        </w:tc>
        <w:tc>
          <w:tcPr>
            <w:tcW w:w="1568"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val="en-US" w:eastAsia="zh-CN"/>
              </w:rPr>
              <w:t>5t</w:t>
            </w:r>
          </w:p>
        </w:tc>
        <w:tc>
          <w:tcPr>
            <w:tcW w:w="1132"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b w:val="0"/>
                <w:bCs w:val="0"/>
                <w:u w:val="none"/>
                <w:lang w:val="en-US" w:eastAsia="zh-CN"/>
              </w:rPr>
            </w:pPr>
            <w:r>
              <w:rPr>
                <w:rFonts w:hint="eastAsia"/>
                <w:b w:val="0"/>
                <w:bCs w:val="0"/>
                <w:u w:val="none"/>
                <w:lang w:val="en-US" w:eastAsia="zh-CN"/>
              </w:rPr>
              <w:t>200t</w:t>
            </w:r>
          </w:p>
        </w:tc>
        <w:tc>
          <w:tcPr>
            <w:tcW w:w="1132"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b w:val="0"/>
                <w:bCs w:val="0"/>
                <w:u w:val="none"/>
                <w:lang w:val="en-US" w:eastAsia="zh-CN"/>
              </w:rPr>
              <w:t>1d</w:t>
            </w:r>
          </w:p>
        </w:tc>
      </w:tr>
    </w:tbl>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本项目所使用的消毒液为次氯酸钠溶液，因此，厂内临界储存量设置参照</w:t>
      </w:r>
      <w:r>
        <w:rPr>
          <w:sz w:val="24"/>
          <w:u w:val="none"/>
        </w:rPr>
        <w:t>《建设项目环境风险评价技术导则》（HJ169-20</w:t>
      </w:r>
      <w:r>
        <w:rPr>
          <w:rFonts w:hint="eastAsia"/>
          <w:sz w:val="24"/>
          <w:u w:val="none"/>
          <w:lang w:val="en-US" w:eastAsia="zh-CN"/>
        </w:rPr>
        <w:t>18</w:t>
      </w:r>
      <w:r>
        <w:rPr>
          <w:sz w:val="24"/>
          <w:u w:val="none"/>
        </w:rPr>
        <w:t>）</w:t>
      </w:r>
      <w:r>
        <w:rPr>
          <w:rFonts w:hint="eastAsia"/>
          <w:sz w:val="24"/>
          <w:u w:val="none"/>
          <w:lang w:eastAsia="zh-CN"/>
        </w:rPr>
        <w:t>附录</w:t>
      </w:r>
      <w:r>
        <w:rPr>
          <w:rFonts w:hint="eastAsia"/>
          <w:sz w:val="24"/>
          <w:u w:val="none"/>
          <w:lang w:val="en-US" w:eastAsia="zh-CN"/>
        </w:rPr>
        <w:t>B中次氯酸钠的临界量5t执行。本</w:t>
      </w:r>
      <w:r>
        <w:rPr>
          <w:rFonts w:hint="eastAsia"/>
          <w:color w:val="000000"/>
          <w:sz w:val="24"/>
          <w:u w:val="none"/>
          <w:lang w:val="en-US" w:eastAsia="zh-CN"/>
        </w:rPr>
        <w:t>项目拟处置的医疗废物为混合物，其危险特性为感染性，其厂内临界储存量设置参照《企业突发环境事件风险分级方法》（HJ941-2018）附录A中危害水环境物质（慢性毒性类别：慢性2）临界量200t执行。另外，本项目医疗废物在贮存及处置过程中，会释放出氨、硫化氢以及挥发性有机物等有毒有害气体。</w:t>
      </w:r>
    </w:p>
    <w:p>
      <w:pPr>
        <w:pStyle w:val="3"/>
        <w:rPr>
          <w:rFonts w:hint="eastAsia" w:ascii="Times New Roman" w:hAnsi="Times New Roman"/>
          <w:sz w:val="28"/>
          <w:szCs w:val="28"/>
          <w:u w:val="none"/>
          <w:lang w:val="en-US" w:eastAsia="zh-CN"/>
        </w:rPr>
      </w:pPr>
      <w:bookmarkStart w:id="84" w:name="_Toc18405"/>
      <w:r>
        <w:rPr>
          <w:rFonts w:hint="eastAsia" w:ascii="Times New Roman" w:hAnsi="Times New Roman"/>
          <w:sz w:val="28"/>
          <w:szCs w:val="28"/>
          <w:u w:val="none"/>
          <w:lang w:val="en-US" w:eastAsia="zh-CN"/>
        </w:rPr>
        <w:t>9.2风险潜势初判</w:t>
      </w:r>
      <w:bookmarkEnd w:id="84"/>
    </w:p>
    <w:p>
      <w:pPr>
        <w:spacing w:line="360" w:lineRule="auto"/>
        <w:ind w:firstLine="480" w:firstLineChars="200"/>
        <w:jc w:val="left"/>
        <w:rPr>
          <w:rFonts w:hint="eastAsia"/>
          <w:color w:val="000000"/>
          <w:sz w:val="24"/>
          <w:u w:val="none"/>
          <w:lang w:eastAsia="zh-CN"/>
        </w:rPr>
      </w:pPr>
      <w:r>
        <w:rPr>
          <w:color w:val="000000"/>
          <w:sz w:val="24"/>
          <w:u w:val="none"/>
        </w:rPr>
        <w:t>根据</w:t>
      </w:r>
      <w:r>
        <w:rPr>
          <w:rFonts w:hint="eastAsia"/>
          <w:color w:val="000000"/>
          <w:sz w:val="24"/>
          <w:u w:val="none"/>
          <w:lang w:eastAsia="zh-CN"/>
        </w:rPr>
        <w:t>危险物质在厂界内的最大存在总量及临界量，可计算危险物质数量与临界量比值（</w:t>
      </w:r>
      <w:r>
        <w:rPr>
          <w:rFonts w:hint="eastAsia"/>
          <w:color w:val="000000"/>
          <w:sz w:val="24"/>
          <w:u w:val="none"/>
          <w:lang w:val="en-US" w:eastAsia="zh-CN"/>
        </w:rPr>
        <w:t>Q</w:t>
      </w:r>
      <w:r>
        <w:rPr>
          <w:rFonts w:hint="eastAsia"/>
          <w:color w:val="000000"/>
          <w:sz w:val="24"/>
          <w:u w:val="none"/>
          <w:lang w:eastAsia="zh-CN"/>
        </w:rPr>
        <w:t>）</w:t>
      </w:r>
      <w:r>
        <w:rPr>
          <w:color w:val="000000"/>
          <w:sz w:val="24"/>
          <w:u w:val="none"/>
        </w:rPr>
        <w:t>，</w:t>
      </w:r>
      <w:r>
        <w:rPr>
          <w:rFonts w:hint="eastAsia"/>
          <w:color w:val="000000"/>
          <w:sz w:val="24"/>
          <w:u w:val="none"/>
          <w:lang w:eastAsia="zh-CN"/>
        </w:rPr>
        <w:t>计算过程如下：</w:t>
      </w:r>
    </w:p>
    <w:p>
      <w:pPr>
        <w:spacing w:line="360" w:lineRule="auto"/>
        <w:jc w:val="center"/>
        <w:rPr>
          <w:color w:val="000000"/>
          <w:sz w:val="24"/>
          <w:u w:val="none"/>
        </w:rPr>
      </w:pPr>
      <w:r>
        <w:rPr>
          <w:color w:val="000000"/>
          <w:position w:val="-24"/>
          <w:sz w:val="24"/>
          <w:u w:val="none"/>
        </w:rPr>
        <w:object>
          <v:shape id="_x0000_i1167" o:spt="75" type="#_x0000_t75" style="height:30pt;width:141.5pt;" o:ole="t" filled="f" o:preferrelative="t" stroked="f" coordsize="21600,21600">
            <v:path/>
            <v:fill on="f" focussize="0,0"/>
            <v:stroke on="f"/>
            <v:imagedata r:id="rId303" o:title=""/>
            <o:lock v:ext="edit" aspectratio="t"/>
            <w10:wrap type="none"/>
            <w10:anchorlock/>
          </v:shape>
          <o:OLEObject Type="Embed" ProgID="Equation.3" ShapeID="_x0000_i1167" DrawAspect="Content" ObjectID="_1468075867" r:id="rId302">
            <o:LockedField>false</o:LockedField>
          </o:OLEObject>
        </w:object>
      </w:r>
    </w:p>
    <w:p>
      <w:pPr>
        <w:spacing w:line="360" w:lineRule="auto"/>
        <w:ind w:firstLine="480" w:firstLineChars="200"/>
        <w:jc w:val="left"/>
        <w:rPr>
          <w:color w:val="000000"/>
          <w:sz w:val="24"/>
          <w:u w:val="none"/>
        </w:rPr>
      </w:pPr>
      <w:r>
        <w:rPr>
          <w:color w:val="000000"/>
          <w:sz w:val="24"/>
          <w:u w:val="none"/>
        </w:rPr>
        <w:t>式中：</w:t>
      </w:r>
      <w:r>
        <w:rPr>
          <w:color w:val="000000"/>
          <w:position w:val="-12"/>
          <w:sz w:val="24"/>
          <w:u w:val="none"/>
        </w:rPr>
        <w:object>
          <v:shape id="_x0000_i1168" o:spt="75" type="#_x0000_t75" style="height:18.75pt;width:53.65pt;" o:ole="t" filled="f" o:preferrelative="t" stroked="f" coordsize="21600,21600">
            <v:path/>
            <v:fill on="f" focussize="0,0"/>
            <v:stroke on="f"/>
            <v:imagedata r:id="rId305" o:title=""/>
            <o:lock v:ext="edit" aspectratio="t"/>
            <w10:wrap type="none"/>
            <w10:anchorlock/>
          </v:shape>
          <o:OLEObject Type="Embed" ProgID="Equation.3" ShapeID="_x0000_i1168" DrawAspect="Content" ObjectID="_1468075868" r:id="rId304">
            <o:LockedField>false</o:LockedField>
          </o:OLEObject>
        </w:object>
      </w:r>
      <w:r>
        <w:rPr>
          <w:color w:val="000000"/>
          <w:sz w:val="24"/>
          <w:u w:val="none"/>
        </w:rPr>
        <w:t>——每种危险化学品实际存在量，单位t；</w:t>
      </w:r>
    </w:p>
    <w:p>
      <w:pPr>
        <w:spacing w:line="360" w:lineRule="auto"/>
        <w:ind w:firstLine="480" w:firstLineChars="200"/>
        <w:jc w:val="left"/>
        <w:rPr>
          <w:color w:val="000000"/>
          <w:sz w:val="24"/>
          <w:u w:val="none"/>
        </w:rPr>
      </w:pPr>
      <w:r>
        <w:rPr>
          <w:color w:val="000000"/>
          <w:position w:val="-12"/>
          <w:sz w:val="24"/>
          <w:u w:val="none"/>
        </w:rPr>
        <w:object>
          <v:shape id="_x0000_i1169" o:spt="75" type="#_x0000_t75" style="height:19.45pt;width:57.25pt;" o:ole="t" filled="f" o:preferrelative="t" stroked="f" coordsize="21600,21600">
            <v:path/>
            <v:fill on="f" focussize="0,0"/>
            <v:stroke on="f"/>
            <v:imagedata r:id="rId307" o:title=""/>
            <o:lock v:ext="edit" aspectratio="t"/>
            <w10:wrap type="none"/>
            <w10:anchorlock/>
          </v:shape>
          <o:OLEObject Type="Embed" ProgID="Equation.3" ShapeID="_x0000_i1169" DrawAspect="Content" ObjectID="_1468075869" r:id="rId306">
            <o:LockedField>false</o:LockedField>
          </o:OLEObject>
        </w:object>
      </w:r>
      <w:r>
        <w:rPr>
          <w:color w:val="000000"/>
          <w:sz w:val="24"/>
          <w:u w:val="none"/>
        </w:rPr>
        <w:t>——</w:t>
      </w:r>
      <w:r>
        <w:rPr>
          <w:rFonts w:hint="eastAsia"/>
          <w:color w:val="000000"/>
          <w:sz w:val="24"/>
          <w:u w:val="none"/>
          <w:lang w:eastAsia="zh-CN"/>
        </w:rPr>
        <w:t>每</w:t>
      </w:r>
      <w:r>
        <w:rPr>
          <w:color w:val="000000"/>
          <w:sz w:val="24"/>
          <w:u w:val="none"/>
        </w:rPr>
        <w:t>种危险化学品相对应的临界量，单位t；</w:t>
      </w:r>
    </w:p>
    <w:p>
      <w:pPr>
        <w:pStyle w:val="71"/>
        <w:rPr>
          <w:rFonts w:hint="eastAsia"/>
          <w:sz w:val="24"/>
          <w:u w:val="none"/>
          <w:lang w:val="en-US" w:eastAsia="zh-CN"/>
        </w:rPr>
      </w:pPr>
      <w:r>
        <w:rPr>
          <w:rFonts w:hint="eastAsia"/>
          <w:color w:val="000000"/>
          <w:sz w:val="24"/>
          <w:u w:val="none"/>
          <w:lang w:val="en-US" w:eastAsia="zh-CN"/>
        </w:rPr>
        <w:t>根据上式计算，</w:t>
      </w:r>
      <w:r>
        <w:rPr>
          <w:rFonts w:hint="eastAsia"/>
          <w:color w:val="000000"/>
          <w:sz w:val="24"/>
          <w:u w:val="none"/>
          <w:lang w:eastAsia="zh-CN"/>
        </w:rPr>
        <w:t>本项目危险物质数量与临界量比值</w:t>
      </w:r>
      <w:r>
        <w:rPr>
          <w:rFonts w:hint="eastAsia"/>
          <w:color w:val="000000"/>
          <w:sz w:val="24"/>
          <w:u w:val="none"/>
          <w:lang w:val="en-US" w:eastAsia="zh-CN"/>
        </w:rPr>
        <w:t>Q＜1，按规定，该项目环境风险潜势为</w:t>
      </w:r>
      <w:r>
        <w:rPr>
          <w:rFonts w:hint="eastAsia"/>
          <w:color w:val="000000"/>
          <w:sz w:val="24"/>
          <w:u w:val="none"/>
          <w:lang w:val="en-US" w:eastAsia="zh-CN"/>
        </w:rPr>
        <w:fldChar w:fldCharType="begin"/>
      </w:r>
      <w:r>
        <w:rPr>
          <w:rFonts w:hint="eastAsia"/>
          <w:color w:val="000000"/>
          <w:sz w:val="24"/>
          <w:u w:val="none"/>
          <w:lang w:val="en-US" w:eastAsia="zh-CN"/>
        </w:rPr>
        <w:instrText xml:space="preserve"> = 1 \* ROMAN \* MERGEFORMAT </w:instrText>
      </w:r>
      <w:r>
        <w:rPr>
          <w:rFonts w:hint="eastAsia"/>
          <w:color w:val="000000"/>
          <w:sz w:val="24"/>
          <w:u w:val="none"/>
          <w:lang w:val="en-US" w:eastAsia="zh-CN"/>
        </w:rPr>
        <w:fldChar w:fldCharType="separate"/>
      </w:r>
      <w:r>
        <w:rPr>
          <w:u w:val="none"/>
        </w:rPr>
        <w:t>I</w:t>
      </w:r>
      <w:r>
        <w:rPr>
          <w:rFonts w:hint="eastAsia"/>
          <w:color w:val="000000"/>
          <w:sz w:val="24"/>
          <w:u w:val="none"/>
          <w:lang w:val="en-US" w:eastAsia="zh-CN"/>
        </w:rPr>
        <w:fldChar w:fldCharType="end"/>
      </w:r>
      <w:r>
        <w:rPr>
          <w:rFonts w:hint="eastAsia"/>
          <w:color w:val="000000"/>
          <w:sz w:val="24"/>
          <w:u w:val="none"/>
          <w:lang w:val="en-US" w:eastAsia="zh-CN"/>
        </w:rPr>
        <w:t>。</w:t>
      </w:r>
    </w:p>
    <w:p>
      <w:pPr>
        <w:pStyle w:val="3"/>
        <w:rPr>
          <w:rFonts w:hint="default" w:ascii="Times New Roman" w:hAnsi="Times New Roman"/>
          <w:sz w:val="28"/>
          <w:szCs w:val="28"/>
          <w:u w:val="none"/>
          <w:lang w:val="en-US" w:eastAsia="zh-CN"/>
        </w:rPr>
      </w:pPr>
      <w:bookmarkStart w:id="85" w:name="_Toc4111"/>
      <w:r>
        <w:rPr>
          <w:rFonts w:hint="eastAsia" w:ascii="Times New Roman" w:hAnsi="Times New Roman"/>
          <w:sz w:val="28"/>
          <w:szCs w:val="28"/>
          <w:u w:val="none"/>
          <w:lang w:val="en-US" w:eastAsia="zh-CN"/>
        </w:rPr>
        <w:t>9.3评价等级</w:t>
      </w:r>
      <w:bookmarkEnd w:id="85"/>
    </w:p>
    <w:p>
      <w:pPr>
        <w:topLinePunct/>
        <w:spacing w:line="360" w:lineRule="auto"/>
        <w:ind w:firstLine="480" w:firstLineChars="200"/>
        <w:rPr>
          <w:b/>
          <w:szCs w:val="21"/>
          <w:u w:val="none"/>
        </w:rPr>
      </w:pPr>
      <w:r>
        <w:rPr>
          <w:sz w:val="24"/>
          <w:u w:val="none"/>
        </w:rPr>
        <w:t>按照《建设项目环境风险评价技术导则》（HJ169-20</w:t>
      </w:r>
      <w:r>
        <w:rPr>
          <w:rFonts w:hint="eastAsia"/>
          <w:sz w:val="24"/>
          <w:u w:val="none"/>
          <w:lang w:val="en-US" w:eastAsia="zh-CN"/>
        </w:rPr>
        <w:t>18</w:t>
      </w:r>
      <w:r>
        <w:rPr>
          <w:sz w:val="24"/>
          <w:u w:val="none"/>
        </w:rPr>
        <w:t>）的等级划分标准，环境风险评价工作级别判别标准件下表。</w:t>
      </w:r>
    </w:p>
    <w:p>
      <w:pPr>
        <w:pStyle w:val="352"/>
        <w:bidi w:val="0"/>
        <w:rPr>
          <w:rFonts w:hint="eastAsia"/>
          <w:lang w:val="en-US" w:eastAsia="zh-CN"/>
        </w:rPr>
      </w:pPr>
      <w:r>
        <w:rPr>
          <w:rFonts w:hint="eastAsia"/>
          <w:lang w:val="en-US" w:eastAsia="zh-CN"/>
        </w:rPr>
        <w:t>表9-2  风险评价工作级别表</w:t>
      </w:r>
    </w:p>
    <w:tbl>
      <w:tblPr>
        <w:tblStyle w:val="58"/>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624"/>
        <w:gridCol w:w="1624"/>
        <w:gridCol w:w="162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971"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eastAsia"/>
                <w:u w:val="none"/>
                <w:lang w:val="en-US" w:eastAsia="zh-CN"/>
              </w:rPr>
              <w:t>环境风险潜势</w:t>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fldChar w:fldCharType="begin"/>
            </w:r>
            <w:r>
              <w:rPr>
                <w:rFonts w:hint="default" w:ascii="Times New Roman" w:hAnsi="Times New Roman" w:eastAsia="宋体"/>
                <w:u w:val="none"/>
                <w:lang w:val="en-US" w:eastAsia="zh-CN"/>
              </w:rPr>
              <w:instrText xml:space="preserve"> = 4 \* ROMAN \* MERGEFORMAT </w:instrText>
            </w:r>
            <w:r>
              <w:rPr>
                <w:rFonts w:hint="default" w:ascii="Times New Roman" w:hAnsi="Times New Roman" w:eastAsia="宋体"/>
                <w:u w:val="none"/>
                <w:lang w:val="en-US" w:eastAsia="zh-CN"/>
              </w:rPr>
              <w:fldChar w:fldCharType="separate"/>
            </w:r>
            <w:r>
              <w:rPr>
                <w:rFonts w:hint="default"/>
                <w:u w:val="none"/>
              </w:rPr>
              <w:t>IV</w:t>
            </w:r>
            <w:r>
              <w:rPr>
                <w:rFonts w:hint="default" w:ascii="Times New Roman" w:hAnsi="Times New Roman" w:eastAsia="宋体"/>
                <w:u w:val="none"/>
                <w:lang w:val="en-US" w:eastAsia="zh-CN"/>
              </w:rPr>
              <w:fldChar w:fldCharType="end"/>
            </w:r>
            <w:r>
              <w:rPr>
                <w:rFonts w:hint="eastAsia"/>
                <w:u w:val="none"/>
                <w:lang w:val="en-US" w:eastAsia="zh-CN"/>
              </w:rPr>
              <w:t>、</w:t>
            </w:r>
            <w:r>
              <w:rPr>
                <w:rFonts w:hint="default" w:ascii="Times New Roman" w:hAnsi="Times New Roman" w:eastAsia="宋体"/>
                <w:u w:val="none"/>
                <w:lang w:val="en-US" w:eastAsia="zh-CN"/>
              </w:rPr>
              <w:fldChar w:fldCharType="begin"/>
            </w:r>
            <w:r>
              <w:rPr>
                <w:rFonts w:hint="default" w:ascii="Times New Roman" w:hAnsi="Times New Roman" w:eastAsia="宋体"/>
                <w:u w:val="none"/>
                <w:lang w:val="en-US" w:eastAsia="zh-CN"/>
              </w:rPr>
              <w:instrText xml:space="preserve"> = 4 \* ROMAN \* MERGEFORMAT </w:instrText>
            </w:r>
            <w:r>
              <w:rPr>
                <w:rFonts w:hint="default" w:ascii="Times New Roman" w:hAnsi="Times New Roman" w:eastAsia="宋体"/>
                <w:u w:val="none"/>
                <w:lang w:val="en-US" w:eastAsia="zh-CN"/>
              </w:rPr>
              <w:fldChar w:fldCharType="separate"/>
            </w:r>
            <w:r>
              <w:rPr>
                <w:rFonts w:hint="default"/>
                <w:u w:val="none"/>
              </w:rPr>
              <w:t>IV</w:t>
            </w:r>
            <w:r>
              <w:rPr>
                <w:rFonts w:hint="default" w:ascii="Times New Roman" w:hAnsi="Times New Roman" w:eastAsia="宋体"/>
                <w:u w:val="none"/>
                <w:lang w:val="en-US" w:eastAsia="zh-CN"/>
              </w:rPr>
              <w:fldChar w:fldCharType="end"/>
            </w:r>
            <w:r>
              <w:rPr>
                <w:rFonts w:hint="eastAsia"/>
                <w:u w:val="none"/>
                <w:vertAlign w:val="superscript"/>
                <w:lang w:val="en-US" w:eastAsia="zh-CN"/>
              </w:rPr>
              <w:t>+</w:t>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fldChar w:fldCharType="begin"/>
            </w:r>
            <w:r>
              <w:rPr>
                <w:rFonts w:hint="default" w:ascii="Times New Roman" w:hAnsi="Times New Roman" w:eastAsia="宋体"/>
                <w:u w:val="none"/>
                <w:lang w:val="en-US" w:eastAsia="zh-CN"/>
              </w:rPr>
              <w:instrText xml:space="preserve"> = 3 \* ROMAN \* MERGEFORMAT </w:instrText>
            </w:r>
            <w:r>
              <w:rPr>
                <w:rFonts w:hint="default" w:ascii="Times New Roman" w:hAnsi="Times New Roman" w:eastAsia="宋体"/>
                <w:u w:val="none"/>
                <w:lang w:val="en-US" w:eastAsia="zh-CN"/>
              </w:rPr>
              <w:fldChar w:fldCharType="separate"/>
            </w:r>
            <w:r>
              <w:rPr>
                <w:rFonts w:hint="default"/>
                <w:u w:val="none"/>
              </w:rPr>
              <w:t>III</w:t>
            </w:r>
            <w:r>
              <w:rPr>
                <w:rFonts w:hint="default" w:ascii="Times New Roman" w:hAnsi="Times New Roman" w:eastAsia="宋体"/>
                <w:u w:val="none"/>
                <w:lang w:val="en-US" w:eastAsia="zh-CN"/>
              </w:rPr>
              <w:fldChar w:fldCharType="end"/>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fldChar w:fldCharType="begin"/>
            </w:r>
            <w:r>
              <w:rPr>
                <w:rFonts w:hint="default" w:ascii="Times New Roman" w:hAnsi="Times New Roman" w:eastAsia="宋体"/>
                <w:u w:val="none"/>
                <w:lang w:val="en-US" w:eastAsia="zh-CN"/>
              </w:rPr>
              <w:instrText xml:space="preserve"> = 2 \* ROMAN \* MERGEFORMAT </w:instrText>
            </w:r>
            <w:r>
              <w:rPr>
                <w:rFonts w:hint="default" w:ascii="Times New Roman" w:hAnsi="Times New Roman" w:eastAsia="宋体"/>
                <w:u w:val="none"/>
                <w:lang w:val="en-US" w:eastAsia="zh-CN"/>
              </w:rPr>
              <w:fldChar w:fldCharType="separate"/>
            </w:r>
            <w:r>
              <w:rPr>
                <w:rFonts w:hint="default"/>
                <w:u w:val="none"/>
              </w:rPr>
              <w:t>II</w:t>
            </w:r>
            <w:r>
              <w:rPr>
                <w:rFonts w:hint="default" w:ascii="Times New Roman" w:hAnsi="Times New Roman" w:eastAsia="宋体"/>
                <w:u w:val="none"/>
                <w:lang w:val="en-US" w:eastAsia="zh-CN"/>
              </w:rPr>
              <w:fldChar w:fldCharType="end"/>
            </w:r>
          </w:p>
        </w:tc>
        <w:tc>
          <w:tcPr>
            <w:tcW w:w="1622"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fldChar w:fldCharType="begin"/>
            </w:r>
            <w:r>
              <w:rPr>
                <w:rFonts w:hint="default" w:ascii="Times New Roman" w:hAnsi="Times New Roman" w:eastAsia="宋体"/>
                <w:u w:val="none"/>
                <w:lang w:val="en-US" w:eastAsia="zh-CN"/>
              </w:rPr>
              <w:instrText xml:space="preserve"> = 1 \* ROMAN \* MERGEFORMAT </w:instrText>
            </w:r>
            <w:r>
              <w:rPr>
                <w:rFonts w:hint="default" w:ascii="Times New Roman" w:hAnsi="Times New Roman" w:eastAsia="宋体"/>
                <w:u w:val="none"/>
                <w:lang w:val="en-US" w:eastAsia="zh-CN"/>
              </w:rPr>
              <w:fldChar w:fldCharType="separate"/>
            </w:r>
            <w:r>
              <w:rPr>
                <w:rFonts w:hint="default"/>
                <w:u w:val="none"/>
              </w:rPr>
              <w:t>I</w:t>
            </w:r>
            <w:r>
              <w:rPr>
                <w:rFonts w:hint="default" w:ascii="Times New Roman" w:hAnsi="Times New Roman" w:eastAsia="宋体"/>
                <w:u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71"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评价工作等级</w:t>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default" w:ascii="Times New Roman" w:hAnsi="Times New Roman" w:eastAsia="宋体"/>
                <w:b w:val="0"/>
                <w:bCs/>
                <w:u w:val="none"/>
                <w:lang w:val="en-US" w:eastAsia="zh-CN"/>
              </w:rPr>
              <w:t>一</w:t>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default" w:ascii="Times New Roman" w:hAnsi="Times New Roman" w:eastAsia="宋体"/>
                <w:b w:val="0"/>
                <w:bCs/>
                <w:u w:val="none"/>
                <w:lang w:val="en-US" w:eastAsia="zh-CN"/>
              </w:rPr>
              <w:t>二</w:t>
            </w:r>
          </w:p>
        </w:tc>
        <w:tc>
          <w:tcPr>
            <w:tcW w:w="1624"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三</w:t>
            </w:r>
          </w:p>
        </w:tc>
        <w:tc>
          <w:tcPr>
            <w:tcW w:w="1622"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简单分析</w:t>
            </w:r>
          </w:p>
        </w:tc>
      </w:tr>
    </w:tbl>
    <w:p>
      <w:pPr>
        <w:pStyle w:val="3"/>
        <w:rPr>
          <w:rFonts w:hint="default" w:ascii="Times New Roman" w:hAnsi="Times New Roman"/>
          <w:sz w:val="28"/>
          <w:szCs w:val="28"/>
          <w:u w:val="none"/>
          <w:lang w:val="en-US" w:eastAsia="zh-CN"/>
        </w:rPr>
      </w:pPr>
      <w:bookmarkStart w:id="86" w:name="_Toc6052"/>
      <w:r>
        <w:rPr>
          <w:rFonts w:hint="eastAsia" w:ascii="Times New Roman" w:hAnsi="Times New Roman"/>
          <w:sz w:val="28"/>
          <w:szCs w:val="28"/>
          <w:u w:val="none"/>
          <w:lang w:val="en-US" w:eastAsia="zh-CN"/>
        </w:rPr>
        <w:t>9.4环境敏感目标概况</w:t>
      </w:r>
      <w:bookmarkEnd w:id="86"/>
    </w:p>
    <w:p>
      <w:pPr>
        <w:pStyle w:val="71"/>
        <w:rPr>
          <w:rFonts w:hint="eastAsia"/>
          <w:sz w:val="24"/>
          <w:u w:val="none"/>
          <w:lang w:eastAsia="zh-CN"/>
        </w:rPr>
      </w:pPr>
      <w:r>
        <w:rPr>
          <w:rFonts w:hint="eastAsia"/>
          <w:sz w:val="24"/>
          <w:u w:val="none"/>
          <w:lang w:eastAsia="zh-CN"/>
        </w:rPr>
        <w:t>根据本项目危险物质可能的影响途径，结合现场调查，本项目环境风险敏感目标区位分布图详见附图，敏感目标情况详见下表。</w:t>
      </w:r>
    </w:p>
    <w:p>
      <w:pPr>
        <w:pStyle w:val="352"/>
        <w:bidi w:val="0"/>
        <w:rPr>
          <w:rFonts w:hint="eastAsia"/>
          <w:lang w:val="en-US" w:eastAsia="zh-CN"/>
        </w:rPr>
      </w:pPr>
      <w:r>
        <w:rPr>
          <w:rFonts w:hint="eastAsia"/>
          <w:lang w:val="en-US" w:eastAsia="zh-CN"/>
        </w:rPr>
        <w:t>表9-3  项目环境风险敏感目标表</w:t>
      </w:r>
    </w:p>
    <w:tbl>
      <w:tblPr>
        <w:tblStyle w:val="59"/>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326"/>
        <w:gridCol w:w="2139"/>
        <w:gridCol w:w="1417"/>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11"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t>环境保护要素</w:t>
            </w:r>
          </w:p>
        </w:tc>
        <w:tc>
          <w:tcPr>
            <w:tcW w:w="1326"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t>保护目标</w:t>
            </w:r>
          </w:p>
        </w:tc>
        <w:tc>
          <w:tcPr>
            <w:tcW w:w="2139"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t>方位</w:t>
            </w:r>
            <w:r>
              <w:rPr>
                <w:rFonts w:hint="eastAsia"/>
                <w:u w:val="none"/>
                <w:lang w:val="en-US" w:eastAsia="zh-CN"/>
              </w:rPr>
              <w:t>，</w:t>
            </w:r>
            <w:r>
              <w:rPr>
                <w:rFonts w:hint="default" w:ascii="Times New Roman" w:hAnsi="Times New Roman" w:eastAsia="宋体"/>
                <w:u w:val="none"/>
                <w:lang w:val="en-US" w:eastAsia="zh-CN"/>
              </w:rPr>
              <w:t>最近距离（m）</w:t>
            </w:r>
          </w:p>
        </w:tc>
        <w:tc>
          <w:tcPr>
            <w:tcW w:w="1417"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t>规模</w:t>
            </w:r>
          </w:p>
        </w:tc>
        <w:tc>
          <w:tcPr>
            <w:tcW w:w="3369"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u w:val="none"/>
                <w:lang w:val="en-US" w:eastAsia="zh-CN"/>
              </w:rPr>
            </w:pPr>
            <w:r>
              <w:rPr>
                <w:rFonts w:hint="default" w:ascii="Times New Roman" w:hAnsi="Times New Roman" w:eastAsia="宋体"/>
                <w:u w:val="none"/>
                <w:lang w:val="en-US" w:eastAsia="zh-CN"/>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restart"/>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环境</w:t>
            </w:r>
          </w:p>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r>
              <w:rPr>
                <w:rFonts w:hint="eastAsia" w:ascii="Times New Roman" w:hAnsi="Times New Roman" w:eastAsia="宋体"/>
                <w:b w:val="0"/>
                <w:bCs/>
                <w:u w:val="none"/>
                <w:lang w:val="en-US" w:eastAsia="zh-CN"/>
              </w:rPr>
              <w:t>空气</w:t>
            </w:r>
          </w:p>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b w:val="0"/>
                <w:bCs/>
                <w:u w:val="none"/>
                <w:lang w:val="en-US" w:eastAsia="zh-CN"/>
              </w:rPr>
              <w:t xml:space="preserve"> </w:t>
            </w: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lang w:val="en-US" w:eastAsia="zh-CN"/>
              </w:rPr>
              <w:t>石桥村居民</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color w:val="auto"/>
                <w:lang w:val="en-US" w:eastAsia="zh-CN"/>
              </w:rPr>
              <w:t>S</w:t>
            </w:r>
            <w:r>
              <w:rPr>
                <w:rFonts w:hint="default" w:ascii="Times New Roman" w:hAnsi="Times New Roman" w:eastAsia="宋体"/>
                <w:b w:val="0"/>
                <w:bCs/>
                <w:color w:val="auto"/>
                <w:lang w:val="en-US" w:eastAsia="zh-CN"/>
              </w:rPr>
              <w:t>，</w:t>
            </w:r>
            <w:r>
              <w:rPr>
                <w:rFonts w:hint="eastAsia"/>
                <w:b w:val="0"/>
                <w:bCs/>
                <w:color w:val="auto"/>
                <w:lang w:val="en-US" w:eastAsia="zh-CN"/>
              </w:rPr>
              <w:t>350</w:t>
            </w:r>
            <w:r>
              <w:rPr>
                <w:rFonts w:hint="default" w:ascii="Times New Roman" w:hAnsi="Times New Roman" w:eastAsia="宋体"/>
                <w:b w:val="0"/>
                <w:bCs/>
                <w:color w:val="auto"/>
                <w:lang w:val="en-US" w:eastAsia="zh-CN"/>
              </w:rPr>
              <w:t>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u w:val="none"/>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100</w:t>
            </w:r>
            <w:r>
              <w:rPr>
                <w:rFonts w:hint="default" w:ascii="Times New Roman" w:hAnsi="Times New Roman" w:eastAsia="宋体"/>
                <w:b w:val="0"/>
                <w:bCs/>
                <w:color w:val="auto"/>
                <w:lang w:val="en-US" w:eastAsia="zh-CN"/>
              </w:rPr>
              <w:t>户</w:t>
            </w:r>
          </w:p>
        </w:tc>
        <w:tc>
          <w:tcPr>
            <w:tcW w:w="3369" w:type="dxa"/>
            <w:vMerge w:val="restart"/>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default" w:ascii="Times New Roman" w:hAnsi="Times New Roman" w:eastAsia="宋体"/>
                <w:b w:val="0"/>
                <w:bCs/>
                <w:u w:val="none"/>
                <w:lang w:val="en-US" w:eastAsia="zh-CN"/>
              </w:rPr>
              <w:t>大气环境功能区划二类区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lang w:val="en-US" w:eastAsia="zh-CN"/>
              </w:rPr>
              <w:t>顺水</w:t>
            </w:r>
            <w:r>
              <w:rPr>
                <w:rFonts w:hint="default" w:ascii="Times New Roman" w:hAnsi="Times New Roman" w:eastAsia="宋体"/>
                <w:b w:val="0"/>
                <w:bCs/>
                <w:lang w:val="en-US" w:eastAsia="zh-CN"/>
              </w:rPr>
              <w:t>村居民</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eastAsia="宋体"/>
                <w:b w:val="0"/>
                <w:bCs/>
                <w:color w:val="auto"/>
                <w:lang w:val="en-US" w:eastAsia="zh-CN"/>
              </w:rPr>
              <w:t>W</w:t>
            </w:r>
            <w:r>
              <w:rPr>
                <w:rFonts w:hint="eastAsia"/>
                <w:b w:val="0"/>
                <w:bCs/>
                <w:color w:val="auto"/>
                <w:lang w:val="en-US" w:eastAsia="zh-CN"/>
              </w:rPr>
              <w:t>，650m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default" w:ascii="Times New Roman" w:hAnsi="Times New Roman" w:eastAsia="宋体"/>
                <w:b w:val="0"/>
                <w:bCs/>
                <w:color w:val="auto"/>
                <w:lang w:val="en-US" w:eastAsia="zh-CN"/>
              </w:rPr>
              <w:t>约40</w:t>
            </w:r>
            <w:r>
              <w:rPr>
                <w:rFonts w:hint="eastAsia"/>
                <w:b w:val="0"/>
                <w:bCs/>
                <w:color w:val="auto"/>
                <w:lang w:val="en-US" w:eastAsia="zh-CN"/>
              </w:rPr>
              <w:t>户</w:t>
            </w:r>
          </w:p>
        </w:tc>
        <w:tc>
          <w:tcPr>
            <w:tcW w:w="3369"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lang w:eastAsia="zh-CN"/>
              </w:rPr>
              <w:t>嘉川镇城镇</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eastAsia="宋体"/>
                <w:b w:val="0"/>
                <w:bCs/>
                <w:color w:val="auto"/>
                <w:lang w:val="en-US" w:eastAsia="zh-CN"/>
              </w:rPr>
              <w:t>S</w:t>
            </w:r>
            <w:r>
              <w:rPr>
                <w:rFonts w:hint="eastAsia"/>
                <w:b w:val="0"/>
                <w:bCs/>
                <w:color w:val="auto"/>
                <w:lang w:val="en-US" w:eastAsia="zh-CN"/>
              </w:rPr>
              <w:t>，685m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3万</w:t>
            </w:r>
            <w:r>
              <w:rPr>
                <w:rFonts w:hint="default" w:ascii="Times New Roman" w:hAnsi="Times New Roman" w:eastAsia="宋体"/>
                <w:b w:val="0"/>
                <w:bCs/>
                <w:color w:val="auto"/>
                <w:lang w:val="en-US" w:eastAsia="zh-CN"/>
              </w:rPr>
              <w:t>人</w:t>
            </w:r>
          </w:p>
        </w:tc>
        <w:tc>
          <w:tcPr>
            <w:tcW w:w="3369"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continue"/>
            <w:vAlign w:val="center"/>
          </w:tcPr>
          <w:p>
            <w:pPr>
              <w:pStyle w:val="352"/>
              <w:keepNext w:val="0"/>
              <w:keepLines w:val="0"/>
              <w:suppressLineNumbers w:val="0"/>
              <w:spacing w:before="0" w:beforeAutospacing="0" w:after="0" w:afterAutospacing="0"/>
              <w:ind w:left="0" w:right="0" w:firstLine="0"/>
              <w:rPr>
                <w:rFonts w:hint="eastAsia" w:ascii="Times New Roman" w:hAnsi="Times New Roman" w:eastAsia="宋体"/>
                <w:b w:val="0"/>
                <w:bCs/>
                <w:u w:val="none"/>
                <w:lang w:val="en-US" w:eastAsia="zh-CN"/>
              </w:rPr>
            </w:pP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lang w:eastAsia="zh-CN"/>
              </w:rPr>
              <w:t>石桥小学</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eastAsia"/>
                <w:b w:val="0"/>
                <w:bCs/>
                <w:color w:val="auto"/>
                <w:lang w:val="en-US" w:eastAsia="zh-CN"/>
              </w:rPr>
              <w:t>SE，850m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ascii="Times New Roman" w:hAnsi="Times New Roman" w:eastAsia="宋体"/>
                <w:b w:val="0"/>
                <w:bCs/>
                <w:color w:val="auto"/>
                <w:lang w:val="en-US" w:eastAsia="zh-CN"/>
              </w:rPr>
              <w:t>约1</w:t>
            </w:r>
            <w:r>
              <w:rPr>
                <w:rFonts w:hint="eastAsia"/>
                <w:b w:val="0"/>
                <w:bCs/>
                <w:color w:val="auto"/>
                <w:lang w:val="en-US" w:eastAsia="zh-CN"/>
              </w:rPr>
              <w:t>5</w:t>
            </w:r>
            <w:r>
              <w:rPr>
                <w:rFonts w:hint="default" w:ascii="Times New Roman" w:hAnsi="Times New Roman" w:eastAsia="宋体"/>
                <w:b w:val="0"/>
                <w:bCs/>
                <w:color w:val="auto"/>
                <w:lang w:val="en-US" w:eastAsia="zh-CN"/>
              </w:rPr>
              <w:t>00人</w:t>
            </w:r>
          </w:p>
        </w:tc>
        <w:tc>
          <w:tcPr>
            <w:tcW w:w="3369"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lang w:eastAsia="zh-CN"/>
              </w:rPr>
              <w:t>嘉川小学</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color w:val="auto"/>
                <w:lang w:val="en-US" w:eastAsia="zh-CN"/>
              </w:rPr>
              <w:t>SW，2600m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2000</w:t>
            </w:r>
            <w:r>
              <w:rPr>
                <w:rFonts w:hint="default" w:ascii="Times New Roman" w:hAnsi="Times New Roman" w:eastAsia="宋体"/>
                <w:b w:val="0"/>
                <w:bCs/>
                <w:color w:val="auto"/>
                <w:lang w:val="en-US" w:eastAsia="zh-CN"/>
              </w:rPr>
              <w:t>人</w:t>
            </w:r>
          </w:p>
        </w:tc>
        <w:tc>
          <w:tcPr>
            <w:tcW w:w="3369"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c>
          <w:tcPr>
            <w:tcW w:w="1326"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lang w:eastAsia="zh-CN"/>
              </w:rPr>
              <w:t>德康医院</w:t>
            </w:r>
          </w:p>
        </w:tc>
        <w:tc>
          <w:tcPr>
            <w:tcW w:w="2139"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eastAsia"/>
                <w:b w:val="0"/>
                <w:bCs/>
                <w:color w:val="auto"/>
                <w:lang w:val="en-US" w:eastAsia="zh-CN"/>
              </w:rPr>
              <w:t>SW，2000m</w:t>
            </w:r>
          </w:p>
        </w:tc>
        <w:tc>
          <w:tcPr>
            <w:tcW w:w="1417"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u w:val="none"/>
                <w:lang w:val="en-US" w:eastAsia="zh-CN"/>
              </w:rPr>
            </w:pPr>
            <w:r>
              <w:rPr>
                <w:rFonts w:hint="default" w:ascii="Times New Roman" w:hAnsi="Times New Roman" w:eastAsia="宋体"/>
                <w:b w:val="0"/>
                <w:bCs/>
                <w:color w:val="auto"/>
                <w:lang w:val="en-US" w:eastAsia="zh-CN"/>
              </w:rPr>
              <w:t>约</w:t>
            </w:r>
            <w:r>
              <w:rPr>
                <w:rFonts w:hint="eastAsia"/>
                <w:b w:val="0"/>
                <w:bCs/>
                <w:color w:val="auto"/>
                <w:lang w:val="en-US" w:eastAsia="zh-CN"/>
              </w:rPr>
              <w:t>8</w:t>
            </w:r>
            <w:r>
              <w:rPr>
                <w:rFonts w:hint="default" w:ascii="Times New Roman" w:hAnsi="Times New Roman" w:eastAsia="宋体"/>
                <w:b w:val="0"/>
                <w:bCs/>
                <w:color w:val="auto"/>
                <w:lang w:val="en-US" w:eastAsia="zh-CN"/>
              </w:rPr>
              <w:t>00人</w:t>
            </w:r>
          </w:p>
        </w:tc>
        <w:tc>
          <w:tcPr>
            <w:tcW w:w="3369" w:type="dxa"/>
            <w:vMerge w:val="continue"/>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11"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default" w:ascii="Times New Roman" w:hAnsi="Times New Roman" w:eastAsia="宋体"/>
                <w:b w:val="0"/>
                <w:bCs/>
                <w:u w:val="none"/>
                <w:lang w:val="en-US" w:eastAsia="zh-CN"/>
              </w:rPr>
              <w:t>地表水</w:t>
            </w:r>
          </w:p>
        </w:tc>
        <w:tc>
          <w:tcPr>
            <w:tcW w:w="8251" w:type="dxa"/>
            <w:gridSpan w:val="4"/>
            <w:vAlign w:val="center"/>
          </w:tcPr>
          <w:p>
            <w:pPr>
              <w:pStyle w:val="352"/>
              <w:keepNext w:val="0"/>
              <w:keepLines w:val="0"/>
              <w:suppressLineNumbers w:val="0"/>
              <w:spacing w:before="0" w:beforeAutospacing="0" w:after="0" w:afterAutospacing="0"/>
              <w:ind w:left="0" w:right="0" w:firstLine="0"/>
              <w:rPr>
                <w:rFonts w:hint="default" w:ascii="Times New Roman" w:hAnsi="Times New Roman" w:eastAsia="宋体"/>
                <w:b w:val="0"/>
                <w:bCs/>
                <w:u w:val="none"/>
                <w:lang w:val="en-US" w:eastAsia="zh-CN"/>
              </w:rPr>
            </w:pPr>
            <w:r>
              <w:rPr>
                <w:rFonts w:hint="eastAsia" w:ascii="Times New Roman" w:hAnsi="Times New Roman" w:eastAsia="宋体"/>
                <w:b w:val="0"/>
                <w:bCs/>
                <w:u w:val="none"/>
                <w:lang w:val="en-US" w:eastAsia="zh-CN"/>
              </w:rPr>
              <w:t>西侧900</w:t>
            </w:r>
            <w:r>
              <w:rPr>
                <w:rFonts w:hint="eastAsia"/>
                <w:b w:val="0"/>
                <w:bCs/>
                <w:u w:val="none"/>
                <w:lang w:val="en-US" w:eastAsia="zh-CN"/>
              </w:rPr>
              <w:t>m石亭江水质满足</w:t>
            </w:r>
            <w:r>
              <w:rPr>
                <w:rFonts w:hint="default" w:ascii="Times New Roman" w:hAnsi="Times New Roman" w:eastAsia="宋体"/>
                <w:b w:val="0"/>
                <w:bCs/>
                <w:u w:val="none"/>
                <w:lang w:val="en-US" w:eastAsia="zh-CN"/>
              </w:rPr>
              <w:t>《地表水环境质量标准》（GB3838-2002）</w:t>
            </w:r>
            <w:r>
              <w:rPr>
                <w:rFonts w:hint="default" w:ascii="Times New Roman" w:hAnsi="Times New Roman" w:eastAsia="宋体"/>
                <w:b w:val="0"/>
                <w:bCs/>
                <w:u w:val="none"/>
                <w:lang w:val="en-US" w:eastAsia="zh-CN"/>
              </w:rPr>
              <w:fldChar w:fldCharType="begin"/>
            </w:r>
            <w:r>
              <w:rPr>
                <w:rFonts w:hint="default" w:ascii="Times New Roman" w:hAnsi="Times New Roman" w:eastAsia="宋体"/>
                <w:b w:val="0"/>
                <w:bCs/>
                <w:u w:val="none"/>
                <w:lang w:val="en-US" w:eastAsia="zh-CN"/>
              </w:rPr>
              <w:instrText xml:space="preserve"> = 3 \* ROMAN </w:instrText>
            </w:r>
            <w:r>
              <w:rPr>
                <w:rFonts w:hint="default" w:ascii="Times New Roman" w:hAnsi="Times New Roman" w:eastAsia="宋体"/>
                <w:b w:val="0"/>
                <w:bCs/>
                <w:u w:val="none"/>
                <w:lang w:val="en-US" w:eastAsia="zh-CN"/>
              </w:rPr>
              <w:fldChar w:fldCharType="separate"/>
            </w:r>
            <w:r>
              <w:rPr>
                <w:rFonts w:hint="default" w:ascii="Times New Roman" w:hAnsi="Times New Roman" w:eastAsia="宋体"/>
                <w:b w:val="0"/>
                <w:bCs/>
                <w:u w:val="none"/>
                <w:lang w:val="en-US" w:eastAsia="zh-CN"/>
              </w:rPr>
              <w:t>III</w:t>
            </w:r>
            <w:r>
              <w:rPr>
                <w:rFonts w:hint="default" w:ascii="Times New Roman" w:hAnsi="Times New Roman" w:eastAsia="宋体"/>
                <w:b w:val="0"/>
                <w:bCs/>
                <w:u w:val="none"/>
                <w:lang w:val="en-US" w:eastAsia="zh-CN"/>
              </w:rPr>
              <w:fldChar w:fldCharType="end"/>
            </w:r>
            <w:r>
              <w:rPr>
                <w:rFonts w:hint="default" w:ascii="Times New Roman" w:hAnsi="Times New Roman" w:eastAsia="宋体"/>
                <w:b w:val="0"/>
                <w:bCs/>
                <w:u w:val="no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11" w:type="dxa"/>
            <w:vAlign w:val="center"/>
          </w:tcPr>
          <w:p>
            <w:pPr>
              <w:pStyle w:val="352"/>
              <w:keepNext w:val="0"/>
              <w:keepLines w:val="0"/>
              <w:suppressLineNumbers w:val="0"/>
              <w:spacing w:before="0" w:beforeAutospacing="0" w:after="0" w:afterAutospacing="0"/>
              <w:ind w:left="0" w:right="0" w:firstLine="0"/>
              <w:rPr>
                <w:rFonts w:hint="default" w:ascii="Times New Roman" w:hAnsi="Times New Roman" w:cs="Times New Roman"/>
                <w:b w:val="0"/>
                <w:bCs/>
                <w:u w:val="none"/>
                <w:lang w:val="en-US" w:eastAsia="zh-CN"/>
              </w:rPr>
            </w:pPr>
            <w:r>
              <w:rPr>
                <w:rFonts w:hint="default" w:ascii="Times New Roman" w:hAnsi="Times New Roman" w:cs="Times New Roman"/>
                <w:b w:val="0"/>
                <w:bCs/>
                <w:u w:val="none"/>
                <w:lang w:val="en-US" w:eastAsia="zh-CN"/>
              </w:rPr>
              <w:t>地下水</w:t>
            </w:r>
          </w:p>
        </w:tc>
        <w:tc>
          <w:tcPr>
            <w:tcW w:w="8251" w:type="dxa"/>
            <w:gridSpan w:val="4"/>
            <w:vAlign w:val="center"/>
          </w:tcPr>
          <w:p>
            <w:pPr>
              <w:pStyle w:val="352"/>
              <w:keepNext w:val="0"/>
              <w:keepLines w:val="0"/>
              <w:suppressLineNumbers w:val="0"/>
              <w:spacing w:before="0" w:beforeAutospacing="0" w:after="0" w:afterAutospacing="0"/>
              <w:ind w:left="0" w:right="0" w:firstLine="0"/>
              <w:rPr>
                <w:rFonts w:hint="default" w:ascii="Times New Roman" w:hAnsi="Times New Roman" w:cs="Times New Roman"/>
                <w:b w:val="0"/>
                <w:bCs/>
                <w:u w:val="none"/>
                <w:lang w:val="en-US" w:eastAsia="zh-CN"/>
              </w:rPr>
            </w:pPr>
            <w:r>
              <w:rPr>
                <w:rFonts w:hint="default" w:ascii="Times New Roman" w:hAnsi="Times New Roman" w:cs="Times New Roman"/>
                <w:b w:val="0"/>
                <w:bCs/>
                <w:u w:val="none"/>
                <w:lang w:val="en-US" w:eastAsia="zh-CN"/>
              </w:rPr>
              <w:t>厂址周边约6km²</w:t>
            </w:r>
            <w:r>
              <w:rPr>
                <w:rFonts w:hint="eastAsia" w:ascii="Times New Roman" w:hAnsi="Times New Roman" w:cs="Times New Roman"/>
                <w:b w:val="0"/>
                <w:bCs/>
                <w:u w:val="none"/>
                <w:lang w:val="en-US" w:eastAsia="zh-CN"/>
              </w:rPr>
              <w:t>范围地下水水质满足</w:t>
            </w:r>
            <w:r>
              <w:rPr>
                <w:rFonts w:hint="default" w:ascii="Times New Roman" w:hAnsi="Times New Roman" w:cs="Times New Roman"/>
                <w:b w:val="0"/>
                <w:bCs/>
                <w:u w:val="none"/>
                <w:lang w:val="en-US" w:eastAsia="zh-CN"/>
              </w:rPr>
              <w:t>《地下水质量标准》（GB</w:t>
            </w:r>
            <w:r>
              <w:rPr>
                <w:rFonts w:hint="eastAsia" w:ascii="Times New Roman" w:hAnsi="Times New Roman" w:cs="Times New Roman"/>
                <w:b w:val="0"/>
                <w:bCs/>
                <w:u w:val="none"/>
                <w:lang w:val="en-US" w:eastAsia="zh-CN"/>
              </w:rPr>
              <w:t>/T14848</w:t>
            </w:r>
            <w:r>
              <w:rPr>
                <w:rFonts w:hint="default" w:ascii="Times New Roman" w:hAnsi="Times New Roman" w:cs="Times New Roman"/>
                <w:b w:val="0"/>
                <w:bCs/>
                <w:u w:val="none"/>
                <w:lang w:val="en-US" w:eastAsia="zh-CN"/>
              </w:rPr>
              <w:t>-20</w:t>
            </w:r>
            <w:r>
              <w:rPr>
                <w:rFonts w:hint="eastAsia" w:ascii="Times New Roman" w:hAnsi="Times New Roman" w:cs="Times New Roman"/>
                <w:b w:val="0"/>
                <w:bCs/>
                <w:u w:val="none"/>
                <w:lang w:val="en-US" w:eastAsia="zh-CN"/>
              </w:rPr>
              <w:t>16</w:t>
            </w:r>
            <w:r>
              <w:rPr>
                <w:rFonts w:hint="default" w:ascii="Times New Roman" w:hAnsi="Times New Roman" w:cs="Times New Roman"/>
                <w:b w:val="0"/>
                <w:bCs/>
                <w:u w:val="none"/>
                <w:lang w:val="en-US" w:eastAsia="zh-CN"/>
              </w:rPr>
              <w:t>）</w:t>
            </w:r>
            <w:r>
              <w:rPr>
                <w:rFonts w:hint="default" w:ascii="Times New Roman" w:hAnsi="Times New Roman" w:eastAsia="宋体"/>
                <w:b w:val="0"/>
                <w:bCs/>
                <w:u w:val="none"/>
                <w:lang w:val="en-US" w:eastAsia="zh-CN"/>
              </w:rPr>
              <w:fldChar w:fldCharType="begin"/>
            </w:r>
            <w:r>
              <w:rPr>
                <w:rFonts w:hint="default" w:ascii="Times New Roman" w:hAnsi="Times New Roman" w:eastAsia="宋体"/>
                <w:b w:val="0"/>
                <w:bCs/>
                <w:u w:val="none"/>
                <w:lang w:val="en-US" w:eastAsia="zh-CN"/>
              </w:rPr>
              <w:instrText xml:space="preserve"> = 3 \* ROMAN </w:instrText>
            </w:r>
            <w:r>
              <w:rPr>
                <w:rFonts w:hint="default" w:ascii="Times New Roman" w:hAnsi="Times New Roman" w:eastAsia="宋体"/>
                <w:b w:val="0"/>
                <w:bCs/>
                <w:u w:val="none"/>
                <w:lang w:val="en-US" w:eastAsia="zh-CN"/>
              </w:rPr>
              <w:fldChar w:fldCharType="separate"/>
            </w:r>
            <w:r>
              <w:rPr>
                <w:rFonts w:hint="default" w:ascii="Times New Roman" w:hAnsi="Times New Roman" w:eastAsia="宋体"/>
                <w:b w:val="0"/>
                <w:bCs/>
                <w:u w:val="none"/>
                <w:lang w:val="en-US" w:eastAsia="zh-CN"/>
              </w:rPr>
              <w:t>III</w:t>
            </w:r>
            <w:r>
              <w:rPr>
                <w:rFonts w:hint="default" w:ascii="Times New Roman" w:hAnsi="Times New Roman" w:eastAsia="宋体"/>
                <w:b w:val="0"/>
                <w:bCs/>
                <w:u w:val="none"/>
                <w:lang w:val="en-US" w:eastAsia="zh-CN"/>
              </w:rPr>
              <w:fldChar w:fldCharType="end"/>
            </w:r>
            <w:r>
              <w:rPr>
                <w:rFonts w:hint="default" w:ascii="Times New Roman" w:hAnsi="Times New Roman" w:eastAsia="宋体"/>
                <w:b w:val="0"/>
                <w:bCs/>
                <w:u w:val="none"/>
                <w:lang w:val="en-US" w:eastAsia="zh-CN"/>
              </w:rPr>
              <w:t>类</w:t>
            </w:r>
          </w:p>
        </w:tc>
      </w:tr>
    </w:tbl>
    <w:p>
      <w:pPr>
        <w:pStyle w:val="3"/>
        <w:rPr>
          <w:rFonts w:ascii="Times New Roman" w:hAnsi="Times New Roman"/>
          <w:sz w:val="28"/>
          <w:szCs w:val="28"/>
          <w:u w:val="none"/>
        </w:rPr>
      </w:pPr>
      <w:bookmarkStart w:id="87" w:name="_Toc19158"/>
      <w:r>
        <w:rPr>
          <w:rFonts w:hint="eastAsia" w:ascii="Times New Roman" w:hAnsi="Times New Roman"/>
          <w:sz w:val="28"/>
          <w:szCs w:val="28"/>
          <w:u w:val="none"/>
          <w:lang w:val="en-US" w:eastAsia="zh-CN"/>
        </w:rPr>
        <w:t>9</w:t>
      </w:r>
      <w:r>
        <w:rPr>
          <w:rFonts w:ascii="Times New Roman" w:hAnsi="Times New Roman"/>
          <w:sz w:val="28"/>
          <w:szCs w:val="28"/>
          <w:u w:val="none"/>
        </w:rPr>
        <w:t>.</w:t>
      </w:r>
      <w:r>
        <w:rPr>
          <w:rFonts w:hint="eastAsia" w:ascii="Times New Roman" w:hAnsi="Times New Roman"/>
          <w:sz w:val="28"/>
          <w:szCs w:val="28"/>
          <w:u w:val="none"/>
          <w:lang w:val="en-US" w:eastAsia="zh-CN"/>
        </w:rPr>
        <w:t>5</w:t>
      </w:r>
      <w:r>
        <w:rPr>
          <w:rFonts w:ascii="Times New Roman" w:hAnsi="Times New Roman"/>
          <w:sz w:val="28"/>
          <w:szCs w:val="28"/>
          <w:u w:val="none"/>
        </w:rPr>
        <w:t>环境风险识别</w:t>
      </w:r>
      <w:bookmarkEnd w:id="87"/>
    </w:p>
    <w:p>
      <w:pPr>
        <w:topLinePunct/>
        <w:spacing w:line="360" w:lineRule="auto"/>
        <w:jc w:val="left"/>
        <w:rPr>
          <w:rFonts w:hint="eastAsia"/>
          <w:b/>
          <w:sz w:val="24"/>
          <w:u w:val="none"/>
          <w:lang w:val="en-US" w:eastAsia="zh-CN"/>
        </w:rPr>
      </w:pPr>
      <w:r>
        <w:rPr>
          <w:rFonts w:hint="eastAsia"/>
          <w:b/>
          <w:sz w:val="24"/>
          <w:u w:val="none"/>
          <w:lang w:val="en-US" w:eastAsia="zh-CN"/>
        </w:rPr>
        <w:t>9.5.1物质危险性识别</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本项目所涉及的有毒有害物质主要为医疗废物以及消毒清洗过程中使用的消毒液，各物质的危害特性如下：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1、医疗废物</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本项目拟处置的医疗废物主要为感染性废物、病理性废物（不包含可辨认的人体器官及动物尸体）以及损伤性废物，废物中含有大量的病原微生物及化学药剂，具有空间传染、急性传染和潜伏性传染等危险特性，其病毒病菌是普通城市生活垃圾的几十倍乃至上千倍，如处理不当，将造成严重的后果，主要有以下两个方面的危害：</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（1）污染环境。医疗废物中的各类病菌含量相当高，达到10</w:t>
      </w:r>
      <w:r>
        <w:rPr>
          <w:rFonts w:hint="eastAsia" w:cs="Times New Roman"/>
          <w:sz w:val="24"/>
          <w:u w:val="none"/>
          <w:vertAlign w:val="superscript"/>
          <w:lang w:val="en-US" w:eastAsia="zh-CN"/>
        </w:rPr>
        <w:t>7</w:t>
      </w:r>
      <w:r>
        <w:rPr>
          <w:rFonts w:hint="eastAsia" w:cs="Times New Roman"/>
          <w:sz w:val="24"/>
          <w:u w:val="none"/>
          <w:lang w:val="en-US" w:eastAsia="zh-CN"/>
        </w:rPr>
        <w:t>个/克，如各种梭菌、各种血清型大肠埃希氏菌、克雷伯氏菌、各种巴斯德氏菌、各种沙门氏菌、各种志贺菌、金黄色葡萄球菌以及球菌、寄生虫等等，其中危险性较大的致病微生物有：脊髓灰质炎病毒、唉可病毒、柯萨奇病毒A、柯萨奇病毒B、肝炎病毒、呼吸道和肠道病毒、腺病毒等。医疗废物会导致环境的生物性污染，使水体、土壤、空气中的细菌含量超标，引起疾病流行，如甲肝、乙肝、丙肝、艾滋病、肺结核、霍乱、痢疾、流感等。另外，医疗废物中还含有大量有机物，处理不当会发酵产生NH</w:t>
      </w:r>
      <w:r>
        <w:rPr>
          <w:rFonts w:hint="eastAsia" w:cs="Times New Roman"/>
          <w:sz w:val="24"/>
          <w:u w:val="none"/>
          <w:vertAlign w:val="subscript"/>
          <w:lang w:val="en-US" w:eastAsia="zh-CN"/>
        </w:rPr>
        <w:t>3</w:t>
      </w:r>
      <w:r>
        <w:rPr>
          <w:rFonts w:hint="eastAsia" w:cs="Times New Roman"/>
          <w:sz w:val="24"/>
          <w:u w:val="none"/>
          <w:lang w:val="en-US" w:eastAsia="zh-CN"/>
        </w:rPr>
        <w:t>、H</w:t>
      </w:r>
      <w:r>
        <w:rPr>
          <w:rFonts w:hint="eastAsia" w:cs="Times New Roman"/>
          <w:sz w:val="24"/>
          <w:u w:val="none"/>
          <w:vertAlign w:val="subscript"/>
          <w:lang w:val="en-US" w:eastAsia="zh-CN"/>
        </w:rPr>
        <w:t>2</w:t>
      </w:r>
      <w:r>
        <w:rPr>
          <w:rFonts w:hint="eastAsia" w:cs="Times New Roman"/>
          <w:sz w:val="24"/>
          <w:u w:val="none"/>
          <w:lang w:val="en-US" w:eastAsia="zh-CN"/>
        </w:rPr>
        <w:t>S、硫醇等恶臭气体，医疗废物中的酸碱和重金属还会损伤环境中动植物，通过食物链富集还会毒害高等动植物。</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2）传播疾病。本项目拟处置的医疗废物危险特性为感染性，废物中病菌含量高，因为病菌可在空气中传播，长期接触容易随而引发疾病。另外，损伤性废物，一方面可刺伤机体，另一方面病菌通过所产生的伤口入侵机体引发疾病。</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2、污水处理站事故废水</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污水处理站的废水中不可避免存在各种细菌、病毒和寄生虫卵。病原细菌有沙门氏菌、痢疾志贺氏菌、霍乱菌、结核分枝杆菌、布鲁氏菌属以及炭疽杆菌等。其中病原性细菌介水传播的有痢疾、伤害、霍乱、结核杆菌等。病原性细菌具有适应环境能力强的特点，可以根据外界环境的变化而使其自身发生变异。当废水未经处理直接排放至水体时或事故废水下渗污染地下水时，便可使病原性细菌通过水体造成传播疾病的危险。</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3、消毒液</w:t>
      </w:r>
    </w:p>
    <w:p>
      <w:pPr>
        <w:spacing w:line="360" w:lineRule="auto"/>
        <w:ind w:firstLine="480" w:firstLineChars="200"/>
        <w:jc w:val="left"/>
        <w:rPr>
          <w:rFonts w:hint="default" w:cs="Times New Roman"/>
          <w:sz w:val="24"/>
          <w:u w:val="none"/>
          <w:lang w:val="en-US" w:eastAsia="zh-CN"/>
        </w:rPr>
      </w:pPr>
      <w:r>
        <w:rPr>
          <w:rFonts w:hint="eastAsia" w:cs="Times New Roman"/>
          <w:sz w:val="24"/>
          <w:u w:val="none"/>
          <w:lang w:val="en-US" w:eastAsia="zh-CN"/>
        </w:rPr>
        <w:t>本项目使用84消毒液作为消毒剂，外观和性状为微黄色溶液，有似氯气的味道，溶于水，pH值9~10，熔点-6℃，沸点40℃，相对密度（水=1）1.21g/cm³。危险性类别为第8.3类，其他腐蚀品。对皮肤、粘膜有较强的刺激作用；吸入次氯酸钠气雾可引起呼吸道反应，甚至发生肺水肿；大量口服腐蚀消化道，可产生高铁血红蛋白血症；对水生生物有极高毒性；具有强氧化性、腐蚀性，受高热分解产生有毒的腐蚀性烟气；与可燃性、还原性物质反应很剧烈，与酸反应会放出氯气。</w:t>
      </w:r>
    </w:p>
    <w:p>
      <w:pPr>
        <w:topLinePunct/>
        <w:spacing w:line="360" w:lineRule="auto"/>
        <w:jc w:val="left"/>
        <w:rPr>
          <w:rFonts w:hint="eastAsia"/>
          <w:b/>
          <w:sz w:val="24"/>
          <w:u w:val="none"/>
          <w:lang w:val="en-US" w:eastAsia="zh-CN"/>
        </w:rPr>
      </w:pPr>
      <w:r>
        <w:rPr>
          <w:rFonts w:hint="eastAsia"/>
          <w:b/>
          <w:sz w:val="24"/>
          <w:u w:val="none"/>
          <w:lang w:val="en-US" w:eastAsia="zh-CN"/>
        </w:rPr>
        <w:t>9.5.2生产系统危险性识别</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生产系统危险性识别包括主要生产装置、储运设施、公用工程和辅助生产设施以及环境保护设施等危险性识别，结合项目工程分析，本项目生产系统危险性具体识别如下：</w:t>
      </w:r>
    </w:p>
    <w:p>
      <w:pPr>
        <w:pStyle w:val="352"/>
        <w:bidi w:val="0"/>
        <w:rPr>
          <w:rFonts w:hint="eastAsia"/>
          <w:lang w:val="en-US" w:eastAsia="zh-CN"/>
        </w:rPr>
      </w:pPr>
      <w:r>
        <w:rPr>
          <w:rFonts w:hint="eastAsia"/>
          <w:lang w:val="en-US" w:eastAsia="zh-CN"/>
        </w:rPr>
        <w:t>表9-4  生产系统危险性识别表</w:t>
      </w:r>
    </w:p>
    <w:tbl>
      <w:tblPr>
        <w:tblStyle w:val="59"/>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173"/>
        <w:gridCol w:w="2100"/>
        <w:gridCol w:w="4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u w:val="none"/>
                <w:lang w:val="en-US" w:eastAsia="zh-CN"/>
              </w:rPr>
            </w:pPr>
            <w:r>
              <w:rPr>
                <w:rFonts w:hint="eastAsia"/>
                <w:u w:val="none"/>
                <w:lang w:val="en-US" w:eastAsia="zh-CN"/>
              </w:rPr>
              <w:t>生产系统</w:t>
            </w:r>
          </w:p>
        </w:tc>
        <w:tc>
          <w:tcPr>
            <w:tcW w:w="1173"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u w:val="none"/>
                <w:lang w:val="en-US" w:eastAsia="zh-CN"/>
              </w:rPr>
            </w:pPr>
            <w:r>
              <w:rPr>
                <w:rFonts w:hint="eastAsia"/>
                <w:u w:val="none"/>
                <w:lang w:val="en-US" w:eastAsia="zh-CN"/>
              </w:rPr>
              <w:t>装置单元</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u w:val="none"/>
                <w:lang w:val="en-US" w:eastAsia="zh-CN"/>
              </w:rPr>
            </w:pPr>
            <w:r>
              <w:rPr>
                <w:rFonts w:hint="eastAsia"/>
                <w:u w:val="none"/>
                <w:lang w:val="en-US" w:eastAsia="zh-CN"/>
              </w:rPr>
              <w:t>危险物质</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u w:val="none"/>
                <w:lang w:val="en-US" w:eastAsia="zh-CN"/>
              </w:rPr>
              <w:t>触发因素</w:t>
            </w:r>
          </w:p>
        </w:tc>
        <w:tc>
          <w:tcPr>
            <w:tcW w:w="120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u w:val="none"/>
                <w:lang w:val="en-US" w:eastAsia="zh-CN"/>
              </w:rPr>
            </w:pPr>
            <w:r>
              <w:rPr>
                <w:rFonts w:hint="eastAsia"/>
                <w:u w:val="none"/>
                <w:lang w:val="en-US" w:eastAsia="zh-CN"/>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生产装置</w:t>
            </w:r>
          </w:p>
        </w:tc>
        <w:tc>
          <w:tcPr>
            <w:tcW w:w="1173"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微波消毒系统</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医疗废物、病原微生物、医疗废物残渣等</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b w:val="0"/>
                <w:bCs/>
                <w:u w:val="none"/>
                <w:lang w:val="en-US" w:eastAsia="zh-CN"/>
              </w:rPr>
              <w:t>医疗废物进行微波消毒过程中，设施发生故障，微波消毒杀菌不彻底，随残渣带出大量病原微生物。</w:t>
            </w:r>
          </w:p>
        </w:tc>
        <w:tc>
          <w:tcPr>
            <w:tcW w:w="120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传染疾病、污染环境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restart"/>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储运设施</w:t>
            </w:r>
          </w:p>
        </w:tc>
        <w:tc>
          <w:tcPr>
            <w:tcW w:w="1173"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冷库</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医疗废物，病原微生物，氨、硫化氢、硫醇等恶臭气体</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default"/>
              </w:rPr>
            </w:pPr>
            <w:r>
              <w:rPr>
                <w:rFonts w:hint="eastAsia"/>
                <w:b w:val="0"/>
                <w:bCs/>
                <w:u w:val="none"/>
                <w:lang w:val="en-US" w:eastAsia="zh-CN"/>
              </w:rPr>
              <w:t>医疗废物贮存期间，冷库制冷系统故障或停电时，病原微生物大量滋生，同时大量产生氨气、硫化氢、硫醇等恶臭气体。负压集气系统故障时，病原微生物及恶臭气体以无组织方式逸散进环境中</w:t>
            </w:r>
          </w:p>
        </w:tc>
        <w:tc>
          <w:tcPr>
            <w:tcW w:w="120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传染疾病、污染环境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p>
        </w:tc>
        <w:tc>
          <w:tcPr>
            <w:tcW w:w="1173" w:type="dxa"/>
            <w:vAlign w:val="center"/>
          </w:tcPr>
          <w:p>
            <w:pPr>
              <w:pStyle w:val="352"/>
              <w:keepNext w:val="0"/>
              <w:keepLines w:val="0"/>
              <w:suppressLineNumbers w:val="0"/>
              <w:spacing w:before="0" w:beforeAutospacing="0" w:after="0" w:afterAutospacing="0"/>
              <w:ind w:left="0" w:right="0" w:firstLine="0"/>
              <w:jc w:val="center"/>
              <w:rPr>
                <w:rFonts w:hint="eastAsia" w:eastAsia="宋体"/>
                <w:b w:val="0"/>
                <w:bCs/>
                <w:u w:val="none"/>
                <w:lang w:val="en-US" w:eastAsia="zh-CN"/>
              </w:rPr>
            </w:pPr>
            <w:r>
              <w:rPr>
                <w:rFonts w:hint="eastAsia"/>
                <w:b w:val="0"/>
                <w:bCs/>
                <w:u w:val="none"/>
                <w:lang w:val="en-US" w:eastAsia="zh-CN"/>
              </w:rPr>
              <w:t>运输车辆</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医疗废物</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医疗废物运输过程中，因车辆未密闭或翻车致使医疗废物泄漏，污染环境</w:t>
            </w:r>
          </w:p>
        </w:tc>
        <w:tc>
          <w:tcPr>
            <w:tcW w:w="1207"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u w:val="none"/>
                <w:lang w:val="en-US" w:eastAsia="zh-CN"/>
              </w:rPr>
            </w:pPr>
            <w:r>
              <w:rPr>
                <w:rFonts w:hint="eastAsia"/>
                <w:b w:val="0"/>
                <w:bCs/>
                <w:u w:val="none"/>
                <w:lang w:val="en-US" w:eastAsia="zh-CN"/>
              </w:rPr>
              <w:t>传染疾病、污染环境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辅助设施</w:t>
            </w:r>
          </w:p>
        </w:tc>
        <w:tc>
          <w:tcPr>
            <w:tcW w:w="1173"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车辆及周转箱消毒清洗区</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消毒液</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eastAsia="宋体"/>
                <w:lang w:eastAsia="zh-CN"/>
              </w:rPr>
            </w:pPr>
            <w:r>
              <w:rPr>
                <w:rFonts w:hint="eastAsia"/>
                <w:b w:val="0"/>
                <w:bCs/>
                <w:lang w:eastAsia="zh-CN"/>
              </w:rPr>
              <w:t>消毒液受高热分解产生有毒的腐蚀性烟气；清洗区地下水防渗层破损，消毒液泄漏下渗污染地下水；消毒废水收集沟渠溢流，消毒废水进入地表水体，污染地表水，危害水生生物安全。</w:t>
            </w:r>
          </w:p>
        </w:tc>
        <w:tc>
          <w:tcPr>
            <w:tcW w:w="1207"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腐蚀性、污染环境、危害水生生物安全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restart"/>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环保设施</w:t>
            </w:r>
          </w:p>
        </w:tc>
        <w:tc>
          <w:tcPr>
            <w:tcW w:w="1173"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废气治理设施</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病原微生物，挥发性有机废气、氨、硫化氢等恶臭气体</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eastAsia="宋体"/>
                <w:lang w:eastAsia="zh-CN"/>
              </w:rPr>
            </w:pPr>
            <w:r>
              <w:rPr>
                <w:rFonts w:hint="eastAsia"/>
                <w:b w:val="0"/>
                <w:bCs/>
                <w:lang w:eastAsia="zh-CN"/>
              </w:rPr>
              <w:t>废气治理设施故障，废气处理净化效率低，废气不达标排放，污染环境；病原微生物随废气扩散至环境中，引发疾病。</w:t>
            </w:r>
          </w:p>
        </w:tc>
        <w:tc>
          <w:tcPr>
            <w:tcW w:w="1207" w:type="dxa"/>
            <w:vAlign w:val="center"/>
          </w:tcPr>
          <w:p>
            <w:pPr>
              <w:pStyle w:val="352"/>
              <w:keepNext w:val="0"/>
              <w:keepLines w:val="0"/>
              <w:suppressLineNumbers w:val="0"/>
              <w:spacing w:before="0" w:beforeAutospacing="0" w:after="0" w:afterAutospacing="0"/>
              <w:ind w:left="0" w:right="0" w:firstLine="0"/>
              <w:jc w:val="center"/>
              <w:rPr>
                <w:rFonts w:hint="default" w:ascii="Times New Roman" w:hAnsi="Times New Roman" w:eastAsia="宋体"/>
                <w:b w:val="0"/>
                <w:bCs/>
                <w:u w:val="none"/>
                <w:lang w:val="en-US" w:eastAsia="zh-CN"/>
              </w:rPr>
            </w:pPr>
            <w:r>
              <w:rPr>
                <w:rFonts w:hint="eastAsia"/>
                <w:b w:val="0"/>
                <w:bCs/>
                <w:u w:val="none"/>
                <w:lang w:val="en-US" w:eastAsia="zh-CN"/>
              </w:rPr>
              <w:t>传染疾病、污染环境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Merge w:val="continue"/>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p>
        </w:tc>
        <w:tc>
          <w:tcPr>
            <w:tcW w:w="1173"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污水处理站</w:t>
            </w:r>
          </w:p>
        </w:tc>
        <w:tc>
          <w:tcPr>
            <w:tcW w:w="2100"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事故废水</w:t>
            </w:r>
          </w:p>
        </w:tc>
        <w:tc>
          <w:tcPr>
            <w:tcW w:w="4060" w:type="dxa"/>
            <w:vAlign w:val="center"/>
          </w:tcPr>
          <w:p>
            <w:pPr>
              <w:pStyle w:val="352"/>
              <w:keepNext w:val="0"/>
              <w:keepLines w:val="0"/>
              <w:suppressLineNumbers w:val="0"/>
              <w:spacing w:before="0" w:beforeAutospacing="0" w:after="0" w:afterAutospacing="0"/>
              <w:ind w:left="0" w:leftChars="0" w:right="0" w:rightChars="0" w:firstLine="0" w:firstLineChars="0"/>
              <w:jc w:val="center"/>
              <w:rPr>
                <w:rFonts w:hint="eastAsia"/>
                <w:b w:val="0"/>
                <w:bCs/>
                <w:lang w:eastAsia="zh-CN"/>
              </w:rPr>
            </w:pPr>
            <w:r>
              <w:rPr>
                <w:rFonts w:hint="eastAsia"/>
                <w:b w:val="0"/>
                <w:bCs/>
                <w:lang w:eastAsia="zh-CN"/>
              </w:rPr>
              <w:t>污水处理站故障，事故废水泄漏至地表水体或下渗进入地下水，污染水体引起疾病。</w:t>
            </w:r>
          </w:p>
        </w:tc>
        <w:tc>
          <w:tcPr>
            <w:tcW w:w="1207" w:type="dxa"/>
            <w:vAlign w:val="center"/>
          </w:tcPr>
          <w:p>
            <w:pPr>
              <w:pStyle w:val="352"/>
              <w:keepNext w:val="0"/>
              <w:keepLines w:val="0"/>
              <w:suppressLineNumbers w:val="0"/>
              <w:spacing w:before="0" w:beforeAutospacing="0" w:after="0" w:afterAutospacing="0"/>
              <w:ind w:left="0" w:right="0" w:firstLine="0"/>
              <w:jc w:val="center"/>
              <w:rPr>
                <w:rFonts w:hint="eastAsia"/>
                <w:b w:val="0"/>
                <w:bCs/>
                <w:u w:val="none"/>
                <w:lang w:val="en-US" w:eastAsia="zh-CN"/>
              </w:rPr>
            </w:pPr>
            <w:r>
              <w:rPr>
                <w:rFonts w:hint="eastAsia"/>
                <w:b w:val="0"/>
                <w:bCs/>
                <w:u w:val="none"/>
                <w:lang w:val="en-US" w:eastAsia="zh-CN"/>
              </w:rPr>
              <w:t>传染疾病、污染环境</w:t>
            </w:r>
          </w:p>
        </w:tc>
      </w:tr>
    </w:tbl>
    <w:p>
      <w:pPr>
        <w:topLinePunct/>
        <w:spacing w:line="360" w:lineRule="auto"/>
        <w:jc w:val="left"/>
        <w:rPr>
          <w:rFonts w:hint="eastAsia"/>
          <w:b/>
          <w:sz w:val="24"/>
          <w:u w:val="none"/>
          <w:lang w:val="en-US" w:eastAsia="zh-CN"/>
        </w:rPr>
      </w:pPr>
      <w:r>
        <w:rPr>
          <w:rFonts w:hint="eastAsia"/>
          <w:b/>
          <w:sz w:val="24"/>
          <w:u w:val="none"/>
          <w:lang w:val="en-US" w:eastAsia="zh-CN"/>
        </w:rPr>
        <w:t>9.5.3环境风险类型及转移途径</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1、环境风险类型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事故的风险通常划分为火灾、爆炸、毒物泄漏三种类型，本项目生产过程中存在的可能引发环境风险的事故有：</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（1）泄漏</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1 \* GB3 \* MERGEFORMAT </w:instrText>
      </w:r>
      <w:r>
        <w:rPr>
          <w:rFonts w:hint="default"/>
          <w:color w:val="000000"/>
          <w:sz w:val="24"/>
          <w:u w:val="none"/>
          <w:lang w:val="en-US" w:eastAsia="zh-CN"/>
        </w:rPr>
        <w:fldChar w:fldCharType="separate"/>
      </w:r>
      <w:r>
        <w:t>①</w:t>
      </w:r>
      <w:r>
        <w:rPr>
          <w:rFonts w:hint="default"/>
          <w:color w:val="000000"/>
          <w:sz w:val="24"/>
          <w:u w:val="none"/>
          <w:lang w:val="en-US" w:eastAsia="zh-CN"/>
        </w:rPr>
        <w:fldChar w:fldCharType="end"/>
      </w:r>
      <w:r>
        <w:rPr>
          <w:rFonts w:hint="eastAsia"/>
          <w:color w:val="000000"/>
          <w:sz w:val="24"/>
          <w:u w:val="none"/>
          <w:lang w:val="en-US" w:eastAsia="zh-CN"/>
        </w:rPr>
        <w:t>冷库或者微波处理系统密封措施故障，存在恶臭气体和病原微生物泄漏风险；</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2 \* GB3 \* MERGEFORMAT </w:instrText>
      </w:r>
      <w:r>
        <w:rPr>
          <w:rFonts w:hint="default"/>
          <w:color w:val="000000"/>
          <w:sz w:val="24"/>
          <w:u w:val="none"/>
          <w:lang w:val="en-US" w:eastAsia="zh-CN"/>
        </w:rPr>
        <w:fldChar w:fldCharType="separate"/>
      </w:r>
      <w:r>
        <w:t>②</w:t>
      </w:r>
      <w:r>
        <w:rPr>
          <w:rFonts w:hint="default"/>
          <w:color w:val="000000"/>
          <w:sz w:val="24"/>
          <w:u w:val="none"/>
          <w:lang w:val="en-US" w:eastAsia="zh-CN"/>
        </w:rPr>
        <w:fldChar w:fldCharType="end"/>
      </w:r>
      <w:r>
        <w:rPr>
          <w:rFonts w:hint="eastAsia"/>
          <w:color w:val="000000"/>
          <w:sz w:val="24"/>
          <w:u w:val="none"/>
          <w:lang w:val="en-US" w:eastAsia="zh-CN"/>
        </w:rPr>
        <w:t>废气收集或处理系统故障使气体泄漏，可能造成污染环境和传播病原微生物事故；</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3 \* GB3 \* MERGEFORMAT </w:instrText>
      </w:r>
      <w:r>
        <w:rPr>
          <w:rFonts w:hint="default"/>
          <w:color w:val="000000"/>
          <w:sz w:val="24"/>
          <w:u w:val="none"/>
          <w:lang w:val="en-US" w:eastAsia="zh-CN"/>
        </w:rPr>
        <w:fldChar w:fldCharType="separate"/>
      </w:r>
      <w:r>
        <w:t>③</w:t>
      </w:r>
      <w:r>
        <w:rPr>
          <w:rFonts w:hint="default"/>
          <w:color w:val="000000"/>
          <w:sz w:val="24"/>
          <w:u w:val="none"/>
          <w:lang w:val="en-US" w:eastAsia="zh-CN"/>
        </w:rPr>
        <w:fldChar w:fldCharType="end"/>
      </w:r>
      <w:r>
        <w:rPr>
          <w:rFonts w:hint="eastAsia"/>
          <w:color w:val="000000"/>
          <w:sz w:val="24"/>
          <w:u w:val="none"/>
          <w:lang w:val="en-US" w:eastAsia="zh-CN"/>
        </w:rPr>
        <w:t>废水收集或处理系统故障或破裂，造成有毒有害物质泄漏；</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4 \* GB3 \* MERGEFORMAT </w:instrText>
      </w:r>
      <w:r>
        <w:rPr>
          <w:rFonts w:hint="default"/>
          <w:color w:val="000000"/>
          <w:sz w:val="24"/>
          <w:u w:val="none"/>
          <w:lang w:val="en-US" w:eastAsia="zh-CN"/>
        </w:rPr>
        <w:fldChar w:fldCharType="separate"/>
      </w:r>
      <w:r>
        <w:t>④</w:t>
      </w:r>
      <w:r>
        <w:rPr>
          <w:rFonts w:hint="default"/>
          <w:color w:val="000000"/>
          <w:sz w:val="24"/>
          <w:u w:val="none"/>
          <w:lang w:val="en-US" w:eastAsia="zh-CN"/>
        </w:rPr>
        <w:fldChar w:fldCharType="end"/>
      </w:r>
      <w:r>
        <w:rPr>
          <w:rFonts w:hint="eastAsia"/>
          <w:color w:val="000000"/>
          <w:sz w:val="24"/>
          <w:u w:val="none"/>
          <w:lang w:val="en-US" w:eastAsia="zh-CN"/>
        </w:rPr>
        <w:t>运输车辆密闭措施故障或翻车，造成医疗废物撒落，污染环境。</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（2）火灾、爆炸</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本项目在贮存、运输和生产过程中，可能发生火灾、爆炸的事故如下：</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1 \* GB3 \* MERGEFORMAT </w:instrText>
      </w:r>
      <w:r>
        <w:rPr>
          <w:rFonts w:hint="default"/>
          <w:color w:val="000000"/>
          <w:sz w:val="24"/>
          <w:u w:val="none"/>
          <w:lang w:val="en-US" w:eastAsia="zh-CN"/>
        </w:rPr>
        <w:fldChar w:fldCharType="separate"/>
      </w:r>
      <w:r>
        <w:t>①</w:t>
      </w:r>
      <w:r>
        <w:rPr>
          <w:rFonts w:hint="default"/>
          <w:color w:val="000000"/>
          <w:sz w:val="24"/>
          <w:u w:val="none"/>
          <w:lang w:val="en-US" w:eastAsia="zh-CN"/>
        </w:rPr>
        <w:fldChar w:fldCharType="end"/>
      </w:r>
      <w:r>
        <w:rPr>
          <w:rFonts w:hint="eastAsia"/>
          <w:color w:val="000000"/>
          <w:sz w:val="24"/>
          <w:u w:val="none"/>
          <w:lang w:val="en-US" w:eastAsia="zh-CN"/>
        </w:rPr>
        <w:t>装置内使用的电气设备、机械设备的电机、照明、开关箱，不防爆或防爆级别不够，在电气设备运行时，产生电火花，存在引发火灾爆炸的危险；</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2 \* GB3 \* MERGEFORMAT </w:instrText>
      </w:r>
      <w:r>
        <w:rPr>
          <w:rFonts w:hint="default"/>
          <w:color w:val="000000"/>
          <w:sz w:val="24"/>
          <w:u w:val="none"/>
          <w:lang w:val="en-US" w:eastAsia="zh-CN"/>
        </w:rPr>
        <w:fldChar w:fldCharType="separate"/>
      </w:r>
      <w:r>
        <w:t>②</w:t>
      </w:r>
      <w:r>
        <w:rPr>
          <w:rFonts w:hint="default"/>
          <w:color w:val="000000"/>
          <w:sz w:val="24"/>
          <w:u w:val="none"/>
          <w:lang w:val="en-US" w:eastAsia="zh-CN"/>
        </w:rPr>
        <w:fldChar w:fldCharType="end"/>
      </w:r>
      <w:r>
        <w:rPr>
          <w:rFonts w:hint="eastAsia"/>
          <w:color w:val="000000"/>
          <w:sz w:val="24"/>
          <w:u w:val="none"/>
          <w:lang w:val="en-US" w:eastAsia="zh-CN"/>
        </w:rPr>
        <w:t>在设备检修时，检修的设备如果没有与系统彻底的断开、隔离，并对被检修的设备进行置换，没有进行易燃易爆物质的测定并达到合格，就违章进行动火、烧焊作业，存在爆炸的极大危险；</w:t>
      </w:r>
    </w:p>
    <w:p>
      <w:pPr>
        <w:spacing w:line="360" w:lineRule="auto"/>
        <w:ind w:firstLine="480" w:firstLineChars="200"/>
        <w:jc w:val="left"/>
        <w:rPr>
          <w:rFonts w:hint="eastAsia"/>
          <w:color w:val="000000"/>
          <w:sz w:val="24"/>
          <w:u w:val="none"/>
          <w:lang w:val="en-US" w:eastAsia="zh-CN"/>
        </w:rPr>
      </w:pPr>
      <w:r>
        <w:rPr>
          <w:rFonts w:hint="default"/>
          <w:color w:val="000000"/>
          <w:sz w:val="24"/>
          <w:u w:val="none"/>
          <w:lang w:val="en-US" w:eastAsia="zh-CN"/>
        </w:rPr>
        <w:fldChar w:fldCharType="begin"/>
      </w:r>
      <w:r>
        <w:rPr>
          <w:rFonts w:hint="default"/>
          <w:color w:val="000000"/>
          <w:sz w:val="24"/>
          <w:u w:val="none"/>
          <w:lang w:val="en-US" w:eastAsia="zh-CN"/>
        </w:rPr>
        <w:instrText xml:space="preserve"> = 3 \* GB3 \* MERGEFORMAT </w:instrText>
      </w:r>
      <w:r>
        <w:rPr>
          <w:rFonts w:hint="default"/>
          <w:color w:val="000000"/>
          <w:sz w:val="24"/>
          <w:u w:val="none"/>
          <w:lang w:val="en-US" w:eastAsia="zh-CN"/>
        </w:rPr>
        <w:fldChar w:fldCharType="separate"/>
      </w:r>
      <w:r>
        <w:t>③</w:t>
      </w:r>
      <w:r>
        <w:rPr>
          <w:rFonts w:hint="default"/>
          <w:color w:val="000000"/>
          <w:sz w:val="24"/>
          <w:u w:val="none"/>
          <w:lang w:val="en-US" w:eastAsia="zh-CN"/>
        </w:rPr>
        <w:fldChar w:fldCharType="end"/>
      </w:r>
      <w:r>
        <w:rPr>
          <w:rFonts w:hint="eastAsia"/>
          <w:color w:val="000000"/>
          <w:sz w:val="24"/>
          <w:u w:val="none"/>
          <w:lang w:val="en-US" w:eastAsia="zh-CN"/>
        </w:rPr>
        <w:t>焚烧处置厂区危废储罐区应设计有防火堤，为贮罐配置的专用泵，应建在防火堤外，否则当储罐、管道发生泄漏会造成漫流，进入由高热的泵区，存在引发火灾爆炸的危险。</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（3）事故伴生/次生污染</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次项目在贮存、运输和生产过程中可能发生泄漏和火灾爆炸事故，事故发生过程中会产生伴生和次生的危害。本项目引发火灾爆炸事故时，事故应急救援中产生的消防废水，沿雨水沟外排，将对受纳水体产生严重污染；扑灭火灾产生的废消防砂等，若事故后随意丢弃，将对环境产生二次污染。</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2、环境风险途径</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由于卸扣、火灾爆炸等事故，有毒有害物料会以气态或液态形式释放至环境中，造成环境影响。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（1）水体中的弥散</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有毒有害物质进入水体环境的方式主要有两种情况，一是液体泄漏直接进入水体的情况，二是火灾爆炸时含有毒有害化学物质的消防水由于处理措施不当直接排入地表水体，引起环境污染。进入水体环境的有毒有害物质是通过复杂的物理化学过程被稀释、扩散和降解，包括水中颗粒物及底部沉积物对它的吸附作用、有毒物质在水/气界面上的挥发作用、生物化学的转化等过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（2）大气中的扩散</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有毒有害物质进入环境空气的方式主要有三种情况，一是储存过程中毒性气体的泄漏，二是火灾爆炸时未完全燃烧的有毒有害物质，三是环保设施故障超标排放的有毒有害气体。</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毒性气体云团通过大气自身的净化作用被稀释、扩散，包括平流扩散、湍流扩散和清除机制，对于密度高于空气的云团在其稀释至安全浓度前，这些云团可以在较大范围内扩散，影响范围大。</w:t>
      </w:r>
    </w:p>
    <w:p>
      <w:pPr>
        <w:topLinePunct/>
        <w:spacing w:line="360" w:lineRule="auto"/>
        <w:jc w:val="left"/>
        <w:rPr>
          <w:rFonts w:hint="default"/>
          <w:b/>
          <w:sz w:val="24"/>
          <w:u w:val="none"/>
          <w:lang w:val="en-US" w:eastAsia="zh-CN"/>
        </w:rPr>
      </w:pPr>
      <w:r>
        <w:rPr>
          <w:rFonts w:hint="eastAsia"/>
          <w:b/>
          <w:sz w:val="24"/>
          <w:u w:val="none"/>
          <w:lang w:val="en-US" w:eastAsia="zh-CN"/>
        </w:rPr>
        <w:t>9.5.4风险识别结果</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本项目环境风险识别汇总见下表。</w:t>
      </w:r>
    </w:p>
    <w:p>
      <w:pPr>
        <w:pStyle w:val="352"/>
        <w:bidi w:val="0"/>
        <w:rPr>
          <w:rFonts w:hint="eastAsia"/>
          <w:lang w:val="en-US" w:eastAsia="zh-CN"/>
        </w:rPr>
      </w:pPr>
      <w:r>
        <w:rPr>
          <w:rFonts w:hint="eastAsia"/>
          <w:lang w:val="en-US" w:eastAsia="zh-CN"/>
        </w:rPr>
        <w:t>表9-5  本项目环境风险识别一览表</w:t>
      </w:r>
    </w:p>
    <w:tbl>
      <w:tblPr>
        <w:tblStyle w:val="59"/>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065"/>
        <w:gridCol w:w="1065"/>
        <w:gridCol w:w="2040"/>
        <w:gridCol w:w="1125"/>
        <w:gridCol w:w="177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vertAlign w:val="baseline"/>
                <w:lang w:val="en-US" w:eastAsia="zh-CN"/>
              </w:rPr>
            </w:pPr>
            <w:r>
              <w:rPr>
                <w:rFonts w:hint="eastAsia"/>
                <w:b/>
                <w:bCs/>
                <w:sz w:val="21"/>
                <w:szCs w:val="21"/>
                <w:u w:val="none"/>
                <w:vertAlign w:val="baseline"/>
                <w:lang w:val="en-US" w:eastAsia="zh-CN"/>
              </w:rPr>
              <w:t>序号</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vertAlign w:val="baseline"/>
                <w:lang w:val="en-US" w:eastAsia="zh-CN"/>
              </w:rPr>
            </w:pPr>
            <w:r>
              <w:rPr>
                <w:rFonts w:hint="eastAsia"/>
                <w:b/>
                <w:bCs/>
                <w:sz w:val="21"/>
                <w:szCs w:val="21"/>
                <w:u w:val="none"/>
                <w:vertAlign w:val="baseline"/>
                <w:lang w:val="en-US" w:eastAsia="zh-CN"/>
              </w:rPr>
              <w:t>危险单元</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sz w:val="21"/>
                <w:szCs w:val="21"/>
                <w:u w:val="none"/>
                <w:vertAlign w:val="baseline"/>
                <w:lang w:val="en-US" w:eastAsia="zh-CN"/>
              </w:rPr>
            </w:pPr>
            <w:r>
              <w:rPr>
                <w:rFonts w:hint="eastAsia"/>
                <w:b/>
                <w:bCs/>
                <w:sz w:val="21"/>
                <w:szCs w:val="21"/>
                <w:u w:val="none"/>
                <w:vertAlign w:val="baseline"/>
                <w:lang w:val="en-US" w:eastAsia="zh-CN"/>
              </w:rPr>
              <w:t>风险源</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vertAlign w:val="baseline"/>
                <w:lang w:val="en-US" w:eastAsia="zh-CN"/>
              </w:rPr>
            </w:pPr>
            <w:r>
              <w:rPr>
                <w:rFonts w:hint="eastAsia"/>
                <w:b/>
                <w:bCs/>
                <w:sz w:val="21"/>
                <w:szCs w:val="21"/>
                <w:u w:val="none"/>
                <w:vertAlign w:val="baseline"/>
                <w:lang w:val="en-US" w:eastAsia="zh-CN"/>
              </w:rPr>
              <w:t>危险物质</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vertAlign w:val="baseline"/>
                <w:lang w:val="en-US" w:eastAsia="zh-CN"/>
              </w:rPr>
            </w:pPr>
            <w:r>
              <w:rPr>
                <w:rFonts w:hint="eastAsia"/>
                <w:b/>
                <w:bCs/>
                <w:sz w:val="21"/>
                <w:szCs w:val="21"/>
                <w:u w:val="none"/>
                <w:vertAlign w:val="baseline"/>
                <w:lang w:val="en-US" w:eastAsia="zh-CN"/>
              </w:rPr>
              <w:t>环境风险类型</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sz w:val="21"/>
                <w:szCs w:val="21"/>
                <w:u w:val="none"/>
                <w:vertAlign w:val="baseline"/>
                <w:lang w:val="en-US" w:eastAsia="zh-CN"/>
              </w:rPr>
            </w:pPr>
            <w:r>
              <w:rPr>
                <w:rFonts w:hint="eastAsia"/>
                <w:b/>
                <w:bCs/>
                <w:sz w:val="21"/>
                <w:szCs w:val="21"/>
                <w:u w:val="none"/>
                <w:vertAlign w:val="baseline"/>
                <w:lang w:val="en-US" w:eastAsia="zh-CN"/>
              </w:rPr>
              <w:t>环境影响</w:t>
            </w:r>
          </w:p>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sz w:val="21"/>
                <w:szCs w:val="21"/>
                <w:u w:val="none"/>
                <w:vertAlign w:val="baseline"/>
                <w:lang w:val="en-US" w:eastAsia="zh-CN"/>
              </w:rPr>
            </w:pPr>
            <w:r>
              <w:rPr>
                <w:rFonts w:hint="eastAsia"/>
                <w:b/>
                <w:bCs/>
                <w:sz w:val="21"/>
                <w:szCs w:val="21"/>
                <w:u w:val="none"/>
                <w:vertAlign w:val="baseline"/>
                <w:lang w:val="en-US" w:eastAsia="zh-CN"/>
              </w:rPr>
              <w:t>途径</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sz w:val="21"/>
                <w:szCs w:val="21"/>
                <w:u w:val="none"/>
                <w:vertAlign w:val="baseline"/>
                <w:lang w:val="en-US" w:eastAsia="zh-CN"/>
              </w:rPr>
            </w:pPr>
            <w:r>
              <w:rPr>
                <w:rFonts w:hint="eastAsia"/>
                <w:b/>
                <w:bCs/>
                <w:sz w:val="21"/>
                <w:szCs w:val="21"/>
                <w:u w:val="none"/>
                <w:vertAlign w:val="baseline"/>
                <w:lang w:val="en-US" w:eastAsia="zh-CN"/>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1</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val="0"/>
                <w:bCs w:val="0"/>
                <w:sz w:val="21"/>
                <w:szCs w:val="21"/>
                <w:u w:val="none"/>
                <w:vertAlign w:val="baseline"/>
                <w:lang w:val="en-US" w:eastAsia="zh-CN"/>
              </w:rPr>
            </w:pPr>
            <w:r>
              <w:rPr>
                <w:rFonts w:hint="eastAsia"/>
                <w:b w:val="0"/>
                <w:bCs w:val="0"/>
                <w:sz w:val="21"/>
                <w:szCs w:val="21"/>
                <w:u w:val="none"/>
                <w:vertAlign w:val="baseline"/>
                <w:lang w:val="en-US" w:eastAsia="zh-CN"/>
              </w:rPr>
              <w:t>生产装置</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微波消毒系统</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医疗废物、病原微生物</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泄漏、火灾、爆炸</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大气、地表水、地下水、土壤</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周边居住区、周边水体、浅层地下水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2</w:t>
            </w:r>
          </w:p>
        </w:tc>
        <w:tc>
          <w:tcPr>
            <w:tcW w:w="1065"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储运系统</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运输车辆</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医疗废物、病原微生物</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泄漏</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大气、地表水、地下水、土壤</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周边居住区、周边水体、浅层地下水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3</w:t>
            </w:r>
          </w:p>
        </w:tc>
        <w:tc>
          <w:tcPr>
            <w:tcW w:w="106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冷库</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医疗废物；病原微生物；氨、硫化氢等恶臭气体</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泄漏、火灾、爆炸</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大气、地表水、地下水、土壤</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周边居住区、周边水体、浅层地下水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4</w:t>
            </w:r>
          </w:p>
        </w:tc>
        <w:tc>
          <w:tcPr>
            <w:tcW w:w="1065" w:type="dxa"/>
            <w:vMerge w:val="restart"/>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环保设施</w:t>
            </w: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废气治理设施</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病原微生物；氨、硫化氢、VOCs等恶臭气体</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泄漏、火灾、爆炸</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大气、地表水、地下水、土壤</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周边居住区、周边水体、浅层地下水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val="0"/>
                <w:bCs w:val="0"/>
                <w:sz w:val="21"/>
                <w:szCs w:val="21"/>
                <w:u w:val="none"/>
                <w:vertAlign w:val="baseline"/>
                <w:lang w:val="en-US" w:eastAsia="zh-CN"/>
              </w:rPr>
            </w:pPr>
            <w:r>
              <w:rPr>
                <w:rFonts w:hint="eastAsia"/>
                <w:b w:val="0"/>
                <w:bCs w:val="0"/>
                <w:sz w:val="21"/>
                <w:szCs w:val="21"/>
                <w:u w:val="none"/>
                <w:vertAlign w:val="baseline"/>
                <w:lang w:val="en-US" w:eastAsia="zh-CN"/>
              </w:rPr>
              <w:t>5</w:t>
            </w:r>
          </w:p>
        </w:tc>
        <w:tc>
          <w:tcPr>
            <w:tcW w:w="1065" w:type="dxa"/>
            <w:vMerge w:val="continue"/>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p>
        </w:tc>
        <w:tc>
          <w:tcPr>
            <w:tcW w:w="106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废水处理站</w:t>
            </w:r>
          </w:p>
        </w:tc>
        <w:tc>
          <w:tcPr>
            <w:tcW w:w="204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事故废水</w:t>
            </w:r>
          </w:p>
        </w:tc>
        <w:tc>
          <w:tcPr>
            <w:tcW w:w="1125"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泄漏</w:t>
            </w:r>
          </w:p>
        </w:tc>
        <w:tc>
          <w:tcPr>
            <w:tcW w:w="1770"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地表水、地下水、土壤</w:t>
            </w:r>
          </w:p>
        </w:tc>
        <w:tc>
          <w:tcPr>
            <w:tcW w:w="1846" w:type="dxa"/>
            <w:vAlign w:val="center"/>
          </w:tcPr>
          <w:p>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sz w:val="21"/>
                <w:szCs w:val="21"/>
                <w:u w:val="none"/>
                <w:vertAlign w:val="baseline"/>
                <w:lang w:val="en-US" w:eastAsia="zh-CN"/>
              </w:rPr>
            </w:pPr>
            <w:r>
              <w:rPr>
                <w:rFonts w:hint="eastAsia"/>
                <w:b w:val="0"/>
                <w:bCs w:val="0"/>
                <w:sz w:val="21"/>
                <w:szCs w:val="21"/>
                <w:u w:val="none"/>
                <w:vertAlign w:val="baseline"/>
                <w:lang w:val="en-US" w:eastAsia="zh-CN"/>
              </w:rPr>
              <w:t>周边水体、浅层地下水</w:t>
            </w:r>
          </w:p>
        </w:tc>
      </w:tr>
    </w:tbl>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结合项目工艺特点，综合考虑物料数量、性状及危险特性，本项目危险单元分布图详见下图。</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pStyle w:val="352"/>
              <w:keepNext w:val="0"/>
              <w:keepLines w:val="0"/>
              <w:suppressLineNumbers w:val="0"/>
              <w:bidi w:val="0"/>
              <w:spacing w:before="0" w:beforeAutospacing="0" w:after="0" w:afterAutospacing="0"/>
              <w:ind w:left="0" w:right="0"/>
              <w:rPr>
                <w:rFonts w:hint="eastAsia"/>
                <w:vertAlign w:val="baseline"/>
                <w:lang w:val="en-US" w:eastAsia="zh-CN"/>
              </w:rPr>
            </w:pPr>
            <w:r>
              <w:rPr>
                <w:rFonts w:hint="eastAsia"/>
                <w:vertAlign w:val="baseline"/>
                <w:lang w:val="en-US" w:eastAsia="zh-CN"/>
              </w:rPr>
              <w:drawing>
                <wp:inline distT="0" distB="0" distL="114300" distR="114300">
                  <wp:extent cx="5715000" cy="3228340"/>
                  <wp:effectExtent l="9525" t="9525" r="9525" b="19685"/>
                  <wp:docPr id="16" name="图片 16" descr="风险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风险单元分布图"/>
                          <pic:cNvPicPr>
                            <a:picLocks noChangeAspect="1"/>
                          </pic:cNvPicPr>
                        </pic:nvPicPr>
                        <pic:blipFill>
                          <a:blip r:embed="rId308"/>
                          <a:srcRect t="18309" b="18926"/>
                          <a:stretch>
                            <a:fillRect/>
                          </a:stretch>
                        </pic:blipFill>
                        <pic:spPr>
                          <a:xfrm>
                            <a:off x="0" y="0"/>
                            <a:ext cx="5715000" cy="3228340"/>
                          </a:xfrm>
                          <a:prstGeom prst="rect">
                            <a:avLst/>
                          </a:prstGeom>
                          <a:ln>
                            <a:solidFill>
                              <a:srgbClr val="0000FF"/>
                            </a:solidFill>
                          </a:ln>
                        </pic:spPr>
                      </pic:pic>
                    </a:graphicData>
                  </a:graphic>
                </wp:inline>
              </w:drawing>
            </w:r>
          </w:p>
        </w:tc>
      </w:tr>
    </w:tbl>
    <w:p>
      <w:pPr>
        <w:pStyle w:val="352"/>
        <w:bidi w:val="0"/>
        <w:rPr>
          <w:rFonts w:hint="default"/>
          <w:lang w:val="en-US" w:eastAsia="zh-CN"/>
        </w:rPr>
      </w:pPr>
      <w:r>
        <w:rPr>
          <w:rFonts w:hint="eastAsia"/>
          <w:lang w:val="en-US" w:eastAsia="zh-CN"/>
        </w:rPr>
        <w:t>图9-1  本项目危险单元分布图</w:t>
      </w:r>
    </w:p>
    <w:p>
      <w:pPr>
        <w:pStyle w:val="3"/>
        <w:rPr>
          <w:rFonts w:hint="eastAsia" w:ascii="Times New Roman" w:hAnsi="Times New Roman"/>
          <w:sz w:val="28"/>
          <w:szCs w:val="28"/>
          <w:u w:val="none"/>
          <w:lang w:val="en-US" w:eastAsia="zh-CN"/>
        </w:rPr>
      </w:pPr>
      <w:bookmarkStart w:id="88" w:name="_Toc21724"/>
      <w:r>
        <w:rPr>
          <w:rFonts w:hint="eastAsia" w:ascii="Times New Roman" w:hAnsi="Times New Roman"/>
          <w:sz w:val="28"/>
          <w:szCs w:val="28"/>
          <w:u w:val="none"/>
          <w:lang w:val="en-US" w:eastAsia="zh-CN"/>
        </w:rPr>
        <w:t>9.6环境风险分析</w:t>
      </w:r>
      <w:bookmarkEnd w:id="88"/>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1、污水处理站事故废水风险分析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因污染物防治设施非正常使用，如：管道破裂、泵设备损坏或失效、人为操作失误等，导致废水污染物未经处理直接排放至环境而引起的污染风险事故是比较常见的。但该项目废水污染物成分特殊，其影响程度远大于达标排放。项目废水非正常排放会加大污染负荷，将灌溉沟渠水质造成一定的影响。废水事故排放情况下，废水未经处理渗入到地下水环境中，将对项目所在区域地下水环境造成污染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污水处理站的废水中不可避免存在各种细菌、病毒和寄生虫卵。病原细菌有沙门氏菌、痢疾志贺氏菌、霍乱菌、结核分枝杆菌、布鲁氏菌属以及炭疽杆菌等。其中病原性细菌介水传播的有痢疾、伤害、霍乱、结核杆菌等。病原性细菌具有适应环境能力强的特点，可以根据外界环境的变化而使其自身发生变异。当废水未经处理直接排放至水体时或事故废水下渗污染地下水时，便可使病原性细菌通过水体造成传播疾病的危险。</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eastAsia="zh-CN"/>
        </w:rPr>
        <w:t>医疗事故废水入渗到地下，在地下水运动输送下，有可能会对项目南西面</w:t>
      </w:r>
      <w:r>
        <w:rPr>
          <w:rFonts w:hint="eastAsia"/>
          <w:color w:val="000000"/>
          <w:sz w:val="24"/>
          <w:u w:val="none"/>
          <w:lang w:val="en-US" w:eastAsia="zh-CN"/>
        </w:rPr>
        <w:t>1000m处的地下水水质造成污染影响。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2、医疗废弃物风险分析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（1）医疗废物暂时贮存事故分析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生产车间处理的物料为医疗废物，应将各生产装置置于地面之上，与地面保持一定的距离。本项目医疗废物暂存间一般存储1天的医疗废物处置量，且均是以医疗废物转运箱形式进行储存，若发生泄漏事故，一般是以单箱医疗废物泄漏的情况为主，医疗废物泄漏量约为20kg，影响范围仅局限在医疗废物生产车间内，且生产车间内设置通风排气风机，安装空气过滤器和活性炭吸附柱，滤除其中可能存在的细菌以及异味，可以有效防止对外界环境及人群健康造成的威胁。</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（2）医疗废物处置过程事故分析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若出现事故导致医疗废物处置设施不能正产运行，则旺苍县的医疗垃圾不能及时处理，滞留在各医院，可能对医院内人员及周边群众健康造成影响。同时滞留在生产车间及处置机内的医疗废物可能会散发出有害气体，危害工作人员健康，污染环境。</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3、污水处理设施渗漏对地下水污染的风险分析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污水收集水沟、污水处理站、化粪池、污水事故池、初期雨水收集池均采取了防渗措施，正常情况下污水不会进入到地下水系统中。如果防渗工程质量不能达到设计要求，则废水会渗入到地下水系统中，对地下水造成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4、危险废物暂存间对地下水的污染风险分析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产生的危险废物包括：废气处理系统产生的废旋流塔污泥、废活性炭、污水站污泥等。危险废物应严格按照《危险废物贮存污染控制标准》（GB18597-2001）及环保部公告2013年第36号要求分类收集后，妥善暂存于危险废物暂存间内。危险废物暂存间采取了严格的防渗措施，正常情况下不会对地下水造成污染影响。但是，当危险废物暂存间防渗措施工程质量不能达到设计要求或管理不情况下，危废有可能进入到暂存间地下水系统中，对地下水造成污染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5、医疗废物运输事故分析</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在道路上，运输由危险废物的车辆发生交通事故与各种因素有关，这些因素包括：驾驶员个人因素、危险废物的运量、车次、车速、交通量、道路状况等条件；道路所在地区气候条件等因素，经分析，这种交通事故发生的频率可用下式表达：</w:t>
      </w:r>
    </w:p>
    <w:p>
      <w:pPr>
        <w:spacing w:line="360" w:lineRule="auto"/>
        <w:ind w:firstLine="480" w:firstLineChars="200"/>
        <w:jc w:val="center"/>
        <w:rPr>
          <w:rFonts w:hint="default"/>
          <w:color w:val="000000"/>
          <w:sz w:val="24"/>
          <w:u w:val="none"/>
          <w:lang w:val="en-US" w:eastAsia="zh-CN"/>
        </w:rPr>
      </w:pPr>
      <w:r>
        <w:rPr>
          <w:rFonts w:hint="default"/>
          <w:color w:val="000000"/>
          <w:position w:val="-12"/>
          <w:sz w:val="24"/>
          <w:u w:val="none"/>
          <w:lang w:val="en-US" w:eastAsia="zh-CN"/>
        </w:rPr>
        <w:object>
          <v:shape id="_x0000_i1170" o:spt="75" type="#_x0000_t75" style="height:18pt;width:99pt;" o:ole="t" filled="f" o:preferrelative="t" stroked="f" coordsize="21600,21600">
            <v:path/>
            <v:fill on="f" focussize="0,0"/>
            <v:stroke on="f"/>
            <v:imagedata r:id="rId310" o:title=""/>
            <o:lock v:ext="edit" aspectratio="t"/>
            <w10:wrap type="none"/>
            <w10:anchorlock/>
          </v:shape>
          <o:OLEObject Type="Embed" ProgID="Equation.KSEE3" ShapeID="_x0000_i1170" DrawAspect="Content" ObjectID="_1468075870" r:id="rId309">
            <o:LockedField>false</o:LockedField>
          </o:OLEObject>
        </w:objec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式中：</w:t>
      </w:r>
      <w:r>
        <w:rPr>
          <w:rFonts w:hint="eastAsia"/>
          <w:color w:val="000000"/>
          <w:position w:val="-4"/>
          <w:sz w:val="24"/>
          <w:u w:val="none"/>
          <w:lang w:eastAsia="zh-CN"/>
        </w:rPr>
        <w:object>
          <v:shape id="_x0000_i1171" o:spt="75" type="#_x0000_t75" style="height:13pt;width:12pt;" o:ole="t" filled="f" o:preferrelative="t" stroked="f" coordsize="21600,21600">
            <v:path/>
            <v:fill on="f" focussize="0,0"/>
            <v:stroke on="f"/>
            <v:imagedata r:id="rId312" o:title=""/>
            <o:lock v:ext="edit" aspectratio="t"/>
            <w10:wrap type="none"/>
            <w10:anchorlock/>
          </v:shape>
          <o:OLEObject Type="Embed" ProgID="Equation.KSEE3" ShapeID="_x0000_i1171" DrawAspect="Content" ObjectID="_1468075871" r:id="rId311">
            <o:LockedField>false</o:LockedField>
          </o:OLEObject>
        </w:object>
      </w:r>
      <w:r>
        <w:rPr>
          <w:rFonts w:hint="eastAsia"/>
          <w:color w:val="000000"/>
          <w:sz w:val="24"/>
          <w:u w:val="none"/>
          <w:lang w:eastAsia="zh-CN"/>
        </w:rPr>
        <w:t>——预测危险品发生风险事故的概率（次</w:t>
      </w:r>
      <w:r>
        <w:rPr>
          <w:rFonts w:hint="eastAsia"/>
          <w:color w:val="000000"/>
          <w:sz w:val="24"/>
          <w:u w:val="none"/>
          <w:lang w:val="en-US" w:eastAsia="zh-CN"/>
        </w:rPr>
        <w:t>/年</w:t>
      </w:r>
      <w:r>
        <w:rPr>
          <w:rFonts w:hint="eastAsia"/>
          <w:color w:val="000000"/>
          <w:sz w:val="24"/>
          <w:u w:val="none"/>
          <w:lang w:eastAsia="zh-CN"/>
        </w:rPr>
        <w:t>）；</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10"/>
          <w:sz w:val="24"/>
          <w:u w:val="none"/>
          <w:lang w:val="en-US" w:eastAsia="zh-CN"/>
        </w:rPr>
        <w:object>
          <v:shape id="_x0000_i1172" o:spt="75" type="#_x0000_t75" style="height:17pt;width:13.95pt;" o:ole="t" filled="f" o:preferrelative="t" stroked="f" coordsize="21600,21600">
            <v:path/>
            <v:fill on="f" focussize="0,0"/>
            <v:stroke on="f"/>
            <v:imagedata r:id="rId314" o:title=""/>
            <o:lock v:ext="edit" aspectratio="t"/>
            <w10:wrap type="none"/>
            <w10:anchorlock/>
          </v:shape>
          <o:OLEObject Type="Embed" ProgID="Equation.KSEE3" ShapeID="_x0000_i1172" DrawAspect="Content" ObjectID="_1468075872" r:id="rId313">
            <o:LockedField>false</o:LockedField>
          </o:OLEObject>
        </w:object>
      </w:r>
      <w:r>
        <w:rPr>
          <w:rFonts w:hint="eastAsia"/>
          <w:color w:val="000000"/>
          <w:sz w:val="24"/>
          <w:u w:val="none"/>
          <w:lang w:val="en-US" w:eastAsia="zh-CN"/>
        </w:rPr>
        <w:t>——该地区目前发生重大交通事故的概率（次/万辆·公里）；</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10"/>
          <w:sz w:val="24"/>
          <w:u w:val="none"/>
          <w:lang w:val="en-US" w:eastAsia="zh-CN"/>
        </w:rPr>
        <w:object>
          <v:shape id="_x0000_i1173" o:spt="75" type="#_x0000_t75" style="height:17pt;width:16pt;" o:ole="t" filled="f" o:preferrelative="t" stroked="f" coordsize="21600,21600">
            <v:path/>
            <v:fill on="f" focussize="0,0"/>
            <v:stroke on="f"/>
            <v:imagedata r:id="rId316" o:title=""/>
            <o:lock v:ext="edit" aspectratio="t"/>
            <w10:wrap type="none"/>
            <w10:anchorlock/>
          </v:shape>
          <o:OLEObject Type="Embed" ProgID="Equation.KSEE3" ShapeID="_x0000_i1173" DrawAspect="Content" ObjectID="_1468075873" r:id="rId315">
            <o:LockedField>false</o:LockedField>
          </o:OLEObject>
        </w:object>
      </w:r>
      <w:r>
        <w:rPr>
          <w:rFonts w:hint="eastAsia"/>
          <w:color w:val="000000"/>
          <w:sz w:val="24"/>
          <w:u w:val="none"/>
          <w:lang w:val="en-US" w:eastAsia="zh-CN"/>
        </w:rPr>
        <w:t>——每年的交通量（万辆/年）；</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12"/>
          <w:sz w:val="24"/>
          <w:u w:val="none"/>
          <w:lang w:val="en-US" w:eastAsia="zh-CN"/>
        </w:rPr>
        <w:object>
          <v:shape id="_x0000_i1174" o:spt="75" type="#_x0000_t75" style="height:18pt;width:15pt;" o:ole="t" filled="f" o:preferrelative="t" stroked="f" coordsize="21600,21600">
            <v:path/>
            <v:fill on="f" focussize="0,0"/>
            <v:stroke on="f"/>
            <v:imagedata r:id="rId318" o:title=""/>
            <o:lock v:ext="edit" aspectratio="t"/>
            <w10:wrap type="none"/>
            <w10:anchorlock/>
          </v:shape>
          <o:OLEObject Type="Embed" ProgID="Equation.KSEE3" ShapeID="_x0000_i1174" DrawAspect="Content" ObjectID="_1468075874" r:id="rId317">
            <o:LockedField>false</o:LockedField>
          </o:OLEObject>
        </w:object>
      </w:r>
      <w:r>
        <w:rPr>
          <w:rFonts w:hint="eastAsia"/>
          <w:color w:val="000000"/>
          <w:sz w:val="24"/>
          <w:u w:val="none"/>
          <w:lang w:val="en-US" w:eastAsia="zh-CN"/>
        </w:rPr>
        <w:t>——运输路线里程（公里）；</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10"/>
          <w:sz w:val="24"/>
          <w:u w:val="none"/>
          <w:lang w:val="en-US" w:eastAsia="zh-CN"/>
        </w:rPr>
        <w:object>
          <v:shape id="_x0000_i1175" o:spt="75" type="#_x0000_t75" style="height:17pt;width:16pt;" o:ole="t" filled="f" o:preferrelative="t" stroked="f" coordsize="21600,21600">
            <v:path/>
            <v:fill on="f" focussize="0,0"/>
            <v:stroke on="f"/>
            <v:imagedata r:id="rId320" o:title=""/>
            <o:lock v:ext="edit" aspectratio="t"/>
            <w10:wrap type="none"/>
            <w10:anchorlock/>
          </v:shape>
          <o:OLEObject Type="Embed" ProgID="Equation.KSEE3" ShapeID="_x0000_i1175" DrawAspect="Content" ObjectID="_1468075875" r:id="rId319">
            <o:LockedField>false</o:LockedField>
          </o:OLEObject>
        </w:object>
      </w:r>
      <w:r>
        <w:rPr>
          <w:rFonts w:hint="eastAsia"/>
          <w:color w:val="000000"/>
          <w:sz w:val="24"/>
          <w:u w:val="none"/>
          <w:lang w:val="en-US" w:eastAsia="zh-CN"/>
        </w:rPr>
        <w:t>——危险废物运输车辆占交通量的比例（%）。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据统计，类比同类项目道路交通事故发生概率，危险废物运输车辆发生风险事故的概率约为0.00003次/年，发生运输风险概率较低，但一旦发生事故，会对事发地点的周围人群健康和环境产生不良影响。医疗废物中感染性废物中含有大量致病微生物及传染病原，在发生交通事故时，若这些物质洒落于地，则可能感染事故现场周围人群，影响人群健康。本项目医疗废物运输过程，若医疗废物洒落到河流中，将会影响这些河流下游人畜用水安全。</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6、消毒剂风险</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本项目使用的消毒剂为84消毒液，厂区储存量0.2t，使用量为0.67kg/d。消毒液在贮存和使用过程中，由于贮存装置破裂，或人员操作不当，造成泄漏，可能导致人员中毒和环境污染。</w:t>
      </w:r>
    </w:p>
    <w:p>
      <w:pPr>
        <w:pStyle w:val="3"/>
        <w:rPr>
          <w:rFonts w:hint="default" w:ascii="Times New Roman" w:hAnsi="Times New Roman" w:eastAsia="宋体" w:cs="Times New Roman"/>
          <w:sz w:val="28"/>
          <w:szCs w:val="28"/>
          <w:u w:val="none"/>
          <w:lang w:val="en-US" w:eastAsia="zh-CN"/>
        </w:rPr>
      </w:pPr>
      <w:bookmarkStart w:id="89" w:name="_Toc1962"/>
      <w:r>
        <w:rPr>
          <w:rFonts w:hint="eastAsia" w:ascii="Times New Roman" w:hAnsi="Times New Roman" w:eastAsia="宋体" w:cs="Times New Roman"/>
          <w:sz w:val="28"/>
          <w:szCs w:val="28"/>
          <w:u w:val="none"/>
          <w:lang w:val="en-US" w:eastAsia="zh-CN"/>
        </w:rPr>
        <w:t>9.7风险防范措施及应急要求</w:t>
      </w:r>
      <w:bookmarkEnd w:id="89"/>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9.7.1强化管理及安全生产措施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1、建立科学、严格、完善的管理制度，层层落实责任到各级部门和个人，并制定相应的管理办法保证制度的实施。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医疗废物的贮存设施、处置系统在设计过程中应严格执行《医疗废物集中处置技术规范》、《医疗废物转运车技术要求》、《医疗废物专用包装物、容器标准和警示标识规范》、《危险废物污染防治技术政策》（环发【2003】199号文件）、《危险废物贮存污染控制标准》（GB18597-2001）中相关要求。</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3、工程设计应严格执行化工设备及压力容器制造及安装等行业的设计规范及标准，确保工程的优质、安全、稳定。</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4、采用先进的控制系统，准确控制操作条件，配备完善的报警系统和通讯系统，对生产过程实施全程监控。</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5、根据各处置单元及设施的具体特点，编制相应的操作规程。要有完整的开、停车程序，具备设备制定严格的操作要求。</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6、制定完善的防护措施， 如消防设施、配备相应的劳动保护。</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7、建立监督检查机制，对重点单元及设施（如微波消毒处置设备）进行定期、定点巡检。</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8、经常性组织岗位培训和演习，使职工了解可能出现风险事故的工况和条件，避免事故的发生；并做到事故发生后能进行应急处理。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9、在医疗废物的贮存及处置区域设立警示标志，严禁外来人员进入和从事各项活动。</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10、必须对生产过程进行跟班记录备案，并对与生产有关活动和学习进行存档，作为以后生产、学习和事故调查的宝贵资料。</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9.7.2污水处理站事故废水防范措施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1、加强废水处理设施的管理和维护，制定环保设施运转管理程序和规范，定期对环保设施进行检查，严禁违规操作，防患于未然。</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2、本项目废水处理站不设排口，并配套足够大的事故池，防治事故废水溢流进入雨水沟，排入地表水体。</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在废水、废气处理系统进、出口，建立事故的监测报警系统。对于废水处理系统的进行，应予以特别重视，监测系统应确保完善可靠。为了保证其正常运行，防治环境风险的发生，需对污水处理站提供应急电源，保证污水处理站用电不会停止，重要的设备需设有备用品，并备有应急的消毒剂，避免在污水处理设备出现事故的时候所排放的污水未经消毒便回用，可以采用人工添加消毒剂的方式加以弥补。</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4、定期检查和疏通废水管网，特别是管道衔接处，防治管道破损、废水泄漏污染地下水，防治泥沙沉积堵塞，保证管道通畅。</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5、管网干管和支管设计中，选择适当充满和最小设计流速，防止污泥沉积，严格控制处理单元的水量、水质、停留时间、负荷强度等，确保处理效果的稳定性。</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6、厂区内设置一有效容积不小于20m³的事故池，防止废水事故性排放对地表水和地下水造成环境污染。事故池应设为地下式以便废水的自流，同时应设置提升装置，便于将事故池中的废水提升至污水处理装置中处理，并保持事故应急池日常处于空置状态。</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9.7.3医疗废物处置过程中风险事故防范及突发传染情况应急措施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1、医疗废物处置过程中采取的风险防范措施主要有：</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（1）电源考虑配备双回路电源，并配备自动切换装置，防止停电时灭菌车间有害气体外逸、保证储存间的温度控制需要。</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（2）对医疗废物各处置设备进行预防性定期维护，减少机械设备故障率。设置备用风机和泵类，设备损坏和污染治理措施失效时立即停产，及时抢修。</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（3）严格执行操作规程和岗位责任制。</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（4）直接从事医疗废物处置的所有员工和生产管理人员必须经相应岗位技能、技术、医疗废物特性和防护知识培训，持证上岗。</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若出现事故导致医疗废物处置设施不能正常运行，建设单位可以通过广元市境内同类企业协调，在项目医疗废物处置车江不能正常工作需停产检修或正常检修期间（医疗废物处置中心冷藏库可暂时贮存1天的医疗的废物），医疗废物送同类企业，委托其代为处置该项目检修期间收集的医疗废物。</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9.7.4重大突发传染病情况应急措施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在卫生部发布重大传染病疫情期间，按照《中华人民共和国传染病防治法》第24条第（一）项的规定，甲类和乙类传染病中艾滋病、肺炭疽病的病人以及卫生部根据情况增加的其他需要隔离治理的甲类或者乙类传染病（如SARS）的病人、疑似病人在旺苍县医疗机构中产生的高度传染性医疗废物的集中处置，需要予以重视和特别处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此类医疗废物应由专人收集、双层包装，包装袋上应特别注明是高度传染性医疗废物。此类医疗废物在单独的暂时贮存场所存放，并由专人管理，不能与一般的医疗废物和生活废物混放、混装。贮存场所每天上、下午各消毒一次，用含氯消毒剂喷洒墙壁或者拖地消毒。</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医疗废物处置中心将使用固定的专用车辆由专人负责收运此类医疗废物，在收运中严格禁止与其他医疗废物混装、混运。收运时间错开上下班高峰期，收运路线避开人口稠密地区。每次卸载完毕，转运车辆必须使用含氯消毒剂喷洒消毒。</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收运人员的防护要求必须达到卫生部门规定的一级防护要求，即必须穿戴工作服、隔离衣、防护靴、工作帽、防护口罩一级防护目镜。每次收运工作完成后立即进行手清洗和消毒，并洗澡。手消毒采用0.3%~0.5%的碘伏消毒液或者快速手消毒剂揉搓1~3min。</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运到处置中心的此类医疗废物做到随到随处置，在处置中心的暂时贮存时间不得超过12小时。此类医疗废物在处置中心单独设施的隔离区进行处理，隔离区每天上、下午各消毒一次，用含氯消毒剂喷洒墙壁或拖地消毒。</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9.7.5污水处理设施风险防范措施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加强管理，定期对污水收集管道、污水处理站进行检修。废水处理站、事故池、初期雨水收集池采用防渗混凝土，池体表面涂刷水泥防渗透结晶性防渗涂材（防渗系数K≤10</w:t>
      </w:r>
      <w:r>
        <w:rPr>
          <w:rFonts w:hint="eastAsia"/>
          <w:color w:val="000000"/>
          <w:sz w:val="24"/>
          <w:u w:val="none"/>
          <w:vertAlign w:val="superscript"/>
          <w:lang w:val="en-US" w:eastAsia="zh-CN"/>
        </w:rPr>
        <w:t>-7</w:t>
      </w:r>
      <w:r>
        <w:rPr>
          <w:rFonts w:hint="eastAsia"/>
          <w:color w:val="000000"/>
          <w:sz w:val="24"/>
          <w:u w:val="none"/>
          <w:lang w:val="en-US" w:eastAsia="zh-CN"/>
        </w:rPr>
        <w:t>cm/s）。设置事故废水收集池20m³，防止事故废水外排。</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采取上述措施，可有效降低项目污水对地表水体和地下水体的污染风险。</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9.7.6危险废物暂存间风险防范措施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危险废物暂存间严格执行《危险废物贮存污染控制标准》（GB18597-2001）及其2013年修改单的有关防渗的要求，基础必须防渗，防渗层为至少1米厚黏土层（渗透系数≤10</w:t>
      </w:r>
      <w:r>
        <w:rPr>
          <w:rFonts w:hint="eastAsia"/>
          <w:color w:val="000000"/>
          <w:sz w:val="24"/>
          <w:u w:val="none"/>
          <w:vertAlign w:val="superscript"/>
          <w:lang w:val="en-US" w:eastAsia="zh-CN"/>
        </w:rPr>
        <w:t>-7</w:t>
      </w:r>
      <w:r>
        <w:rPr>
          <w:rFonts w:hint="eastAsia"/>
          <w:color w:val="000000"/>
          <w:sz w:val="24"/>
          <w:u w:val="none"/>
          <w:lang w:val="en-US" w:eastAsia="zh-CN"/>
        </w:rPr>
        <w:t>cm/s），或2毫米厚高密度聚乙烯，或至少2mm厚的其他人工材料，渗透系数≤10</w:t>
      </w:r>
      <w:r>
        <w:rPr>
          <w:rFonts w:hint="eastAsia"/>
          <w:color w:val="000000"/>
          <w:sz w:val="24"/>
          <w:u w:val="none"/>
          <w:vertAlign w:val="superscript"/>
          <w:lang w:val="en-US" w:eastAsia="zh-CN"/>
        </w:rPr>
        <w:t>-10</w:t>
      </w:r>
      <w:r>
        <w:rPr>
          <w:rFonts w:hint="eastAsia"/>
          <w:color w:val="000000"/>
          <w:sz w:val="24"/>
          <w:u w:val="none"/>
          <w:lang w:val="en-US" w:eastAsia="zh-CN"/>
        </w:rPr>
        <w:t>cm/s，做好防腐防渗措施，以防止和降低污染地下水的环境风险。</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9.7.7医疗废物收集运输过程中风险事故防范措施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运送过程中当发生翻车、撞车导致医疗废物大量溢出、散落时，运送人员应立即向本单位应急事故小组取得联系，请求当地公安交警、环境保护或城市应急联动中心的支援。同时，运送人员应采取下述应急措施：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1、立即请求公安交通警察在受污染地区设立隔离区，禁止其他车辆和行人穿过，避免污染物扩散和对行人造成伤害；</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2、对溢出、散落的医疗废物迅速进行收集、清理和消毒处理，对于液体溢出物采用吸附材料吸收处理、消毒；</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3、清理人员在进行清理工作时必须穿戴防护服、手套、口罩、靴等防护用品，清理工作结束后，用具和防护用品均须进行消毒处理；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4、如果在操作中，清理人员的身体（皮肤）不慎受到伤害，应及时采取处理措施，并到医院接受救治；</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5、清洁人员还须对被污染的现场地面进行消毒和清洁处理；</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6、医疗废物若散落水中，应根据河流的具体情况，及时通知水利部门、环保部门、公安部门、卫生部门、航道部门、河流下游的自来水厂、医疗废物处置中心等单位，采取措施防止受污染的水影响沿线居民身体健康和财产损失。</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对发生的事故采取上述应急措施的同时，处置单位必须向当地环保和卫生部门报告事故发生情况。事故处理完毕后，处置单位要向上述两个部门写出书面报告，报告的内容包括：</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1、事故发生的事件、地点、原因及其简要经过；</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2、泄漏、散落医疗废物的类型和数量、受污染的原因及医疗废物产生单位名称；</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3、医疗废物泄漏、散落已造成的危害和潜在影响；</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4、已采取的应急处理措施和处理结果。</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若交通道路被阻断，医疗废物不能及时运至处理中心时，医疗废物处置中心应及时与交通部门、公安部门联系，共同解决道路阻断问题或另找运输路线，保证医疗机构的医疗废物在医院的暂时贮存时间不超过2天。</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9.7.8消毒液风险防范措施</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消毒液暂存和使用区域，地面进行重点防渗处理，同时设置截排水沟，收集消毒废液和消毒废水，防治消毒液流入环境，污染环境。</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9.7.9环境风险应急预案</w:t>
      </w:r>
    </w:p>
    <w:p>
      <w:pPr>
        <w:spacing w:line="360" w:lineRule="auto"/>
        <w:ind w:firstLine="480" w:firstLineChars="200"/>
        <w:jc w:val="left"/>
        <w:rPr>
          <w:rFonts w:hint="eastAsia" w:cs="Times New Roman"/>
          <w:sz w:val="24"/>
          <w:u w:val="none"/>
          <w:lang w:eastAsia="zh-CN"/>
        </w:rPr>
      </w:pPr>
      <w:r>
        <w:rPr>
          <w:rFonts w:hint="eastAsia" w:cs="Times New Roman"/>
          <w:sz w:val="24"/>
          <w:u w:val="none"/>
          <w:lang w:eastAsia="zh-CN"/>
        </w:rPr>
        <w:t>依据《中华人民共和国环境保护法》、《中华人民共和国突发事件应对法》、《国家突发环境事件应急预案》、《企业事业单位突发环境事件应急预案备案管理办法（试行）》、《企业突发环境事件风险评估指南啊（试行）》及相关法律法规和规范性法律文件等规定，本项目在搬迁到新厂区后，项目应根据新厂址的周边环境、生产内容的变化情况、敏感目标的分布以及当前的技术规范的要求，制定突发环境事件应急预案并报德阳市环保局进行备案。</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eastAsia="zh-CN"/>
        </w:rPr>
        <w:t>本评价主要按照相关技术规范提出项目迁建后运行期间的应急预案的主要内容及关注重点，主要内容如下：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（1）建立联防联控应急预案体系</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公司应与周边企业、当地政府、旺苍县生态环境局之间建立应急联动机制，在公司突发环境事件后，公司应急组织在采取措施的同时根据报警程序马上向当地政府报告，若污染事故超出公司的污染应急能力时，向当地政府和周边企业发出救援请求，统筹配置应急救援组织机构、队伍、装备和物资，共享区域应急资源。如果污染事故超出公司和周边企业污染应急能力（或发生事故时周边暂无企业）时，公司应急指挥部应立即向旺苍县生态环境局和旺苍县政府请求支援，由政府指挥和调度。</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（2）应急预案编制要求</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企业事业单位的环境应急预案包括综合环境应急预案、专项应急预案和现场处置预案。</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对环境风险种类较多、可能发生多种类型突发事件的，企业事业单位应当编制综合环境应急预案。综合环境应急预案应当包括本单位的应急组织机构及其职责、预案体系及响应程序、事件预防及应急保障、应急培训及预案演练等内容。</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对某一种类的环境风险，企业事业单位应当根据存在的重大危险源和可能发生的突发事件类型，编制相应的专项环境应急预案。专项环境应急预案应当包括危险性分析、可能发生的事件特征、主要污染物种类、应急组织机构与职责、预防措施、应急处置程序和应急保障内容。</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对危险性较大的重点岗位，企业事业单位应当编制重点工作岗位的现场处置预案。现场处置预案应当包括危险性分析、可能发生的事件特征、应急处置程序、应急处置要点和注意事项等内容。</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企业事业单位编制的综合环境应急预案、专项环境应急预案和现场处置预案之间应当相互协调，并与所涉及的其他应急预案相互衔接。</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（3）环境应急预案内容</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1 \* GB3 \* MERGEFORMAT </w:instrText>
      </w:r>
      <w:r>
        <w:rPr>
          <w:rFonts w:hint="eastAsia"/>
          <w:color w:val="000000"/>
          <w:sz w:val="24"/>
          <w:szCs w:val="24"/>
          <w:u w:val="none"/>
          <w:lang w:val="en-US" w:eastAsia="zh-CN"/>
        </w:rPr>
        <w:fldChar w:fldCharType="separate"/>
      </w:r>
      <w:r>
        <w:rPr>
          <w:sz w:val="24"/>
          <w:szCs w:val="24"/>
          <w:u w:val="none"/>
        </w:rPr>
        <w:t>①</w:t>
      </w:r>
      <w:r>
        <w:rPr>
          <w:rFonts w:hint="eastAsia"/>
          <w:color w:val="000000"/>
          <w:sz w:val="24"/>
          <w:szCs w:val="24"/>
          <w:u w:val="none"/>
          <w:lang w:val="en-US" w:eastAsia="zh-CN"/>
        </w:rPr>
        <w:fldChar w:fldCharType="end"/>
      </w:r>
      <w:r>
        <w:rPr>
          <w:rFonts w:hint="eastAsia"/>
          <w:color w:val="000000"/>
          <w:sz w:val="24"/>
          <w:szCs w:val="24"/>
          <w:u w:val="none"/>
          <w:lang w:val="en-US" w:eastAsia="zh-CN"/>
        </w:rPr>
        <w:t>总则，包括编制目的、编制依据、适用范围和工作原则等；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2 \* GB3 \* MERGEFORMAT </w:instrText>
      </w:r>
      <w:r>
        <w:rPr>
          <w:rFonts w:hint="eastAsia"/>
          <w:color w:val="000000"/>
          <w:sz w:val="24"/>
          <w:szCs w:val="24"/>
          <w:u w:val="none"/>
          <w:lang w:val="en-US" w:eastAsia="zh-CN"/>
        </w:rPr>
        <w:fldChar w:fldCharType="separate"/>
      </w:r>
      <w:r>
        <w:rPr>
          <w:sz w:val="24"/>
          <w:szCs w:val="24"/>
          <w:u w:val="none"/>
        </w:rPr>
        <w:t>②</w:t>
      </w:r>
      <w:r>
        <w:rPr>
          <w:rFonts w:hint="eastAsia"/>
          <w:color w:val="000000"/>
          <w:sz w:val="24"/>
          <w:szCs w:val="24"/>
          <w:u w:val="none"/>
          <w:lang w:val="en-US" w:eastAsia="zh-CN"/>
        </w:rPr>
        <w:fldChar w:fldCharType="end"/>
      </w:r>
      <w:r>
        <w:rPr>
          <w:rFonts w:hint="eastAsia"/>
          <w:color w:val="000000"/>
          <w:sz w:val="24"/>
          <w:szCs w:val="24"/>
          <w:u w:val="none"/>
          <w:lang w:val="en-US" w:eastAsia="zh-CN"/>
        </w:rPr>
        <w:t>企业概况，本单位的概况、周边环境状况、环境敏感点等；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3 \* GB3 \* MERGEFORMAT </w:instrText>
      </w:r>
      <w:r>
        <w:rPr>
          <w:rFonts w:hint="eastAsia"/>
          <w:color w:val="000000"/>
          <w:sz w:val="24"/>
          <w:szCs w:val="24"/>
          <w:u w:val="none"/>
          <w:lang w:val="en-US" w:eastAsia="zh-CN"/>
        </w:rPr>
        <w:fldChar w:fldCharType="separate"/>
      </w:r>
      <w:r>
        <w:rPr>
          <w:sz w:val="24"/>
          <w:szCs w:val="24"/>
          <w:u w:val="none"/>
        </w:rPr>
        <w:t>③</w:t>
      </w:r>
      <w:r>
        <w:rPr>
          <w:rFonts w:hint="eastAsia"/>
          <w:color w:val="000000"/>
          <w:sz w:val="24"/>
          <w:szCs w:val="24"/>
          <w:u w:val="none"/>
          <w:lang w:val="en-US" w:eastAsia="zh-CN"/>
        </w:rPr>
        <w:fldChar w:fldCharType="end"/>
      </w:r>
      <w:r>
        <w:rPr>
          <w:rFonts w:hint="eastAsia"/>
          <w:color w:val="000000"/>
          <w:sz w:val="24"/>
          <w:szCs w:val="24"/>
          <w:u w:val="none"/>
          <w:lang w:val="en-US" w:eastAsia="zh-CN"/>
        </w:rPr>
        <w:t>危险源概况，本单位的环境危险源情况分析，主要包括环境危险源的基本情况以及可能产生的危害后果及严重程度；</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4 \* GB3 \* MERGEFORMAT </w:instrText>
      </w:r>
      <w:r>
        <w:rPr>
          <w:rFonts w:hint="eastAsia"/>
          <w:color w:val="000000"/>
          <w:sz w:val="24"/>
          <w:szCs w:val="24"/>
          <w:u w:val="none"/>
          <w:lang w:val="en-US" w:eastAsia="zh-CN"/>
        </w:rPr>
        <w:fldChar w:fldCharType="separate"/>
      </w:r>
      <w:r>
        <w:rPr>
          <w:sz w:val="24"/>
          <w:szCs w:val="24"/>
          <w:u w:val="none"/>
        </w:rPr>
        <w:t>④</w:t>
      </w:r>
      <w:r>
        <w:rPr>
          <w:rFonts w:hint="eastAsia"/>
          <w:color w:val="000000"/>
          <w:sz w:val="24"/>
          <w:szCs w:val="24"/>
          <w:u w:val="none"/>
          <w:lang w:val="en-US" w:eastAsia="zh-CN"/>
        </w:rPr>
        <w:fldChar w:fldCharType="end"/>
      </w:r>
      <w:r>
        <w:rPr>
          <w:rFonts w:hint="eastAsia"/>
          <w:color w:val="000000"/>
          <w:sz w:val="24"/>
          <w:szCs w:val="24"/>
          <w:u w:val="none"/>
          <w:lang w:val="en-US" w:eastAsia="zh-CN"/>
        </w:rPr>
        <w:t>应急组织指挥体系与职责，包括领导机构、工作机构、地方机构或者现场指挥机构、环境应急专家组等；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5 \* GB3 \* MERGEFORMAT </w:instrText>
      </w:r>
      <w:r>
        <w:rPr>
          <w:rFonts w:hint="eastAsia"/>
          <w:color w:val="000000"/>
          <w:sz w:val="24"/>
          <w:szCs w:val="24"/>
          <w:u w:val="none"/>
          <w:lang w:val="en-US" w:eastAsia="zh-CN"/>
        </w:rPr>
        <w:fldChar w:fldCharType="separate"/>
      </w:r>
      <w:r>
        <w:rPr>
          <w:sz w:val="24"/>
          <w:szCs w:val="24"/>
          <w:u w:val="none"/>
        </w:rPr>
        <w:t>⑤</w:t>
      </w:r>
      <w:r>
        <w:rPr>
          <w:rFonts w:hint="eastAsia"/>
          <w:color w:val="000000"/>
          <w:sz w:val="24"/>
          <w:szCs w:val="24"/>
          <w:u w:val="none"/>
          <w:lang w:val="en-US" w:eastAsia="zh-CN"/>
        </w:rPr>
        <w:fldChar w:fldCharType="end"/>
      </w:r>
      <w:r>
        <w:rPr>
          <w:rFonts w:hint="eastAsia"/>
          <w:color w:val="000000"/>
          <w:sz w:val="24"/>
          <w:szCs w:val="24"/>
          <w:u w:val="none"/>
          <w:lang w:val="en-US" w:eastAsia="zh-CN"/>
        </w:rPr>
        <w:t>预防与预警机制，包括应急准备措施、环境风险隐患排查和整治措施、预警分级指标、预警发布或者解除程序、预警响应措施等；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6 \* GB3 \* MERGEFORMAT </w:instrText>
      </w:r>
      <w:r>
        <w:rPr>
          <w:rFonts w:hint="eastAsia"/>
          <w:color w:val="000000"/>
          <w:sz w:val="24"/>
          <w:szCs w:val="24"/>
          <w:u w:val="none"/>
          <w:lang w:val="en-US" w:eastAsia="zh-CN"/>
        </w:rPr>
        <w:fldChar w:fldCharType="separate"/>
      </w:r>
      <w:r>
        <w:rPr>
          <w:sz w:val="24"/>
          <w:szCs w:val="24"/>
          <w:u w:val="none"/>
        </w:rPr>
        <w:t>⑥</w:t>
      </w:r>
      <w:r>
        <w:rPr>
          <w:rFonts w:hint="eastAsia"/>
          <w:color w:val="000000"/>
          <w:sz w:val="24"/>
          <w:szCs w:val="24"/>
          <w:u w:val="none"/>
          <w:lang w:val="en-US" w:eastAsia="zh-CN"/>
        </w:rPr>
        <w:fldChar w:fldCharType="end"/>
      </w:r>
      <w:r>
        <w:rPr>
          <w:rFonts w:hint="eastAsia"/>
          <w:color w:val="000000"/>
          <w:sz w:val="24"/>
          <w:szCs w:val="24"/>
          <w:u w:val="none"/>
          <w:lang w:val="en-US" w:eastAsia="zh-CN"/>
        </w:rPr>
        <w:t>后期处置，包括善后处置、调查与评估、恢复重建等；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7 \* GB3 \* MERGEFORMAT </w:instrText>
      </w:r>
      <w:r>
        <w:rPr>
          <w:rFonts w:hint="eastAsia"/>
          <w:color w:val="000000"/>
          <w:sz w:val="24"/>
          <w:szCs w:val="24"/>
          <w:u w:val="none"/>
          <w:lang w:val="en-US" w:eastAsia="zh-CN"/>
        </w:rPr>
        <w:fldChar w:fldCharType="separate"/>
      </w:r>
      <w:r>
        <w:rPr>
          <w:sz w:val="24"/>
          <w:szCs w:val="24"/>
          <w:u w:val="none"/>
        </w:rPr>
        <w:t>⑦</w:t>
      </w:r>
      <w:r>
        <w:rPr>
          <w:rFonts w:hint="eastAsia"/>
          <w:color w:val="000000"/>
          <w:sz w:val="24"/>
          <w:szCs w:val="24"/>
          <w:u w:val="none"/>
          <w:lang w:val="en-US" w:eastAsia="zh-CN"/>
        </w:rPr>
        <w:fldChar w:fldCharType="end"/>
      </w:r>
      <w:r>
        <w:rPr>
          <w:rFonts w:hint="eastAsia"/>
          <w:color w:val="000000"/>
          <w:sz w:val="24"/>
          <w:szCs w:val="24"/>
          <w:u w:val="none"/>
          <w:lang w:val="en-US" w:eastAsia="zh-CN"/>
        </w:rPr>
        <w:t>应急保障，包括人力资源保障、财力保障、物资保障、医疗卫生保障、交通运输保障、治安维护、通信保障、科技支撑等；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8 \* GB3 \* MERGEFORMAT </w:instrText>
      </w:r>
      <w:r>
        <w:rPr>
          <w:rFonts w:hint="eastAsia"/>
          <w:color w:val="000000"/>
          <w:sz w:val="24"/>
          <w:szCs w:val="24"/>
          <w:u w:val="none"/>
          <w:lang w:val="en-US" w:eastAsia="zh-CN"/>
        </w:rPr>
        <w:fldChar w:fldCharType="separate"/>
      </w:r>
      <w:r>
        <w:rPr>
          <w:sz w:val="24"/>
          <w:szCs w:val="24"/>
          <w:u w:val="none"/>
        </w:rPr>
        <w:t>⑧</w:t>
      </w:r>
      <w:r>
        <w:rPr>
          <w:rFonts w:hint="eastAsia"/>
          <w:color w:val="000000"/>
          <w:sz w:val="24"/>
          <w:szCs w:val="24"/>
          <w:u w:val="none"/>
          <w:lang w:val="en-US" w:eastAsia="zh-CN"/>
        </w:rPr>
        <w:fldChar w:fldCharType="end"/>
      </w:r>
      <w:r>
        <w:rPr>
          <w:rFonts w:hint="eastAsia"/>
          <w:color w:val="000000"/>
          <w:sz w:val="24"/>
          <w:szCs w:val="24"/>
          <w:u w:val="none"/>
          <w:lang w:val="en-US" w:eastAsia="zh-CN"/>
        </w:rPr>
        <w:t>应急物资储备情况，针对单位危险源数量和性质应储备的应急物资品名和基本储量等；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9 \* GB3 \* MERGEFORMAT </w:instrText>
      </w:r>
      <w:r>
        <w:rPr>
          <w:rFonts w:hint="eastAsia"/>
          <w:color w:val="000000"/>
          <w:sz w:val="24"/>
          <w:szCs w:val="24"/>
          <w:u w:val="none"/>
          <w:lang w:val="en-US" w:eastAsia="zh-CN"/>
        </w:rPr>
        <w:fldChar w:fldCharType="separate"/>
      </w:r>
      <w:r>
        <w:rPr>
          <w:sz w:val="24"/>
          <w:szCs w:val="24"/>
          <w:u w:val="none"/>
        </w:rPr>
        <w:t>⑨</w:t>
      </w:r>
      <w:r>
        <w:rPr>
          <w:rFonts w:hint="eastAsia"/>
          <w:color w:val="000000"/>
          <w:sz w:val="24"/>
          <w:szCs w:val="24"/>
          <w:u w:val="none"/>
          <w:lang w:val="en-US" w:eastAsia="zh-CN"/>
        </w:rPr>
        <w:fldChar w:fldCharType="end"/>
      </w:r>
      <w:r>
        <w:rPr>
          <w:rFonts w:hint="eastAsia"/>
          <w:color w:val="000000"/>
          <w:sz w:val="24"/>
          <w:szCs w:val="24"/>
          <w:u w:val="none"/>
          <w:lang w:val="en-US" w:eastAsia="zh-CN"/>
        </w:rPr>
        <w:t>监督管理，包括应急预案演练、宣教培训、责任与奖惩等；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fldChar w:fldCharType="begin"/>
      </w:r>
      <w:r>
        <w:rPr>
          <w:rFonts w:hint="eastAsia"/>
          <w:color w:val="000000"/>
          <w:sz w:val="24"/>
          <w:szCs w:val="24"/>
          <w:u w:val="none"/>
          <w:lang w:val="en-US" w:eastAsia="zh-CN"/>
        </w:rPr>
        <w:instrText xml:space="preserve"> = 10 \* GB3 \* MERGEFORMAT </w:instrText>
      </w:r>
      <w:r>
        <w:rPr>
          <w:rFonts w:hint="eastAsia"/>
          <w:color w:val="000000"/>
          <w:sz w:val="24"/>
          <w:szCs w:val="24"/>
          <w:u w:val="none"/>
          <w:lang w:val="en-US" w:eastAsia="zh-CN"/>
        </w:rPr>
        <w:fldChar w:fldCharType="separate"/>
      </w:r>
      <w:r>
        <w:rPr>
          <w:sz w:val="24"/>
          <w:szCs w:val="24"/>
          <w:u w:val="none"/>
        </w:rPr>
        <w:t>⑩</w:t>
      </w:r>
      <w:r>
        <w:rPr>
          <w:rFonts w:hint="eastAsia"/>
          <w:color w:val="000000"/>
          <w:sz w:val="24"/>
          <w:szCs w:val="24"/>
          <w:u w:val="none"/>
          <w:lang w:val="en-US" w:eastAsia="zh-CN"/>
        </w:rPr>
        <w:fldChar w:fldCharType="end"/>
      </w:r>
      <w:r>
        <w:rPr>
          <w:rFonts w:hint="eastAsia"/>
          <w:color w:val="000000"/>
          <w:sz w:val="24"/>
          <w:szCs w:val="24"/>
          <w:u w:val="none"/>
          <w:lang w:val="en-US" w:eastAsia="zh-CN"/>
        </w:rPr>
        <w:t>附则，包括名词术语、预案解释、修订情况和实施日期等；</w:t>
      </w:r>
    </w:p>
    <w:p>
      <w:pPr>
        <w:spacing w:line="360" w:lineRule="auto"/>
        <w:ind w:firstLine="480" w:firstLineChars="200"/>
        <w:jc w:val="left"/>
        <w:rPr>
          <w:rFonts w:hint="eastAsia"/>
          <w:color w:val="000000"/>
          <w:sz w:val="24"/>
          <w:szCs w:val="24"/>
          <w:u w:val="none"/>
          <w:lang w:val="en-US" w:eastAsia="zh-CN"/>
        </w:rPr>
      </w:pPr>
      <w:r>
        <w:rPr>
          <w:rFonts w:hint="eastAsia"/>
          <w:color w:val="000000"/>
          <w:sz w:val="24"/>
          <w:szCs w:val="24"/>
          <w:u w:val="none"/>
          <w:lang w:val="en-US" w:eastAsia="zh-CN"/>
        </w:rPr>
        <w:t>⑪附件，包括相关单位和人员通讯录、标准化格式文本、工作流程图、应急物资储备清单等。</w:t>
      </w:r>
    </w:p>
    <w:p>
      <w:pPr>
        <w:pStyle w:val="3"/>
        <w:rPr>
          <w:rFonts w:hint="eastAsia" w:ascii="Times New Roman" w:hAnsi="Times New Roman" w:eastAsia="宋体" w:cs="Times New Roman"/>
          <w:sz w:val="28"/>
          <w:szCs w:val="28"/>
          <w:u w:val="none"/>
          <w:lang w:val="en-US" w:eastAsia="zh-CN"/>
        </w:rPr>
      </w:pPr>
      <w:bookmarkStart w:id="90" w:name="_Toc2451"/>
      <w:r>
        <w:rPr>
          <w:rFonts w:hint="eastAsia" w:ascii="Times New Roman" w:hAnsi="Times New Roman" w:cs="Times New Roman"/>
          <w:sz w:val="28"/>
          <w:szCs w:val="28"/>
          <w:u w:val="none"/>
          <w:lang w:val="en-US" w:eastAsia="zh-CN"/>
        </w:rPr>
        <w:t>9</w:t>
      </w:r>
      <w:r>
        <w:rPr>
          <w:rFonts w:hint="eastAsia" w:ascii="Times New Roman" w:hAnsi="Times New Roman" w:eastAsia="宋体" w:cs="Times New Roman"/>
          <w:sz w:val="28"/>
          <w:szCs w:val="28"/>
          <w:u w:val="none"/>
          <w:lang w:val="en-US" w:eastAsia="zh-CN"/>
        </w:rPr>
        <w:t>.</w:t>
      </w:r>
      <w:r>
        <w:rPr>
          <w:rFonts w:hint="eastAsia" w:ascii="Times New Roman" w:hAnsi="Times New Roman" w:cs="Times New Roman"/>
          <w:sz w:val="28"/>
          <w:szCs w:val="28"/>
          <w:u w:val="none"/>
          <w:lang w:val="en-US" w:eastAsia="zh-CN"/>
        </w:rPr>
        <w:t>6</w:t>
      </w:r>
      <w:r>
        <w:rPr>
          <w:rFonts w:hint="eastAsia" w:ascii="Times New Roman" w:hAnsi="Times New Roman" w:eastAsia="宋体" w:cs="Times New Roman"/>
          <w:sz w:val="28"/>
          <w:szCs w:val="28"/>
          <w:u w:val="none"/>
          <w:lang w:val="en-US" w:eastAsia="zh-CN"/>
        </w:rPr>
        <w:t>环境风险分析结论</w:t>
      </w:r>
      <w:bookmarkEnd w:id="90"/>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eastAsia="zh-CN"/>
        </w:rPr>
        <w:t>建设项目实施后，医疗废物运输车辆的严重交通事故，可能造成医疗废物的放散或泄漏，对事故周围的人群健康和生态环境产生影响；未经处理的事故废水的瞬时排放，会对周围地表水体产生影响；通过加强医疗废物收集、输送、贮存、清洗消毒全过程的管理，制定合理、有效的应急预案和防范措施，可确保医疗废物不放散或泄漏如水体或土壤</w:t>
      </w:r>
      <w:r>
        <w:rPr>
          <w:color w:val="000000"/>
          <w:sz w:val="24"/>
          <w:u w:val="none"/>
        </w:rPr>
        <w:t>。</w:t>
      </w:r>
      <w:r>
        <w:rPr>
          <w:rFonts w:hint="eastAsia"/>
          <w:color w:val="000000"/>
          <w:sz w:val="24"/>
          <w:u w:val="none"/>
          <w:lang w:eastAsia="zh-CN"/>
        </w:rPr>
        <w:t>通过风险防范措施，如设立</w:t>
      </w:r>
      <w:r>
        <w:rPr>
          <w:rFonts w:hint="eastAsia"/>
          <w:color w:val="000000"/>
          <w:sz w:val="24"/>
          <w:u w:val="none"/>
          <w:lang w:val="en-US" w:eastAsia="zh-CN"/>
        </w:rPr>
        <w:t>20m³事故池、20m³回用水池和80m³初期雨水池，建立风险应急预案，能够满足当前风险防范的要求，可以有效的防范风险事故的发生或对事故的发生进行有效处置，项目发生的环境风险可以控制在较低水平，并能减少或者避免风险事故的发生。</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综上所述，本项目在落实本报告提出的各项风险防范措施后，建设项目的事故风险水平处于可接受水平。</w:t>
      </w:r>
    </w:p>
    <w:p>
      <w:pPr>
        <w:spacing w:line="360" w:lineRule="auto"/>
        <w:ind w:firstLine="480" w:firstLineChars="200"/>
        <w:jc w:val="left"/>
        <w:rPr>
          <w:color w:val="000000"/>
          <w:sz w:val="24"/>
          <w:u w:val="none"/>
        </w:rPr>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p>
    <w:p>
      <w:pPr>
        <w:pStyle w:val="2"/>
        <w:topLinePunct/>
        <w:spacing w:before="120" w:after="360"/>
        <w:rPr>
          <w:sz w:val="36"/>
          <w:szCs w:val="36"/>
          <w:u w:val="none"/>
        </w:rPr>
      </w:pPr>
      <w:bookmarkStart w:id="91" w:name="_Toc19979"/>
      <w:r>
        <w:rPr>
          <w:rFonts w:hint="eastAsia"/>
          <w:sz w:val="36"/>
          <w:szCs w:val="36"/>
          <w:u w:val="none"/>
          <w:lang w:val="en-US" w:eastAsia="zh-CN"/>
        </w:rPr>
        <w:t>10</w:t>
      </w:r>
      <w:r>
        <w:rPr>
          <w:sz w:val="36"/>
          <w:szCs w:val="36"/>
          <w:u w:val="none"/>
        </w:rPr>
        <w:t>、环境保护措施及其经济技术论证</w:t>
      </w:r>
      <w:bookmarkEnd w:id="91"/>
    </w:p>
    <w:p>
      <w:pPr>
        <w:pStyle w:val="3"/>
        <w:rPr>
          <w:rFonts w:hint="eastAsia" w:ascii="Times New Roman" w:hAnsi="Times New Roman" w:eastAsia="宋体" w:cs="Times New Roman"/>
          <w:sz w:val="28"/>
          <w:szCs w:val="28"/>
          <w:u w:val="none"/>
          <w:lang w:val="en-US" w:eastAsia="zh-CN"/>
        </w:rPr>
      </w:pPr>
      <w:bookmarkStart w:id="92" w:name="_Toc5756"/>
      <w:r>
        <w:rPr>
          <w:rFonts w:hint="eastAsia" w:ascii="Times New Roman" w:hAnsi="Times New Roman" w:eastAsia="宋体" w:cs="Times New Roman"/>
          <w:sz w:val="28"/>
          <w:szCs w:val="28"/>
          <w:u w:val="none"/>
          <w:lang w:val="en-US" w:eastAsia="zh-CN"/>
        </w:rPr>
        <w:t>1</w:t>
      </w:r>
      <w:r>
        <w:rPr>
          <w:rFonts w:hint="eastAsia" w:ascii="Times New Roman" w:hAnsi="Times New Roman" w:cs="Times New Roman"/>
          <w:sz w:val="28"/>
          <w:szCs w:val="28"/>
          <w:u w:val="none"/>
          <w:lang w:val="en-US" w:eastAsia="zh-CN"/>
        </w:rPr>
        <w:t>0</w:t>
      </w:r>
      <w:r>
        <w:rPr>
          <w:rFonts w:hint="eastAsia" w:ascii="Times New Roman" w:hAnsi="Times New Roman" w:eastAsia="宋体" w:cs="Times New Roman"/>
          <w:sz w:val="28"/>
          <w:szCs w:val="28"/>
          <w:u w:val="none"/>
          <w:lang w:val="en-US" w:eastAsia="zh-CN"/>
        </w:rPr>
        <w:t>.1施工期环保措施及技术、经济</w:t>
      </w:r>
      <w:r>
        <w:rPr>
          <w:rFonts w:hint="eastAsia" w:ascii="Times New Roman" w:hAnsi="Times New Roman" w:cs="Times New Roman"/>
          <w:sz w:val="28"/>
          <w:szCs w:val="28"/>
          <w:u w:val="none"/>
          <w:lang w:val="en-US" w:eastAsia="zh-CN"/>
        </w:rPr>
        <w:t>技术</w:t>
      </w:r>
      <w:r>
        <w:rPr>
          <w:rFonts w:hint="eastAsia" w:ascii="Times New Roman" w:hAnsi="Times New Roman" w:eastAsia="宋体" w:cs="Times New Roman"/>
          <w:sz w:val="28"/>
          <w:szCs w:val="28"/>
          <w:u w:val="none"/>
          <w:lang w:val="en-US" w:eastAsia="zh-CN"/>
        </w:rPr>
        <w:t>论证</w:t>
      </w:r>
      <w:bookmarkEnd w:id="92"/>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10.1.1施工期环保措施</w:t>
      </w:r>
    </w:p>
    <w:p>
      <w:pPr>
        <w:spacing w:line="360" w:lineRule="auto"/>
        <w:ind w:firstLine="480" w:firstLineChars="200"/>
        <w:jc w:val="left"/>
        <w:rPr>
          <w:color w:val="000000"/>
          <w:sz w:val="24"/>
          <w:u w:val="none"/>
        </w:rPr>
      </w:pPr>
      <w:r>
        <w:rPr>
          <w:color w:val="000000"/>
          <w:sz w:val="24"/>
          <w:u w:val="none"/>
        </w:rPr>
        <w:t>本项目施工期产生扬尘、噪声、建筑弃碴及施工废水等，影响大气、声、地表水及生态环境。拟采用以下管理措施和工程措施。</w:t>
      </w:r>
    </w:p>
    <w:p>
      <w:pPr>
        <w:spacing w:line="360" w:lineRule="auto"/>
        <w:ind w:firstLine="480" w:firstLineChars="200"/>
        <w:jc w:val="left"/>
        <w:rPr>
          <w:color w:val="000000"/>
          <w:sz w:val="24"/>
          <w:u w:val="none"/>
        </w:rPr>
      </w:pPr>
      <w:r>
        <w:rPr>
          <w:color w:val="000000"/>
          <w:sz w:val="24"/>
          <w:u w:val="none"/>
        </w:rPr>
        <w:t>1、管理措施</w:t>
      </w:r>
    </w:p>
    <w:p>
      <w:pPr>
        <w:spacing w:line="360" w:lineRule="auto"/>
        <w:ind w:firstLine="480" w:firstLineChars="200"/>
        <w:jc w:val="left"/>
        <w:rPr>
          <w:color w:val="000000"/>
          <w:sz w:val="24"/>
          <w:u w:val="none"/>
        </w:rPr>
      </w:pPr>
      <w:r>
        <w:rPr>
          <w:color w:val="000000"/>
          <w:sz w:val="24"/>
          <w:u w:val="none"/>
        </w:rPr>
        <w:t>工程施工过程中运输量和挖掘量较小，主要是厂房内的设备安装，将施工期环保工作纳入合同管理，明确施工单位为有关环保工作责任方，业主单位为监督和管理方；并要求施工单位将环保措施的执行情况纳入生产管理体系中，建立相应的工作制度；同时加强对施工队伍的环保宣传工作。</w:t>
      </w:r>
    </w:p>
    <w:p>
      <w:pPr>
        <w:spacing w:line="360" w:lineRule="auto"/>
        <w:ind w:firstLine="480" w:firstLineChars="200"/>
        <w:jc w:val="left"/>
        <w:rPr>
          <w:color w:val="000000"/>
          <w:sz w:val="24"/>
          <w:u w:val="none"/>
        </w:rPr>
      </w:pPr>
      <w:r>
        <w:rPr>
          <w:color w:val="000000"/>
          <w:sz w:val="24"/>
          <w:u w:val="none"/>
        </w:rPr>
        <w:t>2、工程措施</w:t>
      </w:r>
    </w:p>
    <w:p>
      <w:pPr>
        <w:spacing w:line="360" w:lineRule="auto"/>
        <w:ind w:firstLine="480" w:firstLineChars="200"/>
        <w:jc w:val="left"/>
        <w:rPr>
          <w:color w:val="000000"/>
          <w:sz w:val="24"/>
          <w:u w:val="none"/>
        </w:rPr>
      </w:pPr>
      <w:r>
        <w:rPr>
          <w:color w:val="000000"/>
          <w:sz w:val="24"/>
          <w:u w:val="none"/>
        </w:rPr>
        <w:t>（1）扬尘防护：定期洒水降尘，主要产尘作业点装防尘网；及时清除路面土等。</w:t>
      </w:r>
    </w:p>
    <w:p>
      <w:pPr>
        <w:spacing w:line="360" w:lineRule="auto"/>
        <w:ind w:firstLine="480" w:firstLineChars="200"/>
        <w:jc w:val="left"/>
        <w:rPr>
          <w:color w:val="000000"/>
          <w:sz w:val="24"/>
          <w:u w:val="none"/>
        </w:rPr>
      </w:pPr>
      <w:r>
        <w:rPr>
          <w:color w:val="000000"/>
          <w:sz w:val="24"/>
          <w:u w:val="none"/>
        </w:rPr>
        <w:t>（2）噪声防治：使用低噪声设备，使用商品砼。</w:t>
      </w:r>
    </w:p>
    <w:p>
      <w:pPr>
        <w:spacing w:line="360" w:lineRule="auto"/>
        <w:ind w:firstLine="480" w:firstLineChars="200"/>
        <w:jc w:val="left"/>
        <w:rPr>
          <w:color w:val="000000"/>
          <w:sz w:val="24"/>
          <w:u w:val="none"/>
        </w:rPr>
      </w:pPr>
      <w:r>
        <w:rPr>
          <w:color w:val="000000"/>
          <w:sz w:val="24"/>
          <w:u w:val="none"/>
        </w:rPr>
        <w:t>（3）建筑弃渣处置：弃渣应按当地环卫部门要求及时清运至指定的建渣堆放场地；临时堆方应避开沟渠，遮盖堆置等。</w:t>
      </w:r>
    </w:p>
    <w:p>
      <w:pPr>
        <w:spacing w:line="360" w:lineRule="auto"/>
        <w:ind w:firstLine="480" w:firstLineChars="200"/>
        <w:jc w:val="left"/>
        <w:rPr>
          <w:color w:val="000000"/>
          <w:sz w:val="24"/>
          <w:u w:val="none"/>
        </w:rPr>
      </w:pPr>
      <w:r>
        <w:rPr>
          <w:color w:val="000000"/>
          <w:sz w:val="24"/>
          <w:u w:val="none"/>
        </w:rPr>
        <w:t>（4）施工废水：在施工废水排放点建简易沉沙凼，施工废水回用作施工用水，不外排。施工及安装人员生活污水经收集后经区域现有污水处理设置收集处理后排入</w:t>
      </w:r>
      <w:r>
        <w:rPr>
          <w:rFonts w:hint="eastAsia"/>
          <w:color w:val="000000"/>
          <w:sz w:val="24"/>
          <w:u w:val="none"/>
          <w:lang w:eastAsia="zh-CN"/>
        </w:rPr>
        <w:t>园区</w:t>
      </w:r>
      <w:r>
        <w:rPr>
          <w:color w:val="000000"/>
          <w:sz w:val="24"/>
          <w:u w:val="none"/>
        </w:rPr>
        <w:t>污水处理厂进行处理。</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10.1.2施工期环保措施论证</w:t>
      </w:r>
    </w:p>
    <w:p>
      <w:pPr>
        <w:spacing w:line="360" w:lineRule="auto"/>
        <w:ind w:firstLine="480" w:firstLineChars="200"/>
        <w:jc w:val="left"/>
        <w:rPr>
          <w:color w:val="000000"/>
          <w:sz w:val="24"/>
          <w:u w:val="none"/>
        </w:rPr>
      </w:pPr>
      <w:r>
        <w:rPr>
          <w:color w:val="000000"/>
          <w:sz w:val="24"/>
          <w:u w:val="none"/>
        </w:rPr>
        <w:t>本项目施工过程中对周围局部区域环境会产生一定的影响，但由于施工期较短，工程量不大，施工期对环境影响较小。分析认为，通过施工管理措施的落实，可极大地约束和控制施工期的</w:t>
      </w:r>
      <w:r>
        <w:rPr>
          <w:rFonts w:hint="eastAsia" w:asciiTheme="minorEastAsia" w:hAnsiTheme="minorEastAsia" w:eastAsiaTheme="minorEastAsia" w:cstheme="minorEastAsia"/>
          <w:color w:val="000000"/>
          <w:sz w:val="24"/>
          <w:u w:val="none"/>
        </w:rPr>
        <w:t>“三废”、</w:t>
      </w:r>
      <w:r>
        <w:rPr>
          <w:color w:val="000000"/>
          <w:sz w:val="24"/>
          <w:u w:val="none"/>
        </w:rPr>
        <w:t>噪声；同时通过实施相应的工程防范措施，可有效减缓工程施工扬尘、噪声、废水、弃渣的影响。故项目施工期环保措施技术、经济可行。</w:t>
      </w:r>
    </w:p>
    <w:p>
      <w:pPr>
        <w:pStyle w:val="3"/>
        <w:rPr>
          <w:rFonts w:hint="eastAsia" w:ascii="Times New Roman" w:hAnsi="Times New Roman" w:eastAsia="宋体" w:cs="Times New Roman"/>
          <w:sz w:val="28"/>
          <w:szCs w:val="28"/>
          <w:u w:val="none"/>
          <w:lang w:val="en-US" w:eastAsia="zh-CN"/>
        </w:rPr>
      </w:pPr>
      <w:bookmarkStart w:id="93" w:name="_Toc24142"/>
      <w:r>
        <w:rPr>
          <w:rFonts w:hint="eastAsia" w:ascii="Times New Roman" w:hAnsi="Times New Roman" w:eastAsia="宋体" w:cs="Times New Roman"/>
          <w:sz w:val="28"/>
          <w:szCs w:val="28"/>
          <w:u w:val="none"/>
          <w:lang w:val="en-US" w:eastAsia="zh-CN"/>
        </w:rPr>
        <w:t>1</w:t>
      </w:r>
      <w:r>
        <w:rPr>
          <w:rFonts w:hint="eastAsia" w:ascii="Times New Roman" w:hAnsi="Times New Roman" w:cs="Times New Roman"/>
          <w:sz w:val="28"/>
          <w:szCs w:val="28"/>
          <w:u w:val="none"/>
          <w:lang w:val="en-US" w:eastAsia="zh-CN"/>
        </w:rPr>
        <w:t>0</w:t>
      </w:r>
      <w:r>
        <w:rPr>
          <w:rFonts w:hint="eastAsia" w:ascii="Times New Roman" w:hAnsi="Times New Roman" w:eastAsia="宋体" w:cs="Times New Roman"/>
          <w:sz w:val="28"/>
          <w:szCs w:val="28"/>
          <w:u w:val="none"/>
          <w:lang w:val="en-US" w:eastAsia="zh-CN"/>
        </w:rPr>
        <w:t>.2营运期污染防治措施</w:t>
      </w:r>
      <w:r>
        <w:rPr>
          <w:rFonts w:hint="eastAsia" w:ascii="Times New Roman" w:hAnsi="Times New Roman" w:cs="Times New Roman"/>
          <w:sz w:val="28"/>
          <w:szCs w:val="28"/>
          <w:u w:val="none"/>
          <w:lang w:val="en-US" w:eastAsia="zh-CN"/>
        </w:rPr>
        <w:t>及技术、经济技术论证</w:t>
      </w:r>
      <w:bookmarkEnd w:id="93"/>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根据工程分析可知，项目运营期主要存在废水、固体废物和废气污染源，这些污染源有的含有致病菌，若不对这些污染源采取污染防治措施，不仅会影响周边环境，同时也会影响到项目本身的正常运转。</w:t>
      </w:r>
    </w:p>
    <w:p>
      <w:pPr>
        <w:topLinePunct/>
        <w:spacing w:line="360" w:lineRule="auto"/>
        <w:jc w:val="left"/>
        <w:rPr>
          <w:rFonts w:hint="eastAsia" w:cs="Times New Roman"/>
          <w:b/>
          <w:sz w:val="24"/>
          <w:u w:val="none"/>
          <w:lang w:val="en-US" w:eastAsia="zh-CN"/>
        </w:rPr>
      </w:pPr>
      <w:bookmarkStart w:id="94" w:name="OLE_LINK1"/>
      <w:r>
        <w:rPr>
          <w:rFonts w:hint="eastAsia" w:cs="Times New Roman"/>
          <w:b/>
          <w:sz w:val="24"/>
          <w:u w:val="none"/>
          <w:lang w:val="en-US" w:eastAsia="zh-CN"/>
        </w:rPr>
        <w:t>10.2.1营运期废水治理措施</w:t>
      </w:r>
    </w:p>
    <w:bookmarkEnd w:id="94"/>
    <w:p>
      <w:pPr>
        <w:spacing w:line="360" w:lineRule="auto"/>
        <w:ind w:firstLine="482" w:firstLineChars="200"/>
        <w:jc w:val="left"/>
        <w:rPr>
          <w:rFonts w:hint="eastAsia"/>
          <w:b/>
          <w:bCs/>
          <w:sz w:val="24"/>
          <w:u w:val="none"/>
          <w:lang w:eastAsia="zh-CN"/>
        </w:rPr>
      </w:pPr>
      <w:r>
        <w:rPr>
          <w:rFonts w:hint="eastAsia"/>
          <w:b/>
          <w:bCs/>
          <w:sz w:val="24"/>
          <w:u w:val="none"/>
          <w:lang w:eastAsia="zh-CN"/>
        </w:rPr>
        <w:t>一</w:t>
      </w:r>
      <w:r>
        <w:rPr>
          <w:b/>
          <w:bCs/>
          <w:sz w:val="24"/>
          <w:u w:val="none"/>
        </w:rPr>
        <w:t>、</w:t>
      </w:r>
      <w:r>
        <w:rPr>
          <w:rFonts w:hint="eastAsia"/>
          <w:b/>
          <w:bCs/>
          <w:sz w:val="24"/>
          <w:u w:val="none"/>
          <w:lang w:eastAsia="zh-CN"/>
        </w:rPr>
        <w:t>废水处理工艺</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本项目废水主要包括车辆消毒清洗废水、周转箱消毒清洗废水、地面冲洗废水及初期雨水、生活污水等。</w:t>
      </w:r>
    </w:p>
    <w:p>
      <w:pPr>
        <w:spacing w:line="360" w:lineRule="auto"/>
        <w:ind w:firstLine="480" w:firstLineChars="200"/>
        <w:jc w:val="left"/>
        <w:rPr>
          <w:rFonts w:hint="eastAsia"/>
          <w:sz w:val="24"/>
          <w:u w:val="none"/>
          <w:lang w:val="en-US" w:eastAsia="zh-CN"/>
        </w:rPr>
      </w:pPr>
      <w:r>
        <w:rPr>
          <w:rFonts w:hint="eastAsia"/>
          <w:sz w:val="24"/>
          <w:u w:val="none"/>
          <w:lang w:val="en-US" w:eastAsia="zh-CN"/>
        </w:rPr>
        <w:t>1、车辆、周转箱消毒清洗废水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厂区地面均作防渗处理，车辆清洗场及周转箱清洗槽四周设防渗明沟，清洗废水经排水防渗明沟收集后，由管径为100mm的PVC管送至厂区污水处理站处理后回用。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2、微波消毒处理车间及医疗废物储存库清洗废水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装卸车间、贮存车间以及微波消毒车间地面冲洗过程产生地面冲洗水，厂区地面均作防渗处理，四周设0.5m深排水明沟，清洗废水经污水管收集后送至厂区污水处理站处理后回用。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3、微波消毒废水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装卸车间、存贮车间以及微波消毒车间均作防渗处理，四周设0.5m深排水明沟，该废水经污水管收集后进入厂区污水处理站处理后回用。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4、初期雨水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项目采用雨污分流排水制，厂区初期雨水利用厂区初期雨水收集池收集后进入厂区污水处理站处理后回用。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5、旋流塔循环废水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项目废气进入微滤装置之前需经过旋流塔处理系统对废气处理，其中一套旋流塔内循环用水量为2m³，本项目旋流塔循环水每月排放一次，排放量为2m³/次。旋流塔废水由100mm的PVC管送至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6、生活污水</w:t>
      </w:r>
    </w:p>
    <w:p>
      <w:pPr>
        <w:spacing w:line="360" w:lineRule="auto"/>
        <w:ind w:firstLine="480" w:firstLineChars="200"/>
        <w:jc w:val="left"/>
        <w:rPr>
          <w:rFonts w:hint="eastAsia"/>
          <w:sz w:val="24"/>
          <w:u w:val="none"/>
          <w:lang w:val="en-US" w:eastAsia="zh-CN"/>
        </w:rPr>
      </w:pPr>
      <w:r>
        <w:rPr>
          <w:rFonts w:hint="eastAsia"/>
          <w:sz w:val="24"/>
          <w:u w:val="none"/>
          <w:lang w:val="en-US" w:eastAsia="zh-CN"/>
        </w:rPr>
        <w:t>生活污水经化粪池处理后，汇入污水管道进入厂区污水处理站处理后回用。</w:t>
      </w:r>
    </w:p>
    <w:p>
      <w:pPr>
        <w:spacing w:line="360" w:lineRule="auto"/>
        <w:ind w:firstLine="480" w:firstLineChars="200"/>
        <w:jc w:val="left"/>
        <w:rPr>
          <w:rFonts w:hint="eastAsia"/>
          <w:sz w:val="24"/>
          <w:u w:val="none"/>
          <w:lang w:val="en-US" w:eastAsia="zh-CN"/>
        </w:rPr>
      </w:pPr>
      <w:r>
        <w:rPr>
          <w:rFonts w:hint="eastAsia"/>
          <w:sz w:val="24"/>
          <w:u w:val="none"/>
          <w:lang w:val="en-US" w:eastAsia="zh-CN"/>
        </w:rPr>
        <w:t>7、污水处理工艺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工业废水主体处理工艺可采用的方法分为物化、化学处理和生物处理两大类，根据《排污许可证申请与核发技术规范——工业固体废物和危险废物治理》（HJ1033-2019）附录D废水治理可行技术参考表，本项目废水治理主体处理工艺为选用生物处理。</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sz w:val="24"/>
          <w:u w:val="none"/>
          <w:lang w:val="en-US" w:eastAsia="zh-CN"/>
        </w:rPr>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r>
        <w:rPr>
          <w:rFonts w:hint="eastAsia"/>
          <w:sz w:val="24"/>
          <w:u w:val="none"/>
          <w:lang w:val="en-US" w:eastAsia="zh-CN"/>
        </w:rPr>
        <w:t>目前，市场成熟的几种生物处理技术及其优缺点详见下表比选方案表。</w:t>
      </w:r>
    </w:p>
    <w:p>
      <w:pPr>
        <w:pStyle w:val="352"/>
        <w:bidi w:val="0"/>
        <w:rPr>
          <w:rFonts w:hint="eastAsia"/>
          <w:lang w:val="en-US" w:eastAsia="zh-CN"/>
        </w:rPr>
      </w:pPr>
      <w:r>
        <w:rPr>
          <w:rFonts w:hint="eastAsia"/>
          <w:lang w:val="en-US" w:eastAsia="zh-CN"/>
        </w:rPr>
        <w:t>表10-1  污水处理方案比选表</w:t>
      </w:r>
    </w:p>
    <w:tbl>
      <w:tblPr>
        <w:tblStyle w:val="59"/>
        <w:tblW w:w="14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636"/>
        <w:gridCol w:w="2636"/>
        <w:gridCol w:w="2636"/>
        <w:gridCol w:w="2636"/>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工艺比选</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A-O</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SBR</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BAF</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MBR</w:t>
            </w:r>
          </w:p>
        </w:tc>
        <w:tc>
          <w:tcPr>
            <w:tcW w:w="2637"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氧化沟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优点</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1 \* GB3 \* MERGEFORMAT </w:instrText>
            </w:r>
            <w:r>
              <w:rPr>
                <w:rFonts w:hint="eastAsia"/>
                <w:b w:val="0"/>
                <w:bCs w:val="0"/>
                <w:vertAlign w:val="baseline"/>
                <w:lang w:val="en-US" w:eastAsia="zh-CN"/>
              </w:rPr>
              <w:fldChar w:fldCharType="separate"/>
            </w:r>
            <w:r>
              <w:rPr>
                <w:rFonts w:hint="default"/>
                <w:b w:val="0"/>
                <w:bCs w:val="0"/>
              </w:rPr>
              <w:t>①</w:t>
            </w:r>
            <w:r>
              <w:rPr>
                <w:rFonts w:hint="eastAsia"/>
                <w:b w:val="0"/>
                <w:bCs w:val="0"/>
                <w:vertAlign w:val="baseline"/>
                <w:lang w:val="en-US" w:eastAsia="zh-CN"/>
              </w:rPr>
              <w:fldChar w:fldCharType="end"/>
            </w:r>
            <w:r>
              <w:rPr>
                <w:rFonts w:hint="eastAsia"/>
                <w:b w:val="0"/>
                <w:bCs w:val="0"/>
                <w:vertAlign w:val="baseline"/>
                <w:lang w:val="en-US" w:eastAsia="zh-CN"/>
              </w:rPr>
              <w:t>体积负荷高，停留时间短，节约占地面积；</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2 \* GB3 \* MERGEFORMAT </w:instrText>
            </w:r>
            <w:r>
              <w:rPr>
                <w:rFonts w:hint="eastAsia"/>
                <w:b w:val="0"/>
                <w:bCs w:val="0"/>
                <w:vertAlign w:val="baseline"/>
                <w:lang w:val="en-US" w:eastAsia="zh-CN"/>
              </w:rPr>
              <w:fldChar w:fldCharType="separate"/>
            </w:r>
            <w:r>
              <w:rPr>
                <w:rFonts w:hint="default"/>
                <w:b w:val="0"/>
                <w:bCs w:val="0"/>
              </w:rPr>
              <w:t>②</w:t>
            </w:r>
            <w:r>
              <w:rPr>
                <w:rFonts w:hint="eastAsia"/>
                <w:b w:val="0"/>
                <w:bCs w:val="0"/>
                <w:vertAlign w:val="baseline"/>
                <w:lang w:val="en-US" w:eastAsia="zh-CN"/>
              </w:rPr>
              <w:fldChar w:fldCharType="end"/>
            </w:r>
            <w:r>
              <w:rPr>
                <w:rFonts w:hint="eastAsia"/>
                <w:b w:val="0"/>
                <w:bCs w:val="0"/>
                <w:vertAlign w:val="baseline"/>
                <w:lang w:val="en-US" w:eastAsia="zh-CN"/>
              </w:rPr>
              <w:t>生物活性高；</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3 \* GB3 \* MERGEFORMAT </w:instrText>
            </w:r>
            <w:r>
              <w:rPr>
                <w:rFonts w:hint="eastAsia"/>
                <w:b w:val="0"/>
                <w:bCs w:val="0"/>
                <w:vertAlign w:val="baseline"/>
                <w:lang w:val="en-US" w:eastAsia="zh-CN"/>
              </w:rPr>
              <w:fldChar w:fldCharType="separate"/>
            </w:r>
            <w:r>
              <w:rPr>
                <w:rFonts w:hint="default"/>
                <w:b w:val="0"/>
                <w:bCs w:val="0"/>
              </w:rPr>
              <w:t>③</w:t>
            </w:r>
            <w:r>
              <w:rPr>
                <w:rFonts w:hint="eastAsia"/>
                <w:b w:val="0"/>
                <w:bCs w:val="0"/>
                <w:vertAlign w:val="baseline"/>
                <w:lang w:val="en-US" w:eastAsia="zh-CN"/>
              </w:rPr>
              <w:fldChar w:fldCharType="end"/>
            </w:r>
            <w:r>
              <w:rPr>
                <w:rFonts w:hint="eastAsia"/>
                <w:b w:val="0"/>
                <w:bCs w:val="0"/>
                <w:vertAlign w:val="baseline"/>
                <w:lang w:val="en-US" w:eastAsia="zh-CN"/>
              </w:rPr>
              <w:t>有较高的微生物浓度；</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4 \* GB3 \* MERGEFORMAT </w:instrText>
            </w:r>
            <w:r>
              <w:rPr>
                <w:rFonts w:hint="eastAsia"/>
                <w:b w:val="0"/>
                <w:bCs w:val="0"/>
                <w:vertAlign w:val="baseline"/>
                <w:lang w:val="en-US" w:eastAsia="zh-CN"/>
              </w:rPr>
              <w:fldChar w:fldCharType="separate"/>
            </w:r>
            <w:r>
              <w:rPr>
                <w:rFonts w:hint="default"/>
                <w:b w:val="0"/>
                <w:bCs w:val="0"/>
              </w:rPr>
              <w:t>④</w:t>
            </w:r>
            <w:r>
              <w:rPr>
                <w:rFonts w:hint="eastAsia"/>
                <w:b w:val="0"/>
                <w:bCs w:val="0"/>
                <w:vertAlign w:val="baseline"/>
                <w:lang w:val="en-US" w:eastAsia="zh-CN"/>
              </w:rPr>
              <w:fldChar w:fldCharType="end"/>
            </w:r>
            <w:r>
              <w:rPr>
                <w:rFonts w:hint="eastAsia"/>
                <w:b w:val="0"/>
                <w:bCs w:val="0"/>
                <w:vertAlign w:val="baseline"/>
                <w:lang w:val="en-US" w:eastAsia="zh-CN"/>
              </w:rPr>
              <w:t>污泥产量低；</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5 \* GB3 \* MERGEFORMAT </w:instrText>
            </w:r>
            <w:r>
              <w:rPr>
                <w:rFonts w:hint="eastAsia"/>
                <w:b w:val="0"/>
                <w:bCs w:val="0"/>
                <w:vertAlign w:val="baseline"/>
                <w:lang w:val="en-US" w:eastAsia="zh-CN"/>
              </w:rPr>
              <w:fldChar w:fldCharType="separate"/>
            </w:r>
            <w:r>
              <w:rPr>
                <w:rFonts w:hint="default"/>
                <w:b w:val="0"/>
                <w:bCs w:val="0"/>
              </w:rPr>
              <w:t>⑤</w:t>
            </w:r>
            <w:r>
              <w:rPr>
                <w:rFonts w:hint="eastAsia"/>
                <w:b w:val="0"/>
                <w:bCs w:val="0"/>
                <w:vertAlign w:val="baseline"/>
                <w:lang w:val="en-US" w:eastAsia="zh-CN"/>
              </w:rPr>
              <w:fldChar w:fldCharType="end"/>
            </w:r>
            <w:r>
              <w:rPr>
                <w:rFonts w:hint="eastAsia"/>
                <w:b w:val="0"/>
                <w:bCs w:val="0"/>
                <w:vertAlign w:val="baseline"/>
                <w:lang w:val="en-US" w:eastAsia="zh-CN"/>
              </w:rPr>
              <w:t>出水水质好且稳定；</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6 \* GB3 \* MERGEFORMAT </w:instrText>
            </w:r>
            <w:r>
              <w:rPr>
                <w:rFonts w:hint="eastAsia"/>
                <w:b w:val="0"/>
                <w:bCs w:val="0"/>
                <w:vertAlign w:val="baseline"/>
                <w:lang w:val="en-US" w:eastAsia="zh-CN"/>
              </w:rPr>
              <w:fldChar w:fldCharType="separate"/>
            </w:r>
            <w:r>
              <w:rPr>
                <w:rFonts w:hint="default"/>
                <w:b w:val="0"/>
                <w:bCs w:val="0"/>
              </w:rPr>
              <w:t>⑥</w:t>
            </w:r>
            <w:r>
              <w:rPr>
                <w:rFonts w:hint="eastAsia"/>
                <w:b w:val="0"/>
                <w:bCs w:val="0"/>
                <w:vertAlign w:val="baseline"/>
                <w:lang w:val="en-US" w:eastAsia="zh-CN"/>
              </w:rPr>
              <w:fldChar w:fldCharType="end"/>
            </w:r>
            <w:r>
              <w:rPr>
                <w:rFonts w:hint="eastAsia"/>
                <w:b w:val="0"/>
                <w:bCs w:val="0"/>
                <w:vertAlign w:val="baseline"/>
                <w:lang w:val="en-US" w:eastAsia="zh-CN"/>
              </w:rPr>
              <w:t>动力消耗低；</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7 \* GB3 \* MERGEFORMAT </w:instrText>
            </w:r>
            <w:r>
              <w:rPr>
                <w:rFonts w:hint="eastAsia"/>
                <w:b w:val="0"/>
                <w:bCs w:val="0"/>
                <w:vertAlign w:val="baseline"/>
                <w:lang w:val="en-US" w:eastAsia="zh-CN"/>
              </w:rPr>
              <w:fldChar w:fldCharType="separate"/>
            </w:r>
            <w:r>
              <w:rPr>
                <w:rFonts w:hint="default"/>
                <w:b w:val="0"/>
                <w:bCs w:val="0"/>
              </w:rPr>
              <w:t>⑦</w:t>
            </w:r>
            <w:r>
              <w:rPr>
                <w:rFonts w:hint="eastAsia"/>
                <w:b w:val="0"/>
                <w:bCs w:val="0"/>
                <w:vertAlign w:val="baseline"/>
                <w:lang w:val="en-US" w:eastAsia="zh-CN"/>
              </w:rPr>
              <w:fldChar w:fldCharType="end"/>
            </w:r>
            <w:r>
              <w:rPr>
                <w:rFonts w:hint="eastAsia"/>
                <w:b w:val="0"/>
                <w:bCs w:val="0"/>
                <w:vertAlign w:val="baseline"/>
                <w:lang w:val="en-US" w:eastAsia="zh-CN"/>
              </w:rPr>
              <w:t>不产生污泥膨胀；</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8 \* GB3 \* MERGEFORMAT </w:instrText>
            </w:r>
            <w:r>
              <w:rPr>
                <w:rFonts w:hint="eastAsia"/>
                <w:b w:val="0"/>
                <w:bCs w:val="0"/>
                <w:vertAlign w:val="baseline"/>
                <w:lang w:val="en-US" w:eastAsia="zh-CN"/>
              </w:rPr>
              <w:fldChar w:fldCharType="separate"/>
            </w:r>
            <w:r>
              <w:rPr>
                <w:rFonts w:hint="default"/>
                <w:b w:val="0"/>
                <w:bCs w:val="0"/>
              </w:rPr>
              <w:t>⑧</w:t>
            </w:r>
            <w:r>
              <w:rPr>
                <w:rFonts w:hint="eastAsia"/>
                <w:b w:val="0"/>
                <w:bCs w:val="0"/>
                <w:vertAlign w:val="baseline"/>
                <w:lang w:val="en-US" w:eastAsia="zh-CN"/>
              </w:rPr>
              <w:fldChar w:fldCharType="end"/>
            </w:r>
            <w:r>
              <w:rPr>
                <w:rFonts w:hint="eastAsia"/>
                <w:b w:val="0"/>
                <w:bCs w:val="0"/>
                <w:vertAlign w:val="baseline"/>
                <w:lang w:val="en-US" w:eastAsia="zh-CN"/>
              </w:rPr>
              <w:t>挂膜方便，可间歇运行；</w:t>
            </w:r>
          </w:p>
          <w:p>
            <w:pPr>
              <w:pStyle w:val="352"/>
              <w:keepNext w:val="0"/>
              <w:keepLines w:val="0"/>
              <w:suppressLineNumbers w:val="0"/>
              <w:bidi w:val="0"/>
              <w:spacing w:before="0" w:beforeAutospacing="0" w:after="0" w:afterAutospacing="0"/>
              <w:ind w:left="0" w:right="0"/>
              <w:jc w:val="left"/>
              <w:rPr>
                <w:rFonts w:hint="eastAsia"/>
                <w:b w:val="0"/>
                <w:bCs w:val="0"/>
                <w:vertAlign w:val="baseline"/>
                <w:lang w:val="en-US" w:eastAsia="zh-CN"/>
              </w:rPr>
            </w:pPr>
            <w:r>
              <w:rPr>
                <w:rFonts w:hint="eastAsia"/>
                <w:b w:val="0"/>
                <w:bCs w:val="0"/>
                <w:vertAlign w:val="baseline"/>
                <w:lang w:val="en-US" w:eastAsia="zh-CN"/>
              </w:rPr>
              <w:fldChar w:fldCharType="begin"/>
            </w:r>
            <w:r>
              <w:rPr>
                <w:rFonts w:hint="eastAsia"/>
                <w:b w:val="0"/>
                <w:bCs w:val="0"/>
                <w:vertAlign w:val="baseline"/>
                <w:lang w:val="en-US" w:eastAsia="zh-CN"/>
              </w:rPr>
              <w:instrText xml:space="preserve"> = 9 \* GB3 \* MERGEFORMAT </w:instrText>
            </w:r>
            <w:r>
              <w:rPr>
                <w:rFonts w:hint="eastAsia"/>
                <w:b w:val="0"/>
                <w:bCs w:val="0"/>
                <w:vertAlign w:val="baseline"/>
                <w:lang w:val="en-US" w:eastAsia="zh-CN"/>
              </w:rPr>
              <w:fldChar w:fldCharType="separate"/>
            </w:r>
            <w:r>
              <w:rPr>
                <w:rFonts w:hint="default"/>
                <w:b w:val="0"/>
                <w:bCs w:val="0"/>
              </w:rPr>
              <w:t>⑨</w:t>
            </w:r>
            <w:r>
              <w:rPr>
                <w:rFonts w:hint="eastAsia"/>
                <w:b w:val="0"/>
                <w:bCs w:val="0"/>
                <w:vertAlign w:val="baseline"/>
                <w:lang w:val="en-US" w:eastAsia="zh-CN"/>
              </w:rPr>
              <w:fldChar w:fldCharType="end"/>
            </w:r>
            <w:r>
              <w:rPr>
                <w:rFonts w:hint="eastAsia"/>
                <w:b w:val="0"/>
                <w:bCs w:val="0"/>
                <w:vertAlign w:val="baseline"/>
                <w:lang w:val="en-US" w:eastAsia="zh-CN"/>
              </w:rPr>
              <w:t>工艺运行简单，操作方便，抗冲击负荷能力强。</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t>出水水质较好；不产生污泥膨胀；除磷脱氮效果好。</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1 \* GB3 \* MERGEFORMAT </w:instrText>
            </w:r>
            <w:r>
              <w:rPr>
                <w:rFonts w:hint="eastAsia"/>
                <w:b w:val="0"/>
                <w:bCs/>
                <w:vertAlign w:val="baseline"/>
                <w:lang w:val="en-US" w:eastAsia="zh-CN"/>
              </w:rPr>
              <w:fldChar w:fldCharType="separate"/>
            </w:r>
            <w:r>
              <w:rPr>
                <w:rFonts w:hint="eastAsia"/>
                <w:b w:val="0"/>
                <w:bCs/>
                <w:vertAlign w:val="baseline"/>
                <w:lang w:val="en-US" w:eastAsia="zh-CN"/>
              </w:rPr>
              <w:t>①</w:t>
            </w:r>
            <w:r>
              <w:rPr>
                <w:rFonts w:hint="eastAsia"/>
                <w:b w:val="0"/>
                <w:bCs/>
                <w:vertAlign w:val="baseline"/>
                <w:lang w:val="en-US" w:eastAsia="zh-CN"/>
              </w:rPr>
              <w:fldChar w:fldCharType="end"/>
            </w:r>
            <w:r>
              <w:rPr>
                <w:rFonts w:hint="eastAsia"/>
                <w:b w:val="0"/>
                <w:bCs/>
                <w:vertAlign w:val="baseline"/>
                <w:lang w:val="en-US" w:eastAsia="zh-CN"/>
              </w:rPr>
              <w:t>总体投资省，包括机械设备、自控电气系统、土建和征地费；</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2 \* GB3 \* MERGEFORMAT </w:instrText>
            </w:r>
            <w:r>
              <w:rPr>
                <w:rFonts w:hint="eastAsia"/>
                <w:b w:val="0"/>
                <w:bCs/>
                <w:vertAlign w:val="baseline"/>
                <w:lang w:val="en-US" w:eastAsia="zh-CN"/>
              </w:rPr>
              <w:fldChar w:fldCharType="separate"/>
            </w:r>
            <w:r>
              <w:rPr>
                <w:rFonts w:hint="eastAsia"/>
                <w:b w:val="0"/>
                <w:bCs/>
                <w:vertAlign w:val="baseline"/>
                <w:lang w:val="en-US" w:eastAsia="zh-CN"/>
              </w:rPr>
              <w:t>②</w:t>
            </w:r>
            <w:r>
              <w:rPr>
                <w:rFonts w:hint="eastAsia"/>
                <w:b w:val="0"/>
                <w:bCs/>
                <w:vertAlign w:val="baseline"/>
                <w:lang w:val="en-US" w:eastAsia="zh-CN"/>
              </w:rPr>
              <w:fldChar w:fldCharType="end"/>
            </w:r>
            <w:r>
              <w:rPr>
                <w:rFonts w:hint="eastAsia"/>
                <w:b w:val="0"/>
                <w:bCs/>
                <w:vertAlign w:val="baseline"/>
                <w:lang w:val="en-US" w:eastAsia="zh-CN"/>
              </w:rPr>
              <w:t>占地面积小，通常为常规处理工艺占地面积的80%，厂区布置紧凑，美观；</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3 \* GB3 \* MERGEFORMAT </w:instrText>
            </w:r>
            <w:r>
              <w:rPr>
                <w:rFonts w:hint="eastAsia"/>
                <w:b w:val="0"/>
                <w:bCs/>
                <w:vertAlign w:val="baseline"/>
                <w:lang w:val="en-US" w:eastAsia="zh-CN"/>
              </w:rPr>
              <w:fldChar w:fldCharType="separate"/>
            </w:r>
            <w:r>
              <w:rPr>
                <w:rFonts w:hint="eastAsia"/>
                <w:b w:val="0"/>
                <w:bCs/>
                <w:vertAlign w:val="baseline"/>
                <w:lang w:val="en-US" w:eastAsia="zh-CN"/>
              </w:rPr>
              <w:t>③</w:t>
            </w:r>
            <w:r>
              <w:rPr>
                <w:rFonts w:hint="eastAsia"/>
                <w:b w:val="0"/>
                <w:bCs/>
                <w:vertAlign w:val="baseline"/>
                <w:lang w:val="en-US" w:eastAsia="zh-CN"/>
              </w:rPr>
              <w:fldChar w:fldCharType="end"/>
            </w:r>
            <w:r>
              <w:rPr>
                <w:rFonts w:hint="eastAsia"/>
                <w:b w:val="0"/>
                <w:bCs/>
                <w:vertAlign w:val="baseline"/>
                <w:lang w:val="en-US" w:eastAsia="zh-CN"/>
              </w:rPr>
              <w:t>出水质量好，可达到中水水质标准或生活杂用水水质标准；</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4 \* GB3 \* MERGEFORMAT </w:instrText>
            </w:r>
            <w:r>
              <w:rPr>
                <w:rFonts w:hint="eastAsia"/>
                <w:b w:val="0"/>
                <w:bCs/>
                <w:vertAlign w:val="baseline"/>
                <w:lang w:val="en-US" w:eastAsia="zh-CN"/>
              </w:rPr>
              <w:fldChar w:fldCharType="separate"/>
            </w:r>
            <w:r>
              <w:rPr>
                <w:rFonts w:hint="eastAsia"/>
                <w:b w:val="0"/>
                <w:bCs/>
                <w:vertAlign w:val="baseline"/>
                <w:lang w:val="en-US" w:eastAsia="zh-CN"/>
              </w:rPr>
              <w:t>④</w:t>
            </w:r>
            <w:r>
              <w:rPr>
                <w:rFonts w:hint="eastAsia"/>
                <w:b w:val="0"/>
                <w:bCs/>
                <w:vertAlign w:val="baseline"/>
                <w:lang w:val="en-US" w:eastAsia="zh-CN"/>
              </w:rPr>
              <w:fldChar w:fldCharType="end"/>
            </w:r>
            <w:r>
              <w:rPr>
                <w:rFonts w:hint="eastAsia"/>
                <w:b w:val="0"/>
                <w:bCs/>
                <w:vertAlign w:val="baseline"/>
                <w:lang w:val="en-US" w:eastAsia="zh-CN"/>
              </w:rPr>
              <w:t>工艺流程短，氧的传输效率高，供氧动力消耗低，处理单位污水的电耗低；</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5 \* GB3 \* MERGEFORMAT </w:instrText>
            </w:r>
            <w:r>
              <w:rPr>
                <w:rFonts w:hint="eastAsia"/>
                <w:b w:val="0"/>
                <w:bCs/>
                <w:vertAlign w:val="baseline"/>
                <w:lang w:val="en-US" w:eastAsia="zh-CN"/>
              </w:rPr>
              <w:fldChar w:fldCharType="separate"/>
            </w:r>
            <w:r>
              <w:rPr>
                <w:rFonts w:hint="eastAsia"/>
                <w:b w:val="0"/>
                <w:bCs/>
                <w:vertAlign w:val="baseline"/>
                <w:lang w:val="en-US" w:eastAsia="zh-CN"/>
              </w:rPr>
              <w:t>⑤</w:t>
            </w:r>
            <w:r>
              <w:rPr>
                <w:rFonts w:hint="eastAsia"/>
                <w:b w:val="0"/>
                <w:bCs/>
                <w:vertAlign w:val="baseline"/>
                <w:lang w:val="en-US" w:eastAsia="zh-CN"/>
              </w:rPr>
              <w:fldChar w:fldCharType="end"/>
            </w:r>
            <w:r>
              <w:rPr>
                <w:rFonts w:hint="eastAsia"/>
                <w:b w:val="0"/>
                <w:bCs/>
                <w:vertAlign w:val="baseline"/>
                <w:lang w:val="en-US" w:eastAsia="zh-CN"/>
              </w:rPr>
              <w:t>过滤速度高，处理符合大大高于常规处理工艺。</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1 \* GB3 \* MERGEFORMAT </w:instrText>
            </w:r>
            <w:r>
              <w:rPr>
                <w:rFonts w:hint="eastAsia"/>
                <w:b w:val="0"/>
                <w:bCs/>
                <w:vertAlign w:val="baseline"/>
                <w:lang w:val="en-US" w:eastAsia="zh-CN"/>
              </w:rPr>
              <w:fldChar w:fldCharType="separate"/>
            </w:r>
            <w:r>
              <w:rPr>
                <w:rFonts w:hint="eastAsia"/>
                <w:b w:val="0"/>
                <w:bCs/>
                <w:vertAlign w:val="baseline"/>
                <w:lang w:val="en-US" w:eastAsia="zh-CN"/>
              </w:rPr>
              <w:t>①</w:t>
            </w:r>
            <w:r>
              <w:rPr>
                <w:rFonts w:hint="eastAsia"/>
                <w:b w:val="0"/>
                <w:bCs/>
                <w:vertAlign w:val="baseline"/>
                <w:lang w:val="en-US" w:eastAsia="zh-CN"/>
              </w:rPr>
              <w:fldChar w:fldCharType="end"/>
            </w:r>
            <w:r>
              <w:rPr>
                <w:rFonts w:hint="eastAsia"/>
                <w:b w:val="0"/>
                <w:bCs/>
                <w:vertAlign w:val="baseline"/>
                <w:lang w:val="en-US" w:eastAsia="zh-CN"/>
              </w:rPr>
              <w:t>出水水质好；</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2 \* GB3 \* MERGEFORMAT </w:instrText>
            </w:r>
            <w:r>
              <w:rPr>
                <w:rFonts w:hint="eastAsia"/>
                <w:b w:val="0"/>
                <w:bCs/>
                <w:vertAlign w:val="baseline"/>
                <w:lang w:val="en-US" w:eastAsia="zh-CN"/>
              </w:rPr>
              <w:fldChar w:fldCharType="separate"/>
            </w:r>
            <w:r>
              <w:rPr>
                <w:rFonts w:hint="eastAsia"/>
                <w:b w:val="0"/>
                <w:bCs/>
                <w:vertAlign w:val="baseline"/>
                <w:lang w:val="en-US" w:eastAsia="zh-CN"/>
              </w:rPr>
              <w:t>②</w:t>
            </w:r>
            <w:r>
              <w:rPr>
                <w:rFonts w:hint="eastAsia"/>
                <w:b w:val="0"/>
                <w:bCs/>
                <w:vertAlign w:val="baseline"/>
                <w:lang w:val="en-US" w:eastAsia="zh-CN"/>
              </w:rPr>
              <w:fldChar w:fldCharType="end"/>
            </w:r>
            <w:r>
              <w:rPr>
                <w:rFonts w:hint="eastAsia"/>
                <w:b w:val="0"/>
                <w:bCs/>
                <w:vertAlign w:val="baseline"/>
                <w:lang w:val="en-US" w:eastAsia="zh-CN"/>
              </w:rPr>
              <w:t>工艺参数易于控制，能实现HRT与SRT的完全分离；</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3 \* GB3 \* MERGEFORMAT </w:instrText>
            </w:r>
            <w:r>
              <w:rPr>
                <w:rFonts w:hint="eastAsia"/>
                <w:b w:val="0"/>
                <w:bCs/>
                <w:vertAlign w:val="baseline"/>
                <w:lang w:val="en-US" w:eastAsia="zh-CN"/>
              </w:rPr>
              <w:fldChar w:fldCharType="separate"/>
            </w:r>
            <w:r>
              <w:rPr>
                <w:rFonts w:hint="eastAsia"/>
                <w:b w:val="0"/>
                <w:bCs/>
                <w:vertAlign w:val="baseline"/>
                <w:lang w:val="en-US" w:eastAsia="zh-CN"/>
              </w:rPr>
              <w:t>③</w:t>
            </w:r>
            <w:r>
              <w:rPr>
                <w:rFonts w:hint="eastAsia"/>
                <w:b w:val="0"/>
                <w:bCs/>
                <w:vertAlign w:val="baseline"/>
                <w:lang w:val="en-US" w:eastAsia="zh-CN"/>
              </w:rPr>
              <w:fldChar w:fldCharType="end"/>
            </w:r>
            <w:r>
              <w:rPr>
                <w:rFonts w:hint="eastAsia"/>
                <w:b w:val="0"/>
                <w:bCs/>
                <w:vertAlign w:val="baseline"/>
                <w:lang w:val="en-US" w:eastAsia="zh-CN"/>
              </w:rPr>
              <w:t>设备紧凑，省掉二沉池，占地少；</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4 \* GB3 \* MERGEFORMAT </w:instrText>
            </w:r>
            <w:r>
              <w:rPr>
                <w:rFonts w:hint="eastAsia"/>
                <w:b w:val="0"/>
                <w:bCs/>
                <w:vertAlign w:val="baseline"/>
                <w:lang w:val="en-US" w:eastAsia="zh-CN"/>
              </w:rPr>
              <w:fldChar w:fldCharType="separate"/>
            </w:r>
            <w:r>
              <w:rPr>
                <w:rFonts w:hint="eastAsia"/>
                <w:b w:val="0"/>
                <w:bCs/>
                <w:vertAlign w:val="baseline"/>
                <w:lang w:val="en-US" w:eastAsia="zh-CN"/>
              </w:rPr>
              <w:t>④</w:t>
            </w:r>
            <w:r>
              <w:rPr>
                <w:rFonts w:hint="eastAsia"/>
                <w:b w:val="0"/>
                <w:bCs/>
                <w:vertAlign w:val="baseline"/>
                <w:lang w:val="en-US" w:eastAsia="zh-CN"/>
              </w:rPr>
              <w:fldChar w:fldCharType="end"/>
            </w:r>
            <w:r>
              <w:rPr>
                <w:rFonts w:hint="eastAsia"/>
                <w:b w:val="0"/>
                <w:bCs/>
                <w:vertAlign w:val="baseline"/>
                <w:lang w:val="en-US" w:eastAsia="zh-CN"/>
              </w:rPr>
              <w:t>剩余污泥产量少；</w:t>
            </w:r>
          </w:p>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5 \* GB3 \* MERGEFORMAT </w:instrText>
            </w:r>
            <w:r>
              <w:rPr>
                <w:rFonts w:hint="eastAsia"/>
                <w:b w:val="0"/>
                <w:bCs/>
                <w:vertAlign w:val="baseline"/>
                <w:lang w:val="en-US" w:eastAsia="zh-CN"/>
              </w:rPr>
              <w:fldChar w:fldCharType="separate"/>
            </w:r>
            <w:r>
              <w:rPr>
                <w:rFonts w:hint="eastAsia"/>
                <w:b w:val="0"/>
                <w:bCs/>
                <w:vertAlign w:val="baseline"/>
                <w:lang w:val="en-US" w:eastAsia="zh-CN"/>
              </w:rPr>
              <w:t>⑤</w:t>
            </w:r>
            <w:r>
              <w:rPr>
                <w:rFonts w:hint="eastAsia"/>
                <w:b w:val="0"/>
                <w:bCs/>
                <w:vertAlign w:val="baseline"/>
                <w:lang w:val="en-US" w:eastAsia="zh-CN"/>
              </w:rPr>
              <w:fldChar w:fldCharType="end"/>
            </w:r>
            <w:r>
              <w:rPr>
                <w:rFonts w:hint="eastAsia"/>
                <w:b w:val="0"/>
                <w:bCs/>
                <w:vertAlign w:val="baseline"/>
                <w:lang w:val="en-US" w:eastAsia="zh-CN"/>
              </w:rPr>
              <w:t>有利于增殖缓慢的硝化细菌的截留、生长和繁殖；</w:t>
            </w:r>
          </w:p>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fldChar w:fldCharType="begin"/>
            </w:r>
            <w:r>
              <w:rPr>
                <w:rFonts w:hint="eastAsia"/>
                <w:b w:val="0"/>
                <w:bCs/>
                <w:vertAlign w:val="baseline"/>
                <w:lang w:val="en-US" w:eastAsia="zh-CN"/>
              </w:rPr>
              <w:instrText xml:space="preserve"> = 6 \* GB3 \* MERGEFORMAT </w:instrText>
            </w:r>
            <w:r>
              <w:rPr>
                <w:rFonts w:hint="eastAsia"/>
                <w:b w:val="0"/>
                <w:bCs/>
                <w:vertAlign w:val="baseline"/>
                <w:lang w:val="en-US" w:eastAsia="zh-CN"/>
              </w:rPr>
              <w:fldChar w:fldCharType="separate"/>
            </w:r>
            <w:r>
              <w:rPr>
                <w:rFonts w:hint="eastAsia"/>
                <w:b w:val="0"/>
                <w:bCs/>
                <w:vertAlign w:val="baseline"/>
                <w:lang w:val="en-US" w:eastAsia="zh-CN"/>
              </w:rPr>
              <w:t>⑥</w:t>
            </w:r>
            <w:r>
              <w:rPr>
                <w:rFonts w:hint="eastAsia"/>
                <w:b w:val="0"/>
                <w:bCs/>
                <w:vertAlign w:val="baseline"/>
                <w:lang w:val="en-US" w:eastAsia="zh-CN"/>
              </w:rPr>
              <w:fldChar w:fldCharType="end"/>
            </w:r>
            <w:r>
              <w:rPr>
                <w:rFonts w:hint="eastAsia"/>
                <w:b w:val="0"/>
                <w:bCs/>
                <w:vertAlign w:val="baseline"/>
                <w:lang w:val="en-US" w:eastAsia="zh-CN"/>
              </w:rPr>
              <w:t>克服了常规活性污泥法中容易发生污泥膨胀的弊端，系统可采用PLC控制，易于实现全程自动化。</w:t>
            </w:r>
          </w:p>
        </w:tc>
        <w:tc>
          <w:tcPr>
            <w:tcW w:w="2637" w:type="dxa"/>
            <w:vAlign w:val="center"/>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进出水装置简单；污水的流态可看成是完全混合模式，由于池体狭长，又类似推流式；BOD负荷低，处理水质良好；污泥产率低，排泥量少；污泥龄长，具有脱氮的功能。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缺点</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池内填料间的生物膜有时会出现堵塞现象，尚待改进。研究的方向是针对不同的进水负荷控制曝气强度，以消除堵塞；其次是研究合理的氧化池池型和形状、尺寸和材质合适的填料。</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t>池容和设备利用率低，占地面积较大、运行管理复杂，自控水平要求高。</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t>曝气生物滤池运行维护较复杂，尤其是填料的反洗与更换，从而导致运行费用也较高。</w:t>
            </w:r>
          </w:p>
        </w:tc>
        <w:tc>
          <w:tcPr>
            <w:tcW w:w="2636" w:type="dxa"/>
            <w:vAlign w:val="center"/>
          </w:tcPr>
          <w:p>
            <w:pPr>
              <w:pStyle w:val="352"/>
              <w:keepNext w:val="0"/>
              <w:keepLines w:val="0"/>
              <w:suppressLineNumbers w:val="0"/>
              <w:bidi w:val="0"/>
              <w:spacing w:before="0" w:beforeAutospacing="0" w:after="0" w:afterAutospacing="0"/>
              <w:ind w:left="0" w:right="0"/>
              <w:jc w:val="left"/>
              <w:rPr>
                <w:rFonts w:hint="default"/>
                <w:b w:val="0"/>
                <w:bCs/>
                <w:vertAlign w:val="baseline"/>
                <w:lang w:val="en-US" w:eastAsia="zh-CN"/>
              </w:rPr>
            </w:pPr>
            <w:r>
              <w:rPr>
                <w:rFonts w:hint="eastAsia"/>
                <w:b w:val="0"/>
                <w:bCs/>
                <w:vertAlign w:val="baseline"/>
                <w:lang w:val="en-US" w:eastAsia="zh-CN"/>
              </w:rPr>
              <w:t>MBR工艺造价相对加高，为普通污水处理工艺的1.5~2.0倍。国产膜片质量较差、使用时间较短，进口膜片价格过高，运行维护及更换费用较高。</w:t>
            </w:r>
          </w:p>
        </w:tc>
        <w:tc>
          <w:tcPr>
            <w:tcW w:w="2637" w:type="dxa"/>
            <w:vAlign w:val="center"/>
          </w:tcPr>
          <w:p>
            <w:pPr>
              <w:pStyle w:val="352"/>
              <w:keepNext w:val="0"/>
              <w:keepLines w:val="0"/>
              <w:suppressLineNumbers w:val="0"/>
              <w:bidi w:val="0"/>
              <w:spacing w:before="0" w:beforeAutospacing="0" w:after="0" w:afterAutospacing="0"/>
              <w:ind w:left="0" w:right="0"/>
              <w:jc w:val="left"/>
              <w:rPr>
                <w:rFonts w:hint="eastAsia"/>
                <w:b w:val="0"/>
                <w:bCs/>
                <w:vertAlign w:val="baseline"/>
                <w:lang w:val="en-US" w:eastAsia="zh-CN"/>
              </w:rPr>
            </w:pPr>
            <w:r>
              <w:rPr>
                <w:rFonts w:hint="eastAsia"/>
                <w:b w:val="0"/>
                <w:bCs/>
                <w:vertAlign w:val="baseline"/>
                <w:lang w:val="en-US" w:eastAsia="zh-CN"/>
              </w:rPr>
              <w:t>能耗高，且占地面积较大。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占地面积</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小</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大</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大</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最小（一般工艺的60%）</w:t>
            </w:r>
          </w:p>
        </w:tc>
        <w:tc>
          <w:tcPr>
            <w:tcW w:w="263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投资费用</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较低</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低</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高</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较高</w:t>
            </w:r>
          </w:p>
        </w:tc>
        <w:tc>
          <w:tcPr>
            <w:tcW w:w="263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运行费用及管理</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运行费用较低</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自动化程度要求较高</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反洗等很难实现自动化操作，运行费用高</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自动化程度高，运行费用低</w:t>
            </w:r>
          </w:p>
        </w:tc>
        <w:tc>
          <w:tcPr>
            <w:tcW w:w="263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自动化程度较低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19"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出水水质</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好</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较好</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好</w:t>
            </w:r>
          </w:p>
        </w:tc>
        <w:tc>
          <w:tcPr>
            <w:tcW w:w="2636"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好</w:t>
            </w:r>
          </w:p>
        </w:tc>
        <w:tc>
          <w:tcPr>
            <w:tcW w:w="2637"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较好</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sz w:val="24"/>
          <w:u w:val="none"/>
          <w:lang w:val="en-US" w:eastAsia="zh-CN"/>
        </w:rPr>
        <w:sectPr>
          <w:pgSz w:w="16838" w:h="11906" w:orient="landscape"/>
          <w:pgMar w:top="1417" w:right="1797" w:bottom="1417" w:left="1797" w:header="720" w:footer="720" w:gutter="0"/>
          <w:pgBorders>
            <w:top w:val="none" w:sz="0" w:space="0"/>
            <w:left w:val="none" w:sz="0" w:space="0"/>
            <w:bottom w:val="none" w:sz="0" w:space="0"/>
            <w:right w:val="none" w:sz="0" w:space="0"/>
          </w:pgBorders>
          <w:cols w:space="0" w:num="1"/>
          <w:rtlGutter w:val="0"/>
          <w:docGrid w:linePitch="0" w:charSpace="0"/>
        </w:sect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sz w:val="24"/>
          <w:u w:val="none"/>
          <w:lang w:val="en-US" w:eastAsia="zh-CN"/>
        </w:rPr>
      </w:pPr>
      <w:r>
        <w:rPr>
          <w:rFonts w:hint="eastAsia"/>
          <w:sz w:val="24"/>
          <w:u w:val="none"/>
          <w:lang w:val="en-US" w:eastAsia="zh-CN"/>
        </w:rPr>
        <w:t>随着经济的快速发展和城市化进程的加快，河流污染日益严重，为减少对水体的污染，本项目在废水处理技术上采用污水回用技术。为实现污水回用的目的，本次评价从污水处理工艺方案的投资费用、运行费用、占地面积、出水水质、后期管理等各方面进行系统的比较，最终选定MBR生物膜法配合微滤和消毒等物化处理进行废水处理，确保出水满足回用要求。</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本项目生产废水处理工艺流程见下图。</w:t>
      </w:r>
    </w:p>
    <w:p>
      <w:pPr>
        <w:pStyle w:val="352"/>
        <w:bidi w:val="0"/>
        <w:rPr>
          <w:rFonts w:hint="eastAsia"/>
          <w:lang w:val="en-US" w:eastAsia="zh-CN"/>
        </w:rPr>
      </w:pPr>
      <w:r>
        <w:rPr>
          <w:rFonts w:hint="eastAsia"/>
          <w:lang w:val="en-US" w:eastAsia="zh-CN"/>
        </w:rPr>
        <w:object>
          <v:shape id="_x0000_i1176" o:spt="75" type="#_x0000_t75" style="height:119.55pt;width:453.35pt;" o:ole="t" filled="f" o:preferrelative="t" stroked="f" coordsize="21600,21600">
            <v:path/>
            <v:fill on="f" focussize="0,0"/>
            <v:stroke on="f"/>
            <v:imagedata r:id="rId322" o:title=""/>
            <o:lock v:ext="edit" aspectratio="f"/>
            <w10:wrap type="none"/>
            <w10:anchorlock/>
          </v:shape>
          <o:OLEObject Type="Embed" ProgID="Visio.Drawing.11" ShapeID="_x0000_i1176" DrawAspect="Content" ObjectID="_1468075876" r:id="rId321">
            <o:LockedField>false</o:LockedField>
          </o:OLEObject>
        </w:object>
      </w:r>
    </w:p>
    <w:p>
      <w:pPr>
        <w:pStyle w:val="352"/>
        <w:bidi w:val="0"/>
        <w:rPr>
          <w:rFonts w:hint="default"/>
          <w:lang w:val="en-US" w:eastAsia="zh-CN"/>
        </w:rPr>
      </w:pPr>
      <w:r>
        <w:rPr>
          <w:rFonts w:hint="eastAsia"/>
          <w:lang w:val="en-US" w:eastAsia="zh-CN"/>
        </w:rPr>
        <w:t>图10-1  污水处理工艺流程图</w:t>
      </w:r>
    </w:p>
    <w:p>
      <w:pPr>
        <w:spacing w:line="360" w:lineRule="auto"/>
        <w:ind w:firstLine="482" w:firstLineChars="200"/>
        <w:jc w:val="left"/>
        <w:rPr>
          <w:rFonts w:hint="eastAsia"/>
          <w:b/>
          <w:bCs/>
          <w:sz w:val="24"/>
          <w:u w:val="none"/>
          <w:lang w:val="en-US" w:eastAsia="zh-CN"/>
        </w:rPr>
      </w:pPr>
      <w:r>
        <w:rPr>
          <w:rFonts w:hint="eastAsia"/>
          <w:b/>
          <w:bCs/>
          <w:sz w:val="24"/>
          <w:u w:val="none"/>
          <w:lang w:val="en-US" w:eastAsia="zh-CN"/>
        </w:rPr>
        <w:t>二、处理技术可行性分析</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MBR，又称膜生物反应器，是生物处理与膜技术相结合的一种工艺，在膜生物反应器里培养有大量的驯化细菌，在兼氧、好氧微生物的新陈代谢作用下，污水中的各类污染物得到去除。通过膜的过滤作用可以完全做到“固液分离”，从而保证出水浊度降至最低，污水中的各类污染物也通过膜的过滤作用得到进一步的去除。</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与传统工艺相比，膜生物反应器技术的优势如下：</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（1）MBR用膜分离技术代替了传统的泥水分离技术，膜技术可以基本截留水中的悬浮物，因此，出水中基本不含SS；污染物的去除率高，抵抗污泥膨胀能力强，出水水质稳定可靠。</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（2）实现了水力停留时间HRT和污泥龄SRT的分离，设计、操作大大简化；使运行控制更加灵活，并使延长污泥龄成为可能。</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（3）由于SRT很长，生物反应器又起到了“污泥消化池”的作用，从而显著减少污泥产量，剩余污泥量少，污泥处理费用低。</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4）由于膜的截流作用使SRT延长，营造了有利于增殖缓慢的微生物生长的环境。这有利于硝化细菌的生长，提高了系统的硝化能力，脱氮效率得到很大提高；同时有利于提高难降解大分子有机物的处理效率和促使其彻底的分解。</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（5）膜机械截流作用避免了微生物的流失，生物反应器内可保持高的污泥浓度，从而能降低污泥负荷，且MBR工艺略去了二沉池，大大减少占地面积。</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（6）由于泥龄长，脱氮效果好，加上出水基本不含SS，所以MBR的出水水质要好于传统工艺。</w:t>
      </w:r>
    </w:p>
    <w:p>
      <w:pPr>
        <w:topLinePunct/>
        <w:spacing w:line="360" w:lineRule="auto"/>
        <w:ind w:firstLine="480" w:firstLineChars="200"/>
        <w:rPr>
          <w:rFonts w:hint="eastAsia" w:eastAsiaTheme="minorEastAsia"/>
          <w:color w:val="000000"/>
          <w:sz w:val="24"/>
          <w:u w:val="none"/>
          <w:lang w:val="en-US" w:eastAsia="zh-CN"/>
        </w:rPr>
      </w:pPr>
      <w:r>
        <w:rPr>
          <w:rFonts w:hint="eastAsia" w:eastAsiaTheme="minorEastAsia"/>
          <w:color w:val="000000"/>
          <w:sz w:val="24"/>
          <w:u w:val="none"/>
          <w:lang w:eastAsia="zh-CN"/>
        </w:rPr>
        <w:t>本项目产生的废水以冲洗废水为主，主要污染物质为</w:t>
      </w:r>
      <w:r>
        <w:rPr>
          <w:rFonts w:hint="eastAsia" w:eastAsiaTheme="minorEastAsia"/>
          <w:color w:val="000000"/>
          <w:sz w:val="24"/>
          <w:u w:val="none"/>
          <w:lang w:val="en-US" w:eastAsia="zh-CN"/>
        </w:rPr>
        <w:t>COD、NH</w:t>
      </w:r>
      <w:r>
        <w:rPr>
          <w:rFonts w:hint="eastAsia" w:eastAsiaTheme="minorEastAsia"/>
          <w:color w:val="000000"/>
          <w:sz w:val="24"/>
          <w:u w:val="none"/>
          <w:vertAlign w:val="subscript"/>
          <w:lang w:val="en-US" w:eastAsia="zh-CN"/>
        </w:rPr>
        <w:t>3</w:t>
      </w:r>
      <w:r>
        <w:rPr>
          <w:rFonts w:hint="eastAsia" w:eastAsiaTheme="minorEastAsia"/>
          <w:color w:val="000000"/>
          <w:sz w:val="24"/>
          <w:u w:val="none"/>
          <w:lang w:val="en-US" w:eastAsia="zh-CN"/>
        </w:rPr>
        <w:t>-N以及细菌等，浓度较低</w:t>
      </w:r>
      <w:r>
        <w:rPr>
          <w:rFonts w:hint="eastAsia" w:eastAsiaTheme="minorEastAsia"/>
          <w:color w:val="000000"/>
          <w:sz w:val="24"/>
          <w:u w:val="none"/>
          <w:lang w:eastAsia="zh-CN"/>
        </w:rPr>
        <w:t>，</w:t>
      </w:r>
      <w:r>
        <w:rPr>
          <w:rFonts w:hint="eastAsia" w:eastAsiaTheme="minorEastAsia"/>
          <w:color w:val="000000"/>
          <w:sz w:val="24"/>
          <w:u w:val="none"/>
          <w:lang w:val="en-US" w:eastAsia="zh-CN"/>
        </w:rPr>
        <w:t>类比相同处理工艺的医疗废物处置中心污水处理设施处理效果可知，该废水处理工艺对废水的COD、BOD</w:t>
      </w:r>
      <w:r>
        <w:rPr>
          <w:rFonts w:hint="eastAsia" w:eastAsiaTheme="minorEastAsia"/>
          <w:color w:val="000000"/>
          <w:sz w:val="24"/>
          <w:u w:val="none"/>
          <w:vertAlign w:val="subscript"/>
          <w:lang w:val="en-US" w:eastAsia="zh-CN"/>
        </w:rPr>
        <w:t>5</w:t>
      </w:r>
      <w:r>
        <w:rPr>
          <w:rFonts w:hint="eastAsia" w:eastAsiaTheme="minorEastAsia"/>
          <w:color w:val="000000"/>
          <w:sz w:val="24"/>
          <w:u w:val="none"/>
          <w:lang w:val="en-US" w:eastAsia="zh-CN"/>
        </w:rPr>
        <w:t>、SS、NH</w:t>
      </w:r>
      <w:r>
        <w:rPr>
          <w:rFonts w:hint="eastAsia" w:eastAsiaTheme="minorEastAsia"/>
          <w:color w:val="000000"/>
          <w:sz w:val="24"/>
          <w:u w:val="none"/>
          <w:vertAlign w:val="subscript"/>
          <w:lang w:val="en-US" w:eastAsia="zh-CN"/>
        </w:rPr>
        <w:t>3</w:t>
      </w:r>
      <w:r>
        <w:rPr>
          <w:rFonts w:hint="eastAsia" w:eastAsiaTheme="minorEastAsia"/>
          <w:color w:val="000000"/>
          <w:sz w:val="24"/>
          <w:u w:val="none"/>
          <w:lang w:val="en-US" w:eastAsia="zh-CN"/>
        </w:rPr>
        <w:t>-N和大肠杆菌群处理效果较好。</w:t>
      </w:r>
    </w:p>
    <w:p>
      <w:pPr>
        <w:topLinePunct/>
        <w:spacing w:line="360" w:lineRule="auto"/>
        <w:ind w:firstLine="480" w:firstLineChars="200"/>
        <w:rPr>
          <w:rFonts w:hint="eastAsia"/>
          <w:sz w:val="24"/>
          <w:u w:val="none"/>
          <w:lang w:val="en-US" w:eastAsia="zh-CN"/>
        </w:rPr>
      </w:pPr>
      <w:r>
        <w:rPr>
          <w:rFonts w:hint="eastAsia"/>
          <w:sz w:val="24"/>
          <w:u w:val="none"/>
          <w:lang w:val="en-US" w:eastAsia="zh-CN"/>
        </w:rPr>
        <w:t>根据</w:t>
      </w:r>
      <w:r>
        <w:rPr>
          <w:rFonts w:hint="eastAsia" w:ascii="Times New Roman" w:eastAsia="宋体"/>
          <w:sz w:val="24"/>
          <w:u w:val="none"/>
          <w:lang w:val="en-US" w:eastAsia="zh-CN"/>
        </w:rPr>
        <w:t>《贞丰县医疗废物处置中心建设项目竣工环境保护验收监测报告》，该项目废水种类及废水水质与本项目类似，其采用的工艺为“调节+MBR+消毒”与本项目拟采用的废水</w:t>
      </w:r>
      <w:r>
        <w:rPr>
          <w:rFonts w:hint="eastAsia"/>
          <w:sz w:val="24"/>
          <w:u w:val="none"/>
          <w:lang w:val="en-US" w:eastAsia="zh-CN"/>
        </w:rPr>
        <w:t>主体</w:t>
      </w:r>
      <w:r>
        <w:rPr>
          <w:rFonts w:hint="eastAsia" w:ascii="Times New Roman" w:eastAsia="宋体"/>
          <w:sz w:val="24"/>
          <w:u w:val="none"/>
          <w:lang w:val="en-US" w:eastAsia="zh-CN"/>
        </w:rPr>
        <w:t>处理工艺相同，该废水处理工艺技术成熟，运行稳定可靠，出水水质可达到回用水的要去，具体详见下表。</w:t>
      </w:r>
    </w:p>
    <w:p>
      <w:pPr>
        <w:pStyle w:val="352"/>
        <w:rPr>
          <w:rFonts w:hint="eastAsia"/>
          <w:b/>
          <w:bCs/>
          <w:u w:val="none"/>
          <w:lang w:val="en-US" w:eastAsia="zh-CN"/>
        </w:rPr>
      </w:pPr>
      <w:r>
        <w:rPr>
          <w:rFonts w:hint="eastAsia"/>
          <w:b/>
          <w:bCs/>
          <w:u w:val="none"/>
          <w:lang w:val="en-US" w:eastAsia="zh-CN"/>
        </w:rPr>
        <w:t>表10-2  贞丰县医疗废物处置中心出水水质一览表</w:t>
      </w:r>
    </w:p>
    <w:tbl>
      <w:tblPr>
        <w:tblStyle w:val="59"/>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72"/>
        <w:gridCol w:w="1295"/>
        <w:gridCol w:w="950"/>
        <w:gridCol w:w="966"/>
        <w:gridCol w:w="1034"/>
        <w:gridCol w:w="950"/>
        <w:gridCol w:w="983"/>
        <w:gridCol w:w="733"/>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项目</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名称</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计量</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单位</w:t>
            </w:r>
          </w:p>
        </w:tc>
        <w:tc>
          <w:tcPr>
            <w:tcW w:w="1295"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监测日期</w:t>
            </w:r>
          </w:p>
        </w:tc>
        <w:tc>
          <w:tcPr>
            <w:tcW w:w="4883" w:type="dxa"/>
            <w:gridSpan w:val="5"/>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监测结果</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执行</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标准</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单项</w:t>
            </w:r>
          </w:p>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1295"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95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第一次</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第二次</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第三次</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第四次</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r>
              <w:rPr>
                <w:rFonts w:hint="default"/>
                <w:b/>
                <w:bCs/>
                <w:u w:val="none"/>
                <w:lang w:val="en-US" w:eastAsia="zh-CN"/>
              </w:rPr>
              <w:t>平均值</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pH值</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无量纲</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6.79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6.76</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6.84</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6.90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6.81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悬浮物</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17</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15</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17</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18</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化学需氧量</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34.9</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37.2</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32.6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38.8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35.9</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60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33.2</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40.9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30.8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28.5</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33.4</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五日生化需氧量</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9.80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9.42</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9.69</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20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9.56</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9.30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9.64</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9.48</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氨氮</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5.01</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5.07</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5.21</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5.10</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15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4.94</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5.02</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5.11</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5.18</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5.06</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汞</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0.00008</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0.00007</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0.00008</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0.00011</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0.00013</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0.00009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0.00011</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余氯</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0.19</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0.18</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0.16</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0.19</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0.15</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0.17</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粪大肠菌群</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个/L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460</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500</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330</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340</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430</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石油类</w:t>
            </w:r>
          </w:p>
        </w:tc>
        <w:tc>
          <w:tcPr>
            <w:tcW w:w="872"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mg/L</w:t>
            </w: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03月27日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733"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5</w:t>
            </w:r>
          </w:p>
        </w:tc>
        <w:tc>
          <w:tcPr>
            <w:tcW w:w="834" w:type="dxa"/>
            <w:vMerge w:val="restart"/>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1"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72"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1295"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03月28日</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66"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1034"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50"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983" w:type="dxa"/>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r>
              <w:rPr>
                <w:rFonts w:hint="default"/>
                <w:b w:val="0"/>
                <w:bCs w:val="0"/>
                <w:u w:val="none"/>
                <w:lang w:val="en-US" w:eastAsia="zh-CN"/>
              </w:rPr>
              <w:t>0.01ND</w:t>
            </w:r>
          </w:p>
        </w:tc>
        <w:tc>
          <w:tcPr>
            <w:tcW w:w="733"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c>
          <w:tcPr>
            <w:tcW w:w="834" w:type="dxa"/>
            <w:vMerge w:val="continue"/>
            <w:noWrap w:val="0"/>
            <w:vAlign w:val="center"/>
          </w:tcPr>
          <w:p>
            <w:pPr>
              <w:pStyle w:val="352"/>
              <w:keepNext w:val="0"/>
              <w:keepLines w:val="0"/>
              <w:suppressLineNumbers w:val="0"/>
              <w:spacing w:before="0" w:beforeAutospacing="0" w:after="0" w:afterAutospacing="0"/>
              <w:ind w:left="0" w:right="0"/>
              <w:rPr>
                <w:rFonts w:hint="default"/>
                <w:b w:val="0"/>
                <w:bCs w:val="0"/>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38" w:type="dxa"/>
            <w:gridSpan w:val="10"/>
            <w:noWrap w:val="0"/>
            <w:vAlign w:val="center"/>
          </w:tcPr>
          <w:p>
            <w:pPr>
              <w:pStyle w:val="352"/>
              <w:keepNext w:val="0"/>
              <w:keepLines w:val="0"/>
              <w:suppressLineNumbers w:val="0"/>
              <w:spacing w:before="0" w:beforeAutospacing="0" w:after="0" w:afterAutospacing="0"/>
              <w:ind w:left="0" w:right="0"/>
              <w:jc w:val="both"/>
              <w:rPr>
                <w:rFonts w:hint="default"/>
                <w:b w:val="0"/>
                <w:bCs w:val="0"/>
                <w:u w:val="none"/>
                <w:lang w:val="en-US" w:eastAsia="zh-CN"/>
              </w:rPr>
            </w:pPr>
            <w:r>
              <w:rPr>
                <w:rFonts w:hint="default"/>
                <w:b w:val="0"/>
                <w:bCs w:val="0"/>
                <w:u w:val="none"/>
                <w:lang w:val="en-US" w:eastAsia="zh-CN"/>
              </w:rPr>
              <w:t>注：最低检出限值+ND表示未检出；废水经处理后循环使用，不外排。</w:t>
            </w:r>
          </w:p>
        </w:tc>
      </w:tr>
    </w:tbl>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由上表可知，该类废水采用“调节+MBR+消毒”工艺进行废水处理，可实现稳定达标排放，污水处理工艺技术可行。本项目采用“调节+MBR+微滤+消毒”工艺进行废水处理，类比贞丰县所采用的废水治理工艺，本项目在MBR末端增加微滤工序，可使出水水质可以进一步净化。</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综上所述，本项目采取上述污水处理工艺，出水可满足《医疗机构水污染物排放标准》（GB18466-2005）及《城市污水再生利用 工业用水水质》（GB/T19923-2005）中标准要求，说明该处理措施是可行的。</w:t>
      </w:r>
    </w:p>
    <w:p>
      <w:pPr>
        <w:spacing w:line="360" w:lineRule="auto"/>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三、废水消毒工艺可行性分析</w:t>
      </w:r>
    </w:p>
    <w:p>
      <w:pPr>
        <w:spacing w:line="360" w:lineRule="auto"/>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医疗污水消毒是医疗污水处理的重要工艺过程，其目的是杀灭污水中的各种致病菌。医疗污水消毒常用的消毒工艺有氯消毒（如氯气、次氯酸钠）、氧化剂消毒（如臭氧、过氧乙酸）、辐射消毒（如紫外线、γ射线）。</w:t>
      </w:r>
    </w:p>
    <w:p>
      <w:pPr>
        <w:spacing w:line="360" w:lineRule="auto"/>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常用的氯消毒、臭氧消毒、次氯酸钠消毒和紫外线消毒法的优缺点如下表所示：</w:t>
      </w:r>
    </w:p>
    <w:p>
      <w:pPr>
        <w:pStyle w:val="352"/>
        <w:rPr>
          <w:rFonts w:hint="eastAsia"/>
          <w:b/>
          <w:bCs/>
          <w:u w:val="none"/>
          <w:lang w:val="en-US" w:eastAsia="zh-CN"/>
        </w:rPr>
      </w:pPr>
      <w:r>
        <w:rPr>
          <w:rFonts w:hint="eastAsia"/>
          <w:b/>
          <w:bCs/>
          <w:u w:val="none"/>
          <w:lang w:val="en-US" w:eastAsia="zh-CN"/>
        </w:rPr>
        <w:t>表10-3  常用消毒方法比较</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367"/>
        <w:gridCol w:w="8"/>
        <w:gridCol w:w="3359"/>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消毒剂</w:t>
            </w:r>
          </w:p>
        </w:tc>
        <w:tc>
          <w:tcPr>
            <w:tcW w:w="3367"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优点</w:t>
            </w:r>
          </w:p>
        </w:tc>
        <w:tc>
          <w:tcPr>
            <w:tcW w:w="3367" w:type="dxa"/>
            <w:gridSpan w:val="2"/>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缺点</w:t>
            </w:r>
          </w:p>
        </w:tc>
        <w:tc>
          <w:tcPr>
            <w:tcW w:w="138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消毒效果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氯</w:t>
            </w:r>
          </w:p>
        </w:tc>
        <w:tc>
          <w:tcPr>
            <w:tcW w:w="33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具有持续消毒作用；工艺简单，技术成熟；操作简单，投量准确。</w:t>
            </w:r>
          </w:p>
        </w:tc>
        <w:tc>
          <w:tcPr>
            <w:tcW w:w="3367"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产生具致癌、致畸作用的有机氯化物；处理水有氯或氯酚味；氯气腐蚀性强；运行管理有一定的危险性。</w:t>
            </w:r>
          </w:p>
        </w:tc>
        <w:tc>
          <w:tcPr>
            <w:tcW w:w="13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能有效杀菌，但杀灭病毒效果较差。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次氯酸钠</w:t>
            </w:r>
          </w:p>
        </w:tc>
        <w:tc>
          <w:tcPr>
            <w:tcW w:w="33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无毒，运行、管理无危险性。</w:t>
            </w:r>
          </w:p>
        </w:tc>
        <w:tc>
          <w:tcPr>
            <w:tcW w:w="3367"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产生具致癌、致畸作用的有机氯化物；使水的pH值升高。</w:t>
            </w:r>
          </w:p>
        </w:tc>
        <w:tc>
          <w:tcPr>
            <w:tcW w:w="13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与氯杀菌效果相同。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二氧化氯</w:t>
            </w:r>
          </w:p>
        </w:tc>
        <w:tc>
          <w:tcPr>
            <w:tcW w:w="33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具有强烈的氧化作用，不产生有机氯化物；投放简单方便；不受pH影响。</w:t>
            </w:r>
          </w:p>
        </w:tc>
        <w:tc>
          <w:tcPr>
            <w:tcW w:w="3367"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二氧化氯运行、管理操作要求较高；只能就地生产，就地使用。</w:t>
            </w:r>
          </w:p>
        </w:tc>
        <w:tc>
          <w:tcPr>
            <w:tcW w:w="13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较氯杀菌效果好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臭氧</w:t>
            </w:r>
          </w:p>
        </w:tc>
        <w:tc>
          <w:tcPr>
            <w:tcW w:w="3375" w:type="dxa"/>
            <w:gridSpan w:val="2"/>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有强氧化能力，接触时间短；不产生有机氯化物；不受pH影响；能增加水中溶解氧。</w:t>
            </w:r>
          </w:p>
        </w:tc>
        <w:tc>
          <w:tcPr>
            <w:tcW w:w="3359"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臭氧运行、管理有一定的危险性；操作复杂；制取臭氧的产率低；电能消耗大；基建投资较大；运行成本高。</w:t>
            </w:r>
          </w:p>
        </w:tc>
        <w:tc>
          <w:tcPr>
            <w:tcW w:w="13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杀菌和杀灭病毒的效果均很好。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紫外线</w:t>
            </w:r>
          </w:p>
        </w:tc>
        <w:tc>
          <w:tcPr>
            <w:tcW w:w="3375" w:type="dxa"/>
            <w:gridSpan w:val="2"/>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无有害的残余物质；无臭味；操作简单，易实现自动化；运行管理和维修费用低。</w:t>
            </w:r>
          </w:p>
        </w:tc>
        <w:tc>
          <w:tcPr>
            <w:tcW w:w="3359"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电耗大；紫外灯管与石英套管需定期更换；对处理水的水质要求较高；无后续杀菌作用。</w:t>
            </w:r>
          </w:p>
        </w:tc>
        <w:tc>
          <w:tcPr>
            <w:tcW w:w="1380" w:type="dxa"/>
            <w:vAlign w:val="center"/>
          </w:tcPr>
          <w:p>
            <w:pPr>
              <w:pStyle w:val="352"/>
              <w:keepNext w:val="0"/>
              <w:keepLines w:val="0"/>
              <w:suppressLineNumbers w:val="0"/>
              <w:spacing w:before="0" w:beforeAutospacing="0" w:after="0" w:afterAutospacing="0"/>
              <w:ind w:left="0" w:right="0"/>
              <w:jc w:val="center"/>
              <w:rPr>
                <w:rFonts w:hint="eastAsia"/>
                <w:b w:val="0"/>
                <w:bCs w:val="0"/>
                <w:u w:val="none"/>
                <w:vertAlign w:val="baseline"/>
                <w:lang w:val="en-US" w:eastAsia="zh-CN"/>
              </w:rPr>
            </w:pPr>
            <w:r>
              <w:rPr>
                <w:rFonts w:hint="eastAsia"/>
                <w:b w:val="0"/>
                <w:bCs w:val="0"/>
                <w:u w:val="none"/>
                <w:vertAlign w:val="baseline"/>
                <w:lang w:val="en-US" w:eastAsia="zh-CN"/>
              </w:rPr>
              <w:t>效果好，但对悬浮物浓度有要求。</w:t>
            </w:r>
          </w:p>
        </w:tc>
      </w:tr>
    </w:tbl>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上述消毒工艺各有优缺点，且在污水处理中都有应用。由于液氯需要配套投药消毒间和接触池，占地面积较大，土建费用较高，具有一定的危险性。紫外线装置采用模块结构，安装简易，不适用化学物品，运行安全，成本低，但对污水悬浮物浓度有要求。二氧化氯具有高效氧化剂、消毒剂以及漂白剂的功能，是目前医院污水处理使用较多的消毒方法。次氯酸钠运行、管理无危险性，缺点是会产生致癌、致畸作用的有机氯化物，使水的pH值升高。综合比较，本项目采取二氧化氯消毒。</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二氧化氯是国际上公认的含氯消毒剂中唯一的高效消毒灭菌剂，它可以杀灭大多数微生物，包括细菌繁殖体、细菌芽孢、真菌、分枝杆菌和病毒等，并且这些细菌不会产生抗药性。它的优点体现了以下几个方面：</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1、高效、强力</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在常用消毒剂中，相同时间内到同样的杀菌效果所需的二氧化氯浓度是最低的。对杀灭异养菌所需的二氧化氯浓度仅为氯气的1/2。二氧化氯对大肠杆菌杀灭效果比氯气高5倍以上，对孢子的杀灭作用也比氯强。</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2、快速、持久</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lang w:val="en-US" w:eastAsia="zh-CN"/>
        </w:rPr>
        <w:t>二氧化氯溶于水后，基本不与水发生化学反应，也不以二聚或多聚状态存在。它在水中的扩散速度与渗透能力都比氯快，特别在低浓度时更突出。当细菌浓度在10</w:t>
      </w:r>
      <w:r>
        <w:rPr>
          <w:rFonts w:hint="eastAsia" w:eastAsiaTheme="minorEastAsia"/>
          <w:color w:val="000000"/>
          <w:sz w:val="24"/>
          <w:u w:val="none"/>
          <w:vertAlign w:val="superscript"/>
          <w:lang w:val="en-US" w:eastAsia="zh-CN"/>
        </w:rPr>
        <w:t>5</w:t>
      </w:r>
      <w:r>
        <w:rPr>
          <w:rFonts w:hint="eastAsia" w:eastAsiaTheme="minorEastAsia"/>
          <w:color w:val="000000"/>
          <w:sz w:val="24"/>
          <w:u w:val="none"/>
          <w:lang w:val="en-US" w:eastAsia="zh-CN"/>
        </w:rPr>
        <w:t>~10</w:t>
      </w:r>
      <w:r>
        <w:rPr>
          <w:rFonts w:hint="eastAsia" w:eastAsiaTheme="minorEastAsia"/>
          <w:color w:val="000000"/>
          <w:sz w:val="24"/>
          <w:u w:val="none"/>
          <w:vertAlign w:val="superscript"/>
          <w:lang w:val="en-US" w:eastAsia="zh-CN"/>
        </w:rPr>
        <w:t>6</w:t>
      </w:r>
      <w:r>
        <w:rPr>
          <w:rFonts w:hint="eastAsia" w:eastAsiaTheme="minorEastAsia"/>
          <w:color w:val="000000"/>
          <w:sz w:val="24"/>
          <w:u w:val="none"/>
          <w:vertAlign w:val="baseline"/>
          <w:lang w:val="en-US" w:eastAsia="zh-CN"/>
        </w:rPr>
        <w:t>个/mL时，0.5ppm的二氧化氯作用5分钟后即可杀灭99%以上的异养菌。</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3、广谱、灭菌</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二氧化氯是一种广谱型消毒剂，对一切经水体传播的病原微生物均有很好的杀灭效果。二氧化氯除对一般细菌有杀死作用外，对芽孢、病毒、异养菌、铁细菌、真菌等均有很好的杀灭作用，且不易产生抗药性。二氧化氯对病毒的灭活比臭氧和氯气更有效。</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4、无毒、无刺激</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急性经口毒性试验表明，二氧化氯消毒灭菌剂属实际无毒级产品，积累性试验结论为弱蓄积性物质。</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5、安全、广泛</w:t>
      </w:r>
    </w:p>
    <w:p>
      <w:pPr>
        <w:spacing w:line="360" w:lineRule="auto"/>
        <w:ind w:firstLine="480" w:firstLineChars="200"/>
        <w:jc w:val="left"/>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二氧化氯不与水体中的有机物作用生成三卤甲烷等致癌物质，对高等动物细胞、精子及染色体无致癌、致畸、致突变作用。二氧化氯对还原性阴、阳离子和氧化效果以去毒为主，对有机物的氧化降解以含氧基团的小分子化合物为主，均证明是无毒害用的，因此，用二氧化氯消毒十分安全，无残留毒性。</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本项目混合废水采用二氧化氯进行消毒，按照《医疗机构水污染物排放标准》（GB18466-2005）要求，在保证消毒剂浓度和消毒时间的条件下（消毒接触池接触时间多1.5h），经消毒处理后的废水中粪大肠菌群数、肠道致病菌、肠道病毒以及细菌繁殖体芽孢均可以得到有效的杀灭，即可以满足《医疗机构水污染物排放标准》（GB18466-2005）排放标准的要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综上上分析，评价认为拟建项目采取的处理方式和处理措施是合理、可行的。</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eastAsiaTheme="minorEastAsia"/>
          <w:b/>
          <w:bCs/>
          <w:color w:val="000000"/>
          <w:sz w:val="24"/>
          <w:u w:val="none"/>
          <w:vertAlign w:val="baseline"/>
          <w:lang w:val="en-US" w:eastAsia="zh-CN"/>
        </w:rPr>
      </w:pPr>
      <w:r>
        <w:rPr>
          <w:rFonts w:hint="eastAsia" w:eastAsiaTheme="minorEastAsia"/>
          <w:b/>
          <w:bCs/>
          <w:color w:val="000000"/>
          <w:sz w:val="24"/>
          <w:u w:val="none"/>
          <w:vertAlign w:val="baseline"/>
          <w:lang w:val="en-US" w:eastAsia="zh-CN"/>
        </w:rPr>
        <w:t>四、事故池及雨水收集池容积合理性分析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雨水收集池容积按处理初期雨水，事故池按项目2天污水产生量计算，项目2天污水产生量约为11.8m³。项目生产区汇水面积3000m²，项目收集前10min的初期雨水，10min初期雨水量为42.33m³，初期雨水收集至雨水收集池。本项目雨水收集池容积为50m³、事故池20m³，完全可以容纳项目初期雨水及项目2天污水产生量，满足初期雨水及事故废水收集要求。初期雨水及事故废水进入雨水收集池、事故池后再用泵抽至污水处理站处理。雨水收集池及事故池起到初期雨水及事故废水调节、暂存和缓冲的功能。</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eastAsiaTheme="minorEastAsia"/>
          <w:b/>
          <w:bCs/>
          <w:color w:val="000000"/>
          <w:sz w:val="24"/>
          <w:u w:val="none"/>
          <w:vertAlign w:val="baseline"/>
          <w:lang w:val="en-US" w:eastAsia="zh-CN"/>
        </w:rPr>
      </w:pPr>
      <w:r>
        <w:rPr>
          <w:rFonts w:hint="eastAsia" w:eastAsiaTheme="minorEastAsia"/>
          <w:b/>
          <w:bCs/>
          <w:color w:val="000000"/>
          <w:sz w:val="24"/>
          <w:u w:val="none"/>
          <w:vertAlign w:val="baseline"/>
          <w:lang w:val="en-US" w:eastAsia="zh-CN"/>
        </w:rPr>
        <w:t>五、废水处理后不排放至灌溉沟渠的可行性分析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项目排水未雨污分流制，工程生产废水、生活污水废水产生为5.9m³/d，项目初期雨水量为42.33m³，本项目污水处理站处理规模为10m³/d，约10天能处理完初期雨水，通过雨水收集池容积合理性分析，雨水收集池能满足初期雨水暂存要求，但项目除生活用水外，回用水量约为6.02m³/d，不能满足全部回用的要求，根据《中华人民共和国水污染防治法》规定，本项目废水不能外排至附近灌溉沟渠。</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评价要求，本项目污水处理达到《医疗机构水污染物排放标准》（GB18466-2005）的综合医疗机构和其他医疗机构水污染物排放标准要求及《城市污水再生利用 工业用水水质》（GB/T19923-2005）标准中污染物排放最严值后回用做车辆、周转箱及生产车间清洗用水，当项目回用不完时，运输至旺苍县污水处理厂处理达标排放。</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hint="eastAsia" w:eastAsiaTheme="minorEastAsia"/>
          <w:b/>
          <w:bCs/>
          <w:color w:val="000000"/>
          <w:sz w:val="24"/>
          <w:u w:val="none"/>
          <w:vertAlign w:val="baseline"/>
          <w:lang w:val="en-US" w:eastAsia="zh-CN"/>
        </w:rPr>
      </w:pPr>
      <w:r>
        <w:rPr>
          <w:rFonts w:hint="eastAsia" w:eastAsiaTheme="minorEastAsia"/>
          <w:b/>
          <w:bCs/>
          <w:color w:val="000000"/>
          <w:sz w:val="24"/>
          <w:u w:val="none"/>
          <w:vertAlign w:val="baseline"/>
          <w:lang w:val="en-US" w:eastAsia="zh-CN"/>
        </w:rPr>
        <w:t>六、地下水污染防治措施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本项目外排水量小，但地下水一旦被污染影响时间长、距离远且难以治理。因为污染物附着于含水姐只是行，清除这些污染物是一个缓慢过程，要花费数十年甚至更长的时间，同时也需付出昂贵的代价。因此，在地下水污染防治问题上，应把预防污染作为基本原则，而把治理只看作不得已而采取的补救办法。根据本工程的特点及可能造成的地下水污染，按照“源头控制、分区防治、污染监控、应急响应”的原则，提出以下污染防治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1、源头控制措施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严格按照国家相关规范要求，对处理工艺、设备、污水储存及处理构筑物采取相应的防护措施，防治和降低污染物的跑、冒、滴、漏，将物料泄漏的环境风险事故降低到最低程度。严格执行《危险废物贮存污染控制标准》（GB18597-2001）防渗的有关要求，基础必须防渗，防渗层为至少1m厚粘土层（渗透系数≤10</w:t>
      </w:r>
      <w:r>
        <w:rPr>
          <w:rFonts w:hint="eastAsia" w:eastAsiaTheme="minorEastAsia"/>
          <w:color w:val="000000"/>
          <w:sz w:val="24"/>
          <w:u w:val="none"/>
          <w:vertAlign w:val="superscript"/>
          <w:lang w:val="en-US" w:eastAsia="zh-CN"/>
        </w:rPr>
        <w:t>-7</w:t>
      </w:r>
      <w:r>
        <w:rPr>
          <w:rFonts w:hint="eastAsia" w:eastAsiaTheme="minorEastAsia"/>
          <w:color w:val="000000"/>
          <w:sz w:val="24"/>
          <w:u w:val="none"/>
          <w:vertAlign w:val="baseline"/>
          <w:lang w:val="en-US" w:eastAsia="zh-CN"/>
        </w:rPr>
        <w:t>cm/s），或2mm厚高密度聚乙烯，或至少2mm厚的其它人工材料，渗透系数≤10</w:t>
      </w:r>
      <w:r>
        <w:rPr>
          <w:rFonts w:hint="eastAsia" w:eastAsiaTheme="minorEastAsia"/>
          <w:color w:val="000000"/>
          <w:sz w:val="24"/>
          <w:u w:val="none"/>
          <w:vertAlign w:val="superscript"/>
          <w:lang w:val="en-US" w:eastAsia="zh-CN"/>
        </w:rPr>
        <w:t>-10</w:t>
      </w:r>
      <w:r>
        <w:rPr>
          <w:rFonts w:hint="eastAsia" w:eastAsiaTheme="minorEastAsia"/>
          <w:color w:val="000000"/>
          <w:sz w:val="24"/>
          <w:u w:val="none"/>
          <w:vertAlign w:val="baseline"/>
          <w:lang w:val="en-US" w:eastAsia="zh-CN"/>
        </w:rPr>
        <w:t>cm/s，做好防腐防渗措施，以防止和降低污染地下水的环境风险。</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2、分区防控措施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对厂区可能造成地下水污染的污染区地面进行防腐防渗处理，对泄漏或渗漏的物料污染物及时地收集起来进行处理，可有效防止洒落地面的污染物下渗造成地下水污染。</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根据本工程的特点，将厂区不同的区域划分为重点污染防治区、一般污染防治区和简单污染防治区。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（1）重点污染防治区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fldChar w:fldCharType="begin"/>
      </w:r>
      <w:r>
        <w:rPr>
          <w:rFonts w:hint="eastAsia" w:eastAsiaTheme="minorEastAsia"/>
          <w:color w:val="000000"/>
          <w:sz w:val="24"/>
          <w:u w:val="none"/>
          <w:vertAlign w:val="baseline"/>
          <w:lang w:val="en-US" w:eastAsia="zh-CN"/>
        </w:rPr>
        <w:instrText xml:space="preserve"> = 1 \* GB3 \* MERGEFORMAT </w:instrText>
      </w:r>
      <w:r>
        <w:rPr>
          <w:rFonts w:hint="eastAsia" w:eastAsiaTheme="minorEastAsia"/>
          <w:color w:val="000000"/>
          <w:sz w:val="24"/>
          <w:u w:val="none"/>
          <w:vertAlign w:val="baseline"/>
          <w:lang w:val="en-US" w:eastAsia="zh-CN"/>
        </w:rPr>
        <w:fldChar w:fldCharType="separate"/>
      </w:r>
      <w:r>
        <w:t>①</w:t>
      </w:r>
      <w:r>
        <w:rPr>
          <w:rFonts w:hint="eastAsia"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污水处理站、导流沟、事故池等</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防渗措施：污水处理站、导流沟、集水池等采用压实土+铺设2mm厚高密度聚乙烯为防渗层（渗透系数≤1.0×10</w:t>
      </w:r>
      <w:r>
        <w:rPr>
          <w:rFonts w:hint="eastAsia" w:eastAsiaTheme="minorEastAsia"/>
          <w:color w:val="000000"/>
          <w:sz w:val="24"/>
          <w:u w:val="none"/>
          <w:vertAlign w:val="superscript"/>
          <w:lang w:val="en-US" w:eastAsia="zh-CN"/>
        </w:rPr>
        <w:t>-10</w:t>
      </w:r>
      <w:r>
        <w:rPr>
          <w:rFonts w:hint="eastAsia" w:eastAsiaTheme="minorEastAsia"/>
          <w:color w:val="000000"/>
          <w:sz w:val="24"/>
          <w:u w:val="none"/>
          <w:vertAlign w:val="baseline"/>
          <w:lang w:val="en-US" w:eastAsia="zh-CN"/>
        </w:rPr>
        <w:t>cm/s），钢筋混凝土浇筑池体，内壁交替涂布环氧树脂和玻璃纤维防腐材料。</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default" w:eastAsiaTheme="minorEastAsia"/>
          <w:color w:val="000000"/>
          <w:sz w:val="24"/>
          <w:u w:val="none"/>
          <w:vertAlign w:val="baseline"/>
          <w:lang w:val="en-US" w:eastAsia="zh-CN"/>
        </w:rPr>
        <w:fldChar w:fldCharType="begin"/>
      </w:r>
      <w:r>
        <w:rPr>
          <w:rFonts w:hint="default" w:eastAsiaTheme="minorEastAsia"/>
          <w:color w:val="000000"/>
          <w:sz w:val="24"/>
          <w:u w:val="none"/>
          <w:vertAlign w:val="baseline"/>
          <w:lang w:val="en-US" w:eastAsia="zh-CN"/>
        </w:rPr>
        <w:instrText xml:space="preserve"> = 2 \* GB3 \* MERGEFORMAT </w:instrText>
      </w:r>
      <w:r>
        <w:rPr>
          <w:rFonts w:hint="default" w:eastAsiaTheme="minorEastAsia"/>
          <w:color w:val="000000"/>
          <w:sz w:val="24"/>
          <w:u w:val="none"/>
          <w:vertAlign w:val="baseline"/>
          <w:lang w:val="en-US" w:eastAsia="zh-CN"/>
        </w:rPr>
        <w:fldChar w:fldCharType="separate"/>
      </w:r>
      <w:r>
        <w:t>②</w:t>
      </w:r>
      <w:r>
        <w:rPr>
          <w:rFonts w:hint="default"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处理车间和洗车平台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防渗措施：处理车间和洗车平台采用压实+铺设2mm厚高密度聚乙烯为防渗层（渗透系数≤1.0×10</w:t>
      </w:r>
      <w:r>
        <w:rPr>
          <w:rFonts w:hint="eastAsia" w:eastAsiaTheme="minorEastAsia"/>
          <w:color w:val="000000"/>
          <w:sz w:val="24"/>
          <w:u w:val="none"/>
          <w:vertAlign w:val="superscript"/>
          <w:lang w:val="en-US" w:eastAsia="zh-CN"/>
        </w:rPr>
        <w:t>-10</w:t>
      </w:r>
      <w:r>
        <w:rPr>
          <w:rFonts w:hint="eastAsia" w:eastAsiaTheme="minorEastAsia"/>
          <w:color w:val="000000"/>
          <w:sz w:val="24"/>
          <w:u w:val="none"/>
          <w:vertAlign w:val="baseline"/>
          <w:lang w:val="en-US" w:eastAsia="zh-CN"/>
        </w:rPr>
        <w:t>cm/s），上层铺设混凝土面层。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default" w:eastAsiaTheme="minorEastAsia"/>
          <w:color w:val="000000"/>
          <w:sz w:val="24"/>
          <w:u w:val="none"/>
          <w:vertAlign w:val="baseline"/>
          <w:lang w:val="en-US" w:eastAsia="zh-CN"/>
        </w:rPr>
        <w:fldChar w:fldCharType="begin"/>
      </w:r>
      <w:r>
        <w:rPr>
          <w:rFonts w:hint="default" w:eastAsiaTheme="minorEastAsia"/>
          <w:color w:val="000000"/>
          <w:sz w:val="24"/>
          <w:u w:val="none"/>
          <w:vertAlign w:val="baseline"/>
          <w:lang w:val="en-US" w:eastAsia="zh-CN"/>
        </w:rPr>
        <w:instrText xml:space="preserve"> = 3 \* GB3 \* MERGEFORMAT </w:instrText>
      </w:r>
      <w:r>
        <w:rPr>
          <w:rFonts w:hint="default" w:eastAsiaTheme="minorEastAsia"/>
          <w:color w:val="000000"/>
          <w:sz w:val="24"/>
          <w:u w:val="none"/>
          <w:vertAlign w:val="baseline"/>
          <w:lang w:val="en-US" w:eastAsia="zh-CN"/>
        </w:rPr>
        <w:fldChar w:fldCharType="separate"/>
      </w:r>
      <w:r>
        <w:t>③</w:t>
      </w:r>
      <w:r>
        <w:rPr>
          <w:rFonts w:hint="default"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冷藏间和卸料车间</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防渗措施：冷藏间和卸料车间的设置应严格执行《危险废物贮存污染物控制标准》（GB18597-2001）（2013修改单）中的相关要求进行防渗处理，采用压实土+铺设2mm厚高密度聚乙烯为防渗层（渗透系数≤1.0×10</w:t>
      </w:r>
      <w:r>
        <w:rPr>
          <w:rFonts w:hint="eastAsia" w:eastAsiaTheme="minorEastAsia"/>
          <w:color w:val="000000"/>
          <w:sz w:val="24"/>
          <w:u w:val="none"/>
          <w:vertAlign w:val="superscript"/>
          <w:lang w:val="en-US" w:eastAsia="zh-CN"/>
        </w:rPr>
        <w:t>-10</w:t>
      </w:r>
      <w:r>
        <w:rPr>
          <w:rFonts w:hint="eastAsia" w:eastAsiaTheme="minorEastAsia"/>
          <w:color w:val="000000"/>
          <w:sz w:val="24"/>
          <w:u w:val="none"/>
          <w:vertAlign w:val="baseline"/>
          <w:lang w:val="en-US" w:eastAsia="zh-CN"/>
        </w:rPr>
        <w:t>cm/s），上层铺设混凝土面层。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（2）一般污染防治区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一般污染防治区包括车间外地坪、停车区、道路以及公用工程区域，可采用在抗渗混凝土面层中掺水泥基渗透结晶型防水剂，其下铺砌砂石基层，厚土夯实达到防渗目的。</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其他应采取的防渗漏措施主要有：</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default" w:eastAsiaTheme="minorEastAsia"/>
          <w:color w:val="000000"/>
          <w:sz w:val="24"/>
          <w:u w:val="none"/>
          <w:vertAlign w:val="baseline"/>
          <w:lang w:val="en-US" w:eastAsia="zh-CN"/>
        </w:rPr>
        <w:fldChar w:fldCharType="begin"/>
      </w:r>
      <w:r>
        <w:rPr>
          <w:rFonts w:hint="default" w:eastAsiaTheme="minorEastAsia"/>
          <w:color w:val="000000"/>
          <w:sz w:val="24"/>
          <w:u w:val="none"/>
          <w:vertAlign w:val="baseline"/>
          <w:lang w:val="en-US" w:eastAsia="zh-CN"/>
        </w:rPr>
        <w:instrText xml:space="preserve"> = 1 \* GB3 \* MERGEFORMAT </w:instrText>
      </w:r>
      <w:r>
        <w:rPr>
          <w:rFonts w:hint="default" w:eastAsiaTheme="minorEastAsia"/>
          <w:color w:val="000000"/>
          <w:sz w:val="24"/>
          <w:u w:val="none"/>
          <w:vertAlign w:val="baseline"/>
          <w:lang w:val="en-US" w:eastAsia="zh-CN"/>
        </w:rPr>
        <w:fldChar w:fldCharType="separate"/>
      </w:r>
      <w:r>
        <w:rPr>
          <w:rFonts w:hint="default" w:eastAsiaTheme="minorEastAsia"/>
          <w:color w:val="000000"/>
          <w:sz w:val="24"/>
          <w:u w:val="none"/>
          <w:vertAlign w:val="baseline"/>
          <w:lang w:val="en-US" w:eastAsia="zh-CN"/>
        </w:rPr>
        <w:t>①</w:t>
      </w:r>
      <w:r>
        <w:rPr>
          <w:rFonts w:hint="default"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厂区各设备和管道均应选用优质设备和管件，并加强日常管理和维修维护工作，防止和减少跑、冒、滴、漏现象的发生。</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default" w:eastAsiaTheme="minorEastAsia"/>
          <w:color w:val="000000"/>
          <w:sz w:val="24"/>
          <w:u w:val="none"/>
          <w:vertAlign w:val="baseline"/>
          <w:lang w:val="en-US" w:eastAsia="zh-CN"/>
        </w:rPr>
        <w:fldChar w:fldCharType="begin"/>
      </w:r>
      <w:r>
        <w:rPr>
          <w:rFonts w:hint="default" w:eastAsiaTheme="minorEastAsia"/>
          <w:color w:val="000000"/>
          <w:sz w:val="24"/>
          <w:u w:val="none"/>
          <w:vertAlign w:val="baseline"/>
          <w:lang w:val="en-US" w:eastAsia="zh-CN"/>
        </w:rPr>
        <w:instrText xml:space="preserve"> = 2 \* GB3 \* MERGEFORMAT </w:instrText>
      </w:r>
      <w:r>
        <w:rPr>
          <w:rFonts w:hint="default" w:eastAsiaTheme="minorEastAsia"/>
          <w:color w:val="000000"/>
          <w:sz w:val="24"/>
          <w:u w:val="none"/>
          <w:vertAlign w:val="baseline"/>
          <w:lang w:val="en-US" w:eastAsia="zh-CN"/>
        </w:rPr>
        <w:fldChar w:fldCharType="separate"/>
      </w:r>
      <w:r>
        <w:rPr>
          <w:rFonts w:hint="default" w:eastAsiaTheme="minorEastAsia"/>
          <w:color w:val="000000"/>
          <w:sz w:val="24"/>
          <w:u w:val="none"/>
          <w:vertAlign w:val="baseline"/>
          <w:lang w:val="en-US" w:eastAsia="zh-CN"/>
        </w:rPr>
        <w:t>②</w:t>
      </w:r>
      <w:r>
        <w:rPr>
          <w:rFonts w:hint="default"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生产车间布置相应的废液收集管道或暗沟，并对废水收集处理系统的收集管道、收集池等采取防腐、防渗措施，防止污水下渗污染地下水。</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default" w:eastAsiaTheme="minorEastAsia"/>
          <w:color w:val="000000"/>
          <w:sz w:val="24"/>
          <w:u w:val="none"/>
          <w:vertAlign w:val="baseline"/>
          <w:lang w:val="en-US" w:eastAsia="zh-CN"/>
        </w:rPr>
        <w:fldChar w:fldCharType="begin"/>
      </w:r>
      <w:r>
        <w:rPr>
          <w:rFonts w:hint="default" w:eastAsiaTheme="minorEastAsia"/>
          <w:color w:val="000000"/>
          <w:sz w:val="24"/>
          <w:u w:val="none"/>
          <w:vertAlign w:val="baseline"/>
          <w:lang w:val="en-US" w:eastAsia="zh-CN"/>
        </w:rPr>
        <w:instrText xml:space="preserve"> = 3 \* GB3 \* MERGEFORMAT </w:instrText>
      </w:r>
      <w:r>
        <w:rPr>
          <w:rFonts w:hint="default" w:eastAsiaTheme="minorEastAsia"/>
          <w:color w:val="000000"/>
          <w:sz w:val="24"/>
          <w:u w:val="none"/>
          <w:vertAlign w:val="baseline"/>
          <w:lang w:val="en-US" w:eastAsia="zh-CN"/>
        </w:rPr>
        <w:fldChar w:fldCharType="separate"/>
      </w:r>
      <w:r>
        <w:rPr>
          <w:rFonts w:hint="default" w:eastAsiaTheme="minorEastAsia"/>
          <w:color w:val="000000"/>
          <w:sz w:val="24"/>
          <w:u w:val="none"/>
          <w:vertAlign w:val="baseline"/>
          <w:lang w:val="en-US" w:eastAsia="zh-CN"/>
        </w:rPr>
        <w:t>③</w:t>
      </w:r>
      <w:r>
        <w:rPr>
          <w:rFonts w:hint="default" w:eastAsiaTheme="minorEastAsia"/>
          <w:color w:val="000000"/>
          <w:sz w:val="24"/>
          <w:u w:val="none"/>
          <w:vertAlign w:val="baseline"/>
          <w:lang w:val="en-US" w:eastAsia="zh-CN"/>
        </w:rPr>
        <w:fldChar w:fldCharType="end"/>
      </w:r>
      <w:r>
        <w:rPr>
          <w:rFonts w:hint="eastAsia" w:eastAsiaTheme="minorEastAsia"/>
          <w:color w:val="000000"/>
          <w:sz w:val="24"/>
          <w:u w:val="none"/>
          <w:vertAlign w:val="baseline"/>
          <w:lang w:val="en-US" w:eastAsia="zh-CN"/>
        </w:rPr>
        <w:t>在厂区设置雨水排水、收集系统并做好相应的防渗措施。同时在厂区内严格管理，禁止进行分散的地面漫流冲洗。</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（3）地下水污染监控</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eastAsiaTheme="minorEastAsia"/>
          <w:color w:val="000000"/>
          <w:sz w:val="24"/>
          <w:u w:val="none"/>
          <w:vertAlign w:val="baseline"/>
          <w:lang w:val="en-US" w:eastAsia="zh-CN"/>
        </w:rPr>
      </w:pPr>
      <w:r>
        <w:rPr>
          <w:rFonts w:hint="eastAsia" w:eastAsiaTheme="minorEastAsia"/>
          <w:color w:val="000000"/>
          <w:sz w:val="24"/>
          <w:u w:val="none"/>
          <w:vertAlign w:val="baseline"/>
          <w:lang w:val="en-US" w:eastAsia="zh-CN"/>
        </w:rPr>
        <w:t>加强日常环境管理，维护和巡查，加强重点防治区附近的地下水监控，一旦发现污染，应立即采取措施，防止地下水污染扩散。</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10.2.2营运期废水治理措施</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一、收运过程废气防治措施</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1）医疗废物经产生机构进行密封包装后由封闭的周转箱、利器盒盛装，严格按《医疗废物转运车技术要求》（GB19217-2003）要求配置转运车，转运车辆的车厢应能防止运输过程中中医疗废物洒落，转运车辆应配有工具以便及时清除意外洒落的医疗废物，加强转运车维护。</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（2）提高操作人员业务能力，加强相关工作人员环保观念。</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（3）合理规划收集运输路线，尽量避让人口密集区域、交通拥堵路段及桥梁、河流、湖泊等。</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（4）运输车辆文明驾驶、减少急停急刹次数，最大程度避免医疗垃圾在路途中泄漏，降低环境影响。</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（5）依季节调整收集和运输时间，避免早晚交通高峰作业，缩短对外环境影响时间。</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（6）转运车内的防护设备、防护用品应确保处于正常工作状态，不得擅自拆除或停止使用。</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采取以上措施，收运过程中产生废气少，且为组组织排放，对环境影响小。</w:t>
      </w:r>
    </w:p>
    <w:p>
      <w:pPr>
        <w:spacing w:line="360" w:lineRule="auto"/>
        <w:ind w:firstLine="480" w:firstLineChars="200"/>
        <w:jc w:val="left"/>
        <w:rPr>
          <w:rFonts w:hint="eastAsia" w:eastAsiaTheme="minorEastAsia"/>
          <w:color w:val="000000"/>
          <w:sz w:val="24"/>
          <w:u w:val="none"/>
          <w:lang w:val="en-US" w:eastAsia="zh-CN"/>
        </w:rPr>
      </w:pPr>
      <w:r>
        <w:rPr>
          <w:rFonts w:hint="eastAsia" w:eastAsiaTheme="minorEastAsia"/>
          <w:color w:val="000000"/>
          <w:sz w:val="24"/>
          <w:u w:val="none"/>
          <w:lang w:val="en-US" w:eastAsia="zh-CN"/>
        </w:rPr>
        <w:t>二、厂区生产废气有组织排放防治措施</w:t>
      </w:r>
    </w:p>
    <w:p>
      <w:pPr>
        <w:spacing w:line="360" w:lineRule="auto"/>
        <w:ind w:firstLine="480" w:firstLineChars="200"/>
        <w:jc w:val="left"/>
        <w:rPr>
          <w:rFonts w:hint="default" w:eastAsiaTheme="minorEastAsia"/>
          <w:color w:val="000000"/>
          <w:sz w:val="24"/>
          <w:u w:val="none"/>
          <w:lang w:val="en-US" w:eastAsia="zh-CN"/>
        </w:rPr>
      </w:pPr>
      <w:r>
        <w:rPr>
          <w:rFonts w:hint="eastAsia" w:eastAsiaTheme="minorEastAsia"/>
          <w:color w:val="000000"/>
          <w:sz w:val="24"/>
          <w:u w:val="none"/>
          <w:lang w:val="en-US" w:eastAsia="zh-CN"/>
        </w:rPr>
        <w:t>1、厂区生产废气特点</w:t>
      </w:r>
    </w:p>
    <w:p>
      <w:pPr>
        <w:spacing w:line="360" w:lineRule="auto"/>
        <w:ind w:firstLine="480" w:firstLineChars="200"/>
        <w:jc w:val="left"/>
        <w:rPr>
          <w:rFonts w:hint="eastAsia"/>
          <w:sz w:val="24"/>
          <w:u w:val="none"/>
          <w:lang w:val="en-US" w:eastAsia="zh-CN"/>
        </w:rPr>
      </w:pPr>
      <w:r>
        <w:rPr>
          <w:rFonts w:hint="eastAsia" w:eastAsiaTheme="minorEastAsia"/>
          <w:color w:val="000000"/>
          <w:sz w:val="24"/>
          <w:u w:val="none"/>
          <w:lang w:val="en-US" w:eastAsia="zh-CN"/>
        </w:rPr>
        <w:t>本项目微波消毒过程在封闭的系统中操作，消毒系统处于负压状态</w:t>
      </w:r>
      <w:r>
        <w:rPr>
          <w:rFonts w:hint="eastAsia"/>
          <w:sz w:val="24"/>
          <w:u w:val="none"/>
          <w:lang w:val="en-US" w:eastAsia="zh-CN"/>
        </w:rPr>
        <w:t>。微博处理过程中产生的气体和贮存间的气体，主要污染物为微量病原微生物、少量有机废气和恶臭气体。</w:t>
      </w:r>
    </w:p>
    <w:p>
      <w:pPr>
        <w:spacing w:line="360" w:lineRule="auto"/>
        <w:ind w:firstLine="480" w:firstLineChars="200"/>
        <w:jc w:val="left"/>
        <w:rPr>
          <w:rFonts w:hint="eastAsia"/>
          <w:sz w:val="24"/>
          <w:u w:val="none"/>
          <w:lang w:val="en-US" w:eastAsia="zh-CN"/>
        </w:rPr>
      </w:pPr>
      <w:r>
        <w:rPr>
          <w:rFonts w:hint="eastAsia"/>
          <w:sz w:val="24"/>
          <w:u w:val="none"/>
          <w:lang w:val="en-US" w:eastAsia="zh-CN"/>
        </w:rPr>
        <w:t>2、废气处理方案可行性及达标性分析</w:t>
      </w:r>
    </w:p>
    <w:p>
      <w:pPr>
        <w:spacing w:line="360" w:lineRule="auto"/>
        <w:ind w:firstLine="480" w:firstLineChars="200"/>
        <w:jc w:val="left"/>
        <w:rPr>
          <w:rFonts w:hint="eastAsia"/>
          <w:sz w:val="24"/>
          <w:u w:val="none"/>
          <w:lang w:val="en-US" w:eastAsia="zh-CN"/>
        </w:rPr>
      </w:pPr>
      <w:r>
        <w:rPr>
          <w:rFonts w:hint="eastAsia"/>
          <w:sz w:val="24"/>
          <w:u w:val="none"/>
          <w:lang w:val="en-US" w:eastAsia="zh-CN"/>
        </w:rPr>
        <w:t>根据《医疗废物处理处置污染防治最佳可行技术指南（试行）》（HJ-BAT-8）的要求：废气处理装置应设有尾气过滤器、活性炭吸附装置，依据具体情况可考虑增设VOC化学氧化装置。</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本项目采用的“旋流塔+微滤装置+UV光氧催化+活性炭吸附装置”工艺对本项目消毒系统、破碎、贮存库产生的废气进行处理，处理工艺流程见下图。</w:t>
      </w:r>
    </w:p>
    <w:p>
      <w:pPr>
        <w:pStyle w:val="352"/>
        <w:bidi w:val="0"/>
        <w:rPr>
          <w:rFonts w:hint="eastAsia"/>
          <w:lang w:val="en-US" w:eastAsia="zh-CN"/>
        </w:rPr>
      </w:pPr>
      <w:r>
        <w:rPr>
          <w:rFonts w:hint="eastAsia"/>
          <w:lang w:val="en-US" w:eastAsia="zh-CN"/>
        </w:rPr>
        <w:object>
          <v:shape id="_x0000_i1177" o:spt="75" type="#_x0000_t75" style="height:28.15pt;width:453.4pt;" o:ole="t" filled="f" o:preferrelative="t" stroked="f" coordsize="21600,21600">
            <v:path/>
            <v:fill on="f" focussize="0,0"/>
            <v:stroke on="f"/>
            <v:imagedata r:id="rId324" o:title=""/>
            <o:lock v:ext="edit" aspectratio="f"/>
            <w10:wrap type="none"/>
            <w10:anchorlock/>
          </v:shape>
          <o:OLEObject Type="Embed" ProgID="Visio.Drawing.11" ShapeID="_x0000_i1177" DrawAspect="Content" ObjectID="_1468075877" r:id="rId323">
            <o:LockedField>false</o:LockedField>
          </o:OLEObject>
        </w:object>
      </w:r>
    </w:p>
    <w:p>
      <w:pPr>
        <w:pStyle w:val="352"/>
        <w:bidi w:val="0"/>
        <w:rPr>
          <w:rFonts w:hint="default"/>
          <w:lang w:val="en-US" w:eastAsia="zh-CN"/>
        </w:rPr>
      </w:pPr>
      <w:r>
        <w:rPr>
          <w:rFonts w:hint="eastAsia"/>
          <w:lang w:val="en-US" w:eastAsia="zh-CN"/>
        </w:rPr>
        <w:t>图10-2  本项目废气处理工艺流程图</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旋流塔是采用液体吸收法去除氯化氢气体、硫化氢气体、氨气等，并能过滤废气中的粉尘；微滤装置用于去除废气中病原微生物和粉尘；UV光氧催化是利用特制的高能高臭氧UV紫外线光束照射废气，裂解废气如：氨、硫化氢、三甲胺、甲硫醇、甲硫醚、乙酸丁酯、乙酸乙酯、二甲二硫、二硫化碳、苯乙烯、苯、甲苯、二甲苯的分子链结构，使有机或无机高分子恶臭化合物分子链，在高能紫外线光束照射下，降解转变成低分子化合物，如二氧化碳和水等。利用高能高臭氧UV紫外线光束分解空气中的氧分子产生游离氧，即活性氧，因游离氧所携正负电子不平衡所以需与氧分子结合，进而产生臭氧。臭氧对有机物具有极强的氧化作用，对工业废气及其他刺激性异味有明显的清楚效果。工业废气利用排风设备输入到本净化设备后，净化设备运用高能UV紫外线光束及臭氧对工业废气进行协同分解氧化反应，使工业废气物质其降解转化成低分子化合物、水和二氧化碳，再通过排风管道排出室外。利用高能-C光束裂解工业废气中细菌的分子键，破坏细菌的核酸，再通过臭氧进行氧化反应，彻底达到净化及杀灭细菌的目的。从净化空气效率考虑，我们选择了-C波段紫外线和臭氧发结合电晕电流较高化装置采用脉冲电晕放吸附技术相结合的原理对有害气体进行消除，其中-C波段紫外线主要用来去除硫化氢、氨、苯、甲苯、二甲苯、甲醛、乙酸乙酯、乙烷、丙酮、尿烷、树脂等气体的分解和裂变，使有机物变为无机化合物，该设备处理效率可达5000m³/h。</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废气经“旋流塔+微滤装置+UV光氧催化+活性炭吸附装置”处理工艺处理后，颗粒物能达到《大气污染物综合排放标准》（GB16297-1996）二级排放标准要求、臭气能达到《恶臭污染物排放标准》（GB14554-93）排放要求、挥发性有机物能达到《四川省固定污染源大气挥发性有机物排放标准》（DB51/2377-2017）表3、表4相应标准要求。</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综上，本项目采取的废气治理措施可行。</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3、无组织废气污染防治措施</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医疗废物在厂区内运输、进出车间及装卸过程中，由于对医疗废物进行翻动、挤压等过程导致极少量无组织排放的废气，在采取定期清洁、消毒、加强绿化等措施后，对环境影响较小。</w:t>
      </w:r>
    </w:p>
    <w:p>
      <w:pPr>
        <w:topLinePunct/>
        <w:spacing w:line="360" w:lineRule="auto"/>
        <w:jc w:val="left"/>
        <w:rPr>
          <w:rFonts w:hint="eastAsia" w:cs="Times New Roman"/>
          <w:b w:val="0"/>
          <w:bCs/>
          <w:sz w:val="24"/>
          <w:u w:val="none"/>
          <w:lang w:val="en-US" w:eastAsia="zh-CN"/>
        </w:rPr>
      </w:pPr>
      <w:r>
        <w:rPr>
          <w:rFonts w:hint="eastAsia" w:cs="Times New Roman"/>
          <w:b w:val="0"/>
          <w:bCs/>
          <w:sz w:val="24"/>
          <w:u w:val="none"/>
          <w:lang w:val="en-US" w:eastAsia="zh-CN"/>
        </w:rPr>
        <w:t>为减小医疗废物在厂区内无组织废气排放，环评要求建设单位采取以下措施：</w:t>
      </w:r>
    </w:p>
    <w:p>
      <w:pPr>
        <w:bidi w:val="0"/>
        <w:rPr>
          <w:rFonts w:hint="eastAsia"/>
          <w:lang w:val="en-US" w:eastAsia="zh-CN"/>
        </w:rPr>
      </w:pPr>
      <w:r>
        <w:rPr>
          <w:rFonts w:hint="eastAsia"/>
          <w:lang w:val="en-US" w:eastAsia="zh-CN"/>
        </w:rPr>
        <w:t>（1）医疗废物卸料场地、暂时贮存库、冷藏库等设施的设计、运行、安全防护等应满足《危险废物贮存污染控制标准》和《医疗卫生机构医疗废物管理办法》的有关要求。</w:t>
      </w:r>
    </w:p>
    <w:p>
      <w:pPr>
        <w:bidi w:val="0"/>
        <w:rPr>
          <w:rFonts w:hint="eastAsia"/>
          <w:lang w:val="en-US" w:eastAsia="zh-CN"/>
        </w:rPr>
      </w:pPr>
      <w:r>
        <w:rPr>
          <w:rFonts w:hint="eastAsia"/>
          <w:lang w:val="en-US" w:eastAsia="zh-CN"/>
        </w:rPr>
        <w:t>（2）微波消毒处理厂必须设冷库，冷藏库的温度要求3~7℃，冷藏库可与暂时贮存库合并建设，冷藏库未启动制冷设备时，可用作暂时贮存库。</w:t>
      </w:r>
    </w:p>
    <w:p>
      <w:pPr>
        <w:bidi w:val="0"/>
        <w:rPr>
          <w:rFonts w:hint="eastAsia"/>
          <w:lang w:val="en-US" w:eastAsia="zh-CN"/>
        </w:rPr>
      </w:pPr>
      <w:r>
        <w:rPr>
          <w:rFonts w:hint="eastAsia"/>
          <w:lang w:val="en-US" w:eastAsia="zh-CN"/>
        </w:rPr>
        <w:t>（3）医疗废物卸料和贮存设施属感染区，应配备隔离设施，报警装置和防风、防晒、防雨设施，并按照《环境保护图形标识固体废物贮存（处理）场》（GB155622）的有关规定设置警示标志。</w:t>
      </w:r>
    </w:p>
    <w:p>
      <w:pPr>
        <w:bidi w:val="0"/>
        <w:rPr>
          <w:rFonts w:hint="eastAsia"/>
          <w:lang w:val="en-US" w:eastAsia="zh-CN"/>
        </w:rPr>
      </w:pPr>
      <w:r>
        <w:rPr>
          <w:rFonts w:hint="eastAsia"/>
          <w:lang w:val="en-US" w:eastAsia="zh-CN"/>
        </w:rPr>
        <w:t>（4）贮存设施应合理组织气流分布，尽量使操作人员处于清洁区。</w:t>
      </w:r>
    </w:p>
    <w:p>
      <w:pPr>
        <w:bidi w:val="0"/>
        <w:rPr>
          <w:rFonts w:hint="eastAsia"/>
          <w:lang w:val="en-US" w:eastAsia="zh-CN"/>
        </w:rPr>
      </w:pPr>
      <w:r>
        <w:rPr>
          <w:rFonts w:hint="eastAsia"/>
          <w:lang w:val="en-US" w:eastAsia="zh-CN"/>
        </w:rPr>
        <w:t>（5）贮存设施应采用全封闭、微负压设计，并应设置事故排风系统或设施。</w:t>
      </w:r>
    </w:p>
    <w:p>
      <w:pPr>
        <w:bidi w:val="0"/>
        <w:rPr>
          <w:rFonts w:hint="eastAsia"/>
          <w:lang w:val="en-US" w:eastAsia="zh-CN"/>
        </w:rPr>
      </w:pPr>
      <w:r>
        <w:rPr>
          <w:rFonts w:hint="eastAsia"/>
          <w:lang w:val="en-US" w:eastAsia="zh-CN"/>
        </w:rPr>
        <w:t>（6）贮存设施地面和墙裙应进行防渗处理，地面应具有良好的排水性能，产生的废水可采用暗沟、管直接排入污水收集消毒处理设施。</w:t>
      </w:r>
    </w:p>
    <w:p>
      <w:pPr>
        <w:bidi w:val="0"/>
        <w:rPr>
          <w:rFonts w:hint="eastAsia"/>
          <w:lang w:val="en-US" w:eastAsia="zh-CN"/>
        </w:rPr>
      </w:pPr>
      <w:r>
        <w:rPr>
          <w:rFonts w:hint="eastAsia"/>
          <w:lang w:val="en-US" w:eastAsia="zh-CN"/>
        </w:rPr>
        <w:t>（7）贮存设施内应设置有安全照明设施和观察窗口。</w:t>
      </w:r>
    </w:p>
    <w:p>
      <w:pPr>
        <w:bidi w:val="0"/>
        <w:rPr>
          <w:rFonts w:hint="eastAsia"/>
          <w:lang w:val="en-US" w:eastAsia="zh-CN"/>
        </w:rPr>
      </w:pPr>
      <w:r>
        <w:rPr>
          <w:rFonts w:hint="eastAsia"/>
          <w:lang w:val="en-US" w:eastAsia="zh-CN"/>
        </w:rPr>
        <w:t>（8）医疗废物贮存设施的设计应方便医疗废物的装卸和转运工具的正常进出。</w:t>
      </w:r>
    </w:p>
    <w:p>
      <w:pPr>
        <w:bidi w:val="0"/>
        <w:rPr>
          <w:rFonts w:hint="eastAsia"/>
          <w:lang w:val="en-US" w:eastAsia="zh-CN"/>
        </w:rPr>
      </w:pPr>
      <w:r>
        <w:rPr>
          <w:rFonts w:hint="eastAsia"/>
          <w:lang w:val="en-US" w:eastAsia="zh-CN"/>
        </w:rPr>
        <w:t>（9）医疗废物卸料及贮存设施应采取防渗漏、防鼠、防鸟、防蚊蝇、防蟑螂、防盗等措施。</w:t>
      </w:r>
    </w:p>
    <w:p>
      <w:pPr>
        <w:bidi w:val="0"/>
        <w:rPr>
          <w:rFonts w:hint="eastAsia"/>
          <w:lang w:val="en-US" w:eastAsia="zh-CN"/>
        </w:rPr>
      </w:pPr>
      <w:r>
        <w:rPr>
          <w:rFonts w:hint="eastAsia"/>
          <w:lang w:val="en-US" w:eastAsia="zh-CN"/>
        </w:rPr>
        <w:t>（10）医疗废物应使用专用转运工具搬运，避免废物和容器直接接触人员的身体。医疗废物转运车应符合《医疗废物转运车技术要求（试行）》的规定。</w:t>
      </w:r>
    </w:p>
    <w:p>
      <w:pPr>
        <w:bidi w:val="0"/>
        <w:rPr>
          <w:rFonts w:hint="default"/>
          <w:lang w:val="en-US" w:eastAsia="zh-CN"/>
        </w:rPr>
      </w:pPr>
      <w:r>
        <w:rPr>
          <w:rFonts w:hint="eastAsia"/>
          <w:lang w:val="en-US" w:eastAsia="zh-CN"/>
        </w:rPr>
        <w:t>医疗废物进厂后应在规定时间内及时处理，减少存放时间，避免恶臭产生；若不能及时处理的应冷藏储存；废物的贮存、卸料、进料和破碎采用负压操作控制恶臭和带菌气体扩散，抽出的气体应按照厂区生产废气有组织排放防治措施的要求处理达标排放。</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10.2.3噪声污染防治措施</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噪声主要来源于医疗破碎装置、风机、各类泵等设备的机械噪声及空气动力性噪声，其噪声源强为85~105dB（A）。噪声防治措施主要有：采取低噪声工艺及设备、合理平面布置、隔声、消声、吸声等综合噪声治理技术措施等。针对本项目工程实际采取的噪声防治措施及项目特点，建议企业采取如下措施：</w:t>
      </w:r>
    </w:p>
    <w:p>
      <w:pPr>
        <w:spacing w:line="360" w:lineRule="auto"/>
        <w:ind w:firstLine="480" w:firstLineChars="200"/>
        <w:jc w:val="left"/>
        <w:rPr>
          <w:rFonts w:hint="eastAsia"/>
          <w:sz w:val="24"/>
          <w:u w:val="none"/>
          <w:lang w:val="en-US" w:eastAsia="zh-CN"/>
        </w:rPr>
      </w:pPr>
      <w:r>
        <w:rPr>
          <w:rFonts w:hint="eastAsia"/>
          <w:sz w:val="24"/>
          <w:u w:val="none"/>
          <w:lang w:val="en-US" w:eastAsia="zh-CN"/>
        </w:rPr>
        <w:t>1、选用低噪声设备</w:t>
      </w:r>
    </w:p>
    <w:p>
      <w:pPr>
        <w:spacing w:line="360" w:lineRule="auto"/>
        <w:ind w:firstLine="480" w:firstLineChars="200"/>
        <w:jc w:val="left"/>
        <w:rPr>
          <w:rFonts w:hint="eastAsia"/>
          <w:sz w:val="24"/>
          <w:u w:val="none"/>
          <w:lang w:val="en-US" w:eastAsia="zh-CN"/>
        </w:rPr>
      </w:pPr>
      <w:r>
        <w:rPr>
          <w:rFonts w:hint="eastAsia"/>
          <w:sz w:val="24"/>
          <w:u w:val="none"/>
          <w:lang w:val="en-US" w:eastAsia="zh-CN"/>
        </w:rPr>
        <w:t>（1）优先选用振动小、噪声低的设备，使用吸音材料降低撞击噪声；选用低噪声阀门；强烈振动的设备、管道与基础、支架、建筑物及其他设备之间采用柔性连接或支撑等。</w:t>
      </w:r>
    </w:p>
    <w:p>
      <w:pPr>
        <w:spacing w:line="360" w:lineRule="auto"/>
        <w:ind w:firstLine="480" w:firstLineChars="200"/>
        <w:jc w:val="left"/>
        <w:rPr>
          <w:rFonts w:hint="eastAsia"/>
          <w:sz w:val="24"/>
          <w:u w:val="none"/>
          <w:lang w:val="en-US" w:eastAsia="zh-CN"/>
        </w:rPr>
      </w:pPr>
      <w:r>
        <w:rPr>
          <w:rFonts w:hint="eastAsia"/>
          <w:sz w:val="24"/>
          <w:u w:val="none"/>
          <w:lang w:val="en-US" w:eastAsia="zh-CN"/>
        </w:rPr>
        <w:t>（2）采用操作机械化和运行自动化的设备工艺，实现远距离的监视操作。</w:t>
      </w:r>
    </w:p>
    <w:p>
      <w:pPr>
        <w:spacing w:line="360" w:lineRule="auto"/>
        <w:ind w:firstLine="480" w:firstLineChars="200"/>
        <w:jc w:val="left"/>
        <w:rPr>
          <w:rFonts w:hint="eastAsia"/>
          <w:sz w:val="24"/>
          <w:u w:val="none"/>
          <w:lang w:val="en-US" w:eastAsia="zh-CN"/>
        </w:rPr>
      </w:pPr>
      <w:r>
        <w:rPr>
          <w:rFonts w:hint="eastAsia"/>
          <w:sz w:val="24"/>
          <w:u w:val="none"/>
          <w:lang w:val="en-US" w:eastAsia="zh-CN"/>
        </w:rPr>
        <w:t>2、隔声、消声、吸声</w:t>
      </w:r>
    </w:p>
    <w:p>
      <w:pPr>
        <w:spacing w:line="360" w:lineRule="auto"/>
        <w:ind w:firstLine="480" w:firstLineChars="200"/>
        <w:jc w:val="left"/>
        <w:rPr>
          <w:rFonts w:hint="eastAsia"/>
          <w:sz w:val="24"/>
          <w:u w:val="none"/>
          <w:lang w:val="en-US" w:eastAsia="zh-CN"/>
        </w:rPr>
      </w:pPr>
      <w:r>
        <w:rPr>
          <w:rFonts w:hint="eastAsia"/>
          <w:sz w:val="24"/>
          <w:u w:val="none"/>
          <w:lang w:val="en-US" w:eastAsia="zh-CN"/>
        </w:rPr>
        <w:t>各噪声设备均应采用隔声、消声、吸声、隔振等综合控制技术措施。</w:t>
      </w:r>
    </w:p>
    <w:p>
      <w:pPr>
        <w:spacing w:line="360" w:lineRule="auto"/>
        <w:ind w:firstLine="480" w:firstLineChars="200"/>
        <w:jc w:val="left"/>
        <w:rPr>
          <w:rFonts w:hint="eastAsia"/>
          <w:sz w:val="24"/>
          <w:u w:val="none"/>
          <w:lang w:val="en-US" w:eastAsia="zh-CN"/>
        </w:rPr>
      </w:pPr>
      <w:r>
        <w:rPr>
          <w:rFonts w:hint="eastAsia"/>
          <w:sz w:val="24"/>
          <w:u w:val="none"/>
          <w:lang w:val="en-US" w:eastAsia="zh-CN"/>
        </w:rPr>
        <w:t>（1）风机：在风机出风口加装消声器，在风机和基础之间安装基础隔振垫（如金属弹簧减振器、橡胶减振器、玻璃纤维板等），减少扰动，防止共振，能有效降低源强。</w:t>
      </w:r>
    </w:p>
    <w:p>
      <w:pPr>
        <w:spacing w:line="360" w:lineRule="auto"/>
        <w:ind w:firstLine="480" w:firstLineChars="200"/>
        <w:jc w:val="left"/>
        <w:rPr>
          <w:rFonts w:hint="eastAsia"/>
          <w:sz w:val="24"/>
          <w:u w:val="none"/>
          <w:lang w:val="en-US" w:eastAsia="zh-CN"/>
        </w:rPr>
      </w:pPr>
      <w:r>
        <w:rPr>
          <w:rFonts w:hint="eastAsia"/>
          <w:sz w:val="24"/>
          <w:u w:val="none"/>
          <w:lang w:val="en-US" w:eastAsia="zh-CN"/>
        </w:rPr>
        <w:t>（2）泵类：采用减振、隔振措施，泵进出口接管做挠性连接或弹性连接，并增加惰性块（钢筋混凝土基础）的重量以增加其稳定性，从而有效降低振动强度。</w:t>
      </w:r>
    </w:p>
    <w:p>
      <w:pPr>
        <w:spacing w:line="360" w:lineRule="auto"/>
        <w:ind w:firstLine="480" w:firstLineChars="200"/>
        <w:jc w:val="left"/>
        <w:rPr>
          <w:rFonts w:hint="eastAsia"/>
          <w:sz w:val="24"/>
          <w:u w:val="none"/>
          <w:lang w:val="en-US" w:eastAsia="zh-CN"/>
        </w:rPr>
      </w:pPr>
      <w:r>
        <w:rPr>
          <w:rFonts w:hint="eastAsia"/>
          <w:sz w:val="24"/>
          <w:u w:val="none"/>
          <w:lang w:val="en-US" w:eastAsia="zh-CN"/>
        </w:rPr>
        <w:t>（3）厂房：厂房窗户设计为隔声窗，采用12mm厚玻璃或者双层6mm厚中空玻璃或隔声量相当的其它隔声材料。</w:t>
      </w:r>
    </w:p>
    <w:p>
      <w:pPr>
        <w:spacing w:line="360" w:lineRule="auto"/>
        <w:ind w:firstLine="480" w:firstLineChars="200"/>
        <w:jc w:val="left"/>
        <w:rPr>
          <w:rFonts w:hint="eastAsia"/>
          <w:sz w:val="24"/>
          <w:u w:val="none"/>
          <w:lang w:val="en-US" w:eastAsia="zh-CN"/>
        </w:rPr>
      </w:pPr>
      <w:r>
        <w:rPr>
          <w:rFonts w:hint="eastAsia"/>
          <w:sz w:val="24"/>
          <w:u w:val="none"/>
          <w:lang w:val="en-US" w:eastAsia="zh-CN"/>
        </w:rPr>
        <w:t>3、个人防护</w:t>
      </w:r>
    </w:p>
    <w:p>
      <w:pPr>
        <w:spacing w:line="360" w:lineRule="auto"/>
        <w:ind w:firstLine="480" w:firstLineChars="200"/>
        <w:jc w:val="left"/>
        <w:rPr>
          <w:rFonts w:hint="eastAsia"/>
          <w:sz w:val="24"/>
          <w:u w:val="none"/>
          <w:lang w:val="en-US" w:eastAsia="zh-CN"/>
        </w:rPr>
      </w:pPr>
      <w:r>
        <w:rPr>
          <w:rFonts w:hint="eastAsia"/>
          <w:sz w:val="24"/>
          <w:u w:val="none"/>
          <w:lang w:val="en-US" w:eastAsia="zh-CN"/>
        </w:rPr>
        <w:t>采取噪声控制措施后厂房内的噪声源仍然较强时，则应采取个人防护措施和减少接触噪声时间。对流动性、临时性噪声源和不宜采取噪声控制措施的工作场所，主要依靠个人防护用品（耳塞、耳罩等）防护。</w:t>
      </w:r>
    </w:p>
    <w:p>
      <w:pPr>
        <w:spacing w:line="360" w:lineRule="auto"/>
        <w:ind w:firstLine="480" w:firstLineChars="200"/>
        <w:jc w:val="left"/>
        <w:rPr>
          <w:rFonts w:hint="eastAsia"/>
          <w:sz w:val="24"/>
          <w:u w:val="none"/>
          <w:lang w:val="en-US" w:eastAsia="zh-CN"/>
        </w:rPr>
      </w:pPr>
      <w:r>
        <w:rPr>
          <w:rFonts w:hint="eastAsia"/>
          <w:sz w:val="24"/>
          <w:u w:val="none"/>
          <w:lang w:val="en-US" w:eastAsia="zh-CN"/>
        </w:rPr>
        <w:t>4、加强管理</w:t>
      </w:r>
    </w:p>
    <w:p>
      <w:pPr>
        <w:spacing w:line="360" w:lineRule="auto"/>
        <w:ind w:firstLine="480" w:firstLineChars="200"/>
        <w:jc w:val="left"/>
        <w:rPr>
          <w:rFonts w:hint="eastAsia"/>
          <w:sz w:val="24"/>
          <w:u w:val="none"/>
          <w:lang w:val="en-US" w:eastAsia="zh-CN"/>
        </w:rPr>
      </w:pPr>
      <w:r>
        <w:rPr>
          <w:rFonts w:hint="eastAsia"/>
          <w:sz w:val="24"/>
          <w:u w:val="none"/>
          <w:lang w:val="en-US" w:eastAsia="zh-CN"/>
        </w:rPr>
        <w:t>（1）加强设备的维护，确保设备处于良好的运转状态，杜绝因设备不正常运转时产生的高噪声现象；</w:t>
      </w:r>
    </w:p>
    <w:p>
      <w:pPr>
        <w:spacing w:line="360" w:lineRule="auto"/>
        <w:ind w:firstLine="480" w:firstLineChars="200"/>
        <w:jc w:val="left"/>
        <w:rPr>
          <w:rFonts w:hint="eastAsia"/>
          <w:sz w:val="24"/>
          <w:u w:val="none"/>
          <w:lang w:val="en-US" w:eastAsia="zh-CN"/>
        </w:rPr>
      </w:pPr>
      <w:r>
        <w:rPr>
          <w:rFonts w:hint="eastAsia"/>
          <w:sz w:val="24"/>
          <w:u w:val="none"/>
          <w:lang w:val="en-US" w:eastAsia="zh-CN"/>
        </w:rPr>
        <w:t>（2）加强职工环保意识教育，提倡文明生产，防止人为噪声；</w:t>
      </w:r>
    </w:p>
    <w:p>
      <w:pPr>
        <w:spacing w:line="360" w:lineRule="auto"/>
        <w:ind w:firstLine="480" w:firstLineChars="200"/>
        <w:jc w:val="left"/>
        <w:rPr>
          <w:rFonts w:hint="eastAsia"/>
          <w:sz w:val="24"/>
          <w:u w:val="none"/>
          <w:lang w:val="en-US" w:eastAsia="zh-CN"/>
        </w:rPr>
      </w:pPr>
      <w:r>
        <w:rPr>
          <w:rFonts w:hint="eastAsia"/>
          <w:sz w:val="24"/>
          <w:u w:val="none"/>
          <w:lang w:val="en-US" w:eastAsia="zh-CN"/>
        </w:rPr>
        <w:t>（3）对厂区流动声源，要强化行车管理制度，设置降噪标准，严禁鸣笛，进入厂区低速行驶，最大限度减少流动噪声源。</w:t>
      </w:r>
    </w:p>
    <w:p>
      <w:pPr>
        <w:spacing w:line="360" w:lineRule="auto"/>
        <w:ind w:firstLine="480" w:firstLineChars="200"/>
        <w:jc w:val="left"/>
        <w:rPr>
          <w:rFonts w:hint="default"/>
          <w:sz w:val="24"/>
          <w:u w:val="none"/>
          <w:lang w:val="en-US" w:eastAsia="zh-CN"/>
        </w:rPr>
      </w:pPr>
      <w:r>
        <w:rPr>
          <w:rFonts w:hint="eastAsia"/>
          <w:sz w:val="24"/>
          <w:u w:val="none"/>
          <w:lang w:val="en-US" w:eastAsia="zh-CN"/>
        </w:rPr>
        <w:t>综上，本项目采取以上措施后，厂界噪声排放可达到《工业企业厂界环境噪声排放标准》（GB12348-2008）中2类标准。</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10.2.4运营期固废处置措施</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1、危险废物处理处置</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拟建项目废气处置更换废料（废活性炭）、过滤废气产生的旋流塔污泥以及厂区污水处理站处理车间冲洗废水、初期雨水等废水产生的污泥属于危险废物，按危险废物处置。按照《危险废物贮存污染控制标准》（</w:t>
      </w:r>
      <w:r>
        <w:rPr>
          <w:rFonts w:hint="eastAsia"/>
          <w:color w:val="000000"/>
          <w:sz w:val="24"/>
          <w:u w:val="none"/>
          <w:lang w:val="en-US" w:eastAsia="zh-CN"/>
        </w:rPr>
        <w:t>GB18597-2001</w:t>
      </w:r>
      <w:r>
        <w:rPr>
          <w:rFonts w:hint="eastAsia"/>
          <w:color w:val="000000"/>
          <w:sz w:val="24"/>
          <w:u w:val="none"/>
          <w:lang w:eastAsia="zh-CN"/>
        </w:rPr>
        <w:t>）要求进行储存及管理，过滤废气产生的旋流塔污泥以及废活性炭采用密闭容器收集，存储在危废暂存间。危险废物转移采取危险废物转移报告联单制度，保证运输安全，防止非法转移和非法处置，保证危险废物的安全监控，防止危险废物污染事故发生；并交由由已取得相关危险废物处置资质的公司处置。</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危废暂存间建设及管理要求：</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w:t>
      </w:r>
      <w:r>
        <w:rPr>
          <w:rFonts w:hint="eastAsia"/>
          <w:color w:val="000000"/>
          <w:sz w:val="24"/>
          <w:u w:val="none"/>
          <w:lang w:eastAsia="zh-CN"/>
        </w:rPr>
        <w:t>）地面与裙脚要用坚固、防渗的材料建造，建筑材料必须与危险废物相容；</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2</w:t>
      </w:r>
      <w:r>
        <w:rPr>
          <w:rFonts w:hint="eastAsia"/>
          <w:color w:val="000000"/>
          <w:sz w:val="24"/>
          <w:u w:val="none"/>
          <w:lang w:eastAsia="zh-CN"/>
        </w:rPr>
        <w:t>）必须有泄漏液体收集装置、气体导出口及气体净化装置；</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3</w:t>
      </w:r>
      <w:r>
        <w:rPr>
          <w:rFonts w:hint="eastAsia"/>
          <w:color w:val="000000"/>
          <w:sz w:val="24"/>
          <w:u w:val="none"/>
          <w:lang w:eastAsia="zh-CN"/>
        </w:rPr>
        <w:t>）设施内要有安全照明设施和观察窗口；</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4</w:t>
      </w:r>
      <w:r>
        <w:rPr>
          <w:rFonts w:hint="eastAsia"/>
          <w:color w:val="000000"/>
          <w:sz w:val="24"/>
          <w:u w:val="none"/>
          <w:lang w:eastAsia="zh-CN"/>
        </w:rPr>
        <w:t>）用以存放装载液体、半固体危险废物容器的地方，必须有耐腐蚀的硬化地面，且表面无裂隙。</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5</w:t>
      </w:r>
      <w:r>
        <w:rPr>
          <w:rFonts w:hint="eastAsia"/>
          <w:color w:val="000000"/>
          <w:sz w:val="24"/>
          <w:u w:val="none"/>
          <w:lang w:eastAsia="zh-CN"/>
        </w:rPr>
        <w:t>）应设计堵截泄漏的裙脚，地面与裙脚所围建的容积不低于堵截最大容器的最大量或总储量的五分之一；</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eastAsia="zh-CN"/>
        </w:rPr>
        <w:t>（</w:t>
      </w:r>
      <w:r>
        <w:rPr>
          <w:rFonts w:hint="eastAsia"/>
          <w:color w:val="000000"/>
          <w:sz w:val="24"/>
          <w:u w:val="none"/>
          <w:lang w:val="en-US" w:eastAsia="zh-CN"/>
        </w:rPr>
        <w:t>6</w:t>
      </w:r>
      <w:r>
        <w:rPr>
          <w:rFonts w:hint="eastAsia"/>
          <w:color w:val="000000"/>
          <w:sz w:val="24"/>
          <w:u w:val="none"/>
          <w:lang w:eastAsia="zh-CN"/>
        </w:rPr>
        <w:t>）基础必须防渗，防渗层为至少</w:t>
      </w:r>
      <w:r>
        <w:rPr>
          <w:rFonts w:hint="eastAsia"/>
          <w:color w:val="000000"/>
          <w:sz w:val="24"/>
          <w:u w:val="none"/>
          <w:lang w:val="en-US" w:eastAsia="zh-CN"/>
        </w:rPr>
        <w:t>1m厚粘土层（渗透系数≤10</w:t>
      </w:r>
      <w:r>
        <w:rPr>
          <w:rFonts w:hint="eastAsia"/>
          <w:color w:val="000000"/>
          <w:sz w:val="24"/>
          <w:u w:val="none"/>
          <w:vertAlign w:val="superscript"/>
          <w:lang w:val="en-US" w:eastAsia="zh-CN"/>
        </w:rPr>
        <w:t>-7</w:t>
      </w:r>
      <w:r>
        <w:rPr>
          <w:rFonts w:hint="eastAsia"/>
          <w:color w:val="000000"/>
          <w:sz w:val="24"/>
          <w:u w:val="none"/>
          <w:lang w:val="en-US" w:eastAsia="zh-CN"/>
        </w:rPr>
        <w:t>cm/s），或2mm厚高密度聚乙烯，或至少2mm厚的其他人工材料，渗透系数≤10</w:t>
      </w:r>
      <w:r>
        <w:rPr>
          <w:rFonts w:hint="eastAsia"/>
          <w:color w:val="000000"/>
          <w:sz w:val="24"/>
          <w:u w:val="none"/>
          <w:vertAlign w:val="superscript"/>
          <w:lang w:val="en-US" w:eastAsia="zh-CN"/>
        </w:rPr>
        <w:t>-10</w:t>
      </w:r>
      <w:r>
        <w:rPr>
          <w:rFonts w:hint="eastAsia"/>
          <w:color w:val="000000"/>
          <w:sz w:val="24"/>
          <w:u w:val="none"/>
          <w:lang w:val="en-US" w:eastAsia="zh-CN"/>
        </w:rPr>
        <w:t>cm/s；</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（7）衬里放在一个基础或底座上；</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（8）衬里要能够覆盖为危险废物或其溶出物可能涉及到的范围；</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（9）衬里材料遇堆放危险废物相容；</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（10）危险废物贮存设施都必须按GB1556.2的规定设置警示标志；</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（11）危险废物贮存间应有专人看管钥匙；危险废物贮存设施应配备通讯设备、照明设施、安全防护服装及工具，并设有应急防护设施；</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（12）危险废物贮存设施内清理出来的泄漏物，一律按危险废物处理。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2、一般废物处理处置</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（1）医疗废渣</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医疗废物进行微波消毒处理后和破碎毁形后的废物，其性质类似于一般生活垃圾，可作为一般的生活垃圾进行填埋或送垃圾发电厂进行最终处置，具体处置方式依据当地生活垃圾所采取的符合国家相关规定的处置方式而定，本项目医疗固废经微波消毒处理、破碎毁形后，送至旺苍县生活垃圾填埋场处置或送广元市垃圾发电厂进行焚烧处置。</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（2）生活垃圾</w:t>
      </w:r>
    </w:p>
    <w:p>
      <w:pPr>
        <w:spacing w:line="360" w:lineRule="auto"/>
        <w:ind w:firstLine="480" w:firstLineChars="200"/>
        <w:jc w:val="left"/>
        <w:rPr>
          <w:rFonts w:hint="default"/>
          <w:color w:val="000000"/>
          <w:sz w:val="24"/>
          <w:u w:val="none"/>
          <w:lang w:val="en-US" w:eastAsia="zh-CN"/>
        </w:rPr>
      </w:pPr>
      <w:r>
        <w:rPr>
          <w:rFonts w:hint="eastAsia"/>
          <w:color w:val="000000"/>
          <w:sz w:val="24"/>
          <w:u w:val="none"/>
          <w:lang w:val="en-US" w:eastAsia="zh-CN"/>
        </w:rPr>
        <w:t>生活垃圾经分类袋装后，定期委托环卫部门清理处置。</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10.2.5运输过程环保措施及建议</w:t>
      </w:r>
    </w:p>
    <w:p>
      <w:pPr>
        <w:spacing w:line="360" w:lineRule="auto"/>
        <w:ind w:firstLine="480" w:firstLineChars="200"/>
        <w:jc w:val="left"/>
        <w:rPr>
          <w:rFonts w:hint="eastAsia"/>
          <w:sz w:val="24"/>
          <w:u w:val="none"/>
          <w:lang w:eastAsia="zh-CN"/>
        </w:rPr>
      </w:pPr>
      <w:r>
        <w:rPr>
          <w:rFonts w:hint="eastAsia"/>
          <w:sz w:val="24"/>
          <w:u w:val="none"/>
          <w:lang w:eastAsia="zh-CN"/>
        </w:rPr>
        <w:t>由于医疗废物存在毒性或传染性，所以在运输过程中应严格做好相应防范措施，防止医疗废物的泄漏，或发生重大交通事故，具体措施如下：</w:t>
      </w:r>
    </w:p>
    <w:p>
      <w:pPr>
        <w:spacing w:line="360" w:lineRule="auto"/>
        <w:ind w:firstLine="480" w:firstLineChars="200"/>
        <w:jc w:val="left"/>
        <w:rPr>
          <w:rFonts w:hint="eastAsia"/>
          <w:sz w:val="24"/>
          <w:u w:val="none"/>
          <w:lang w:eastAsia="zh-CN"/>
        </w:rPr>
      </w:pPr>
      <w:r>
        <w:rPr>
          <w:sz w:val="24"/>
          <w:u w:val="none"/>
        </w:rPr>
        <w:t>（1）</w:t>
      </w:r>
      <w:r>
        <w:rPr>
          <w:rFonts w:hint="eastAsia"/>
          <w:sz w:val="24"/>
          <w:u w:val="none"/>
          <w:lang w:eastAsia="zh-CN"/>
        </w:rPr>
        <w:t>采用医疗废物专用运输工具进行运输，运输医疗废物的车辆应采用具有专业资质单位设计制造的专门车辆，确保符合要求后方可投入使用。</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2</w:t>
      </w:r>
      <w:r>
        <w:rPr>
          <w:rFonts w:hint="eastAsia"/>
          <w:sz w:val="24"/>
          <w:u w:val="none"/>
          <w:lang w:eastAsia="zh-CN"/>
        </w:rPr>
        <w:t>）医疗废物运输车辆必须在车辆前部和后部、车厢两侧设置专用警示标识。</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3</w:t>
      </w:r>
      <w:r>
        <w:rPr>
          <w:rFonts w:hint="eastAsia"/>
          <w:sz w:val="24"/>
          <w:u w:val="none"/>
          <w:lang w:eastAsia="zh-CN"/>
        </w:rPr>
        <w:t>）应当根据医疗废物总体处置方案，配备足够数量的运送车辆，合理地备用应急车辆。</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4</w:t>
      </w:r>
      <w:r>
        <w:rPr>
          <w:rFonts w:hint="eastAsia"/>
          <w:sz w:val="24"/>
          <w:u w:val="none"/>
          <w:lang w:eastAsia="zh-CN"/>
        </w:rPr>
        <w:t>）每辆运送车辆应指定负责人，对医疗废物运送过程负责；从事医疗废物运输的司机等人员应经过合格的培训并通过考核。</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5</w:t>
      </w:r>
      <w:r>
        <w:rPr>
          <w:rFonts w:hint="eastAsia"/>
          <w:sz w:val="24"/>
          <w:u w:val="none"/>
          <w:lang w:eastAsia="zh-CN"/>
        </w:rPr>
        <w:t>）在运输前应事先作出周密的运输计划，安排好运输车经过各路段的时间，尽量避免运输车在交通高峰期通过市区。</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6</w:t>
      </w:r>
      <w:r>
        <w:rPr>
          <w:rFonts w:hint="eastAsia"/>
          <w:sz w:val="24"/>
          <w:u w:val="none"/>
          <w:lang w:eastAsia="zh-CN"/>
        </w:rPr>
        <w:t>）在该项目投入运行前，应事先对各运输路线的路况进行调查和监测，使司机对路面情况不好的道路、桥梁做到心中有数。</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7</w:t>
      </w:r>
      <w:r>
        <w:rPr>
          <w:rFonts w:hint="eastAsia"/>
          <w:sz w:val="24"/>
          <w:u w:val="none"/>
          <w:lang w:eastAsia="zh-CN"/>
        </w:rPr>
        <w:t>）医疗废物运输者应制定事故应急和防止运输过程中泄漏、丢失、杨散的保障措施和配备必要的设备，在医疗废物发生泄漏时可以及时将医疗废物收集，减少散失。</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8</w:t>
      </w:r>
      <w:r>
        <w:rPr>
          <w:rFonts w:hint="eastAsia"/>
          <w:sz w:val="24"/>
          <w:u w:val="none"/>
          <w:lang w:eastAsia="zh-CN"/>
        </w:rPr>
        <w:t>）运输车在每次运输前都必须对每辆运送车的车况进行检查，确保车况良好后方可出车，运送车辆负责人应对每辆运送车必须配备的辅助物品进行检查，确保完备；定期对运输车辆进行全面检查，减少和防止医疗废物发生泄漏和交通事故的发生。</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9</w:t>
      </w:r>
      <w:r>
        <w:rPr>
          <w:rFonts w:hint="eastAsia"/>
          <w:sz w:val="24"/>
          <w:u w:val="none"/>
          <w:lang w:eastAsia="zh-CN"/>
        </w:rPr>
        <w:t>）不同种类的医疗废物应采用不同的运输车辆，禁止混合运输性质不相容而未经安全性处置的医疗废物，运送车辆不得搭乘其他无关人员。</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10</w:t>
      </w:r>
      <w:r>
        <w:rPr>
          <w:rFonts w:hint="eastAsia"/>
          <w:sz w:val="24"/>
          <w:u w:val="none"/>
          <w:lang w:eastAsia="zh-CN"/>
        </w:rPr>
        <w:t>）车辆行驶时应锁闭车厢门，确保安全，不得丢失、遗撒和打开包装取出医疗废物。</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11</w:t>
      </w:r>
      <w:r>
        <w:rPr>
          <w:rFonts w:hint="eastAsia"/>
          <w:sz w:val="24"/>
          <w:u w:val="none"/>
          <w:lang w:eastAsia="zh-CN"/>
        </w:rPr>
        <w:t>）合理安排运输频次，在气象条件不好的天气，如暴雨、下雪等，不能运输医疗废物，可先贮藏，等天气好转再进行运输；小雨天气可运输，但应小心驾驶并加强安全措施。</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12</w:t>
      </w:r>
      <w:r>
        <w:rPr>
          <w:rFonts w:hint="eastAsia"/>
          <w:sz w:val="24"/>
          <w:u w:val="none"/>
          <w:lang w:eastAsia="zh-CN"/>
        </w:rPr>
        <w:t>）运输车辆应限速行驶，避免交通事故的发生；在路况不好的路段及沿线有敏感水体的区域应小心驾驶，防止发生事故或泄露性事故而污染水体。</w:t>
      </w:r>
    </w:p>
    <w:p>
      <w:pPr>
        <w:spacing w:line="360" w:lineRule="auto"/>
        <w:ind w:firstLine="480" w:firstLineChars="200"/>
        <w:jc w:val="left"/>
        <w:rPr>
          <w:rFonts w:hint="eastAsia"/>
          <w:sz w:val="24"/>
          <w:u w:val="none"/>
          <w:lang w:eastAsia="zh-CN"/>
        </w:rPr>
      </w:pPr>
      <w:r>
        <w:rPr>
          <w:rFonts w:hint="eastAsia"/>
          <w:sz w:val="24"/>
          <w:u w:val="none"/>
          <w:lang w:eastAsia="zh-CN"/>
        </w:rPr>
        <w:t>（</w:t>
      </w:r>
      <w:r>
        <w:rPr>
          <w:rFonts w:hint="eastAsia"/>
          <w:sz w:val="24"/>
          <w:u w:val="none"/>
          <w:lang w:val="en-US" w:eastAsia="zh-CN"/>
        </w:rPr>
        <w:t>13</w:t>
      </w:r>
      <w:r>
        <w:rPr>
          <w:rFonts w:hint="eastAsia"/>
          <w:sz w:val="24"/>
          <w:u w:val="none"/>
          <w:lang w:eastAsia="zh-CN"/>
        </w:rPr>
        <w:t>）医疗废物运输者在转移过程中发生意外事故，应立即向当地环境保护主管部门和交通管理部门报告，并采取相应措施，防止环境污染事故扩大。</w:t>
      </w:r>
    </w:p>
    <w:p>
      <w:pPr>
        <w:spacing w:line="360" w:lineRule="auto"/>
        <w:ind w:firstLine="480" w:firstLineChars="200"/>
        <w:jc w:val="left"/>
        <w:rPr>
          <w:rFonts w:hint="default"/>
          <w:sz w:val="24"/>
          <w:u w:val="none"/>
          <w:lang w:val="en-US" w:eastAsia="zh-CN"/>
        </w:rPr>
      </w:pPr>
      <w:r>
        <w:rPr>
          <w:rFonts w:hint="eastAsia"/>
          <w:sz w:val="24"/>
          <w:u w:val="none"/>
          <w:lang w:eastAsia="zh-CN"/>
        </w:rPr>
        <w:t>（</w:t>
      </w:r>
      <w:r>
        <w:rPr>
          <w:rFonts w:hint="eastAsia"/>
          <w:sz w:val="24"/>
          <w:u w:val="none"/>
          <w:lang w:val="en-US" w:eastAsia="zh-CN"/>
        </w:rPr>
        <w:t>14</w:t>
      </w:r>
      <w:r>
        <w:rPr>
          <w:rFonts w:hint="eastAsia"/>
          <w:sz w:val="24"/>
          <w:u w:val="none"/>
          <w:lang w:eastAsia="zh-CN"/>
        </w:rPr>
        <w:t>）应制定事故应急计划，在事故发生时及发生后做好相应环境保护措施。</w:t>
      </w:r>
    </w:p>
    <w:p>
      <w:pPr>
        <w:pStyle w:val="3"/>
        <w:rPr>
          <w:rFonts w:hint="eastAsia" w:ascii="Times New Roman" w:hAnsi="Times New Roman" w:eastAsia="宋体" w:cs="Times New Roman"/>
          <w:sz w:val="28"/>
          <w:szCs w:val="28"/>
          <w:u w:val="none"/>
          <w:lang w:val="en-US" w:eastAsia="zh-CN"/>
        </w:rPr>
      </w:pPr>
      <w:bookmarkStart w:id="95" w:name="_Toc15193"/>
      <w:r>
        <w:rPr>
          <w:rFonts w:hint="eastAsia" w:ascii="Times New Roman" w:hAnsi="Times New Roman" w:eastAsia="宋体" w:cs="Times New Roman"/>
          <w:sz w:val="28"/>
          <w:szCs w:val="28"/>
          <w:u w:val="none"/>
          <w:lang w:val="en-US" w:eastAsia="zh-CN"/>
        </w:rPr>
        <w:t>1</w:t>
      </w:r>
      <w:r>
        <w:rPr>
          <w:rFonts w:hint="eastAsia" w:ascii="Times New Roman" w:hAnsi="Times New Roman" w:cs="Times New Roman"/>
          <w:sz w:val="28"/>
          <w:szCs w:val="28"/>
          <w:u w:val="none"/>
          <w:lang w:val="en-US" w:eastAsia="zh-CN"/>
        </w:rPr>
        <w:t>0</w:t>
      </w:r>
      <w:r>
        <w:rPr>
          <w:rFonts w:hint="eastAsia" w:ascii="Times New Roman" w:hAnsi="Times New Roman" w:eastAsia="宋体" w:cs="Times New Roman"/>
          <w:sz w:val="28"/>
          <w:szCs w:val="28"/>
          <w:u w:val="none"/>
          <w:lang w:val="en-US" w:eastAsia="zh-CN"/>
        </w:rPr>
        <w:t>.3环保投资清单</w:t>
      </w:r>
      <w:bookmarkEnd w:id="95"/>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10.3.1环保设施建设费用</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本项目环保工程及投资情况详见下表</w:t>
      </w:r>
    </w:p>
    <w:p>
      <w:pPr>
        <w:pStyle w:val="352"/>
        <w:bidi w:val="0"/>
        <w:rPr>
          <w:b/>
          <w:bCs/>
          <w:szCs w:val="21"/>
          <w:u w:val="none"/>
        </w:rPr>
      </w:pPr>
      <w:r>
        <w:t>表1</w:t>
      </w:r>
      <w:r>
        <w:rPr>
          <w:rFonts w:hint="eastAsia"/>
          <w:lang w:val="en-US" w:eastAsia="zh-CN"/>
        </w:rPr>
        <w:t>0</w:t>
      </w:r>
      <w:r>
        <w:t>-</w:t>
      </w:r>
      <w:r>
        <w:rPr>
          <w:rFonts w:hint="eastAsia"/>
          <w:lang w:val="en-US" w:eastAsia="zh-CN"/>
        </w:rPr>
        <w:t xml:space="preserve">4  </w:t>
      </w:r>
      <w:r>
        <w:t>本项目环保设施</w:t>
      </w:r>
      <w:r>
        <w:rPr>
          <w:rFonts w:hint="eastAsia"/>
        </w:rPr>
        <w:t>及投资估算</w:t>
      </w:r>
      <w:r>
        <w:t>一览表</w:t>
      </w:r>
    </w:p>
    <w:tbl>
      <w:tblPr>
        <w:tblStyle w:val="59"/>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686"/>
        <w:gridCol w:w="1229"/>
        <w:gridCol w:w="5416"/>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61" w:type="dxa"/>
            <w:shd w:val="clear" w:color="auto" w:fill="auto"/>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序号</w:t>
            </w:r>
          </w:p>
        </w:tc>
        <w:tc>
          <w:tcPr>
            <w:tcW w:w="1915" w:type="dxa"/>
            <w:gridSpan w:val="2"/>
            <w:shd w:val="clear" w:color="auto" w:fill="auto"/>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污染工序</w:t>
            </w:r>
          </w:p>
        </w:tc>
        <w:tc>
          <w:tcPr>
            <w:tcW w:w="5416" w:type="dxa"/>
            <w:shd w:val="clear" w:color="auto" w:fill="auto"/>
            <w:vAlign w:val="center"/>
          </w:tcPr>
          <w:p>
            <w:pPr>
              <w:pStyle w:val="352"/>
              <w:keepNext w:val="0"/>
              <w:keepLines w:val="0"/>
              <w:suppressLineNumbers w:val="0"/>
              <w:spacing w:before="0" w:beforeAutospacing="0" w:after="0" w:afterAutospacing="0"/>
              <w:ind w:left="0" w:right="0"/>
              <w:rPr>
                <w:rFonts w:hint="eastAsia"/>
                <w:b/>
                <w:bCs/>
                <w:u w:val="none"/>
                <w:lang w:eastAsia="zh-CN"/>
              </w:rPr>
            </w:pPr>
            <w:r>
              <w:rPr>
                <w:rFonts w:hint="eastAsia"/>
                <w:b/>
                <w:bCs/>
                <w:u w:val="none"/>
                <w:lang w:eastAsia="zh-CN"/>
              </w:rPr>
              <w:t>具体治理设施</w:t>
            </w:r>
          </w:p>
        </w:tc>
        <w:tc>
          <w:tcPr>
            <w:tcW w:w="1408"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投资估算</w:t>
            </w:r>
          </w:p>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blHeader/>
          <w:jc w:val="center"/>
        </w:trPr>
        <w:tc>
          <w:tcPr>
            <w:tcW w:w="9300" w:type="dxa"/>
            <w:gridSpan w:val="5"/>
            <w:shd w:val="clear" w:color="auto" w:fill="auto"/>
            <w:vAlign w:val="center"/>
          </w:tcPr>
          <w:p>
            <w:pPr>
              <w:pStyle w:val="352"/>
              <w:keepNext w:val="0"/>
              <w:keepLines w:val="0"/>
              <w:suppressLineNumbers w:val="0"/>
              <w:spacing w:before="0" w:beforeAutospacing="0" w:after="0" w:afterAutospacing="0"/>
              <w:ind w:left="0" w:right="0"/>
              <w:rPr>
                <w:rFonts w:hint="eastAsia"/>
                <w:u w:val="none"/>
                <w:lang w:eastAsia="zh-CN"/>
              </w:rPr>
            </w:pPr>
            <w:r>
              <w:rPr>
                <w:rFonts w:hint="eastAsia"/>
                <w:b w:val="0"/>
                <w:bCs/>
                <w:u w:val="none"/>
                <w:lang w:eastAsia="zh-CN"/>
              </w:rPr>
              <w:t>一、废水处理设施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61"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w:t>
            </w:r>
          </w:p>
        </w:tc>
        <w:tc>
          <w:tcPr>
            <w:tcW w:w="68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生活污水</w:t>
            </w: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食堂</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隔油池1座，1m³</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61"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厕所、澡堂</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生活污水化粪池</w:t>
            </w:r>
            <w:r>
              <w:rPr>
                <w:rFonts w:hint="eastAsia"/>
                <w:b w:val="0"/>
                <w:bCs/>
                <w:u w:val="none"/>
                <w:lang w:val="en-US" w:eastAsia="zh-CN"/>
              </w:rPr>
              <w:t>2个，20m³/个；</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686"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生产废水</w:t>
            </w: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微波消毒车间</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eastAsia="zh-CN"/>
              </w:rPr>
              <w:t>污水处理站</w:t>
            </w:r>
            <w:r>
              <w:rPr>
                <w:rFonts w:hint="eastAsia"/>
                <w:b w:val="0"/>
                <w:bCs/>
                <w:u w:val="none"/>
                <w:lang w:val="en-US" w:eastAsia="zh-CN"/>
              </w:rPr>
              <w:t>1座，处理能力10m³/d，处理工艺：</w:t>
            </w:r>
            <w:r>
              <w:rPr>
                <w:rFonts w:hint="eastAsia"/>
                <w:b w:val="0"/>
                <w:bCs/>
                <w:u w:val="none"/>
                <w:lang w:eastAsia="zh-CN"/>
              </w:rPr>
              <w:t>调节</w:t>
            </w:r>
            <w:r>
              <w:rPr>
                <w:rFonts w:hint="eastAsia"/>
                <w:b w:val="0"/>
                <w:bCs/>
                <w:u w:val="none"/>
                <w:lang w:val="en-US" w:eastAsia="zh-CN"/>
              </w:rPr>
              <w:t>+MBR+微滤+消毒</w:t>
            </w:r>
          </w:p>
        </w:tc>
        <w:tc>
          <w:tcPr>
            <w:tcW w:w="1408" w:type="dxa"/>
            <w:vAlign w:val="center"/>
          </w:tcPr>
          <w:p>
            <w:pPr>
              <w:pStyle w:val="352"/>
              <w:keepNext w:val="0"/>
              <w:keepLines w:val="0"/>
              <w:suppressLineNumbers w:val="0"/>
              <w:spacing w:before="0" w:beforeAutospacing="0" w:after="0" w:afterAutospacing="0"/>
              <w:ind w:left="0" w:right="0"/>
              <w:rPr>
                <w:rFonts w:hint="default" w:eastAsia="宋体"/>
                <w:b w:val="0"/>
                <w:bCs/>
                <w:u w:val="none"/>
                <w:lang w:val="en-US" w:eastAsia="zh-CN"/>
              </w:rPr>
            </w:pPr>
            <w:r>
              <w:rPr>
                <w:rFonts w:hint="eastAsia"/>
                <w:b w:val="0"/>
                <w:bCs/>
                <w:u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二、废气治理设施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卸料平台及冷藏贮存废气、微波消毒废气、破碎废气</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废气治理设施1套，处理风量20000m³，处理工艺：旋流塔+过滤装置+UV光催化氧化+活性炭吸附+15m排气筒</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三、噪声防治措施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3</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设备运行噪声</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低噪设备、合理布局、消声、隔声减振等措施</w:t>
            </w:r>
          </w:p>
        </w:tc>
        <w:tc>
          <w:tcPr>
            <w:tcW w:w="1408"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四、固体废物污染防治措施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4</w:t>
            </w:r>
          </w:p>
        </w:tc>
        <w:tc>
          <w:tcPr>
            <w:tcW w:w="68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一般固废废物</w:t>
            </w: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生活垃圾</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设生活垃圾暂存点一处，建筑面积5m²，生活垃圾由垃圾袋收集后，暂存于垃圾暂存点，定期交环卫部门清运处置。</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w:t>
            </w: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处理后的医疗残渣</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甚至暂存场，地面做防渗处理，定期送至垃圾填埋场填埋或垃圾焚烧发电厂焚烧处置。</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6</w:t>
            </w:r>
          </w:p>
        </w:tc>
        <w:tc>
          <w:tcPr>
            <w:tcW w:w="68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危险废物</w:t>
            </w: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旋流塔、污水处理站污泥</w:t>
            </w:r>
          </w:p>
        </w:tc>
        <w:tc>
          <w:tcPr>
            <w:tcW w:w="541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厂内设危险废物暂存间1间，建筑面积30m²，用于安全收集暂存各类危险废物。其中，废活性炭定期交有资质单位处置；其余危险废物，同医疗废物一并经项目自身的微波消毒系统处置，处置后的残渣送垃圾填埋场填埋或垃圾焚烧发电厂焚烧处置。</w:t>
            </w:r>
          </w:p>
        </w:tc>
        <w:tc>
          <w:tcPr>
            <w:tcW w:w="1408" w:type="dxa"/>
            <w:vMerge w:val="restart"/>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7</w:t>
            </w: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废过滤膜</w:t>
            </w:r>
          </w:p>
        </w:tc>
        <w:tc>
          <w:tcPr>
            <w:tcW w:w="541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08"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8</w:t>
            </w: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val="en-US" w:eastAsia="zh-CN"/>
              </w:rPr>
              <w:t>破损周转箱、废弃手套及口罩</w:t>
            </w:r>
          </w:p>
        </w:tc>
        <w:tc>
          <w:tcPr>
            <w:tcW w:w="541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08"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9</w:t>
            </w: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废活性炭</w:t>
            </w:r>
          </w:p>
        </w:tc>
        <w:tc>
          <w:tcPr>
            <w:tcW w:w="541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408"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五、地下水防渗措施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w:t>
            </w:r>
          </w:p>
        </w:tc>
        <w:tc>
          <w:tcPr>
            <w:tcW w:w="686"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地下水污染防控</w:t>
            </w: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处理车间、冷藏库、洗车平台、污水处理站、导流沟和集水池等</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重点防渗区：</w:t>
            </w:r>
            <w:r>
              <w:rPr>
                <w:rFonts w:hint="default"/>
                <w:b w:val="0"/>
                <w:bCs/>
                <w:u w:val="none"/>
              </w:rPr>
              <w:t>等效黏土防渗层Mb≥6.0m，k≤1×10</w:t>
            </w:r>
            <w:r>
              <w:rPr>
                <w:rFonts w:hint="default"/>
                <w:b w:val="0"/>
                <w:bCs/>
                <w:u w:val="none"/>
                <w:vertAlign w:val="superscript"/>
              </w:rPr>
              <w:t>-7</w:t>
            </w:r>
            <w:r>
              <w:rPr>
                <w:rFonts w:hint="default"/>
                <w:b w:val="0"/>
                <w:bCs/>
                <w:u w:val="none"/>
              </w:rPr>
              <w:t>cm/s；或参照《危险废物填埋污染控制标准》（GB18598-2001）（2013修改）执行，可采用抗渗混凝土+HDPE土工膜（2mm）+环氧树脂漆层进行防渗防腐处理。</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11</w:t>
            </w:r>
          </w:p>
        </w:tc>
        <w:tc>
          <w:tcPr>
            <w:tcW w:w="686"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p>
        </w:tc>
        <w:tc>
          <w:tcPr>
            <w:tcW w:w="1229"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除上述区域及厂区绿化带以外的区域</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一般防渗区：采用防渗等级不低于P1级的防渗混凝土硬化地面，厚度不低于20cm，渗透系数≤1×10</w:t>
            </w:r>
            <w:r>
              <w:rPr>
                <w:rFonts w:hint="eastAsia"/>
                <w:b w:val="0"/>
                <w:bCs/>
                <w:u w:val="none"/>
                <w:vertAlign w:val="superscript"/>
                <w:lang w:val="en-US" w:eastAsia="zh-CN"/>
              </w:rPr>
              <w:t>-7</w:t>
            </w:r>
            <w:r>
              <w:rPr>
                <w:rFonts w:hint="eastAsia"/>
                <w:b w:val="0"/>
                <w:bCs/>
                <w:u w:val="none"/>
                <w:lang w:val="en-US" w:eastAsia="zh-CN"/>
              </w:rPr>
              <w:t>cm/s。</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六、风险防范措施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12</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事故池</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事故废水收集池1座及其配套设施，容积20m³</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13</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初期雨水收集池</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初期雨水收集池1座及其配套收集设施，容积50m³</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300" w:type="dxa"/>
            <w:gridSpan w:val="5"/>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七、其他环保设施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14</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厂区绿化</w:t>
            </w:r>
          </w:p>
        </w:tc>
        <w:tc>
          <w:tcPr>
            <w:tcW w:w="5416"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厂区绿化面积1058m²</w:t>
            </w:r>
          </w:p>
        </w:tc>
        <w:tc>
          <w:tcPr>
            <w:tcW w:w="1408"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61"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15</w:t>
            </w:r>
          </w:p>
        </w:tc>
        <w:tc>
          <w:tcPr>
            <w:tcW w:w="1915" w:type="dxa"/>
            <w:gridSpan w:val="2"/>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生态环保措施</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厂区及周边进行种草、种树，厂区四周设置围挡墙</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6" w:type="dxa"/>
            <w:gridSpan w:val="3"/>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合计</w:t>
            </w:r>
          </w:p>
        </w:tc>
        <w:tc>
          <w:tcPr>
            <w:tcW w:w="5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w:t>
            </w:r>
          </w:p>
        </w:tc>
        <w:tc>
          <w:tcPr>
            <w:tcW w:w="140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val="en-US" w:eastAsia="zh-CN"/>
              </w:rPr>
              <w:t>177</w:t>
            </w:r>
          </w:p>
        </w:tc>
      </w:tr>
    </w:tbl>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本项目总投资1400万元，其中环境保护投资费用估算为177万元，占项目总投资比的12.64%，类比同类项目8%~15%的环保投资占比，本项目环保投资占比可接受，具有经济可行性。</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10.3.2环保设施运行维护费用</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本项目环保设施运行维护费用详见下表。</w:t>
      </w:r>
    </w:p>
    <w:p>
      <w:pPr>
        <w:pStyle w:val="352"/>
        <w:bidi w:val="0"/>
        <w:rPr>
          <w:rFonts w:hint="eastAsia"/>
          <w:lang w:val="en-US" w:eastAsia="zh-CN"/>
        </w:rPr>
      </w:pPr>
      <w:r>
        <w:rPr>
          <w:rFonts w:hint="eastAsia"/>
          <w:lang w:val="en-US" w:eastAsia="zh-CN"/>
        </w:rPr>
        <w:t>表10-5  本项目环保设施运行维护费用一览表</w:t>
      </w:r>
    </w:p>
    <w:tbl>
      <w:tblPr>
        <w:tblStyle w:val="59"/>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900"/>
        <w:gridCol w:w="2290"/>
        <w:gridCol w:w="1940"/>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序号</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环保设施</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运行成本（万元/a）</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维护成本（万元/a）</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合计成本（万元/a）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废气治理设施</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1.0</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0.5</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废水治理设施</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2.7</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1.0</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3</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噪声治理设施</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0.2</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4</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固废处置设施</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10.0</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0.2</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3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5</w:t>
            </w:r>
          </w:p>
        </w:tc>
        <w:tc>
          <w:tcPr>
            <w:tcW w:w="2900"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合计</w:t>
            </w:r>
          </w:p>
        </w:tc>
        <w:tc>
          <w:tcPr>
            <w:tcW w:w="229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w:t>
            </w:r>
          </w:p>
        </w:tc>
        <w:tc>
          <w:tcPr>
            <w:tcW w:w="1940"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16.6</w:t>
            </w:r>
          </w:p>
        </w:tc>
      </w:tr>
    </w:tbl>
    <w:p>
      <w:pPr>
        <w:pStyle w:val="352"/>
        <w:bidi w:val="0"/>
        <w:rPr>
          <w:rFonts w:hint="default"/>
          <w:lang w:val="en-US" w:eastAsia="zh-CN"/>
        </w:rPr>
      </w:pPr>
    </w:p>
    <w:p>
      <w:pPr>
        <w:pStyle w:val="2"/>
        <w:topLinePunct/>
        <w:spacing w:before="120" w:after="360"/>
        <w:rPr>
          <w:sz w:val="36"/>
          <w:szCs w:val="36"/>
          <w:u w:val="none"/>
        </w:rPr>
      </w:pPr>
      <w:bookmarkStart w:id="96" w:name="_Toc32486"/>
      <w:r>
        <w:rPr>
          <w:sz w:val="36"/>
          <w:szCs w:val="36"/>
          <w:u w:val="none"/>
        </w:rPr>
        <w:t>1</w:t>
      </w:r>
      <w:r>
        <w:rPr>
          <w:rFonts w:hint="eastAsia"/>
          <w:sz w:val="36"/>
          <w:szCs w:val="36"/>
          <w:u w:val="none"/>
          <w:lang w:val="en-US" w:eastAsia="zh-CN"/>
        </w:rPr>
        <w:t>1</w:t>
      </w:r>
      <w:r>
        <w:rPr>
          <w:sz w:val="36"/>
          <w:szCs w:val="36"/>
          <w:u w:val="none"/>
        </w:rPr>
        <w:t>、环境影响经济损益分析</w:t>
      </w:r>
      <w:bookmarkEnd w:id="96"/>
    </w:p>
    <w:p>
      <w:pPr>
        <w:spacing w:line="360" w:lineRule="auto"/>
        <w:ind w:firstLine="480" w:firstLineChars="200"/>
        <w:jc w:val="left"/>
        <w:rPr>
          <w:color w:val="000000"/>
          <w:sz w:val="24"/>
          <w:u w:val="none"/>
        </w:rPr>
      </w:pPr>
      <w:r>
        <w:rPr>
          <w:color w:val="000000"/>
          <w:sz w:val="24"/>
          <w:u w:val="none"/>
        </w:rPr>
        <w:t>本工程的经济损益分析选择工程、环境、生态资源和社会经济等有代表性的指标，采用专业判断法和调查评价法，从经济效益、环境效益和社会效益三方面，分析本项目经济效益、环境效益和社会效益状况，进行环境经济损益估算。</w:t>
      </w:r>
    </w:p>
    <w:p>
      <w:pPr>
        <w:pStyle w:val="3"/>
        <w:rPr>
          <w:rFonts w:hint="eastAsia" w:ascii="Times New Roman" w:hAnsi="Times New Roman" w:eastAsia="宋体"/>
          <w:sz w:val="28"/>
          <w:szCs w:val="28"/>
          <w:u w:val="none"/>
          <w:lang w:eastAsia="zh-CN"/>
        </w:rPr>
      </w:pPr>
      <w:bookmarkStart w:id="97" w:name="_Toc31649"/>
      <w:r>
        <w:rPr>
          <w:rFonts w:ascii="Times New Roman" w:hAnsi="Times New Roman"/>
          <w:sz w:val="28"/>
          <w:szCs w:val="28"/>
          <w:u w:val="none"/>
        </w:rPr>
        <w:t>1</w:t>
      </w:r>
      <w:r>
        <w:rPr>
          <w:rFonts w:hint="eastAsia" w:ascii="Times New Roman" w:hAnsi="Times New Roman"/>
          <w:sz w:val="28"/>
          <w:szCs w:val="28"/>
          <w:u w:val="none"/>
          <w:lang w:val="en-US" w:eastAsia="zh-CN"/>
        </w:rPr>
        <w:t>1</w:t>
      </w:r>
      <w:r>
        <w:rPr>
          <w:rFonts w:ascii="Times New Roman" w:hAnsi="Times New Roman"/>
          <w:sz w:val="28"/>
          <w:szCs w:val="28"/>
          <w:u w:val="none"/>
        </w:rPr>
        <w:t>.1</w:t>
      </w:r>
      <w:r>
        <w:rPr>
          <w:rFonts w:hint="eastAsia" w:ascii="Times New Roman" w:hAnsi="Times New Roman"/>
          <w:sz w:val="28"/>
          <w:szCs w:val="28"/>
          <w:u w:val="none"/>
          <w:lang w:eastAsia="zh-CN"/>
        </w:rPr>
        <w:t>项目的经济效益</w:t>
      </w:r>
      <w:bookmarkEnd w:id="97"/>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本项目为环保公益性工程，其建设的目的就是了为了无害化处理医疗废弃物这类高危险性和高污染性的废物，建设投产后具有显著的环境效益。本项目具体经济指标详见下表。</w:t>
      </w:r>
    </w:p>
    <w:p>
      <w:pPr>
        <w:pStyle w:val="352"/>
        <w:bidi w:val="0"/>
        <w:rPr>
          <w:rFonts w:hint="eastAsia"/>
          <w:lang w:val="en-US" w:eastAsia="zh-CN"/>
        </w:rPr>
      </w:pPr>
      <w:r>
        <w:rPr>
          <w:rFonts w:hint="eastAsia"/>
          <w:lang w:val="en-US" w:eastAsia="zh-CN"/>
        </w:rPr>
        <w:t>表11-1  本项目经济指标一览表</w:t>
      </w:r>
    </w:p>
    <w:tbl>
      <w:tblPr>
        <w:tblStyle w:val="59"/>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1422"/>
        <w:gridCol w:w="232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2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指标</w:t>
            </w:r>
          </w:p>
        </w:tc>
        <w:tc>
          <w:tcPr>
            <w:tcW w:w="142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单位</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数量</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2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总投资</w:t>
            </w:r>
          </w:p>
        </w:tc>
        <w:tc>
          <w:tcPr>
            <w:tcW w:w="142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万元</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1400</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2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投资回收期（税后）</w:t>
            </w:r>
          </w:p>
        </w:tc>
        <w:tc>
          <w:tcPr>
            <w:tcW w:w="142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年</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eastAsia" w:ascii="Times New Roman" w:hAnsi="Times New Roman" w:cs="Times New Roman"/>
                <w:b w:val="0"/>
                <w:bCs/>
                <w:vertAlign w:val="baseline"/>
                <w:lang w:val="en-US" w:eastAsia="zh-CN"/>
              </w:rPr>
              <w:t>43</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包括施工期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2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财务内部收益率</w:t>
            </w:r>
            <w:r>
              <w:rPr>
                <w:rFonts w:hint="eastAsia" w:ascii="Times New Roman" w:hAnsi="Times New Roman" w:cs="Times New Roman"/>
                <w:b w:val="0"/>
                <w:bCs/>
                <w:vertAlign w:val="baseline"/>
                <w:lang w:val="en-US" w:eastAsia="zh-CN"/>
              </w:rPr>
              <w:t>（n=25年）</w:t>
            </w:r>
          </w:p>
        </w:tc>
        <w:tc>
          <w:tcPr>
            <w:tcW w:w="142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eastAsia" w:ascii="Times New Roman" w:hAnsi="Times New Roman" w:cs="Times New Roman"/>
                <w:b w:val="0"/>
                <w:bCs/>
                <w:vertAlign w:val="baseline"/>
                <w:lang w:val="en-US" w:eastAsia="zh-CN"/>
              </w:rPr>
              <w:t>1.61</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税后指标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228"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财务净现值（ic=5%，n=25年）</w:t>
            </w:r>
          </w:p>
        </w:tc>
        <w:tc>
          <w:tcPr>
            <w:tcW w:w="1422"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万元</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eastAsia" w:ascii="Times New Roman" w:hAnsi="Times New Roman" w:cs="Times New Roman"/>
                <w:b w:val="0"/>
                <w:bCs/>
                <w:vertAlign w:val="baseline"/>
                <w:lang w:val="en-US" w:eastAsia="zh-CN"/>
              </w:rPr>
              <w:t>-272.48</w:t>
            </w:r>
          </w:p>
        </w:tc>
        <w:tc>
          <w:tcPr>
            <w:tcW w:w="2325" w:type="dxa"/>
            <w:vAlign w:val="center"/>
          </w:tcPr>
          <w:p>
            <w:pPr>
              <w:pStyle w:val="3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vertAlign w:val="baseline"/>
                <w:lang w:val="en-US" w:eastAsia="zh-CN"/>
              </w:rPr>
            </w:pPr>
            <w:r>
              <w:rPr>
                <w:rFonts w:hint="default" w:ascii="Times New Roman" w:hAnsi="Times New Roman" w:cs="Times New Roman"/>
                <w:b w:val="0"/>
                <w:bCs/>
                <w:vertAlign w:val="baseline"/>
                <w:lang w:val="en-US" w:eastAsia="zh-CN"/>
              </w:rPr>
              <w:t>税后指标</w:t>
            </w:r>
          </w:p>
        </w:tc>
      </w:tr>
    </w:tbl>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由上表可知，财务内部收益率低于基准收益率，投资回收期较长，但本项目财务指标与同行业水平持平</w:t>
      </w:r>
      <w:r>
        <w:rPr>
          <w:color w:val="000000"/>
          <w:sz w:val="24"/>
          <w:u w:val="none"/>
        </w:rPr>
        <w:t>。</w:t>
      </w:r>
      <w:r>
        <w:rPr>
          <w:rFonts w:hint="eastAsia"/>
          <w:color w:val="000000"/>
          <w:sz w:val="24"/>
          <w:u w:val="none"/>
          <w:lang w:eastAsia="zh-CN"/>
        </w:rPr>
        <w:t>本项目为环保公益性工程，不以盈利为目的。因此，本项目只进行运营期收支测算。</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11.1.1收入预测</w:t>
      </w:r>
    </w:p>
    <w:p>
      <w:pPr>
        <w:spacing w:line="360" w:lineRule="auto"/>
        <w:ind w:firstLine="480" w:firstLineChars="200"/>
        <w:jc w:val="left"/>
        <w:rPr>
          <w:rFonts w:hint="eastAsia" w:ascii="宋体" w:hAnsi="宋体" w:eastAsia="宋体" w:cs="宋体"/>
          <w:color w:val="000000"/>
          <w:sz w:val="24"/>
          <w:u w:val="none"/>
          <w:lang w:val="en-US" w:eastAsia="zh-CN"/>
        </w:rPr>
      </w:pPr>
      <w:r>
        <w:rPr>
          <w:rFonts w:hint="eastAsia" w:ascii="宋体" w:hAnsi="宋体" w:eastAsia="宋体" w:cs="宋体"/>
          <w:color w:val="000000"/>
          <w:sz w:val="24"/>
          <w:u w:val="none"/>
          <w:lang w:val="en-US" w:eastAsia="zh-CN"/>
        </w:rPr>
        <w:t>本项目属于公益性项目,收入来源主要是医疗废弃物处理收费。依据《关于医疗废物集中处理管理办法》（广发改〔2015〕16号）。有固定床位的医疗卫生机构，按实际开放床位数计收医疗废物委托处置费，其中: 二级及以上医院医疗废物委托处置费收费标准 2.00元/日床，二级及以下医院(包括乡镇卫生院医疗度物委托处量费收费标准为1.50元/日床。无固定床位诊所医院门诊部、卫生室、社区卫生机构按包月方式计收医疗废物处置费，义务人员等于或少于5人的（或诊所面积等于或小于100平米的)为每月100元，医务人员5人以上的（或诊所面积大于100平米的）为每月200元。特殊医疗机机如血液采集机构的医疗度物处置费按医疗度物产生量计收。收费标准为2.00元/千克。</w:t>
      </w:r>
    </w:p>
    <w:p>
      <w:pPr>
        <w:spacing w:line="360" w:lineRule="auto"/>
        <w:ind w:firstLine="480" w:firstLineChars="200"/>
        <w:jc w:val="left"/>
        <w:rPr>
          <w:rFonts w:hint="eastAsia" w:ascii="宋体" w:hAnsi="宋体" w:eastAsia="宋体" w:cs="宋体"/>
          <w:color w:val="000000"/>
          <w:sz w:val="24"/>
          <w:u w:val="none"/>
          <w:lang w:val="en-US" w:eastAsia="zh-CN"/>
        </w:rPr>
      </w:pPr>
      <w:r>
        <w:rPr>
          <w:rFonts w:hint="eastAsia" w:ascii="宋体" w:hAnsi="宋体" w:eastAsia="宋体" w:cs="宋体"/>
          <w:color w:val="000000"/>
          <w:sz w:val="24"/>
          <w:u w:val="none"/>
          <w:lang w:val="en-US" w:eastAsia="zh-CN"/>
        </w:rPr>
        <w:t>据《2017年国民经济和社会发展的统计公报》，2017年末全县拥有医疗卫生机构469个（含村卫生室），其中：医院11个，卫生院、社区医院37个，疾病预防控制中心1个，卫生监督所1个；实有床位数2662张。</w:t>
      </w:r>
    </w:p>
    <w:p>
      <w:pPr>
        <w:spacing w:line="360" w:lineRule="auto"/>
        <w:ind w:firstLine="480" w:firstLineChars="200"/>
        <w:jc w:val="left"/>
        <w:rPr>
          <w:rFonts w:hint="eastAsia" w:ascii="宋体" w:hAnsi="宋体" w:eastAsia="宋体" w:cs="宋体"/>
          <w:color w:val="000000"/>
          <w:sz w:val="24"/>
          <w:u w:val="none"/>
          <w:lang w:val="en-US" w:eastAsia="zh-CN"/>
        </w:rPr>
      </w:pPr>
      <w:r>
        <w:rPr>
          <w:rFonts w:hint="eastAsia" w:ascii="宋体" w:hAnsi="宋体" w:eastAsia="宋体" w:cs="宋体"/>
          <w:color w:val="000000"/>
          <w:sz w:val="24"/>
          <w:u w:val="none"/>
          <w:lang w:val="en-US" w:eastAsia="zh-CN"/>
        </w:rPr>
        <w:t>经测算，本项目正常年份的收费收入约280万元，考虑到现在每年患病人数呈增长趋势，本次评价项目收入按上浮至300万元计。</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11.1.2成本估算</w:t>
      </w:r>
    </w:p>
    <w:p>
      <w:pPr>
        <w:spacing w:line="360" w:lineRule="auto"/>
        <w:ind w:firstLine="480" w:firstLineChars="200"/>
        <w:jc w:val="left"/>
        <w:rPr>
          <w:rFonts w:hint="eastAsia"/>
          <w:color w:val="000000"/>
          <w:sz w:val="24"/>
          <w:u w:val="none"/>
          <w:lang w:val="en-US" w:eastAsia="zh-CN"/>
        </w:rPr>
      </w:pPr>
      <w:bookmarkStart w:id="98" w:name="_Toc139876376"/>
      <w:bookmarkStart w:id="99" w:name="_Toc125533834"/>
      <w:bookmarkStart w:id="100" w:name="_Toc125862588"/>
      <w:bookmarkStart w:id="101" w:name="_Toc137022758"/>
      <w:r>
        <w:rPr>
          <w:rFonts w:hint="eastAsia"/>
          <w:color w:val="000000"/>
          <w:sz w:val="24"/>
          <w:u w:val="none"/>
          <w:lang w:val="en-US" w:eastAsia="zh-CN"/>
        </w:rPr>
        <w:t>本项目运营期间成本核算详见下表。</w:t>
      </w:r>
    </w:p>
    <w:p>
      <w:pPr>
        <w:pStyle w:val="352"/>
        <w:bidi w:val="0"/>
        <w:rPr>
          <w:rFonts w:hint="eastAsia"/>
          <w:lang w:val="en-US" w:eastAsia="zh-CN"/>
        </w:rPr>
      </w:pPr>
      <w:r>
        <w:rPr>
          <w:rFonts w:hint="eastAsia"/>
          <w:lang w:val="en-US" w:eastAsia="zh-CN"/>
        </w:rPr>
        <w:t>表11-2  项目运营成本估算表</w:t>
      </w:r>
    </w:p>
    <w:tbl>
      <w:tblPr>
        <w:tblStyle w:val="5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673"/>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序号</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指标</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单位</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数量</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水电成本</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万元</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95.75</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95.75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人工成本</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万元</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72</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167.75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3</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维修费</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万元</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14</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181.75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4</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其他费用</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eastAsia"/>
                <w:b w:val="0"/>
                <w:bCs/>
                <w:vertAlign w:val="baseline"/>
                <w:lang w:val="en-US" w:eastAsia="zh-CN"/>
              </w:rPr>
            </w:pPr>
            <w:r>
              <w:rPr>
                <w:rFonts w:hint="eastAsia"/>
                <w:b w:val="0"/>
                <w:bCs/>
                <w:vertAlign w:val="baseline"/>
                <w:lang w:val="en-US" w:eastAsia="zh-CN"/>
              </w:rPr>
              <w:t>万元</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10</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191.75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4</w:t>
            </w:r>
          </w:p>
        </w:tc>
        <w:tc>
          <w:tcPr>
            <w:tcW w:w="2673"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管理费用</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万元</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14</w:t>
            </w:r>
          </w:p>
        </w:tc>
        <w:tc>
          <w:tcPr>
            <w:tcW w:w="1858" w:type="dxa"/>
            <w:vAlign w:val="center"/>
          </w:tcPr>
          <w:p>
            <w:pPr>
              <w:pStyle w:val="352"/>
              <w:keepNext w:val="0"/>
              <w:keepLines w:val="0"/>
              <w:suppressLineNumbers w:val="0"/>
              <w:bidi w:val="0"/>
              <w:spacing w:before="0" w:beforeAutospacing="0" w:after="0" w:afterAutospacing="0"/>
              <w:ind w:left="0" w:right="0"/>
              <w:jc w:val="center"/>
              <w:rPr>
                <w:rFonts w:hint="default"/>
                <w:b w:val="0"/>
                <w:bCs/>
                <w:vertAlign w:val="baseline"/>
                <w:lang w:val="en-US" w:eastAsia="zh-CN"/>
              </w:rPr>
            </w:pPr>
            <w:r>
              <w:rPr>
                <w:rFonts w:hint="eastAsia"/>
                <w:b w:val="0"/>
                <w:bCs/>
                <w:vertAlign w:val="baseline"/>
                <w:lang w:val="en-US" w:eastAsia="zh-CN"/>
              </w:rPr>
              <w:t>205.75</w:t>
            </w:r>
          </w:p>
        </w:tc>
      </w:tr>
      <w:bookmarkEnd w:id="98"/>
      <w:bookmarkEnd w:id="99"/>
      <w:bookmarkEnd w:id="100"/>
      <w:bookmarkEnd w:id="101"/>
    </w:tbl>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综上所述，本项目每年收入300万元，支出205.75万元，项目收入能够保证各项支出，并富有结余</w:t>
      </w:r>
      <w:r>
        <w:rPr>
          <w:rFonts w:hint="default"/>
          <w:color w:val="000000"/>
          <w:sz w:val="24"/>
          <w:u w:val="none"/>
          <w:lang w:val="en-US" w:eastAsia="zh-CN"/>
        </w:rPr>
        <w:t>。</w:t>
      </w:r>
      <w:r>
        <w:rPr>
          <w:rFonts w:hint="eastAsia"/>
          <w:color w:val="000000"/>
          <w:sz w:val="24"/>
          <w:u w:val="none"/>
          <w:lang w:val="en-US" w:eastAsia="zh-CN"/>
        </w:rPr>
        <w:t>作为环保治理公益性项目，本项目运营期间收入大于支出，可保障项目正常运营。</w:t>
      </w:r>
    </w:p>
    <w:p>
      <w:pPr>
        <w:pStyle w:val="3"/>
        <w:rPr>
          <w:rFonts w:ascii="Times New Roman" w:hAnsi="Times New Roman"/>
          <w:sz w:val="28"/>
          <w:szCs w:val="28"/>
          <w:u w:val="none"/>
        </w:rPr>
      </w:pPr>
      <w:bookmarkStart w:id="102" w:name="_Toc26872"/>
      <w:r>
        <w:rPr>
          <w:rFonts w:ascii="Times New Roman" w:hAnsi="Times New Roman"/>
          <w:sz w:val="28"/>
          <w:szCs w:val="28"/>
          <w:u w:val="none"/>
        </w:rPr>
        <w:t>1</w:t>
      </w:r>
      <w:r>
        <w:rPr>
          <w:rFonts w:hint="eastAsia" w:ascii="Times New Roman" w:hAnsi="Times New Roman"/>
          <w:sz w:val="28"/>
          <w:szCs w:val="28"/>
          <w:u w:val="none"/>
          <w:lang w:val="en-US" w:eastAsia="zh-CN"/>
        </w:rPr>
        <w:t>1</w:t>
      </w:r>
      <w:r>
        <w:rPr>
          <w:rFonts w:ascii="Times New Roman" w:hAnsi="Times New Roman"/>
          <w:sz w:val="28"/>
          <w:szCs w:val="28"/>
          <w:u w:val="none"/>
        </w:rPr>
        <w:t>.2社会效益分析</w:t>
      </w:r>
      <w:bookmarkEnd w:id="102"/>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是一项重要的公益工程，项目建成后能有效地处置旺苍县所属医疗机构所产生的医疗垃圾中的病原性细菌、病毒和各种寄生虫的传播，可靠和有效地控制疾病流行，特别是防范各种流行性疾病的传播扩散，有益于人民身体健康，有助于社会安宁与稳定，有助于社会经济的持续稳健发展。</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 xml:space="preserve">例如，2003年春的非典流行，只数月时间就使我国2003年的经济增长率（GDP）减少0.5~1个百分点，直接波及旅游、娱乐、餐饮、交通运输等行业，对就业也造成重大冲击，影响到社会经济的稳健发展。而医疗废物集中处置设施是控制和防范诸如非典这类流行性疾病所必不可少的技术硬件与措施。 </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项目的建设，是社会发展进步的必然举措，是关心民众、凝聚民心、团结人民的重要标志与内涵。医疗废物集中处理工程也是国家和社会对应紧急事物的必要硬件，是国家在公共卫生领域实施反危机措施的必要支持，其社会效益将非常显著。</w:t>
      </w:r>
    </w:p>
    <w:p>
      <w:pPr>
        <w:pStyle w:val="3"/>
        <w:rPr>
          <w:rFonts w:ascii="Times New Roman" w:hAnsi="Times New Roman"/>
          <w:sz w:val="28"/>
          <w:szCs w:val="28"/>
          <w:u w:val="none"/>
        </w:rPr>
      </w:pPr>
      <w:bookmarkStart w:id="103" w:name="_Toc2379"/>
      <w:r>
        <w:rPr>
          <w:rFonts w:ascii="Times New Roman" w:hAnsi="Times New Roman"/>
          <w:sz w:val="28"/>
          <w:szCs w:val="28"/>
          <w:u w:val="none"/>
        </w:rPr>
        <w:t>1</w:t>
      </w:r>
      <w:r>
        <w:rPr>
          <w:rFonts w:hint="eastAsia" w:ascii="Times New Roman" w:hAnsi="Times New Roman"/>
          <w:sz w:val="28"/>
          <w:szCs w:val="28"/>
          <w:u w:val="none"/>
          <w:lang w:val="en-US" w:eastAsia="zh-CN"/>
        </w:rPr>
        <w:t>1</w:t>
      </w:r>
      <w:r>
        <w:rPr>
          <w:rFonts w:ascii="Times New Roman" w:hAnsi="Times New Roman"/>
          <w:sz w:val="28"/>
          <w:szCs w:val="28"/>
          <w:u w:val="none"/>
        </w:rPr>
        <w:t>.3环境</w:t>
      </w:r>
      <w:r>
        <w:rPr>
          <w:rFonts w:hint="eastAsia" w:ascii="Times New Roman" w:hAnsi="Times New Roman"/>
          <w:sz w:val="28"/>
          <w:szCs w:val="28"/>
          <w:u w:val="none"/>
          <w:lang w:eastAsia="zh-CN"/>
        </w:rPr>
        <w:t>效益</w:t>
      </w:r>
      <w:r>
        <w:rPr>
          <w:rFonts w:ascii="Times New Roman" w:hAnsi="Times New Roman"/>
          <w:sz w:val="28"/>
          <w:szCs w:val="28"/>
          <w:u w:val="none"/>
        </w:rPr>
        <w:t>分析</w:t>
      </w:r>
      <w:bookmarkEnd w:id="103"/>
    </w:p>
    <w:p>
      <w:pPr>
        <w:spacing w:line="360" w:lineRule="auto"/>
        <w:ind w:firstLine="480" w:firstLineChars="200"/>
        <w:jc w:val="left"/>
        <w:rPr>
          <w:color w:val="000000"/>
          <w:sz w:val="24"/>
          <w:u w:val="none"/>
        </w:rPr>
      </w:pPr>
      <w:r>
        <w:rPr>
          <w:rFonts w:hint="eastAsia"/>
          <w:color w:val="000000"/>
          <w:sz w:val="24"/>
          <w:u w:val="none"/>
          <w:lang w:eastAsia="zh-CN"/>
        </w:rPr>
        <w:t>本项目最重要的是环境效益，本项目的建设能改善生态环境，保障人民身体健康，造福社会的环境保护工程，主要工程效益是环境效益。我国保护环境已成为一项基本国策，受到全社会的关注和重视。医废处置工程是保护环境的重要措施之一，对国民经济持续稳定发展，改善当地投资环境，吸引外资都是极其重要的</w:t>
      </w:r>
      <w:r>
        <w:rPr>
          <w:color w:val="000000"/>
          <w:sz w:val="24"/>
          <w:u w:val="none"/>
        </w:rPr>
        <w:t>。</w:t>
      </w:r>
    </w:p>
    <w:p>
      <w:pPr>
        <w:pStyle w:val="3"/>
        <w:rPr>
          <w:rFonts w:hint="eastAsia" w:ascii="Times New Roman" w:hAnsi="Times New Roman"/>
          <w:sz w:val="28"/>
          <w:szCs w:val="28"/>
          <w:u w:val="none"/>
          <w:lang w:val="en-US" w:eastAsia="zh-CN"/>
        </w:rPr>
      </w:pPr>
      <w:bookmarkStart w:id="104" w:name="_Toc30332"/>
      <w:r>
        <w:rPr>
          <w:rFonts w:hint="eastAsia" w:ascii="Times New Roman" w:hAnsi="Times New Roman"/>
          <w:sz w:val="28"/>
          <w:szCs w:val="28"/>
          <w:u w:val="none"/>
          <w:lang w:val="en-US" w:eastAsia="zh-CN"/>
        </w:rPr>
        <w:t>11.4本项目环保投资效益分析</w:t>
      </w:r>
      <w:bookmarkEnd w:id="104"/>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本次工程完工后，全厂废水、废气、噪声和固废均得到了有效治理或处置，以比较小的环保投资取得了显著的环境效益。</w:t>
      </w:r>
    </w:p>
    <w:p>
      <w:pPr>
        <w:spacing w:line="360" w:lineRule="auto"/>
        <w:ind w:firstLine="482" w:firstLineChars="200"/>
        <w:jc w:val="left"/>
        <w:rPr>
          <w:rFonts w:hint="eastAsia"/>
          <w:b/>
          <w:bCs/>
          <w:color w:val="000000"/>
          <w:sz w:val="24"/>
          <w:u w:val="none"/>
          <w:lang w:val="en-US" w:eastAsia="zh-CN"/>
        </w:rPr>
      </w:pPr>
      <w:r>
        <w:rPr>
          <w:rFonts w:hint="eastAsia"/>
          <w:b/>
          <w:bCs/>
          <w:color w:val="000000"/>
          <w:sz w:val="24"/>
          <w:u w:val="none"/>
          <w:lang w:val="en-US" w:eastAsia="zh-CN"/>
        </w:rPr>
        <w:t>11.4.1指标计算</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环保投资比按下式计算：</w:t>
      </w:r>
    </w:p>
    <w:p>
      <w:pPr>
        <w:spacing w:line="360" w:lineRule="auto"/>
        <w:ind w:firstLine="480" w:firstLineChars="200"/>
        <w:jc w:val="center"/>
        <w:rPr>
          <w:rFonts w:hint="default"/>
          <w:color w:val="000000"/>
          <w:sz w:val="24"/>
          <w:u w:val="none"/>
          <w:lang w:val="en-US" w:eastAsia="zh-CN"/>
        </w:rPr>
      </w:pPr>
      <w:r>
        <w:rPr>
          <w:rFonts w:hint="default"/>
          <w:color w:val="000000"/>
          <w:position w:val="-24"/>
          <w:sz w:val="24"/>
          <w:u w:val="none"/>
          <w:lang w:val="en-US" w:eastAsia="zh-CN"/>
        </w:rPr>
        <w:object>
          <v:shape id="_x0000_i1178" o:spt="75" type="#_x0000_t75" style="height:31pt;width:87pt;" o:ole="t" filled="f" o:preferrelative="t" stroked="f" coordsize="21600,21600">
            <v:path/>
            <v:fill on="f" focussize="0,0"/>
            <v:stroke on="f"/>
            <v:imagedata r:id="rId326" o:title=""/>
            <o:lock v:ext="edit" aspectratio="t"/>
            <w10:wrap type="none"/>
            <w10:anchorlock/>
          </v:shape>
          <o:OLEObject Type="Embed" ProgID="Equation.KSEE3" ShapeID="_x0000_i1178" DrawAspect="Content" ObjectID="_1468075878" r:id="rId325">
            <o:LockedField>false</o:LockedField>
          </o:OLEObject>
        </w:object>
      </w:r>
    </w:p>
    <w:p>
      <w:pPr>
        <w:spacing w:line="360" w:lineRule="auto"/>
        <w:ind w:firstLine="480" w:firstLineChars="200"/>
        <w:jc w:val="both"/>
        <w:rPr>
          <w:rFonts w:hint="eastAsia"/>
          <w:color w:val="000000"/>
          <w:sz w:val="24"/>
          <w:u w:val="none"/>
          <w:lang w:val="en-US" w:eastAsia="zh-CN"/>
        </w:rPr>
      </w:pPr>
      <w:r>
        <w:rPr>
          <w:rFonts w:hint="eastAsia"/>
          <w:color w:val="000000"/>
          <w:sz w:val="24"/>
          <w:u w:val="none"/>
          <w:lang w:val="en-US" w:eastAsia="zh-CN"/>
        </w:rPr>
        <w:t>式中：</w:t>
      </w:r>
      <w:r>
        <w:rPr>
          <w:rFonts w:hint="eastAsia"/>
          <w:color w:val="000000"/>
          <w:position w:val="-6"/>
          <w:sz w:val="24"/>
          <w:u w:val="none"/>
          <w:lang w:val="en-US" w:eastAsia="zh-CN"/>
        </w:rPr>
        <w:object>
          <v:shape id="_x0000_i1179" o:spt="75" type="#_x0000_t75" style="height:13.95pt;width:20pt;" o:ole="t" filled="f" o:preferrelative="t" stroked="f" coordsize="21600,21600">
            <v:path/>
            <v:fill on="f" focussize="0,0"/>
            <v:stroke on="f"/>
            <v:imagedata r:id="rId328" o:title=""/>
            <o:lock v:ext="edit" aspectratio="t"/>
            <w10:wrap type="none"/>
            <w10:anchorlock/>
          </v:shape>
          <o:OLEObject Type="Embed" ProgID="Equation.KSEE3" ShapeID="_x0000_i1179" DrawAspect="Content" ObjectID="_1468075879" r:id="rId327">
            <o:LockedField>false</o:LockedField>
          </o:OLEObject>
        </w:object>
      </w:r>
      <w:r>
        <w:rPr>
          <w:rFonts w:hint="eastAsia"/>
          <w:color w:val="000000"/>
          <w:sz w:val="24"/>
          <w:u w:val="none"/>
          <w:lang w:val="en-US" w:eastAsia="zh-CN"/>
        </w:rPr>
        <w:t>——环保费用投资比，100%；</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4"/>
          <w:sz w:val="24"/>
          <w:u w:val="none"/>
          <w:lang w:val="en-US" w:eastAsia="zh-CN"/>
        </w:rPr>
        <w:object>
          <v:shape id="_x0000_i1180" o:spt="75" type="#_x0000_t75" style="height:13pt;width:21pt;" o:ole="t" filled="f" o:preferrelative="t" stroked="f" coordsize="21600,21600">
            <v:path/>
            <v:fill on="f" focussize="0,0"/>
            <v:stroke on="f"/>
            <v:imagedata r:id="rId330" o:title=""/>
            <o:lock v:ext="edit" aspectratio="t"/>
            <w10:wrap type="none"/>
            <w10:anchorlock/>
          </v:shape>
          <o:OLEObject Type="Embed" ProgID="Equation.KSEE3" ShapeID="_x0000_i1180" DrawAspect="Content" ObjectID="_1468075880" r:id="rId329">
            <o:LockedField>false</o:LockedField>
          </o:OLEObject>
        </w:object>
      </w:r>
      <w:r>
        <w:rPr>
          <w:rFonts w:hint="eastAsia"/>
          <w:color w:val="000000"/>
          <w:sz w:val="24"/>
          <w:u w:val="none"/>
          <w:lang w:val="en-US" w:eastAsia="zh-CN"/>
        </w:rPr>
        <w:t>——环保投资，万元；</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6"/>
          <w:sz w:val="24"/>
          <w:u w:val="none"/>
          <w:lang w:val="en-US" w:eastAsia="zh-CN"/>
        </w:rPr>
        <w:object>
          <v:shape id="_x0000_i1181" o:spt="75" type="#_x0000_t75" style="height:13.95pt;width:15pt;" o:ole="t" filled="f" o:preferrelative="t" stroked="f" coordsize="21600,21600">
            <v:path/>
            <v:fill on="f" focussize="0,0"/>
            <v:stroke on="f"/>
            <v:imagedata r:id="rId332" o:title=""/>
            <o:lock v:ext="edit" aspectratio="t"/>
            <w10:wrap type="none"/>
            <w10:anchorlock/>
          </v:shape>
          <o:OLEObject Type="Embed" ProgID="Equation.KSEE3" ShapeID="_x0000_i1181" DrawAspect="Content" ObjectID="_1468075881" r:id="rId331">
            <o:LockedField>false</o:LockedField>
          </o:OLEObject>
        </w:object>
      </w:r>
      <w:r>
        <w:rPr>
          <w:rFonts w:hint="eastAsia"/>
          <w:color w:val="000000"/>
          <w:sz w:val="24"/>
          <w:u w:val="none"/>
          <w:lang w:val="en-US" w:eastAsia="zh-CN"/>
        </w:rPr>
        <w:t>——项目总投资，万元。</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本项目总投资1400万元，其中环保投资约为177万元，占项目总投资比的12.64%。</w:t>
      </w:r>
    </w:p>
    <w:p>
      <w:pPr>
        <w:spacing w:line="360" w:lineRule="auto"/>
        <w:ind w:firstLine="723" w:firstLineChars="300"/>
        <w:jc w:val="both"/>
        <w:rPr>
          <w:rFonts w:hint="eastAsia"/>
          <w:b/>
          <w:bCs/>
          <w:color w:val="000000"/>
          <w:sz w:val="24"/>
          <w:u w:val="none"/>
          <w:lang w:val="en-US" w:eastAsia="zh-CN"/>
        </w:rPr>
      </w:pPr>
      <w:r>
        <w:rPr>
          <w:rFonts w:hint="eastAsia"/>
          <w:b/>
          <w:bCs/>
          <w:color w:val="000000"/>
          <w:sz w:val="24"/>
          <w:u w:val="none"/>
          <w:lang w:val="en-US" w:eastAsia="zh-CN"/>
        </w:rPr>
        <w:t>11.4.2费用效益比</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费用效益比因环境污染治理减少的经济损失与年环保费用的百分比，即单位环保费用所产生的经济价值。</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费用效益比按下式计算：</w:t>
      </w:r>
    </w:p>
    <w:p>
      <w:pPr>
        <w:spacing w:line="360" w:lineRule="auto"/>
        <w:ind w:firstLine="720" w:firstLineChars="300"/>
        <w:jc w:val="center"/>
        <w:rPr>
          <w:rFonts w:hint="default"/>
          <w:color w:val="000000"/>
          <w:sz w:val="24"/>
          <w:u w:val="none"/>
          <w:lang w:val="en-US" w:eastAsia="zh-CN"/>
        </w:rPr>
      </w:pPr>
      <w:r>
        <w:rPr>
          <w:rFonts w:hint="default"/>
          <w:color w:val="000000"/>
          <w:position w:val="-24"/>
          <w:sz w:val="24"/>
          <w:u w:val="none"/>
          <w:lang w:val="en-US" w:eastAsia="zh-CN"/>
        </w:rPr>
        <w:object>
          <v:shape id="_x0000_i1182" o:spt="75" type="#_x0000_t75" style="height:48pt;width:56pt;" o:ole="t" filled="f" o:preferrelative="t" stroked="f" coordsize="21600,21600">
            <v:path/>
            <v:fill on="f" focussize="0,0"/>
            <v:stroke on="f"/>
            <v:imagedata r:id="rId334" o:title=""/>
            <o:lock v:ext="edit" aspectratio="t"/>
            <w10:wrap type="none"/>
            <w10:anchorlock/>
          </v:shape>
          <o:OLEObject Type="Embed" ProgID="Equation.KSEE3" ShapeID="_x0000_i1182" DrawAspect="Content" ObjectID="_1468075882" r:id="rId333">
            <o:LockedField>false</o:LockedField>
          </o:OLEObject>
        </w:objec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式中：</w:t>
      </w:r>
      <w:r>
        <w:rPr>
          <w:rFonts w:hint="eastAsia"/>
          <w:color w:val="000000"/>
          <w:position w:val="-6"/>
          <w:sz w:val="24"/>
          <w:u w:val="none"/>
          <w:lang w:val="en-US" w:eastAsia="zh-CN"/>
        </w:rPr>
        <w:object>
          <v:shape id="_x0000_i1183" o:spt="75" type="#_x0000_t75" style="height:13.95pt;width:18pt;" o:ole="t" filled="f" o:preferrelative="t" stroked="f" coordsize="21600,21600">
            <v:path/>
            <v:fill on="f" focussize="0,0"/>
            <v:stroke on="f"/>
            <v:imagedata r:id="rId336" o:title=""/>
            <o:lock v:ext="edit" aspectratio="t"/>
            <w10:wrap type="none"/>
            <w10:anchorlock/>
          </v:shape>
          <o:OLEObject Type="Embed" ProgID="Equation.KSEE3" ShapeID="_x0000_i1183" DrawAspect="Content" ObjectID="_1468075883" r:id="rId335">
            <o:LockedField>false</o:LockedField>
          </o:OLEObject>
        </w:object>
      </w:r>
      <w:r>
        <w:rPr>
          <w:rFonts w:hint="eastAsia"/>
          <w:color w:val="000000"/>
          <w:sz w:val="24"/>
          <w:u w:val="none"/>
          <w:lang w:val="en-US" w:eastAsia="zh-CN"/>
        </w:rPr>
        <w:t>——费用效益比；</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12"/>
          <w:sz w:val="24"/>
          <w:u w:val="none"/>
          <w:lang w:val="en-US" w:eastAsia="zh-CN"/>
        </w:rPr>
        <w:object>
          <v:shape id="_x0000_i1184" o:spt="75" type="#_x0000_t75" style="height:18pt;width:13pt;" o:ole="t" filled="f" o:preferrelative="t" stroked="f" coordsize="21600,21600">
            <v:path/>
            <v:fill on="f" focussize="0,0"/>
            <v:stroke on="f"/>
            <v:imagedata r:id="rId338" o:title=""/>
            <o:lock v:ext="edit" aspectratio="t"/>
            <w10:wrap type="none"/>
            <w10:anchorlock/>
          </v:shape>
          <o:OLEObject Type="Embed" ProgID="Equation.KSEE3" ShapeID="_x0000_i1184" DrawAspect="Content" ObjectID="_1468075884" r:id="rId337">
            <o:LockedField>false</o:LockedField>
          </o:OLEObject>
        </w:object>
      </w:r>
      <w:r>
        <w:rPr>
          <w:rFonts w:hint="eastAsia"/>
          <w:color w:val="000000"/>
          <w:sz w:val="24"/>
          <w:u w:val="none"/>
          <w:lang w:val="en-US" w:eastAsia="zh-CN"/>
        </w:rPr>
        <w:t>——因污染防治而减少的经济损失，万元；</w:t>
      </w:r>
    </w:p>
    <w:p>
      <w:pPr>
        <w:spacing w:line="360" w:lineRule="auto"/>
        <w:ind w:firstLine="720" w:firstLineChars="300"/>
        <w:jc w:val="both"/>
        <w:rPr>
          <w:rFonts w:hint="eastAsia"/>
          <w:color w:val="000000"/>
          <w:sz w:val="24"/>
          <w:u w:val="none"/>
          <w:lang w:val="en-US" w:eastAsia="zh-CN"/>
        </w:rPr>
      </w:pPr>
      <w:r>
        <w:rPr>
          <w:rFonts w:hint="eastAsia"/>
          <w:color w:val="000000"/>
          <w:sz w:val="24"/>
          <w:u w:val="none"/>
          <w:lang w:val="en-US" w:eastAsia="zh-CN"/>
        </w:rPr>
        <w:t xml:space="preserve">      </w:t>
      </w:r>
      <w:r>
        <w:rPr>
          <w:rFonts w:hint="eastAsia"/>
          <w:color w:val="000000"/>
          <w:position w:val="-4"/>
          <w:sz w:val="24"/>
          <w:u w:val="none"/>
          <w:lang w:val="en-US" w:eastAsia="zh-CN"/>
        </w:rPr>
        <w:object>
          <v:shape id="_x0000_i1185" o:spt="75" type="#_x0000_t75" style="height:13pt;width:21pt;" o:ole="t" filled="f" o:preferrelative="t" stroked="f" coordsize="21600,21600">
            <v:path/>
            <v:fill on="f" focussize="0,0"/>
            <v:stroke on="f"/>
            <v:imagedata r:id="rId340" o:title=""/>
            <o:lock v:ext="edit" aspectratio="t"/>
            <w10:wrap type="none"/>
            <w10:anchorlock/>
          </v:shape>
          <o:OLEObject Type="Embed" ProgID="Equation.KSEE3" ShapeID="_x0000_i1185" DrawAspect="Content" ObjectID="_1468075885" r:id="rId339">
            <o:LockedField>false</o:LockedField>
          </o:OLEObject>
        </w:object>
      </w:r>
      <w:r>
        <w:rPr>
          <w:rFonts w:hint="eastAsia"/>
          <w:color w:val="000000"/>
          <w:sz w:val="24"/>
          <w:u w:val="none"/>
          <w:lang w:val="en-US" w:eastAsia="zh-CN"/>
        </w:rPr>
        <w:t>——年环保费用，万元。</w:t>
      </w:r>
    </w:p>
    <w:p>
      <w:pPr>
        <w:spacing w:line="360" w:lineRule="auto"/>
        <w:ind w:firstLine="720" w:firstLineChars="300"/>
        <w:jc w:val="both"/>
        <w:rPr>
          <w:rFonts w:hint="default"/>
          <w:color w:val="000000"/>
          <w:sz w:val="24"/>
          <w:u w:val="none"/>
          <w:lang w:val="en-US" w:eastAsia="zh-CN"/>
        </w:rPr>
      </w:pPr>
      <w:r>
        <w:rPr>
          <w:rFonts w:hint="eastAsia"/>
          <w:color w:val="000000"/>
          <w:sz w:val="24"/>
          <w:u w:val="none"/>
          <w:lang w:val="en-US" w:eastAsia="zh-CN"/>
        </w:rPr>
        <w:t>本项目为医疗废物集中处置项目，项目的建设将替代现有的分散处置。根据调查，医院11个，卫生院、社区医院37个，疾病预防控制中心1个。本项目建成后，各产污单位将不再单独建设治理设施，项目建成将为各产污单位直接节约环保设施投资费用合计500万元，减去各产污单位每年缴纳的医废处置费用300万元，本项目的建设因污染防治而减少的直接经济损失约200万元。由上式计算可知，再不考虑其他间接收益情况下，本项目直接费用效益比为1.13。</w:t>
      </w:r>
    </w:p>
    <w:p>
      <w:pPr>
        <w:pStyle w:val="3"/>
        <w:rPr>
          <w:rFonts w:hint="eastAsia" w:ascii="Times New Roman" w:hAnsi="Times New Roman"/>
          <w:sz w:val="28"/>
          <w:szCs w:val="28"/>
          <w:u w:val="none"/>
          <w:lang w:val="en-US" w:eastAsia="zh-CN"/>
        </w:rPr>
      </w:pPr>
      <w:bookmarkStart w:id="105" w:name="_Toc28385"/>
      <w:r>
        <w:rPr>
          <w:rFonts w:hint="eastAsia" w:ascii="Times New Roman" w:hAnsi="Times New Roman"/>
          <w:sz w:val="28"/>
          <w:szCs w:val="28"/>
          <w:u w:val="none"/>
          <w:lang w:val="en-US" w:eastAsia="zh-CN"/>
        </w:rPr>
        <w:t>11.5小结</w:t>
      </w:r>
      <w:bookmarkEnd w:id="105"/>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综上分析，本项目经济效益虽然较差，但是本项目运营期间收入大于支出，足以支撑项目的正常运行。而且本项目社会效益和环境效益很好，给区域社会和环境经济所带来的收益足以弥补项目本身的经济效益。</w:t>
      </w:r>
    </w:p>
    <w:p>
      <w:pPr>
        <w:spacing w:line="360" w:lineRule="auto"/>
        <w:ind w:firstLine="480" w:firstLineChars="200"/>
        <w:jc w:val="left"/>
        <w:rPr>
          <w:rFonts w:hint="eastAsia" w:eastAsia="宋体"/>
          <w:color w:val="000000"/>
          <w:sz w:val="24"/>
          <w:u w:val="none"/>
          <w:lang w:eastAsia="zh-CN"/>
        </w:rPr>
      </w:pPr>
      <w:r>
        <w:rPr>
          <w:rFonts w:hint="eastAsia"/>
          <w:color w:val="000000"/>
          <w:sz w:val="24"/>
          <w:u w:val="none"/>
          <w:lang w:eastAsia="zh-CN"/>
        </w:rPr>
        <w:t>因此，从环境经济学的角度看，本项目建设时可行的。</w:t>
      </w:r>
    </w:p>
    <w:p>
      <w:pPr>
        <w:spacing w:line="360" w:lineRule="auto"/>
        <w:ind w:firstLine="480" w:firstLineChars="200"/>
        <w:jc w:val="left"/>
        <w:rPr>
          <w:color w:val="000000"/>
          <w:sz w:val="24"/>
          <w:u w:val="none"/>
        </w:rPr>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p>
    <w:p>
      <w:pPr>
        <w:pStyle w:val="2"/>
        <w:topLinePunct/>
        <w:spacing w:before="120" w:after="360"/>
        <w:rPr>
          <w:sz w:val="36"/>
          <w:szCs w:val="36"/>
          <w:u w:val="none"/>
        </w:rPr>
      </w:pPr>
      <w:bookmarkStart w:id="106" w:name="_Toc1655"/>
      <w:r>
        <w:rPr>
          <w:sz w:val="36"/>
          <w:szCs w:val="36"/>
          <w:u w:val="none"/>
        </w:rPr>
        <w:t>1</w:t>
      </w:r>
      <w:r>
        <w:rPr>
          <w:rFonts w:hint="eastAsia"/>
          <w:sz w:val="36"/>
          <w:szCs w:val="36"/>
          <w:u w:val="none"/>
          <w:lang w:val="en-US" w:eastAsia="zh-CN"/>
        </w:rPr>
        <w:t>2</w:t>
      </w:r>
      <w:r>
        <w:rPr>
          <w:sz w:val="36"/>
          <w:szCs w:val="36"/>
          <w:u w:val="none"/>
        </w:rPr>
        <w:t>、环境管理与环境监测计划</w:t>
      </w:r>
      <w:bookmarkEnd w:id="106"/>
    </w:p>
    <w:p>
      <w:pPr>
        <w:pStyle w:val="3"/>
        <w:rPr>
          <w:rFonts w:ascii="Times New Roman" w:hAnsi="Times New Roman"/>
          <w:sz w:val="28"/>
          <w:szCs w:val="28"/>
          <w:u w:val="none"/>
        </w:rPr>
      </w:pPr>
      <w:bookmarkStart w:id="107" w:name="_Toc15186"/>
      <w:r>
        <w:rPr>
          <w:rFonts w:ascii="Times New Roman" w:hAnsi="Times New Roman"/>
          <w:sz w:val="28"/>
          <w:szCs w:val="28"/>
          <w:u w:val="none"/>
        </w:rPr>
        <w:t>1</w:t>
      </w:r>
      <w:r>
        <w:rPr>
          <w:rFonts w:hint="eastAsia" w:ascii="Times New Roman" w:hAnsi="Times New Roman"/>
          <w:sz w:val="28"/>
          <w:szCs w:val="28"/>
          <w:u w:val="none"/>
          <w:lang w:val="en-US" w:eastAsia="zh-CN"/>
        </w:rPr>
        <w:t>2</w:t>
      </w:r>
      <w:r>
        <w:rPr>
          <w:rFonts w:ascii="Times New Roman" w:hAnsi="Times New Roman"/>
          <w:sz w:val="28"/>
          <w:szCs w:val="28"/>
          <w:u w:val="none"/>
        </w:rPr>
        <w:t>.1施工期环境管理</w:t>
      </w:r>
      <w:bookmarkEnd w:id="107"/>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12.1.1成立施工期环境管理机构</w:t>
      </w:r>
    </w:p>
    <w:p>
      <w:pPr>
        <w:spacing w:line="360" w:lineRule="auto"/>
        <w:ind w:firstLine="480" w:firstLineChars="200"/>
        <w:jc w:val="left"/>
        <w:rPr>
          <w:color w:val="000000"/>
          <w:sz w:val="24"/>
          <w:u w:val="none"/>
        </w:rPr>
      </w:pPr>
      <w:r>
        <w:rPr>
          <w:color w:val="000000"/>
          <w:sz w:val="24"/>
          <w:u w:val="none"/>
        </w:rPr>
        <w:t>项目在施工期应设立专门环境管理机构，由项目法人代表直接领导，设置</w:t>
      </w:r>
      <w:r>
        <w:rPr>
          <w:rFonts w:eastAsia="TimesNewRomanPSMT"/>
          <w:color w:val="000000"/>
          <w:sz w:val="24"/>
          <w:u w:val="none"/>
        </w:rPr>
        <w:t>1~2</w:t>
      </w:r>
      <w:r>
        <w:rPr>
          <w:color w:val="000000"/>
          <w:sz w:val="24"/>
          <w:u w:val="none"/>
        </w:rPr>
        <w:t>人进行专门管理，其主要职责为：控制施工期环境污染及生态破坏，杜绝野蛮施工，使施工期对环境污染及生态破坏程度降低到最小。</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12.1.2开展施工期环境监理</w:t>
      </w:r>
    </w:p>
    <w:p>
      <w:pPr>
        <w:spacing w:line="360" w:lineRule="auto"/>
        <w:ind w:firstLine="480" w:firstLineChars="200"/>
        <w:jc w:val="left"/>
        <w:rPr>
          <w:color w:val="000000"/>
          <w:sz w:val="24"/>
          <w:u w:val="none"/>
        </w:rPr>
      </w:pPr>
      <w:r>
        <w:rPr>
          <w:color w:val="000000"/>
          <w:sz w:val="24"/>
          <w:u w:val="none"/>
        </w:rPr>
        <w:t>（</w:t>
      </w:r>
      <w:r>
        <w:rPr>
          <w:rFonts w:eastAsia="TimesNewRomanPSMT"/>
          <w:color w:val="000000"/>
          <w:sz w:val="24"/>
          <w:u w:val="none"/>
        </w:rPr>
        <w:t>1</w:t>
      </w:r>
      <w:r>
        <w:rPr>
          <w:color w:val="000000"/>
          <w:sz w:val="24"/>
          <w:u w:val="none"/>
        </w:rPr>
        <w:t>）监理目的</w:t>
      </w:r>
    </w:p>
    <w:p>
      <w:pPr>
        <w:spacing w:line="360" w:lineRule="auto"/>
        <w:ind w:firstLine="480" w:firstLineChars="200"/>
        <w:jc w:val="left"/>
        <w:rPr>
          <w:color w:val="000000"/>
          <w:sz w:val="24"/>
          <w:u w:val="none"/>
        </w:rPr>
      </w:pPr>
      <w:r>
        <w:rPr>
          <w:color w:val="000000"/>
          <w:sz w:val="24"/>
          <w:u w:val="none"/>
        </w:rPr>
        <w:t>在项目施工期间，应根据环境保护设计要求，开展施工期环境监理，全面监督和检查环境保护措施的实施及效果，及时处理和解决临时出现的环境污染事件。同时篱工期监理成果将作为建设项目实施验收工作的基础和验收报告必备的专项报告之一。</w:t>
      </w:r>
    </w:p>
    <w:p>
      <w:pPr>
        <w:spacing w:line="360" w:lineRule="auto"/>
        <w:ind w:firstLine="480" w:firstLineChars="200"/>
        <w:jc w:val="left"/>
        <w:rPr>
          <w:color w:val="000000"/>
          <w:sz w:val="24"/>
          <w:u w:val="none"/>
        </w:rPr>
      </w:pPr>
      <w:r>
        <w:rPr>
          <w:color w:val="000000"/>
          <w:sz w:val="24"/>
          <w:u w:val="none"/>
        </w:rPr>
        <w:t>（</w:t>
      </w:r>
      <w:r>
        <w:rPr>
          <w:rFonts w:eastAsia="TimesNewRomanPSMT"/>
          <w:color w:val="000000"/>
          <w:sz w:val="24"/>
          <w:u w:val="none"/>
        </w:rPr>
        <w:t>2</w:t>
      </w:r>
      <w:r>
        <w:rPr>
          <w:color w:val="000000"/>
          <w:sz w:val="24"/>
          <w:u w:val="none"/>
        </w:rPr>
        <w:t>）监理内容</w:t>
      </w:r>
    </w:p>
    <w:p>
      <w:pPr>
        <w:spacing w:line="360" w:lineRule="auto"/>
        <w:ind w:firstLine="480" w:firstLineChars="200"/>
        <w:jc w:val="left"/>
        <w:rPr>
          <w:color w:val="000000"/>
          <w:sz w:val="24"/>
          <w:u w:val="none"/>
        </w:rPr>
      </w:pPr>
      <w:r>
        <w:rPr>
          <w:color w:val="000000"/>
          <w:sz w:val="24"/>
          <w:u w:val="none"/>
        </w:rPr>
        <w:t>遵循国家及当地政府关于环境保护的方针、政策、法令、法规，监督承包商落实与建设单位签定的工程承包合同中有关环保条款。主要职责为：</w:t>
      </w:r>
    </w:p>
    <w:p>
      <w:pPr>
        <w:spacing w:line="360" w:lineRule="auto"/>
        <w:ind w:firstLine="480" w:firstLineChars="200"/>
        <w:jc w:val="left"/>
        <w:rPr>
          <w:color w:val="000000"/>
          <w:sz w:val="24"/>
          <w:u w:val="none"/>
        </w:rPr>
      </w:pPr>
      <w:r>
        <w:rPr>
          <w:rFonts w:hint="eastAsia" w:ascii="宋体" w:hAnsi="宋体" w:cs="宋体"/>
          <w:color w:val="000000"/>
          <w:sz w:val="24"/>
          <w:u w:val="none"/>
        </w:rPr>
        <w:t>①</w:t>
      </w:r>
      <w:r>
        <w:rPr>
          <w:color w:val="000000"/>
          <w:sz w:val="24"/>
          <w:u w:val="none"/>
        </w:rPr>
        <w:t>在业主委托的业务范围内，从事工程环境监理。</w:t>
      </w:r>
    </w:p>
    <w:p>
      <w:pPr>
        <w:spacing w:line="360" w:lineRule="auto"/>
        <w:ind w:firstLine="480" w:firstLineChars="200"/>
        <w:jc w:val="left"/>
        <w:rPr>
          <w:color w:val="000000"/>
          <w:sz w:val="24"/>
          <w:u w:val="none"/>
        </w:rPr>
      </w:pPr>
      <w:r>
        <w:rPr>
          <w:rFonts w:hint="eastAsia" w:ascii="宋体" w:hAnsi="宋体" w:cs="宋体"/>
          <w:color w:val="000000"/>
          <w:sz w:val="24"/>
          <w:u w:val="none"/>
        </w:rPr>
        <w:t>②</w:t>
      </w:r>
      <w:r>
        <w:rPr>
          <w:color w:val="000000"/>
          <w:sz w:val="24"/>
          <w:u w:val="none"/>
        </w:rPr>
        <w:t>编制环境监理计划，拟定环境监理项目和内容。</w:t>
      </w:r>
    </w:p>
    <w:p>
      <w:pPr>
        <w:spacing w:line="360" w:lineRule="auto"/>
        <w:ind w:firstLine="480" w:firstLineChars="200"/>
        <w:jc w:val="left"/>
        <w:rPr>
          <w:color w:val="000000"/>
          <w:sz w:val="24"/>
          <w:u w:val="none"/>
        </w:rPr>
      </w:pPr>
      <w:r>
        <w:rPr>
          <w:rFonts w:hint="eastAsia" w:ascii="宋体" w:hAnsi="宋体" w:cs="宋体"/>
          <w:color w:val="000000"/>
          <w:sz w:val="24"/>
          <w:u w:val="none"/>
        </w:rPr>
        <w:t>③</w:t>
      </w:r>
      <w:r>
        <w:rPr>
          <w:color w:val="000000"/>
          <w:sz w:val="24"/>
          <w:u w:val="none"/>
        </w:rPr>
        <w:t>对承包商进行监理，防止和消减施工作业引起的环境污染和对植被、陆生动植物的破坏行为，同时防止火灾发生。</w:t>
      </w:r>
    </w:p>
    <w:p>
      <w:pPr>
        <w:spacing w:line="360" w:lineRule="auto"/>
        <w:ind w:firstLine="480" w:firstLineChars="200"/>
        <w:jc w:val="left"/>
        <w:rPr>
          <w:color w:val="000000"/>
          <w:sz w:val="24"/>
          <w:u w:val="none"/>
        </w:rPr>
      </w:pPr>
      <w:r>
        <w:rPr>
          <w:rFonts w:hint="eastAsia" w:ascii="宋体" w:hAnsi="宋体" w:cs="宋体"/>
          <w:color w:val="000000"/>
          <w:sz w:val="24"/>
          <w:u w:val="none"/>
        </w:rPr>
        <w:t>④</w:t>
      </w:r>
      <w:r>
        <w:rPr>
          <w:color w:val="000000"/>
          <w:sz w:val="24"/>
          <w:u w:val="none"/>
        </w:rPr>
        <w:t>全面监督和检查各施工单位环境保护措施实施情况和实际效果，及时处理和解决临时出现的环境污染事件。</w:t>
      </w:r>
    </w:p>
    <w:p>
      <w:pPr>
        <w:spacing w:line="360" w:lineRule="auto"/>
        <w:ind w:firstLine="480" w:firstLineChars="200"/>
        <w:jc w:val="left"/>
        <w:rPr>
          <w:color w:val="000000"/>
          <w:sz w:val="24"/>
          <w:u w:val="none"/>
        </w:rPr>
      </w:pPr>
      <w:r>
        <w:rPr>
          <w:rFonts w:hint="eastAsia" w:ascii="宋体" w:hAnsi="宋体" w:cs="宋体"/>
          <w:color w:val="000000"/>
          <w:sz w:val="24"/>
          <w:u w:val="none"/>
        </w:rPr>
        <w:t>⑤</w:t>
      </w:r>
      <w:r>
        <w:rPr>
          <w:color w:val="000000"/>
          <w:sz w:val="24"/>
          <w:u w:val="none"/>
        </w:rPr>
        <w:t>在日常工作中作好监理记录及监理报告，参与竣工验收。</w:t>
      </w:r>
    </w:p>
    <w:p>
      <w:pPr>
        <w:spacing w:line="360" w:lineRule="auto"/>
        <w:ind w:firstLine="480" w:firstLineChars="200"/>
        <w:jc w:val="left"/>
        <w:rPr>
          <w:color w:val="000000"/>
          <w:sz w:val="24"/>
          <w:u w:val="none"/>
        </w:rPr>
      </w:pPr>
      <w:r>
        <w:rPr>
          <w:color w:val="000000"/>
          <w:sz w:val="24"/>
          <w:u w:val="none"/>
        </w:rPr>
        <w:t>（</w:t>
      </w:r>
      <w:r>
        <w:rPr>
          <w:rFonts w:eastAsia="TimesNewRomanPSMT"/>
          <w:color w:val="000000"/>
          <w:sz w:val="24"/>
          <w:u w:val="none"/>
        </w:rPr>
        <w:t>3</w:t>
      </w:r>
      <w:r>
        <w:rPr>
          <w:color w:val="000000"/>
          <w:sz w:val="24"/>
          <w:u w:val="none"/>
        </w:rPr>
        <w:t>）环境监理机构</w:t>
      </w:r>
    </w:p>
    <w:p>
      <w:pPr>
        <w:spacing w:line="360" w:lineRule="auto"/>
        <w:ind w:firstLine="480" w:firstLineChars="200"/>
        <w:jc w:val="left"/>
        <w:rPr>
          <w:color w:val="000000"/>
          <w:sz w:val="24"/>
          <w:u w:val="none"/>
        </w:rPr>
      </w:pPr>
      <w:r>
        <w:rPr>
          <w:color w:val="000000"/>
          <w:sz w:val="24"/>
          <w:u w:val="none"/>
        </w:rPr>
        <w:t>根据有关规定，环境监理机构由工程精度单位在具有相应资质的单位中招标确定，并实行总监理工程师负责制。</w:t>
      </w:r>
    </w:p>
    <w:p>
      <w:pPr>
        <w:pStyle w:val="3"/>
        <w:rPr>
          <w:rFonts w:ascii="Times New Roman" w:hAnsi="Times New Roman"/>
          <w:sz w:val="28"/>
          <w:szCs w:val="28"/>
          <w:u w:val="none"/>
        </w:rPr>
      </w:pPr>
      <w:bookmarkStart w:id="108" w:name="_Toc28702"/>
      <w:r>
        <w:rPr>
          <w:rFonts w:ascii="Times New Roman" w:hAnsi="Times New Roman"/>
          <w:sz w:val="28"/>
          <w:szCs w:val="28"/>
          <w:u w:val="none"/>
        </w:rPr>
        <w:t>1</w:t>
      </w:r>
      <w:r>
        <w:rPr>
          <w:rFonts w:hint="eastAsia" w:ascii="Times New Roman" w:hAnsi="Times New Roman"/>
          <w:sz w:val="28"/>
          <w:szCs w:val="28"/>
          <w:u w:val="none"/>
          <w:lang w:val="en-US" w:eastAsia="zh-CN"/>
        </w:rPr>
        <w:t>2</w:t>
      </w:r>
      <w:r>
        <w:rPr>
          <w:rFonts w:ascii="Times New Roman" w:hAnsi="Times New Roman"/>
          <w:sz w:val="28"/>
          <w:szCs w:val="28"/>
          <w:u w:val="none"/>
        </w:rPr>
        <w:t>.2营运期环境管理</w:t>
      </w:r>
      <w:bookmarkEnd w:id="108"/>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12.2.1设置环境管理机构</w:t>
      </w:r>
    </w:p>
    <w:p>
      <w:pPr>
        <w:spacing w:line="360" w:lineRule="auto"/>
        <w:ind w:firstLine="480" w:firstLineChars="200"/>
        <w:jc w:val="left"/>
        <w:rPr>
          <w:color w:val="000000"/>
          <w:sz w:val="24"/>
          <w:u w:val="none"/>
        </w:rPr>
      </w:pPr>
      <w:r>
        <w:rPr>
          <w:color w:val="000000"/>
          <w:sz w:val="24"/>
          <w:u w:val="none"/>
        </w:rPr>
        <w:t>根据《中华人民共和国环境保护法》，本项目建设单位必须把环境保护工作纳入计划，建立环境保护责任制度，采取有效措施，防止建设或其他活动中产生的污染危害及对生态环境的破坏。针对本项目建设内容，从环境管理角度，环评要求建立健全以下工作内容。</w:t>
      </w:r>
    </w:p>
    <w:p>
      <w:pPr>
        <w:spacing w:line="360" w:lineRule="auto"/>
        <w:ind w:firstLine="482" w:firstLineChars="200"/>
        <w:jc w:val="left"/>
        <w:rPr>
          <w:b/>
          <w:bCs/>
          <w:color w:val="000000"/>
          <w:sz w:val="24"/>
          <w:u w:val="none"/>
        </w:rPr>
      </w:pPr>
      <w:r>
        <w:rPr>
          <w:b/>
          <w:bCs/>
          <w:color w:val="000000"/>
          <w:sz w:val="24"/>
          <w:u w:val="none"/>
        </w:rPr>
        <w:t>1、管理机构建设</w:t>
      </w:r>
    </w:p>
    <w:p>
      <w:pPr>
        <w:spacing w:line="360" w:lineRule="auto"/>
        <w:ind w:firstLine="480" w:firstLineChars="200"/>
        <w:jc w:val="left"/>
        <w:rPr>
          <w:rFonts w:hint="eastAsia" w:eastAsia="宋体"/>
          <w:color w:val="000000"/>
          <w:sz w:val="24"/>
          <w:u w:val="none"/>
          <w:lang w:val="en-US" w:eastAsia="zh-CN"/>
        </w:rPr>
      </w:pPr>
      <w:r>
        <w:rPr>
          <w:rFonts w:hint="eastAsia"/>
          <w:color w:val="000000"/>
          <w:sz w:val="24"/>
          <w:u w:val="none"/>
          <w:lang w:eastAsia="zh-CN"/>
        </w:rPr>
        <w:t>本项目应常设环境管理机构，具体负责全公司的日常的环境管理和监督工作</w:t>
      </w:r>
      <w:r>
        <w:rPr>
          <w:color w:val="000000"/>
          <w:sz w:val="24"/>
          <w:u w:val="none"/>
        </w:rPr>
        <w:t>。</w:t>
      </w:r>
      <w:r>
        <w:rPr>
          <w:rFonts w:hint="eastAsia"/>
          <w:color w:val="000000"/>
          <w:sz w:val="24"/>
          <w:u w:val="none"/>
          <w:lang w:eastAsia="zh-CN"/>
        </w:rPr>
        <w:t>公司环境保护部门配备</w:t>
      </w:r>
      <w:r>
        <w:rPr>
          <w:rFonts w:hint="eastAsia"/>
          <w:color w:val="000000"/>
          <w:sz w:val="24"/>
          <w:u w:val="none"/>
          <w:lang w:val="en-US" w:eastAsia="zh-CN"/>
        </w:rPr>
        <w:t>3~4专职人员，其中环境管理人员2人、环境监测人员1~2人。</w:t>
      </w:r>
    </w:p>
    <w:p>
      <w:pPr>
        <w:spacing w:line="360" w:lineRule="auto"/>
        <w:ind w:firstLine="482" w:firstLineChars="200"/>
        <w:jc w:val="left"/>
        <w:rPr>
          <w:b/>
          <w:bCs/>
          <w:color w:val="000000"/>
          <w:sz w:val="24"/>
          <w:u w:val="none"/>
        </w:rPr>
      </w:pPr>
      <w:r>
        <w:rPr>
          <w:b/>
          <w:bCs/>
          <w:color w:val="000000"/>
          <w:sz w:val="24"/>
          <w:u w:val="none"/>
        </w:rPr>
        <w:t>2、管理机构工作内容</w:t>
      </w:r>
    </w:p>
    <w:p>
      <w:pPr>
        <w:spacing w:line="360" w:lineRule="auto"/>
        <w:ind w:firstLine="480" w:firstLineChars="200"/>
        <w:jc w:val="left"/>
        <w:rPr>
          <w:color w:val="000000"/>
          <w:sz w:val="24"/>
          <w:u w:val="none"/>
        </w:rPr>
      </w:pPr>
      <w:r>
        <w:rPr>
          <w:color w:val="000000"/>
          <w:sz w:val="24"/>
          <w:u w:val="none"/>
        </w:rPr>
        <w:t>（1）</w:t>
      </w:r>
      <w:r>
        <w:rPr>
          <w:rFonts w:hint="eastAsia"/>
          <w:color w:val="000000"/>
          <w:sz w:val="24"/>
          <w:u w:val="none"/>
          <w:lang w:eastAsia="zh-CN"/>
        </w:rPr>
        <w:t>贯彻执行国家和地方的有关环保法律、法规、政策和要求</w:t>
      </w:r>
      <w:r>
        <w:rPr>
          <w:color w:val="000000"/>
          <w:sz w:val="24"/>
          <w:u w:val="none"/>
        </w:rPr>
        <w:t>；</w:t>
      </w:r>
    </w:p>
    <w:p>
      <w:pPr>
        <w:spacing w:line="360" w:lineRule="auto"/>
        <w:ind w:firstLine="480" w:firstLineChars="200"/>
        <w:jc w:val="left"/>
        <w:rPr>
          <w:color w:val="000000"/>
          <w:sz w:val="24"/>
          <w:u w:val="none"/>
        </w:rPr>
      </w:pPr>
      <w:r>
        <w:rPr>
          <w:color w:val="000000"/>
          <w:sz w:val="24"/>
          <w:u w:val="none"/>
        </w:rPr>
        <w:t>（2）</w:t>
      </w:r>
      <w:r>
        <w:rPr>
          <w:rFonts w:hint="eastAsia"/>
          <w:color w:val="000000"/>
          <w:sz w:val="24"/>
          <w:u w:val="none"/>
          <w:lang w:eastAsia="zh-CN"/>
        </w:rPr>
        <w:t>制定本公司的环境保护规划和年度目标计划，并组织实施</w:t>
      </w:r>
      <w:r>
        <w:rPr>
          <w:color w:val="000000"/>
          <w:sz w:val="24"/>
          <w:u w:val="none"/>
        </w:rPr>
        <w:t>；</w:t>
      </w:r>
    </w:p>
    <w:p>
      <w:pPr>
        <w:spacing w:line="360" w:lineRule="auto"/>
        <w:ind w:firstLine="480" w:firstLineChars="200"/>
        <w:jc w:val="left"/>
        <w:rPr>
          <w:color w:val="000000"/>
          <w:sz w:val="24"/>
          <w:u w:val="none"/>
        </w:rPr>
      </w:pPr>
      <w:r>
        <w:rPr>
          <w:color w:val="000000"/>
          <w:sz w:val="24"/>
          <w:u w:val="none"/>
        </w:rPr>
        <w:t>（3）</w:t>
      </w:r>
      <w:r>
        <w:rPr>
          <w:rFonts w:hint="eastAsia"/>
          <w:color w:val="000000"/>
          <w:sz w:val="24"/>
          <w:u w:val="none"/>
          <w:lang w:eastAsia="zh-CN"/>
        </w:rPr>
        <w:t>制定本公司的环境管理制度，并对实施情况进行监督、检查</w:t>
      </w:r>
      <w:r>
        <w:rPr>
          <w:color w:val="000000"/>
          <w:sz w:val="24"/>
          <w:u w:val="none"/>
        </w:rPr>
        <w:t>；</w:t>
      </w:r>
    </w:p>
    <w:p>
      <w:pPr>
        <w:spacing w:line="360" w:lineRule="auto"/>
        <w:ind w:firstLine="480" w:firstLineChars="200"/>
        <w:jc w:val="left"/>
        <w:rPr>
          <w:rFonts w:hint="eastAsia"/>
          <w:color w:val="000000"/>
          <w:sz w:val="24"/>
          <w:u w:val="none"/>
          <w:lang w:eastAsia="zh-CN"/>
        </w:rPr>
      </w:pPr>
      <w:r>
        <w:rPr>
          <w:color w:val="000000"/>
          <w:sz w:val="24"/>
          <w:u w:val="none"/>
        </w:rPr>
        <w:t>（4）</w:t>
      </w:r>
      <w:r>
        <w:rPr>
          <w:rFonts w:hint="eastAsia"/>
          <w:color w:val="000000"/>
          <w:sz w:val="24"/>
          <w:u w:val="none"/>
          <w:lang w:eastAsia="zh-CN"/>
        </w:rPr>
        <w:t>制定本公司污染总量控制指标，环保设施运行指标，“三废”综合利用指标，污染事故率指标等各项考核指标，分解到各车间，进行定量考评；</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5</w:t>
      </w:r>
      <w:r>
        <w:rPr>
          <w:rFonts w:hint="eastAsia"/>
          <w:color w:val="000000"/>
          <w:sz w:val="24"/>
          <w:u w:val="none"/>
          <w:lang w:eastAsia="zh-CN"/>
        </w:rPr>
        <w:t>）负责监督本公司“三同时”的执行情况，对本公司环境质量状况和各环保设施运行状况的例行监测和检查工作，并及时纠正违规行为；</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6</w:t>
      </w:r>
      <w:r>
        <w:rPr>
          <w:rFonts w:hint="eastAsia"/>
          <w:color w:val="000000"/>
          <w:sz w:val="24"/>
          <w:u w:val="none"/>
          <w:lang w:eastAsia="zh-CN"/>
        </w:rPr>
        <w:t>）组织或协调污染控制、“三废”综合利用、清洁生产等技术攻关课题研究，不断提高环境保护水平；</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7</w:t>
      </w:r>
      <w:r>
        <w:rPr>
          <w:rFonts w:hint="eastAsia"/>
          <w:color w:val="000000"/>
          <w:sz w:val="24"/>
          <w:u w:val="none"/>
          <w:lang w:eastAsia="zh-CN"/>
        </w:rPr>
        <w:t>）负责污染事故的防范，应急处理和报告工作；</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8</w:t>
      </w:r>
      <w:r>
        <w:rPr>
          <w:rFonts w:hint="eastAsia"/>
          <w:color w:val="000000"/>
          <w:sz w:val="24"/>
          <w:u w:val="none"/>
          <w:lang w:eastAsia="zh-CN"/>
        </w:rPr>
        <w:t>）搞好环境保护宣传教育，组织环保技术培训、竞赛、评比等工作，提高全体员工环保意识和技能；</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9</w:t>
      </w:r>
      <w:r>
        <w:rPr>
          <w:rFonts w:hint="eastAsia"/>
          <w:color w:val="000000"/>
          <w:sz w:val="24"/>
          <w:u w:val="none"/>
          <w:lang w:eastAsia="zh-CN"/>
        </w:rPr>
        <w:t>）负责环保资料的收集、汇总、保管、归档工作；</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10</w:t>
      </w:r>
      <w:r>
        <w:rPr>
          <w:rFonts w:hint="eastAsia"/>
          <w:color w:val="000000"/>
          <w:sz w:val="24"/>
          <w:u w:val="none"/>
          <w:lang w:eastAsia="zh-CN"/>
        </w:rPr>
        <w:t>）负责对全公司环境质量状况和各环保设施运行状况进行例行的监测；</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11</w:t>
      </w:r>
      <w:r>
        <w:rPr>
          <w:rFonts w:hint="eastAsia"/>
          <w:color w:val="000000"/>
          <w:sz w:val="24"/>
          <w:u w:val="none"/>
          <w:lang w:eastAsia="zh-CN"/>
        </w:rPr>
        <w:t>）负责领导公司环境监测室工作，指导各车间环保小组工作；</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12</w:t>
      </w:r>
      <w:r>
        <w:rPr>
          <w:rFonts w:hint="eastAsia"/>
          <w:color w:val="000000"/>
          <w:sz w:val="24"/>
          <w:u w:val="none"/>
          <w:lang w:eastAsia="zh-CN"/>
        </w:rPr>
        <w:t>）对本公司的绿化工作进行监督管理，提出建议；</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13</w:t>
      </w:r>
      <w:r>
        <w:rPr>
          <w:rFonts w:hint="eastAsia"/>
          <w:color w:val="000000"/>
          <w:sz w:val="24"/>
          <w:u w:val="none"/>
          <w:lang w:eastAsia="zh-CN"/>
        </w:rPr>
        <w:t>）负责与各级政府环保部门的联络和沟通；</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14</w:t>
      </w:r>
      <w:r>
        <w:rPr>
          <w:rFonts w:hint="eastAsia"/>
          <w:color w:val="000000"/>
          <w:sz w:val="24"/>
          <w:u w:val="none"/>
          <w:lang w:eastAsia="zh-CN"/>
        </w:rPr>
        <w:t>）完成公司环保委员会交办的其他工作。</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12.2.2运营期环境管理</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环境管理对污染防治设施的正常运行、“工业三废”的稳定达标排放、环境风险的有效防范至关重要，本项目位于德阳市德阳经济技术开发区祁连山路与汾湖路交汇处东北角，废水自行处理达标后排至石亭江污水处理厂处理，废气净化处理达标后排放，危险废物委托有资质单位处置，根据本项目的排污特点，本项目环境管理应重点关注以下几点：</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w:t>
      </w:r>
      <w:r>
        <w:rPr>
          <w:rFonts w:hint="eastAsia"/>
          <w:color w:val="000000"/>
          <w:sz w:val="24"/>
          <w:u w:val="none"/>
          <w:lang w:eastAsia="zh-CN"/>
        </w:rPr>
        <w:t>）环境风险防范</w:t>
      </w:r>
    </w:p>
    <w:p>
      <w:pPr>
        <w:spacing w:line="360" w:lineRule="auto"/>
        <w:ind w:firstLine="480" w:firstLineChars="200"/>
        <w:jc w:val="left"/>
        <w:rPr>
          <w:rFonts w:hint="eastAsia" w:cs="Times New Roman"/>
          <w:sz w:val="24"/>
          <w:u w:val="none"/>
          <w:lang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eastAsia="zh-CN"/>
        </w:rPr>
        <w:t>依据《中华人民共和国环境保护法》、《中华人民共和国突发事件应对法》、《国家突发环境事件应急预案》、《企业事业单位突发环境事件应急预案备案管理办法（试行）》、《企业突发环境事件风险评估指南啊（试行）》及相关法律法规和规范性法律文件等规定，本项目在搬迁到新厂区后，项目应根据新厂址的周边环境、生产内容的变化情况、敏感目标的分布以及当前的技术规范的要求，制定突发环境事件应急预案并报德阳市环保局进行备案。</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专人负责生产车间以及涂料库房的环境风险管理，每日进行风险隐患巡查，并将巡视结果记录在册，发现风险隐患及时汇报并整改。</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（2）废水排放管理</w:t>
      </w:r>
    </w:p>
    <w:p>
      <w:pPr>
        <w:spacing w:line="360" w:lineRule="auto"/>
        <w:ind w:firstLine="480" w:firstLineChars="200"/>
        <w:jc w:val="left"/>
        <w:rPr>
          <w:rFonts w:hint="eastAsia" w:cs="Times New Roman"/>
          <w:sz w:val="24"/>
          <w:u w:val="none"/>
          <w:lang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eastAsia="zh-CN"/>
        </w:rPr>
        <w:t>根据本项目实际情况，项目生活废水经收集后进入预处理池处理，同经隔油沉淀处理后的生产清洗废水一并排入区域污水管网。</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废水排污口应按照规范设置排污标志，利于日常监督和管理。</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（3）废气排放管理</w:t>
      </w:r>
    </w:p>
    <w:p>
      <w:pPr>
        <w:spacing w:line="360" w:lineRule="auto"/>
        <w:ind w:firstLine="480" w:firstLineChars="200"/>
        <w:jc w:val="left"/>
        <w:rPr>
          <w:rFonts w:hint="eastAsia" w:cs="Times New Roman"/>
          <w:sz w:val="24"/>
          <w:u w:val="none"/>
          <w:lang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eastAsia="zh-CN"/>
        </w:rPr>
        <w:t>生产期间，须保证废气处理设施正常运行。</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废气治理设施应由有资质单位设计，建设单位应派出专人负责定期对RTO废气焚烧炉进行管理维护，保持良好的废气净化效果。</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3 \* GB3 \* MERGEFORMAT </w:instrText>
      </w:r>
      <w:r>
        <w:rPr>
          <w:rFonts w:hint="eastAsia" w:cs="Times New Roman"/>
          <w:sz w:val="24"/>
          <w:u w:val="none"/>
          <w:lang w:val="en-US" w:eastAsia="zh-CN"/>
        </w:rPr>
        <w:fldChar w:fldCharType="separate"/>
      </w:r>
      <w:r>
        <w:rPr>
          <w:u w:val="none"/>
        </w:rPr>
        <w:t>③</w:t>
      </w:r>
      <w:r>
        <w:rPr>
          <w:rFonts w:hint="eastAsia" w:cs="Times New Roman"/>
          <w:sz w:val="24"/>
          <w:u w:val="none"/>
          <w:lang w:val="en-US" w:eastAsia="zh-CN"/>
        </w:rPr>
        <w:fldChar w:fldCharType="end"/>
      </w:r>
      <w:r>
        <w:rPr>
          <w:rFonts w:hint="eastAsia" w:cs="Times New Roman"/>
          <w:sz w:val="24"/>
          <w:u w:val="none"/>
          <w:lang w:val="en-US" w:eastAsia="zh-CN"/>
        </w:rPr>
        <w:t>废气处理设施进、出口预留采样孔，建议安装法兰装置，在不采样时保证采样孔封闭，以避免风量损失。</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4 \* GB3 \* MERGEFORMAT </w:instrText>
      </w:r>
      <w:r>
        <w:rPr>
          <w:rFonts w:hint="eastAsia" w:cs="Times New Roman"/>
          <w:sz w:val="24"/>
          <w:u w:val="none"/>
          <w:lang w:val="en-US" w:eastAsia="zh-CN"/>
        </w:rPr>
        <w:fldChar w:fldCharType="separate"/>
      </w:r>
      <w:r>
        <w:rPr>
          <w:u w:val="none"/>
        </w:rPr>
        <w:t>④</w:t>
      </w:r>
      <w:r>
        <w:rPr>
          <w:rFonts w:hint="eastAsia" w:cs="Times New Roman"/>
          <w:sz w:val="24"/>
          <w:u w:val="none"/>
          <w:lang w:val="en-US" w:eastAsia="zh-CN"/>
        </w:rPr>
        <w:fldChar w:fldCharType="end"/>
      </w:r>
      <w:r>
        <w:rPr>
          <w:rFonts w:hint="eastAsia" w:cs="Times New Roman"/>
          <w:sz w:val="24"/>
          <w:u w:val="none"/>
          <w:lang w:val="en-US" w:eastAsia="zh-CN"/>
        </w:rPr>
        <w:t>定期委托专业单位对本项目外排废气进行日常检测，确保废气达标排放。</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（4）危险固废管理</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eastAsia="zh-CN"/>
        </w:rPr>
        <w:t>根据危险废物的产生量及转运周期，按《危险废物贮存污染控制标准》及其</w:t>
      </w:r>
      <w:r>
        <w:rPr>
          <w:rFonts w:hint="eastAsia" w:cs="Times New Roman"/>
          <w:sz w:val="24"/>
          <w:u w:val="none"/>
          <w:lang w:val="en-US" w:eastAsia="zh-CN"/>
        </w:rPr>
        <w:t>2013年修改单的相关规定建设适当面积的危险固废暂存场所。</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危险固废应及时收集，及时归类，不同类危险固废分区暂存。</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3 \* GB3 \* MERGEFORMAT </w:instrText>
      </w:r>
      <w:r>
        <w:rPr>
          <w:rFonts w:hint="eastAsia" w:cs="Times New Roman"/>
          <w:sz w:val="24"/>
          <w:u w:val="none"/>
          <w:lang w:val="en-US" w:eastAsia="zh-CN"/>
        </w:rPr>
        <w:fldChar w:fldCharType="separate"/>
      </w:r>
      <w:r>
        <w:rPr>
          <w:u w:val="none"/>
        </w:rPr>
        <w:t>③</w:t>
      </w:r>
      <w:r>
        <w:rPr>
          <w:rFonts w:hint="eastAsia" w:cs="Times New Roman"/>
          <w:sz w:val="24"/>
          <w:u w:val="none"/>
          <w:lang w:val="en-US" w:eastAsia="zh-CN"/>
        </w:rPr>
        <w:fldChar w:fldCharType="end"/>
      </w:r>
      <w:r>
        <w:rPr>
          <w:rFonts w:hint="eastAsia" w:cs="Times New Roman"/>
          <w:sz w:val="24"/>
          <w:u w:val="none"/>
          <w:lang w:val="en-US" w:eastAsia="zh-CN"/>
        </w:rPr>
        <w:t>设置危险固废产生、处置的台账，并保存台账纪录不少于5年。</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4 \* GB3 \* MERGEFORMAT </w:instrText>
      </w:r>
      <w:r>
        <w:rPr>
          <w:rFonts w:hint="eastAsia" w:cs="Times New Roman"/>
          <w:sz w:val="24"/>
          <w:u w:val="none"/>
          <w:lang w:val="en-US" w:eastAsia="zh-CN"/>
        </w:rPr>
        <w:fldChar w:fldCharType="separate"/>
      </w:r>
      <w:r>
        <w:rPr>
          <w:u w:val="none"/>
        </w:rPr>
        <w:t>④</w:t>
      </w:r>
      <w:r>
        <w:rPr>
          <w:rFonts w:hint="eastAsia" w:cs="Times New Roman"/>
          <w:sz w:val="24"/>
          <w:u w:val="none"/>
          <w:lang w:val="en-US" w:eastAsia="zh-CN"/>
        </w:rPr>
        <w:fldChar w:fldCharType="end"/>
      </w:r>
      <w:r>
        <w:rPr>
          <w:rFonts w:hint="eastAsia" w:cs="Times New Roman"/>
          <w:sz w:val="24"/>
          <w:u w:val="none"/>
          <w:lang w:val="en-US" w:eastAsia="zh-CN"/>
        </w:rPr>
        <w:t>危险固废交有资质单位处置，实行转运处置“五联单”。“五联单”中第一联由废物产生者保管；第二联由废物产生者送交移出地环保局，第三联由废物运输者保存，第四联由处置场工作人员保存，第五联由处置场工作人员送交到接收地环保局，建设单位保存联单不少于5年。</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（5）噪声</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val="en-US" w:eastAsia="zh-CN"/>
        </w:rPr>
        <w:t>定期委托专业单位对项目厂界噪声进行监测，确保厂界噪声达标排放。</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加强设备的使用和日常维护管理，维持设备处于良好的运转状态，避免因设备运转不正常时噪声的增高。</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（6）厂区环保部门</w:t>
      </w:r>
    </w:p>
    <w:p>
      <w:pPr>
        <w:spacing w:line="360" w:lineRule="auto"/>
        <w:ind w:firstLine="480" w:firstLineChars="200"/>
        <w:jc w:val="left"/>
        <w:rPr>
          <w:rFonts w:hint="eastAsia" w:cs="Times New Roman"/>
          <w:sz w:val="24"/>
          <w:u w:val="none"/>
          <w:lang w:eastAsia="zh-CN"/>
        </w:rPr>
      </w:pPr>
      <w:r>
        <w:rPr>
          <w:rFonts w:hint="eastAsia" w:cs="Times New Roman"/>
          <w:sz w:val="24"/>
          <w:u w:val="none"/>
          <w:lang w:eastAsia="zh-CN"/>
        </w:rPr>
        <w:fldChar w:fldCharType="begin"/>
      </w:r>
      <w:r>
        <w:rPr>
          <w:rFonts w:hint="eastAsia" w:cs="Times New Roman"/>
          <w:sz w:val="24"/>
          <w:u w:val="none"/>
          <w:lang w:eastAsia="zh-CN"/>
        </w:rPr>
        <w:instrText xml:space="preserve"> = 1 \* GB3 \* MERGEFORMAT </w:instrText>
      </w:r>
      <w:r>
        <w:rPr>
          <w:rFonts w:hint="eastAsia" w:cs="Times New Roman"/>
          <w:sz w:val="24"/>
          <w:u w:val="none"/>
          <w:lang w:eastAsia="zh-CN"/>
        </w:rPr>
        <w:fldChar w:fldCharType="separate"/>
      </w:r>
      <w:r>
        <w:rPr>
          <w:u w:val="none"/>
        </w:rPr>
        <w:t>①</w:t>
      </w:r>
      <w:r>
        <w:rPr>
          <w:rFonts w:hint="eastAsia" w:cs="Times New Roman"/>
          <w:sz w:val="24"/>
          <w:u w:val="none"/>
          <w:lang w:eastAsia="zh-CN"/>
        </w:rPr>
        <w:fldChar w:fldCharType="end"/>
      </w:r>
      <w:r>
        <w:rPr>
          <w:rFonts w:hint="eastAsia" w:cs="Times New Roman"/>
          <w:sz w:val="24"/>
          <w:u w:val="none"/>
          <w:lang w:eastAsia="zh-CN"/>
        </w:rPr>
        <w:t>建设单位应当按期及时申报污染物排放情况，及时办理排污许可证，超标排放应及时处理；</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根据环保部门、安全部门对环保设施验收报告的批复意见进行补充完善。</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3 \* GB3 \* MERGEFORMAT </w:instrText>
      </w:r>
      <w:r>
        <w:rPr>
          <w:rFonts w:hint="eastAsia" w:cs="Times New Roman"/>
          <w:sz w:val="24"/>
          <w:u w:val="none"/>
          <w:lang w:val="en-US" w:eastAsia="zh-CN"/>
        </w:rPr>
        <w:fldChar w:fldCharType="separate"/>
      </w:r>
      <w:r>
        <w:rPr>
          <w:u w:val="none"/>
        </w:rPr>
        <w:t>③</w:t>
      </w:r>
      <w:r>
        <w:rPr>
          <w:rFonts w:hint="eastAsia" w:cs="Times New Roman"/>
          <w:sz w:val="24"/>
          <w:u w:val="none"/>
          <w:lang w:val="en-US" w:eastAsia="zh-CN"/>
        </w:rPr>
        <w:fldChar w:fldCharType="end"/>
      </w:r>
      <w:r>
        <w:rPr>
          <w:rFonts w:hint="eastAsia" w:cs="Times New Roman"/>
          <w:sz w:val="24"/>
          <w:u w:val="none"/>
          <w:lang w:val="en-US" w:eastAsia="zh-CN"/>
        </w:rPr>
        <w:t>根据企业的环境保护目标考核计划，结合生产过程各环节的不同环境要求，把资源和能源消耗、污染物排放量的反映环保工作水平的生产环境质量等环保指标，纳入各级生产作业计划，同其他生产指标一同组织实施和考核。</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4 \* GB3 \* MERGEFORMAT </w:instrText>
      </w:r>
      <w:r>
        <w:rPr>
          <w:rFonts w:hint="eastAsia" w:cs="Times New Roman"/>
          <w:sz w:val="24"/>
          <w:u w:val="none"/>
          <w:lang w:val="en-US" w:eastAsia="zh-CN"/>
        </w:rPr>
        <w:fldChar w:fldCharType="separate"/>
      </w:r>
      <w:r>
        <w:rPr>
          <w:u w:val="none"/>
        </w:rPr>
        <w:t>④</w:t>
      </w:r>
      <w:r>
        <w:rPr>
          <w:rFonts w:hint="eastAsia" w:cs="Times New Roman"/>
          <w:sz w:val="24"/>
          <w:u w:val="none"/>
          <w:lang w:val="en-US" w:eastAsia="zh-CN"/>
        </w:rPr>
        <w:fldChar w:fldCharType="end"/>
      </w:r>
      <w:r>
        <w:rPr>
          <w:rFonts w:hint="eastAsia" w:cs="Times New Roman"/>
          <w:sz w:val="24"/>
          <w:u w:val="none"/>
          <w:lang w:val="en-US" w:eastAsia="zh-CN"/>
        </w:rPr>
        <w:t>按环保设施的操作规程，定期对环保设施进行保养和检修，保证环保设施的正产运行和污染物的达标排放。一旦环保设施出现故障，应立即停产检修，并上报环保法定责任人，严禁环保设施带病运行和事故性排放。建立运行记录并制定考核指标。</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5 \* GB3 \* MERGEFORMAT </w:instrText>
      </w:r>
      <w:r>
        <w:rPr>
          <w:rFonts w:hint="eastAsia" w:cs="Times New Roman"/>
          <w:sz w:val="24"/>
          <w:u w:val="none"/>
          <w:lang w:val="en-US" w:eastAsia="zh-CN"/>
        </w:rPr>
        <w:fldChar w:fldCharType="separate"/>
      </w:r>
      <w:r>
        <w:rPr>
          <w:u w:val="none"/>
        </w:rPr>
        <w:t>⑤</w:t>
      </w:r>
      <w:r>
        <w:rPr>
          <w:rFonts w:hint="eastAsia" w:cs="Times New Roman"/>
          <w:sz w:val="24"/>
          <w:u w:val="none"/>
          <w:lang w:val="en-US" w:eastAsia="zh-CN"/>
        </w:rPr>
        <w:fldChar w:fldCharType="end"/>
      </w:r>
      <w:r>
        <w:rPr>
          <w:rFonts w:hint="eastAsia" w:cs="Times New Roman"/>
          <w:sz w:val="24"/>
          <w:u w:val="none"/>
          <w:lang w:val="en-US" w:eastAsia="zh-CN"/>
        </w:rPr>
        <w:t>要加强设备、管道、阀门、仪器、仪表的检查、维护、检修，保证设备完好运行，防止跑、冒、滴、漏对环境的污染。</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6 \* GB3 \* MERGEFORMAT </w:instrText>
      </w:r>
      <w:r>
        <w:rPr>
          <w:rFonts w:hint="eastAsia" w:cs="Times New Roman"/>
          <w:sz w:val="24"/>
          <w:u w:val="none"/>
          <w:lang w:val="en-US" w:eastAsia="zh-CN"/>
        </w:rPr>
        <w:fldChar w:fldCharType="separate"/>
      </w:r>
      <w:r>
        <w:rPr>
          <w:u w:val="none"/>
        </w:rPr>
        <w:t>⑥</w:t>
      </w:r>
      <w:r>
        <w:rPr>
          <w:rFonts w:hint="eastAsia" w:cs="Times New Roman"/>
          <w:sz w:val="24"/>
          <w:u w:val="none"/>
          <w:lang w:val="en-US" w:eastAsia="zh-CN"/>
        </w:rPr>
        <w:fldChar w:fldCharType="end"/>
      </w:r>
      <w:r>
        <w:rPr>
          <w:rFonts w:hint="eastAsia" w:cs="Times New Roman"/>
          <w:sz w:val="24"/>
          <w:u w:val="none"/>
          <w:lang w:val="en-US" w:eastAsia="zh-CN"/>
        </w:rPr>
        <w:t>加强各生产车间、工段的环境卫生管理：保持工作场所的通风、整洁和宽畅。开工时废气净化等设施必须正常运转，确保操作工人有安全、卫生的生产环境。操作工人还应做好个人防护工作，避免粉尘、废气经呼吸道和皮肤吸收，引起职业病的发生。</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7 \* GB3 \* MERGEFORMAT </w:instrText>
      </w:r>
      <w:r>
        <w:rPr>
          <w:rFonts w:hint="eastAsia" w:cs="Times New Roman"/>
          <w:sz w:val="24"/>
          <w:u w:val="none"/>
          <w:lang w:val="en-US" w:eastAsia="zh-CN"/>
        </w:rPr>
        <w:fldChar w:fldCharType="separate"/>
      </w:r>
      <w:r>
        <w:rPr>
          <w:u w:val="none"/>
        </w:rPr>
        <w:t>⑦</w:t>
      </w:r>
      <w:r>
        <w:rPr>
          <w:rFonts w:hint="eastAsia" w:cs="Times New Roman"/>
          <w:sz w:val="24"/>
          <w:u w:val="none"/>
          <w:lang w:val="en-US" w:eastAsia="zh-CN"/>
        </w:rPr>
        <w:fldChar w:fldCharType="end"/>
      </w:r>
      <w:r>
        <w:rPr>
          <w:rFonts w:hint="eastAsia" w:cs="Times New Roman"/>
          <w:sz w:val="24"/>
          <w:u w:val="none"/>
          <w:lang w:val="en-US" w:eastAsia="zh-CN"/>
        </w:rPr>
        <w:t>接受环保主管部门监督检查。主要内容有：污染物排放情况、环保设施运行管理情况、环境监测及污染物监测情况、环境事故的调查和有关记录、污染源建档记录等。</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12.2.3排污口信息</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根据环境环境保护总局环发【1999】24号文件的规定，一切新建、扩建、改建的排污单位必须在建设污染治理设施的同时建设规范化排污口。</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（1）项目排污口信息内容</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1 \* GB3 \* MERGEFORMAT </w:instrText>
      </w:r>
      <w:r>
        <w:rPr>
          <w:rFonts w:hint="eastAsia" w:cs="Times New Roman"/>
          <w:sz w:val="24"/>
          <w:u w:val="none"/>
          <w:lang w:val="en-US" w:eastAsia="zh-CN"/>
        </w:rPr>
        <w:fldChar w:fldCharType="separate"/>
      </w:r>
      <w:r>
        <w:rPr>
          <w:u w:val="none"/>
        </w:rPr>
        <w:t>①</w:t>
      </w:r>
      <w:r>
        <w:rPr>
          <w:rFonts w:hint="eastAsia" w:cs="Times New Roman"/>
          <w:sz w:val="24"/>
          <w:u w:val="none"/>
          <w:lang w:val="en-US" w:eastAsia="zh-CN"/>
        </w:rPr>
        <w:fldChar w:fldCharType="end"/>
      </w:r>
      <w:r>
        <w:rPr>
          <w:rFonts w:hint="eastAsia" w:cs="Times New Roman"/>
          <w:sz w:val="24"/>
          <w:u w:val="none"/>
          <w:lang w:val="en-US" w:eastAsia="zh-CN"/>
        </w:rPr>
        <w:t>废水排放口</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项目厂区只设一个总废水排放口，排放废水主要污染物是：pH、COD</w:t>
      </w:r>
      <w:r>
        <w:rPr>
          <w:rFonts w:hint="eastAsia" w:cs="Times New Roman"/>
          <w:sz w:val="24"/>
          <w:u w:val="none"/>
          <w:vertAlign w:val="subscript"/>
          <w:lang w:val="en-US" w:eastAsia="zh-CN"/>
        </w:rPr>
        <w:t>Cr</w:t>
      </w:r>
      <w:r>
        <w:rPr>
          <w:rFonts w:hint="eastAsia" w:cs="Times New Roman"/>
          <w:sz w:val="24"/>
          <w:u w:val="none"/>
          <w:lang w:val="en-US" w:eastAsia="zh-CN"/>
        </w:rPr>
        <w:t>、BOD</w:t>
      </w:r>
      <w:r>
        <w:rPr>
          <w:rFonts w:hint="eastAsia" w:cs="Times New Roman"/>
          <w:sz w:val="24"/>
          <w:u w:val="none"/>
          <w:vertAlign w:val="subscript"/>
          <w:lang w:val="en-US" w:eastAsia="zh-CN"/>
        </w:rPr>
        <w:t>5</w:t>
      </w:r>
      <w:r>
        <w:rPr>
          <w:rFonts w:hint="eastAsia" w:cs="Times New Roman"/>
          <w:sz w:val="24"/>
          <w:u w:val="none"/>
          <w:lang w:val="en-US" w:eastAsia="zh-CN"/>
        </w:rPr>
        <w:t>、SS、氨氮、总余氯和粪大肠菌群等。</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2 \* GB3 \* MERGEFORMAT </w:instrText>
      </w:r>
      <w:r>
        <w:rPr>
          <w:rFonts w:hint="eastAsia" w:cs="Times New Roman"/>
          <w:sz w:val="24"/>
          <w:u w:val="none"/>
          <w:lang w:val="en-US" w:eastAsia="zh-CN"/>
        </w:rPr>
        <w:fldChar w:fldCharType="separate"/>
      </w:r>
      <w:r>
        <w:rPr>
          <w:u w:val="none"/>
        </w:rPr>
        <w:t>②</w:t>
      </w:r>
      <w:r>
        <w:rPr>
          <w:rFonts w:hint="eastAsia" w:cs="Times New Roman"/>
          <w:sz w:val="24"/>
          <w:u w:val="none"/>
          <w:lang w:val="en-US" w:eastAsia="zh-CN"/>
        </w:rPr>
        <w:fldChar w:fldCharType="end"/>
      </w:r>
      <w:r>
        <w:rPr>
          <w:rFonts w:hint="eastAsia" w:cs="Times New Roman"/>
          <w:sz w:val="24"/>
          <w:u w:val="none"/>
          <w:lang w:val="en-US" w:eastAsia="zh-CN"/>
        </w:rPr>
        <w:t>废气排放口</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公司废气排口编号，排放方式为有组织，废气主要排放的污染物：颗粒物、硫化氢、氨气、臭气浓度和挥发性有机物等。</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3 \* GB3 \* MERGEFORMAT </w:instrText>
      </w:r>
      <w:r>
        <w:rPr>
          <w:rFonts w:hint="eastAsia" w:cs="Times New Roman"/>
          <w:sz w:val="24"/>
          <w:u w:val="none"/>
          <w:lang w:val="en-US" w:eastAsia="zh-CN"/>
        </w:rPr>
        <w:fldChar w:fldCharType="separate"/>
      </w:r>
      <w:r>
        <w:rPr>
          <w:u w:val="none"/>
        </w:rPr>
        <w:t>③</w:t>
      </w:r>
      <w:r>
        <w:rPr>
          <w:rFonts w:hint="eastAsia" w:cs="Times New Roman"/>
          <w:sz w:val="24"/>
          <w:u w:val="none"/>
          <w:lang w:val="en-US" w:eastAsia="zh-CN"/>
        </w:rPr>
        <w:fldChar w:fldCharType="end"/>
      </w:r>
      <w:r>
        <w:rPr>
          <w:rFonts w:hint="eastAsia" w:cs="Times New Roman"/>
          <w:sz w:val="24"/>
          <w:u w:val="none"/>
          <w:lang w:val="en-US" w:eastAsia="zh-CN"/>
        </w:rPr>
        <w:t>危废暂存间</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在危险固体废物暂存间进出门口设置标志牌，盛装危险废物的容器上必须粘贴危险废物标签。</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fldChar w:fldCharType="begin"/>
      </w:r>
      <w:r>
        <w:rPr>
          <w:rFonts w:hint="eastAsia" w:cs="Times New Roman"/>
          <w:sz w:val="24"/>
          <w:u w:val="none"/>
          <w:lang w:val="en-US" w:eastAsia="zh-CN"/>
        </w:rPr>
        <w:instrText xml:space="preserve"> = 4 \* GB3 \* MERGEFORMAT </w:instrText>
      </w:r>
      <w:r>
        <w:rPr>
          <w:rFonts w:hint="eastAsia" w:cs="Times New Roman"/>
          <w:sz w:val="24"/>
          <w:u w:val="none"/>
          <w:lang w:val="en-US" w:eastAsia="zh-CN"/>
        </w:rPr>
        <w:fldChar w:fldCharType="separate"/>
      </w:r>
      <w:r>
        <w:rPr>
          <w:u w:val="none"/>
        </w:rPr>
        <w:t>④</w:t>
      </w:r>
      <w:r>
        <w:rPr>
          <w:rFonts w:hint="eastAsia" w:cs="Times New Roman"/>
          <w:sz w:val="24"/>
          <w:u w:val="none"/>
          <w:lang w:val="en-US" w:eastAsia="zh-CN"/>
        </w:rPr>
        <w:fldChar w:fldCharType="end"/>
      </w:r>
      <w:r>
        <w:rPr>
          <w:rFonts w:hint="eastAsia" w:cs="Times New Roman"/>
          <w:sz w:val="24"/>
          <w:u w:val="none"/>
          <w:lang w:val="en-US" w:eastAsia="zh-CN"/>
        </w:rPr>
        <w:t>噪声排放点</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在固定噪声源风机房等处设置噪声监测点，并在附近醒目处设置环境保护图形标志牌。</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（2）项目排口建设要求</w:t>
      </w:r>
    </w:p>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建设项目应完成排污口规范建设，其投资应纳入正常生产设备之中。同时各污染源排放口应设置专项图标，执行《环境图形标准排污口（源）》（GB15563.1-1995）相关要求。各排放口图标要求提示标志形状采用正方形边框，背景颜色采用绿色，图形颜色采用白色。建设单位应在各排口处设立较明显的排污口标志牌，其上应注明主要排放污染物的名称以警示周围群众；标志牌应设在与之功能相应的醒目处，并保持清晰、完整，本项目各污染源标志牌式样详见下表。</w:t>
      </w:r>
    </w:p>
    <w:p>
      <w:pPr>
        <w:pStyle w:val="352"/>
        <w:bidi w:val="0"/>
        <w:rPr>
          <w:rFonts w:hint="default"/>
          <w:lang w:val="en-US" w:eastAsia="zh-CN"/>
        </w:rPr>
      </w:pPr>
      <w:r>
        <w:rPr>
          <w:rFonts w:hint="default"/>
          <w:lang w:val="en-US" w:eastAsia="zh-CN"/>
        </w:rPr>
        <w:t>表</w:t>
      </w:r>
      <w:r>
        <w:rPr>
          <w:rFonts w:hint="eastAsia"/>
          <w:lang w:val="en-US" w:eastAsia="zh-CN"/>
        </w:rPr>
        <w:t>12-1  环</w:t>
      </w:r>
      <w:r>
        <w:rPr>
          <w:rFonts w:hint="default"/>
          <w:lang w:val="en-US" w:eastAsia="zh-CN"/>
        </w:rPr>
        <w:t>境保护图形标志的形状及颜色表</w:t>
      </w:r>
    </w:p>
    <w:tbl>
      <w:tblPr>
        <w:tblStyle w:val="58"/>
        <w:tblW w:w="9060"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2158"/>
        <w:gridCol w:w="2588"/>
        <w:gridCol w:w="2158"/>
        <w:gridCol w:w="215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15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标志名称</w:t>
            </w:r>
          </w:p>
        </w:tc>
        <w:tc>
          <w:tcPr>
            <w:tcW w:w="258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形状</w:t>
            </w:r>
          </w:p>
        </w:tc>
        <w:tc>
          <w:tcPr>
            <w:tcW w:w="2158"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背景颜色</w:t>
            </w:r>
          </w:p>
        </w:tc>
        <w:tc>
          <w:tcPr>
            <w:tcW w:w="2156"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图形颜色</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15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警告标志</w:t>
            </w:r>
          </w:p>
        </w:tc>
        <w:tc>
          <w:tcPr>
            <w:tcW w:w="258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三角形边框</w:t>
            </w:r>
          </w:p>
        </w:tc>
        <w:tc>
          <w:tcPr>
            <w:tcW w:w="215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黄色</w:t>
            </w:r>
          </w:p>
        </w:tc>
        <w:tc>
          <w:tcPr>
            <w:tcW w:w="2156"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黑色</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15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提示标志</w:t>
            </w:r>
          </w:p>
        </w:tc>
        <w:tc>
          <w:tcPr>
            <w:tcW w:w="258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正方形边框</w:t>
            </w:r>
          </w:p>
        </w:tc>
        <w:tc>
          <w:tcPr>
            <w:tcW w:w="2158"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绿色</w:t>
            </w:r>
          </w:p>
        </w:tc>
        <w:tc>
          <w:tcPr>
            <w:tcW w:w="2156"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白色</w:t>
            </w:r>
          </w:p>
        </w:tc>
      </w:tr>
    </w:tbl>
    <w:p>
      <w:pPr>
        <w:pStyle w:val="352"/>
        <w:bidi w:val="0"/>
        <w:rPr>
          <w:rFonts w:hint="default"/>
          <w:lang w:val="en-US" w:eastAsia="zh-CN"/>
        </w:rPr>
      </w:pPr>
      <w:r>
        <w:rPr>
          <w:rFonts w:hint="default"/>
          <w:lang w:val="en-US" w:eastAsia="zh-CN"/>
        </w:rPr>
        <w:t>表</w:t>
      </w:r>
      <w:r>
        <w:rPr>
          <w:rFonts w:hint="eastAsia"/>
          <w:lang w:val="en-US" w:eastAsia="zh-CN"/>
        </w:rPr>
        <w:t xml:space="preserve">12-2  </w:t>
      </w:r>
      <w:r>
        <w:rPr>
          <w:rFonts w:hint="default"/>
          <w:lang w:val="en-US" w:eastAsia="zh-CN"/>
        </w:rPr>
        <w:t>环境保护图形符号一览表</w:t>
      </w:r>
    </w:p>
    <w:tbl>
      <w:tblPr>
        <w:tblStyle w:val="5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51"/>
        <w:gridCol w:w="1825"/>
        <w:gridCol w:w="1564"/>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序号</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提示图形符号</w:t>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警告图形符号</w:t>
            </w: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名称</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1535" cy="859790"/>
                  <wp:effectExtent l="0" t="0" r="5715" b="16510"/>
                  <wp:docPr id="36" name="图片 179"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9" descr="13001"/>
                          <pic:cNvPicPr>
                            <a:picLocks noChangeAspect="1"/>
                          </pic:cNvPicPr>
                        </pic:nvPicPr>
                        <pic:blipFill>
                          <a:blip r:embed="rId341"/>
                          <a:stretch>
                            <a:fillRect/>
                          </a:stretch>
                        </pic:blipFill>
                        <pic:spPr>
                          <a:xfrm>
                            <a:off x="0" y="0"/>
                            <a:ext cx="851535" cy="859790"/>
                          </a:xfrm>
                          <a:prstGeom prst="rect">
                            <a:avLst/>
                          </a:prstGeom>
                          <a:noFill/>
                          <a:ln>
                            <a:noFill/>
                          </a:ln>
                        </pic:spPr>
                      </pic:pic>
                    </a:graphicData>
                  </a:graphic>
                </wp:inline>
              </w:drawing>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0265" cy="860425"/>
                  <wp:effectExtent l="0" t="0" r="6985" b="15875"/>
                  <wp:docPr id="29" name="图片 180"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0" descr="13002"/>
                          <pic:cNvPicPr>
                            <a:picLocks noChangeAspect="1"/>
                          </pic:cNvPicPr>
                        </pic:nvPicPr>
                        <pic:blipFill>
                          <a:blip r:embed="rId342"/>
                          <a:stretch>
                            <a:fillRect/>
                          </a:stretch>
                        </pic:blipFill>
                        <pic:spPr>
                          <a:xfrm>
                            <a:off x="0" y="0"/>
                            <a:ext cx="850265" cy="860425"/>
                          </a:xfrm>
                          <a:prstGeom prst="rect">
                            <a:avLst/>
                          </a:prstGeom>
                          <a:noFill/>
                          <a:ln>
                            <a:noFill/>
                          </a:ln>
                        </pic:spPr>
                      </pic:pic>
                    </a:graphicData>
                  </a:graphic>
                </wp:inline>
              </w:drawing>
            </w: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废水排放口</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表示废水向纳污水体排放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2</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1535" cy="859790"/>
                  <wp:effectExtent l="0" t="0" r="5715" b="16510"/>
                  <wp:docPr id="33" name="图片 181"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1" descr="13003"/>
                          <pic:cNvPicPr>
                            <a:picLocks noChangeAspect="1"/>
                          </pic:cNvPicPr>
                        </pic:nvPicPr>
                        <pic:blipFill>
                          <a:blip r:embed="rId343"/>
                          <a:stretch>
                            <a:fillRect/>
                          </a:stretch>
                        </pic:blipFill>
                        <pic:spPr>
                          <a:xfrm>
                            <a:off x="0" y="0"/>
                            <a:ext cx="851535" cy="859790"/>
                          </a:xfrm>
                          <a:prstGeom prst="rect">
                            <a:avLst/>
                          </a:prstGeom>
                          <a:noFill/>
                          <a:ln>
                            <a:noFill/>
                          </a:ln>
                        </pic:spPr>
                      </pic:pic>
                    </a:graphicData>
                  </a:graphic>
                </wp:inline>
              </w:drawing>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82650" cy="883920"/>
                  <wp:effectExtent l="0" t="0" r="12700" b="11430"/>
                  <wp:docPr id="32" name="图片 18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2" descr="4"/>
                          <pic:cNvPicPr>
                            <a:picLocks noChangeAspect="1"/>
                          </pic:cNvPicPr>
                        </pic:nvPicPr>
                        <pic:blipFill>
                          <a:blip r:embed="rId344"/>
                          <a:stretch>
                            <a:fillRect/>
                          </a:stretch>
                        </pic:blipFill>
                        <pic:spPr>
                          <a:xfrm>
                            <a:off x="0" y="0"/>
                            <a:ext cx="882650" cy="883920"/>
                          </a:xfrm>
                          <a:prstGeom prst="rect">
                            <a:avLst/>
                          </a:prstGeom>
                          <a:noFill/>
                          <a:ln>
                            <a:noFill/>
                          </a:ln>
                        </pic:spPr>
                      </pic:pic>
                    </a:graphicData>
                  </a:graphic>
                </wp:inline>
              </w:drawing>
            </w: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废气排放口</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3</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1535" cy="859790"/>
                  <wp:effectExtent l="0" t="0" r="5715" b="16510"/>
                  <wp:docPr id="37" name="图片 183"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3" descr="14001"/>
                          <pic:cNvPicPr>
                            <a:picLocks noChangeAspect="1"/>
                          </pic:cNvPicPr>
                        </pic:nvPicPr>
                        <pic:blipFill>
                          <a:blip r:embed="rId345"/>
                          <a:stretch>
                            <a:fillRect/>
                          </a:stretch>
                        </pic:blipFill>
                        <pic:spPr>
                          <a:xfrm>
                            <a:off x="0" y="0"/>
                            <a:ext cx="851535" cy="859790"/>
                          </a:xfrm>
                          <a:prstGeom prst="rect">
                            <a:avLst/>
                          </a:prstGeom>
                          <a:noFill/>
                          <a:ln>
                            <a:noFill/>
                          </a:ln>
                        </pic:spPr>
                      </pic:pic>
                    </a:graphicData>
                  </a:graphic>
                </wp:inline>
              </w:drawing>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914400" cy="862330"/>
                  <wp:effectExtent l="0" t="0" r="0" b="13970"/>
                  <wp:docPr id="34" name="图片 184"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4" descr="14002"/>
                          <pic:cNvPicPr>
                            <a:picLocks noChangeAspect="1"/>
                          </pic:cNvPicPr>
                        </pic:nvPicPr>
                        <pic:blipFill>
                          <a:blip r:embed="rId346"/>
                          <a:stretch>
                            <a:fillRect/>
                          </a:stretch>
                        </pic:blipFill>
                        <pic:spPr>
                          <a:xfrm>
                            <a:off x="0" y="0"/>
                            <a:ext cx="914400" cy="862330"/>
                          </a:xfrm>
                          <a:prstGeom prst="rect">
                            <a:avLst/>
                          </a:prstGeom>
                          <a:noFill/>
                          <a:ln>
                            <a:noFill/>
                          </a:ln>
                        </pic:spPr>
                      </pic:pic>
                    </a:graphicData>
                  </a:graphic>
                </wp:inline>
              </w:drawing>
            </w: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一般固体废物</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4</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1535" cy="859790"/>
                  <wp:effectExtent l="0" t="0" r="5715" b="16510"/>
                  <wp:docPr id="35" name="图片 185"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5" descr="14001"/>
                          <pic:cNvPicPr>
                            <a:picLocks noChangeAspect="1"/>
                          </pic:cNvPicPr>
                        </pic:nvPicPr>
                        <pic:blipFill>
                          <a:blip r:embed="rId345"/>
                          <a:stretch>
                            <a:fillRect/>
                          </a:stretch>
                        </pic:blipFill>
                        <pic:spPr>
                          <a:xfrm>
                            <a:off x="0" y="0"/>
                            <a:ext cx="851535" cy="859790"/>
                          </a:xfrm>
                          <a:prstGeom prst="rect">
                            <a:avLst/>
                          </a:prstGeom>
                          <a:noFill/>
                          <a:ln>
                            <a:noFill/>
                          </a:ln>
                        </pic:spPr>
                      </pic:pic>
                    </a:graphicData>
                  </a:graphic>
                </wp:inline>
              </w:drawing>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2540</wp:posOffset>
                  </wp:positionH>
                  <wp:positionV relativeFrom="paragraph">
                    <wp:posOffset>114935</wp:posOffset>
                  </wp:positionV>
                  <wp:extent cx="1009015" cy="948690"/>
                  <wp:effectExtent l="0" t="0" r="635" b="3810"/>
                  <wp:wrapNone/>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7"/>
                          <a:stretch>
                            <a:fillRect/>
                          </a:stretch>
                        </pic:blipFill>
                        <pic:spPr>
                          <a:xfrm>
                            <a:off x="0" y="0"/>
                            <a:ext cx="1009015" cy="948690"/>
                          </a:xfrm>
                          <a:prstGeom prst="rect">
                            <a:avLst/>
                          </a:prstGeom>
                          <a:noFill/>
                          <a:ln>
                            <a:noFill/>
                          </a:ln>
                        </pic:spPr>
                      </pic:pic>
                    </a:graphicData>
                  </a:graphic>
                </wp:anchor>
              </w:drawing>
            </w:r>
          </w:p>
          <w:p>
            <w:pPr>
              <w:pStyle w:val="352"/>
              <w:keepNext w:val="0"/>
              <w:keepLines w:val="0"/>
              <w:suppressLineNumbers w:val="0"/>
              <w:bidi w:val="0"/>
              <w:spacing w:before="0" w:beforeAutospacing="0" w:after="0" w:afterAutospacing="0"/>
              <w:ind w:left="0" w:right="0"/>
              <w:rPr>
                <w:rFonts w:hint="default"/>
                <w:lang w:val="en-US" w:eastAsia="zh-CN"/>
              </w:rPr>
            </w:pPr>
          </w:p>
          <w:p>
            <w:pPr>
              <w:pStyle w:val="352"/>
              <w:keepNext w:val="0"/>
              <w:keepLines w:val="0"/>
              <w:suppressLineNumbers w:val="0"/>
              <w:bidi w:val="0"/>
              <w:spacing w:before="0" w:beforeAutospacing="0" w:after="0" w:afterAutospacing="0"/>
              <w:ind w:left="0" w:right="0"/>
              <w:rPr>
                <w:rFonts w:hint="default"/>
                <w:lang w:val="en-US" w:eastAsia="zh-CN"/>
              </w:rPr>
            </w:pPr>
          </w:p>
          <w:p>
            <w:pPr>
              <w:pStyle w:val="352"/>
              <w:keepNext w:val="0"/>
              <w:keepLines w:val="0"/>
              <w:suppressLineNumbers w:val="0"/>
              <w:bidi w:val="0"/>
              <w:spacing w:before="0" w:beforeAutospacing="0" w:after="0" w:afterAutospacing="0"/>
              <w:ind w:left="0" w:right="0"/>
              <w:rPr>
                <w:rFonts w:hint="default"/>
                <w:lang w:val="en-US" w:eastAsia="zh-CN"/>
              </w:rPr>
            </w:pPr>
          </w:p>
          <w:p>
            <w:pPr>
              <w:pStyle w:val="352"/>
              <w:keepNext w:val="0"/>
              <w:keepLines w:val="0"/>
              <w:suppressLineNumbers w:val="0"/>
              <w:bidi w:val="0"/>
              <w:spacing w:before="0" w:beforeAutospacing="0" w:after="0" w:afterAutospacing="0"/>
              <w:ind w:left="0" w:right="0"/>
              <w:rPr>
                <w:rFonts w:hint="default"/>
                <w:lang w:val="en-US" w:eastAsia="zh-CN"/>
              </w:rPr>
            </w:pPr>
          </w:p>
          <w:p>
            <w:pPr>
              <w:pStyle w:val="352"/>
              <w:keepNext w:val="0"/>
              <w:keepLines w:val="0"/>
              <w:suppressLineNumbers w:val="0"/>
              <w:bidi w:val="0"/>
              <w:spacing w:before="0" w:beforeAutospacing="0" w:after="0" w:afterAutospacing="0"/>
              <w:ind w:left="0" w:right="0"/>
              <w:rPr>
                <w:rFonts w:hint="default"/>
                <w:lang w:val="en-US" w:eastAsia="zh-CN"/>
              </w:rPr>
            </w:pP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危险固体废物</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表示危险固体废物贮存、处置场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5</w:t>
            </w:r>
          </w:p>
        </w:tc>
        <w:tc>
          <w:tcPr>
            <w:tcW w:w="1651"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851535" cy="851535"/>
                  <wp:effectExtent l="0" t="0" r="5715" b="5715"/>
                  <wp:docPr id="28" name="图片 186"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6" descr="200602201518049853"/>
                          <pic:cNvPicPr>
                            <a:picLocks noChangeAspect="1"/>
                          </pic:cNvPicPr>
                        </pic:nvPicPr>
                        <pic:blipFill>
                          <a:blip r:embed="rId348"/>
                          <a:stretch>
                            <a:fillRect/>
                          </a:stretch>
                        </pic:blipFill>
                        <pic:spPr>
                          <a:xfrm>
                            <a:off x="0" y="0"/>
                            <a:ext cx="851535" cy="851535"/>
                          </a:xfrm>
                          <a:prstGeom prst="rect">
                            <a:avLst/>
                          </a:prstGeom>
                          <a:noFill/>
                          <a:ln>
                            <a:noFill/>
                          </a:ln>
                        </pic:spPr>
                      </pic:pic>
                    </a:graphicData>
                  </a:graphic>
                </wp:inline>
              </w:drawing>
            </w:r>
          </w:p>
        </w:tc>
        <w:tc>
          <w:tcPr>
            <w:tcW w:w="1825" w:type="dxa"/>
            <w:noWrap w:val="0"/>
            <w:vAlign w:val="center"/>
          </w:tcPr>
          <w:p>
            <w:pPr>
              <w:pStyle w:val="352"/>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956310" cy="851535"/>
                  <wp:effectExtent l="0" t="0" r="15240" b="5715"/>
                  <wp:docPr id="30" name="图片 187"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7" descr="200602201519018631"/>
                          <pic:cNvPicPr>
                            <a:picLocks noChangeAspect="1"/>
                          </pic:cNvPicPr>
                        </pic:nvPicPr>
                        <pic:blipFill>
                          <a:blip r:embed="rId349"/>
                          <a:stretch>
                            <a:fillRect/>
                          </a:stretch>
                        </pic:blipFill>
                        <pic:spPr>
                          <a:xfrm>
                            <a:off x="0" y="0"/>
                            <a:ext cx="956310" cy="851535"/>
                          </a:xfrm>
                          <a:prstGeom prst="rect">
                            <a:avLst/>
                          </a:prstGeom>
                          <a:noFill/>
                          <a:ln>
                            <a:noFill/>
                          </a:ln>
                        </pic:spPr>
                      </pic:pic>
                    </a:graphicData>
                  </a:graphic>
                </wp:inline>
              </w:drawing>
            </w:r>
          </w:p>
        </w:tc>
        <w:tc>
          <w:tcPr>
            <w:tcW w:w="1564"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噪声排放源</w:t>
            </w:r>
          </w:p>
        </w:tc>
        <w:tc>
          <w:tcPr>
            <w:tcW w:w="3345" w:type="dxa"/>
            <w:noWrap w:val="0"/>
            <w:vAlign w:val="center"/>
          </w:tcPr>
          <w:p>
            <w:pPr>
              <w:pStyle w:val="352"/>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表示噪声向外环境排放</w:t>
            </w:r>
          </w:p>
        </w:tc>
      </w:tr>
    </w:tbl>
    <w:p>
      <w:pPr>
        <w:spacing w:line="360" w:lineRule="auto"/>
        <w:ind w:firstLine="480" w:firstLineChars="200"/>
        <w:jc w:val="left"/>
        <w:rPr>
          <w:rFonts w:hint="eastAsia" w:cs="Times New Roman"/>
          <w:sz w:val="24"/>
          <w:u w:val="none"/>
          <w:lang w:val="en-US" w:eastAsia="zh-CN"/>
        </w:rPr>
      </w:pPr>
      <w:r>
        <w:rPr>
          <w:rFonts w:hint="eastAsia" w:cs="Times New Roman"/>
          <w:sz w:val="24"/>
          <w:u w:val="none"/>
          <w:lang w:val="en-US" w:eastAsia="zh-CN"/>
        </w:rPr>
        <w:t>建设单位应将有关排污口的情况，如：排污口的性质、编号，排污口的位置；主要排放的污染物种类、数量、浓度、排放规律、排放去向；污染治理设施的运行情况等进行建档管理，并报送环保主管部门备案。</w:t>
      </w:r>
    </w:p>
    <w:p>
      <w:pPr>
        <w:pStyle w:val="3"/>
        <w:rPr>
          <w:rFonts w:ascii="Times New Roman" w:hAnsi="Times New Roman"/>
          <w:sz w:val="28"/>
          <w:szCs w:val="28"/>
          <w:u w:val="none"/>
        </w:rPr>
      </w:pPr>
      <w:bookmarkStart w:id="109" w:name="_Toc17682"/>
      <w:r>
        <w:rPr>
          <w:rFonts w:ascii="Times New Roman" w:hAnsi="Times New Roman"/>
          <w:sz w:val="28"/>
          <w:szCs w:val="28"/>
          <w:u w:val="none"/>
        </w:rPr>
        <w:t>1</w:t>
      </w:r>
      <w:r>
        <w:rPr>
          <w:rFonts w:hint="eastAsia" w:ascii="Times New Roman" w:hAnsi="Times New Roman"/>
          <w:sz w:val="28"/>
          <w:szCs w:val="28"/>
          <w:u w:val="none"/>
          <w:lang w:val="en-US" w:eastAsia="zh-CN"/>
        </w:rPr>
        <w:t>2</w:t>
      </w:r>
      <w:r>
        <w:rPr>
          <w:rFonts w:ascii="Times New Roman" w:hAnsi="Times New Roman"/>
          <w:sz w:val="28"/>
          <w:szCs w:val="28"/>
          <w:u w:val="none"/>
        </w:rPr>
        <w:t>.3环境监测计划</w:t>
      </w:r>
      <w:bookmarkEnd w:id="109"/>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12.3.1环境监测机构</w:t>
      </w:r>
    </w:p>
    <w:p>
      <w:pPr>
        <w:spacing w:line="360" w:lineRule="auto"/>
        <w:ind w:firstLine="480" w:firstLineChars="200"/>
        <w:jc w:val="left"/>
        <w:rPr>
          <w:color w:val="000000"/>
          <w:sz w:val="24"/>
          <w:u w:val="none"/>
        </w:rPr>
      </w:pPr>
      <w:r>
        <w:rPr>
          <w:rFonts w:hint="eastAsia"/>
          <w:color w:val="000000"/>
          <w:sz w:val="24"/>
          <w:u w:val="none"/>
          <w:lang w:eastAsia="zh-CN"/>
        </w:rPr>
        <w:t>本项目应设置环境管理机构，并派遣专人负责项目废气、噪声、废水的监测，受人员和设备条件的限制，企业可委托当地有资质的监测单位进行监测</w:t>
      </w:r>
      <w:r>
        <w:rPr>
          <w:color w:val="000000"/>
          <w:sz w:val="24"/>
          <w:u w:val="none"/>
        </w:rPr>
        <w:t>。</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企业环境监测人员的主要任务如下：</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1</w:t>
      </w:r>
      <w:r>
        <w:rPr>
          <w:rFonts w:hint="eastAsia"/>
          <w:color w:val="000000"/>
          <w:sz w:val="24"/>
          <w:u w:val="none"/>
          <w:lang w:eastAsia="zh-CN"/>
        </w:rPr>
        <w:t>）未本项目建立污染源档案，对排放的污染源及污染物（废气、废水、噪声、固废）和厂区环境状况进行日常例行监测，如有超标，要求相关人员查找原因并改正，确保企业能够按国家和地方法规标准合格排放。</w:t>
      </w:r>
    </w:p>
    <w:p>
      <w:pPr>
        <w:spacing w:line="360" w:lineRule="auto"/>
        <w:ind w:firstLine="480" w:firstLineChars="200"/>
        <w:jc w:val="left"/>
        <w:rPr>
          <w:color w:val="000000"/>
          <w:sz w:val="24"/>
          <w:u w:val="none"/>
        </w:rPr>
      </w:pPr>
      <w:r>
        <w:rPr>
          <w:color w:val="000000"/>
          <w:sz w:val="24"/>
          <w:u w:val="none"/>
        </w:rPr>
        <w:t>（2）</w:t>
      </w:r>
      <w:r>
        <w:rPr>
          <w:rFonts w:hint="eastAsia"/>
          <w:color w:val="000000"/>
          <w:sz w:val="24"/>
          <w:u w:val="none"/>
          <w:lang w:eastAsia="zh-CN"/>
        </w:rPr>
        <w:t>参加企业环保设施的竣工验收和负责污染事故的监测及报告</w:t>
      </w:r>
      <w:r>
        <w:rPr>
          <w:color w:val="000000"/>
          <w:sz w:val="24"/>
          <w:u w:val="none"/>
        </w:rPr>
        <w:t>。</w:t>
      </w:r>
    </w:p>
    <w:p>
      <w:pPr>
        <w:spacing w:line="360" w:lineRule="auto"/>
        <w:ind w:firstLine="480" w:firstLineChars="200"/>
        <w:jc w:val="left"/>
        <w:rPr>
          <w:color w:val="000000"/>
          <w:sz w:val="24"/>
          <w:u w:val="none"/>
        </w:rPr>
      </w:pPr>
      <w:r>
        <w:rPr>
          <w:color w:val="000000"/>
          <w:sz w:val="24"/>
          <w:u w:val="none"/>
        </w:rPr>
        <w:t>（3）</w:t>
      </w:r>
      <w:r>
        <w:rPr>
          <w:rFonts w:hint="eastAsia"/>
          <w:color w:val="000000"/>
          <w:sz w:val="24"/>
          <w:u w:val="none"/>
          <w:lang w:eastAsia="zh-CN"/>
        </w:rPr>
        <w:t>根据国家和地方颁布的环境质量标准、污染物排放标准，制定本企业的监测计划和方案</w:t>
      </w:r>
      <w:r>
        <w:rPr>
          <w:color w:val="000000"/>
          <w:sz w:val="24"/>
          <w:u w:val="none"/>
        </w:rPr>
        <w:t>。</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w:t>
      </w:r>
      <w:r>
        <w:rPr>
          <w:rFonts w:hint="eastAsia"/>
          <w:color w:val="000000"/>
          <w:sz w:val="24"/>
          <w:u w:val="none"/>
          <w:lang w:val="en-US" w:eastAsia="zh-CN"/>
        </w:rPr>
        <w:t>4</w:t>
      </w:r>
      <w:r>
        <w:rPr>
          <w:rFonts w:hint="eastAsia"/>
          <w:color w:val="000000"/>
          <w:sz w:val="24"/>
          <w:u w:val="none"/>
          <w:lang w:eastAsia="zh-CN"/>
        </w:rPr>
        <w:t>）定期向上级部门报送有关污染源监测数据。</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12.3.2环境监测计划</w:t>
      </w:r>
    </w:p>
    <w:p>
      <w:pPr>
        <w:spacing w:line="360" w:lineRule="auto"/>
        <w:ind w:firstLine="480" w:firstLineChars="200"/>
        <w:jc w:val="left"/>
        <w:rPr>
          <w:color w:val="000000"/>
          <w:sz w:val="24"/>
          <w:u w:val="none"/>
        </w:rPr>
      </w:pPr>
      <w:r>
        <w:rPr>
          <w:rFonts w:hint="eastAsia"/>
          <w:color w:val="000000"/>
          <w:sz w:val="24"/>
          <w:u w:val="none"/>
          <w:lang w:eastAsia="zh-CN"/>
        </w:rPr>
        <w:t>一、</w:t>
      </w:r>
      <w:r>
        <w:rPr>
          <w:color w:val="000000"/>
          <w:sz w:val="24"/>
          <w:u w:val="none"/>
        </w:rPr>
        <w:t>环境监测计划制定原则</w:t>
      </w:r>
    </w:p>
    <w:p>
      <w:pPr>
        <w:spacing w:line="360" w:lineRule="auto"/>
        <w:ind w:firstLine="480" w:firstLineChars="200"/>
        <w:jc w:val="left"/>
        <w:rPr>
          <w:color w:val="000000"/>
          <w:sz w:val="24"/>
          <w:u w:val="none"/>
        </w:rPr>
      </w:pPr>
      <w:r>
        <w:rPr>
          <w:color w:val="000000"/>
          <w:sz w:val="24"/>
          <w:u w:val="none"/>
        </w:rPr>
        <w:t>为保证监测数据具有完整的质量特征，在制定监测计划时应遵循以下原则：</w:t>
      </w:r>
    </w:p>
    <w:p>
      <w:pPr>
        <w:spacing w:line="360" w:lineRule="auto"/>
        <w:ind w:firstLine="480" w:firstLineChars="200"/>
        <w:jc w:val="left"/>
        <w:rPr>
          <w:color w:val="000000"/>
          <w:sz w:val="24"/>
          <w:u w:val="none"/>
        </w:rPr>
      </w:pPr>
      <w:r>
        <w:rPr>
          <w:color w:val="000000"/>
          <w:sz w:val="24"/>
          <w:u w:val="none"/>
        </w:rPr>
        <w:t>1、实用性和经济性，在确定监测技术路线和技术装备时，要做费用——效益分析，尽量做到符合实际需要；</w:t>
      </w:r>
    </w:p>
    <w:p>
      <w:pPr>
        <w:spacing w:line="360" w:lineRule="auto"/>
        <w:ind w:firstLine="480" w:firstLineChars="200"/>
        <w:jc w:val="left"/>
        <w:rPr>
          <w:rFonts w:hint="eastAsia" w:eastAsia="宋体"/>
          <w:color w:val="000000"/>
          <w:sz w:val="24"/>
          <w:u w:val="none"/>
          <w:lang w:eastAsia="zh-CN"/>
        </w:rPr>
      </w:pPr>
      <w:r>
        <w:rPr>
          <w:color w:val="000000"/>
          <w:sz w:val="24"/>
          <w:u w:val="none"/>
        </w:rPr>
        <w:t>2、</w:t>
      </w:r>
      <w:r>
        <w:rPr>
          <w:rFonts w:hint="eastAsia"/>
          <w:color w:val="000000"/>
          <w:sz w:val="24"/>
          <w:u w:val="none"/>
          <w:lang w:eastAsia="zh-CN"/>
        </w:rPr>
        <w:t>监测因子和监测方法可参照《环境监测技术规范》、相关行业排污单位自行监测技术指南和排污许可证申请与核发技术规范以及相关环境影响评价技术导则等要求进行筛选；</w:t>
      </w:r>
    </w:p>
    <w:p>
      <w:pPr>
        <w:spacing w:line="360" w:lineRule="auto"/>
        <w:ind w:firstLine="480" w:firstLineChars="200"/>
        <w:jc w:val="left"/>
        <w:rPr>
          <w:color w:val="000000"/>
          <w:sz w:val="24"/>
          <w:u w:val="none"/>
        </w:rPr>
      </w:pPr>
      <w:r>
        <w:rPr>
          <w:color w:val="000000"/>
          <w:sz w:val="24"/>
          <w:u w:val="none"/>
        </w:rPr>
        <w:t>3、全面规划、合理布局，环境问题的复杂性决定量环境监测的多样性，要对监测布点、采样、分析测试及数据处理做出合理安排。</w:t>
      </w:r>
    </w:p>
    <w:p>
      <w:pPr>
        <w:spacing w:line="360" w:lineRule="auto"/>
        <w:ind w:firstLine="480" w:firstLineChars="200"/>
        <w:jc w:val="left"/>
        <w:rPr>
          <w:color w:val="000000"/>
          <w:sz w:val="24"/>
          <w:u w:val="none"/>
        </w:rPr>
      </w:pPr>
      <w:r>
        <w:rPr>
          <w:rFonts w:hint="eastAsia"/>
          <w:color w:val="000000"/>
          <w:sz w:val="24"/>
          <w:u w:val="none"/>
          <w:lang w:eastAsia="zh-CN"/>
        </w:rPr>
        <w:t>二、</w:t>
      </w:r>
      <w:r>
        <w:rPr>
          <w:color w:val="000000"/>
          <w:sz w:val="24"/>
          <w:u w:val="none"/>
        </w:rPr>
        <w:t>环境监测项目</w:t>
      </w:r>
    </w:p>
    <w:p>
      <w:pPr>
        <w:spacing w:line="360" w:lineRule="auto"/>
        <w:ind w:firstLine="480" w:firstLineChars="200"/>
        <w:jc w:val="left"/>
        <w:rPr>
          <w:rFonts w:hint="eastAsia" w:eastAsia="宋体"/>
          <w:color w:val="000000"/>
          <w:sz w:val="24"/>
          <w:u w:val="none"/>
          <w:lang w:eastAsia="zh-CN"/>
        </w:rPr>
      </w:pPr>
      <w:r>
        <w:rPr>
          <w:color w:val="000000"/>
          <w:sz w:val="24"/>
          <w:u w:val="none"/>
        </w:rPr>
        <w:t>1、</w:t>
      </w:r>
      <w:r>
        <w:rPr>
          <w:rFonts w:hint="eastAsia"/>
          <w:color w:val="000000"/>
          <w:sz w:val="24"/>
          <w:u w:val="none"/>
          <w:lang w:eastAsia="zh-CN"/>
        </w:rPr>
        <w:t>废气排放监测</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由业主提供的涂料</w:t>
      </w:r>
      <w:r>
        <w:rPr>
          <w:rFonts w:hint="eastAsia"/>
          <w:color w:val="000000"/>
          <w:sz w:val="24"/>
          <w:u w:val="none"/>
          <w:lang w:val="en-US" w:eastAsia="zh-CN"/>
        </w:rPr>
        <w:t>MSDS报告可知，本项目涂料中不含苯、甲苯、二甲苯等有毒废气，因此，</w:t>
      </w:r>
      <w:r>
        <w:rPr>
          <w:rFonts w:hint="eastAsia"/>
          <w:color w:val="000000"/>
          <w:sz w:val="24"/>
          <w:u w:val="none"/>
          <w:lang w:eastAsia="zh-CN"/>
        </w:rPr>
        <w:t>本项目废气排放监测项目、点位、频次如下表所示</w:t>
      </w:r>
    </w:p>
    <w:p>
      <w:pPr>
        <w:pStyle w:val="352"/>
        <w:bidi w:val="0"/>
        <w:rPr>
          <w:rFonts w:hint="eastAsia"/>
          <w:lang w:val="en-US" w:eastAsia="zh-CN"/>
        </w:rPr>
      </w:pPr>
      <w:r>
        <w:rPr>
          <w:rFonts w:hint="eastAsia"/>
          <w:lang w:eastAsia="zh-CN"/>
        </w:rPr>
        <w:t>表</w:t>
      </w:r>
      <w:r>
        <w:rPr>
          <w:rFonts w:hint="eastAsia"/>
          <w:lang w:val="en-US" w:eastAsia="zh-CN"/>
        </w:rPr>
        <w:t>12-3  废气监测技术一览表</w:t>
      </w:r>
    </w:p>
    <w:tbl>
      <w:tblPr>
        <w:tblStyle w:val="59"/>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728"/>
        <w:gridCol w:w="4416"/>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类别</w:t>
            </w:r>
          </w:p>
        </w:tc>
        <w:tc>
          <w:tcPr>
            <w:tcW w:w="2728"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监测点位</w:t>
            </w:r>
          </w:p>
        </w:tc>
        <w:tc>
          <w:tcPr>
            <w:tcW w:w="4416"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监测项目</w:t>
            </w:r>
          </w:p>
        </w:tc>
        <w:tc>
          <w:tcPr>
            <w:tcW w:w="959"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最低</w:t>
            </w:r>
            <w:r>
              <w:rPr>
                <w:rFonts w:hint="default"/>
                <w:b/>
                <w:bCs/>
                <w:u w:val="none"/>
              </w:rPr>
              <w:t>监测频</w:t>
            </w:r>
            <w:r>
              <w:rPr>
                <w:rFonts w:hint="eastAsia"/>
                <w:b/>
                <w:bCs/>
                <w:u w:val="none"/>
                <w:lang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有组织废气</w:t>
            </w:r>
          </w:p>
        </w:tc>
        <w:tc>
          <w:tcPr>
            <w:tcW w:w="2728"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DA001排气筒出气口</w:t>
            </w:r>
          </w:p>
        </w:tc>
        <w:tc>
          <w:tcPr>
            <w:tcW w:w="4416"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颗粒物、非甲烷总烃、硫化氢、氨、臭气浓度</w:t>
            </w:r>
          </w:p>
        </w:tc>
        <w:tc>
          <w:tcPr>
            <w:tcW w:w="959"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无组织废气</w:t>
            </w:r>
          </w:p>
        </w:tc>
        <w:tc>
          <w:tcPr>
            <w:tcW w:w="2728" w:type="dxa"/>
            <w:vAlign w:val="center"/>
          </w:tcPr>
          <w:p>
            <w:pPr>
              <w:pStyle w:val="352"/>
              <w:keepNext w:val="0"/>
              <w:keepLines w:val="0"/>
              <w:suppressLineNumbers w:val="0"/>
              <w:spacing w:before="0" w:beforeAutospacing="0" w:after="0" w:afterAutospacing="0"/>
              <w:ind w:left="0" w:right="0"/>
              <w:rPr>
                <w:rFonts w:hint="default"/>
                <w:b w:val="0"/>
                <w:bCs/>
                <w:u w:val="none"/>
                <w:lang w:val="en-US" w:eastAsia="zh-CN"/>
              </w:rPr>
            </w:pPr>
            <w:r>
              <w:rPr>
                <w:rFonts w:hint="eastAsia"/>
                <w:b w:val="0"/>
                <w:bCs/>
                <w:u w:val="none"/>
                <w:lang w:eastAsia="zh-CN"/>
              </w:rPr>
              <w:t>厂界</w:t>
            </w:r>
          </w:p>
        </w:tc>
        <w:tc>
          <w:tcPr>
            <w:tcW w:w="4416" w:type="dxa"/>
            <w:vAlign w:val="center"/>
          </w:tcPr>
          <w:p>
            <w:pPr>
              <w:pStyle w:val="352"/>
              <w:keepNext w:val="0"/>
              <w:keepLines w:val="0"/>
              <w:suppressLineNumbers w:val="0"/>
              <w:spacing w:before="0" w:beforeAutospacing="0" w:after="0" w:afterAutospacing="0"/>
              <w:ind w:left="0" w:right="0"/>
              <w:rPr>
                <w:rFonts w:hint="default"/>
                <w:b w:val="0"/>
                <w:bCs/>
                <w:u w:val="none"/>
              </w:rPr>
            </w:pPr>
            <w:r>
              <w:rPr>
                <w:rFonts w:hint="eastAsia"/>
                <w:b w:val="0"/>
                <w:bCs/>
                <w:u w:val="none"/>
                <w:lang w:val="en-US" w:eastAsia="zh-CN"/>
              </w:rPr>
              <w:t>甲烷、非甲烷总烃、硫化氢、氨、臭气浓度、氯气</w:t>
            </w:r>
          </w:p>
        </w:tc>
        <w:tc>
          <w:tcPr>
            <w:tcW w:w="959"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半年</w:t>
            </w:r>
          </w:p>
        </w:tc>
      </w:tr>
    </w:tbl>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2、废水排放监测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本项目废水排放监测项目、点位、频次如下表所示。</w:t>
      </w:r>
    </w:p>
    <w:p>
      <w:pPr>
        <w:pStyle w:val="352"/>
        <w:bidi w:val="0"/>
        <w:rPr>
          <w:rFonts w:hint="eastAsia"/>
          <w:lang w:val="en-US" w:eastAsia="zh-CN"/>
        </w:rPr>
      </w:pPr>
      <w:r>
        <w:rPr>
          <w:rFonts w:hint="eastAsia"/>
          <w:lang w:val="en-US" w:eastAsia="zh-CN"/>
        </w:rPr>
        <w:t>表12-4  废水监测计划一览表</w:t>
      </w:r>
    </w:p>
    <w:tbl>
      <w:tblPr>
        <w:tblStyle w:val="59"/>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937"/>
        <w:gridCol w:w="517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3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类别</w:t>
            </w:r>
          </w:p>
        </w:tc>
        <w:tc>
          <w:tcPr>
            <w:tcW w:w="1937"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监测点位</w:t>
            </w:r>
          </w:p>
        </w:tc>
        <w:tc>
          <w:tcPr>
            <w:tcW w:w="5174"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监测项目</w:t>
            </w:r>
          </w:p>
        </w:tc>
        <w:tc>
          <w:tcPr>
            <w:tcW w:w="992" w:type="dxa"/>
            <w:shd w:val="clear" w:color="auto" w:fill="auto"/>
            <w:vAlign w:val="center"/>
          </w:tcPr>
          <w:p>
            <w:pPr>
              <w:pStyle w:val="352"/>
              <w:keepNext w:val="0"/>
              <w:keepLines w:val="0"/>
              <w:suppressLineNumbers w:val="0"/>
              <w:spacing w:before="0" w:beforeAutospacing="0" w:after="0" w:afterAutospacing="0"/>
              <w:ind w:left="0" w:right="0"/>
              <w:rPr>
                <w:rFonts w:hint="eastAsia" w:eastAsia="宋体"/>
                <w:b/>
                <w:bCs/>
                <w:u w:val="none"/>
                <w:lang w:eastAsia="zh-CN"/>
              </w:rPr>
            </w:pPr>
            <w:r>
              <w:rPr>
                <w:rFonts w:hint="eastAsia"/>
                <w:b/>
                <w:bCs/>
                <w:u w:val="none"/>
                <w:lang w:eastAsia="zh-CN"/>
              </w:rPr>
              <w:t>最低</w:t>
            </w:r>
            <w:r>
              <w:rPr>
                <w:rFonts w:hint="default"/>
                <w:b/>
                <w:bCs/>
                <w:u w:val="none"/>
              </w:rPr>
              <w:t>监测频</w:t>
            </w:r>
            <w:r>
              <w:rPr>
                <w:rFonts w:hint="eastAsia"/>
                <w:b/>
                <w:bCs/>
                <w:u w:val="none"/>
                <w:lang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dxa"/>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废水</w:t>
            </w:r>
          </w:p>
        </w:tc>
        <w:tc>
          <w:tcPr>
            <w:tcW w:w="1937"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val="en-US" w:eastAsia="zh-CN"/>
              </w:rPr>
              <w:t>厂区回用水池</w:t>
            </w:r>
          </w:p>
        </w:tc>
        <w:tc>
          <w:tcPr>
            <w:tcW w:w="5174" w:type="dxa"/>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eastAsia"/>
                <w:b w:val="0"/>
                <w:bCs/>
                <w:u w:val="none"/>
                <w:lang w:eastAsia="zh-CN"/>
              </w:rPr>
              <w:t>流量、</w:t>
            </w:r>
            <w:r>
              <w:rPr>
                <w:rFonts w:hint="default"/>
                <w:b w:val="0"/>
                <w:bCs/>
                <w:u w:val="none"/>
              </w:rPr>
              <w:t>pH、SS、COD</w:t>
            </w:r>
            <w:r>
              <w:rPr>
                <w:rFonts w:hint="eastAsia"/>
                <w:b w:val="0"/>
                <w:bCs/>
                <w:u w:val="none"/>
                <w:vertAlign w:val="subscript"/>
                <w:lang w:val="en-US" w:eastAsia="zh-CN"/>
              </w:rPr>
              <w:t>5</w:t>
            </w:r>
            <w:r>
              <w:rPr>
                <w:rFonts w:hint="default"/>
                <w:b w:val="0"/>
                <w:bCs/>
                <w:u w:val="none"/>
              </w:rPr>
              <w:t>、氨氮、BOD</w:t>
            </w:r>
            <w:r>
              <w:rPr>
                <w:rFonts w:hint="default"/>
                <w:b w:val="0"/>
                <w:bCs/>
                <w:u w:val="none"/>
                <w:vertAlign w:val="subscript"/>
              </w:rPr>
              <w:t>5</w:t>
            </w:r>
            <w:r>
              <w:rPr>
                <w:rFonts w:hint="default"/>
                <w:b w:val="0"/>
                <w:bCs/>
                <w:u w:val="none"/>
              </w:rPr>
              <w:t>、</w:t>
            </w:r>
            <w:r>
              <w:rPr>
                <w:rFonts w:hint="eastAsia"/>
                <w:b w:val="0"/>
                <w:bCs/>
                <w:u w:val="none"/>
                <w:lang w:eastAsia="zh-CN"/>
              </w:rPr>
              <w:t>粪大肠菌群</w:t>
            </w:r>
            <w:r>
              <w:rPr>
                <w:rFonts w:hint="eastAsia"/>
                <w:b w:val="0"/>
                <w:bCs/>
                <w:u w:val="none"/>
                <w:lang w:val="en-US" w:eastAsia="zh-CN"/>
              </w:rPr>
              <w:t>、总余氯</w:t>
            </w:r>
          </w:p>
        </w:tc>
        <w:tc>
          <w:tcPr>
            <w:tcW w:w="992" w:type="dxa"/>
            <w:vAlign w:val="center"/>
          </w:tcPr>
          <w:p>
            <w:pPr>
              <w:pStyle w:val="352"/>
              <w:keepNext w:val="0"/>
              <w:keepLines w:val="0"/>
              <w:suppressLineNumbers w:val="0"/>
              <w:spacing w:before="0" w:beforeAutospacing="0" w:after="0" w:afterAutospacing="0"/>
              <w:ind w:left="0" w:right="0"/>
              <w:rPr>
                <w:rFonts w:hint="eastAsia" w:eastAsia="宋体"/>
                <w:b w:val="0"/>
                <w:bCs/>
                <w:u w:val="none"/>
                <w:lang w:eastAsia="zh-CN"/>
              </w:rPr>
            </w:pPr>
            <w:r>
              <w:rPr>
                <w:rFonts w:hint="eastAsia"/>
                <w:b w:val="0"/>
                <w:bCs/>
                <w:u w:val="none"/>
                <w:lang w:eastAsia="zh-CN"/>
              </w:rPr>
              <w:t>季度</w:t>
            </w:r>
          </w:p>
        </w:tc>
      </w:tr>
    </w:tbl>
    <w:p>
      <w:pPr>
        <w:spacing w:line="360" w:lineRule="auto"/>
        <w:ind w:firstLine="480" w:firstLineChars="200"/>
        <w:jc w:val="left"/>
        <w:rPr>
          <w:rFonts w:hint="eastAsia" w:eastAsia="宋体"/>
          <w:color w:val="000000"/>
          <w:sz w:val="24"/>
          <w:u w:val="none"/>
          <w:lang w:eastAsia="zh-CN"/>
        </w:rPr>
      </w:pPr>
      <w:r>
        <w:rPr>
          <w:rFonts w:hint="eastAsia"/>
          <w:color w:val="000000"/>
          <w:sz w:val="24"/>
          <w:u w:val="none"/>
          <w:lang w:val="en-US" w:eastAsia="zh-CN"/>
        </w:rPr>
        <w:t>3</w:t>
      </w:r>
      <w:r>
        <w:rPr>
          <w:color w:val="000000"/>
          <w:sz w:val="24"/>
          <w:u w:val="none"/>
        </w:rPr>
        <w:t>、</w:t>
      </w:r>
      <w:r>
        <w:rPr>
          <w:rFonts w:hint="eastAsia"/>
          <w:color w:val="000000"/>
          <w:sz w:val="24"/>
          <w:u w:val="none"/>
          <w:lang w:eastAsia="zh-CN"/>
        </w:rPr>
        <w:t>噪声监测</w:t>
      </w:r>
    </w:p>
    <w:p>
      <w:pPr>
        <w:spacing w:line="360" w:lineRule="auto"/>
        <w:ind w:firstLine="480" w:firstLineChars="200"/>
        <w:jc w:val="left"/>
        <w:rPr>
          <w:color w:val="000000"/>
          <w:sz w:val="24"/>
          <w:u w:val="none"/>
        </w:rPr>
      </w:pPr>
      <w:r>
        <w:rPr>
          <w:rFonts w:hint="eastAsia"/>
          <w:color w:val="000000"/>
          <w:sz w:val="24"/>
          <w:u w:val="none"/>
          <w:lang w:eastAsia="zh-CN"/>
        </w:rPr>
        <w:t>监测项目：厂界昼间、夜间等效连续</w:t>
      </w:r>
      <w:r>
        <w:rPr>
          <w:rFonts w:hint="eastAsia"/>
          <w:color w:val="000000"/>
          <w:sz w:val="24"/>
          <w:u w:val="none"/>
          <w:lang w:val="en-US" w:eastAsia="zh-CN"/>
        </w:rPr>
        <w:t>A声级</w:t>
      </w:r>
      <w:r>
        <w:rPr>
          <w:color w:val="000000"/>
          <w:sz w:val="24"/>
          <w:u w:val="none"/>
        </w:rPr>
        <w:t>。</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监测点位：项目厂界。</w:t>
      </w:r>
    </w:p>
    <w:p>
      <w:pPr>
        <w:spacing w:line="360" w:lineRule="auto"/>
        <w:ind w:firstLine="480" w:firstLineChars="200"/>
        <w:jc w:val="left"/>
        <w:rPr>
          <w:rFonts w:hint="eastAsia"/>
          <w:color w:val="000000"/>
          <w:sz w:val="24"/>
          <w:u w:val="none"/>
          <w:lang w:eastAsia="zh-CN"/>
        </w:rPr>
      </w:pPr>
      <w:r>
        <w:rPr>
          <w:rFonts w:hint="eastAsia"/>
          <w:color w:val="000000"/>
          <w:sz w:val="24"/>
          <w:u w:val="none"/>
          <w:lang w:eastAsia="zh-CN"/>
        </w:rPr>
        <w:t>监测频次：每季度开展一次监测。</w:t>
      </w:r>
    </w:p>
    <w:p>
      <w:pPr>
        <w:spacing w:line="360" w:lineRule="auto"/>
        <w:ind w:firstLine="480" w:firstLineChars="200"/>
        <w:jc w:val="left"/>
        <w:rPr>
          <w:rFonts w:hint="eastAsia" w:eastAsia="宋体"/>
          <w:color w:val="000000"/>
          <w:sz w:val="24"/>
          <w:u w:val="none"/>
          <w:lang w:val="en-US" w:eastAsia="zh-CN"/>
        </w:rPr>
      </w:pPr>
      <w:r>
        <w:rPr>
          <w:rFonts w:hint="eastAsia"/>
          <w:color w:val="000000"/>
          <w:sz w:val="24"/>
          <w:u w:val="none"/>
          <w:lang w:eastAsia="zh-CN"/>
        </w:rPr>
        <w:t>监测时间：测量时间分为昼间（</w:t>
      </w:r>
      <w:r>
        <w:rPr>
          <w:rFonts w:hint="eastAsia"/>
          <w:color w:val="000000"/>
          <w:sz w:val="24"/>
          <w:u w:val="none"/>
          <w:lang w:val="en-US" w:eastAsia="zh-CN"/>
        </w:rPr>
        <w:t>06:00~22:00</w:t>
      </w:r>
      <w:r>
        <w:rPr>
          <w:rFonts w:hint="eastAsia"/>
          <w:color w:val="000000"/>
          <w:sz w:val="24"/>
          <w:u w:val="none"/>
          <w:lang w:eastAsia="zh-CN"/>
        </w:rPr>
        <w:t>）和夜间（</w:t>
      </w:r>
      <w:r>
        <w:rPr>
          <w:rFonts w:hint="eastAsia"/>
          <w:color w:val="000000"/>
          <w:sz w:val="24"/>
          <w:u w:val="none"/>
          <w:lang w:val="en-US" w:eastAsia="zh-CN"/>
        </w:rPr>
        <w:t>22:00~06:00</w:t>
      </w:r>
      <w:r>
        <w:rPr>
          <w:rFonts w:hint="eastAsia"/>
          <w:color w:val="000000"/>
          <w:sz w:val="24"/>
          <w:u w:val="none"/>
          <w:lang w:eastAsia="zh-CN"/>
        </w:rPr>
        <w:t>）。</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4、地下水监测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本项目地下水监测项目、点位、频次如下表所示</w:t>
      </w:r>
    </w:p>
    <w:p>
      <w:pPr>
        <w:pStyle w:val="352"/>
        <w:bidi w:val="0"/>
        <w:rPr>
          <w:rFonts w:hint="eastAsia"/>
          <w:lang w:val="en-US" w:eastAsia="zh-CN"/>
        </w:rPr>
      </w:pPr>
      <w:r>
        <w:rPr>
          <w:rFonts w:hint="eastAsia"/>
          <w:lang w:val="en-US" w:eastAsia="zh-CN"/>
        </w:rPr>
        <w:t>表12-5  地下水监测计划一览表</w:t>
      </w:r>
    </w:p>
    <w:tbl>
      <w:tblPr>
        <w:tblStyle w:val="59"/>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178"/>
        <w:gridCol w:w="4063"/>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930"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类别</w:t>
            </w:r>
          </w:p>
        </w:tc>
        <w:tc>
          <w:tcPr>
            <w:tcW w:w="2178"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监测点位</w:t>
            </w:r>
          </w:p>
        </w:tc>
        <w:tc>
          <w:tcPr>
            <w:tcW w:w="4063"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监测项目</w:t>
            </w:r>
          </w:p>
        </w:tc>
        <w:tc>
          <w:tcPr>
            <w:tcW w:w="1862" w:type="dxa"/>
            <w:shd w:val="clear" w:color="auto" w:fill="auto"/>
            <w:vAlign w:val="center"/>
          </w:tcPr>
          <w:p>
            <w:pPr>
              <w:pStyle w:val="352"/>
              <w:keepNext w:val="0"/>
              <w:keepLines w:val="0"/>
              <w:suppressLineNumbers w:val="0"/>
              <w:spacing w:before="0" w:beforeAutospacing="0" w:after="0" w:afterAutospacing="0"/>
              <w:ind w:left="0" w:right="0"/>
              <w:rPr>
                <w:rFonts w:hint="default"/>
                <w:b/>
                <w:bCs/>
                <w:u w:val="none"/>
              </w:rPr>
            </w:pPr>
            <w:r>
              <w:rPr>
                <w:rFonts w:hint="default"/>
                <w:b/>
                <w:bCs/>
                <w:u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0"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地下水</w:t>
            </w:r>
          </w:p>
        </w:tc>
        <w:tc>
          <w:tcPr>
            <w:tcW w:w="2178"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b w:val="0"/>
                <w:bCs/>
                <w:lang w:val="en-US" w:eastAsia="zh-CN"/>
              </w:rPr>
              <w:t>调节池东</w:t>
            </w:r>
            <w:r>
              <w:rPr>
                <w:rFonts w:hint="eastAsia"/>
                <w:b w:val="0"/>
                <w:bCs/>
                <w:lang w:val="en-US" w:eastAsia="zh-CN"/>
              </w:rPr>
              <w:t>北</w:t>
            </w:r>
            <w:r>
              <w:rPr>
                <w:rFonts w:hint="default"/>
                <w:b w:val="0"/>
                <w:bCs/>
                <w:lang w:val="en-US" w:eastAsia="zh-CN"/>
              </w:rPr>
              <w:t>侧60m</w:t>
            </w:r>
          </w:p>
        </w:tc>
        <w:tc>
          <w:tcPr>
            <w:tcW w:w="4063"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val="en-US" w:eastAsia="zh-CN"/>
              </w:rPr>
            </w:pPr>
            <w:r>
              <w:rPr>
                <w:rFonts w:hint="default"/>
                <w:b w:val="0"/>
                <w:bCs/>
                <w:lang w:val="en-US" w:eastAsia="zh-CN"/>
              </w:rPr>
              <w:t>pH、含氧量、氨氮、总磷、氟化物、氯化物、硫酸盐、铅、锌、砷、镉、汞、六价铬、总大肠菌群</w:t>
            </w:r>
          </w:p>
        </w:tc>
        <w:tc>
          <w:tcPr>
            <w:tcW w:w="1862" w:type="dxa"/>
            <w:vMerge w:val="restart"/>
            <w:vAlign w:val="center"/>
          </w:tcPr>
          <w:p>
            <w:pPr>
              <w:pStyle w:val="352"/>
              <w:keepNext w:val="0"/>
              <w:keepLines w:val="0"/>
              <w:suppressLineNumbers w:val="0"/>
              <w:spacing w:before="0" w:beforeAutospacing="0" w:after="0" w:afterAutospacing="0"/>
              <w:ind w:left="0" w:right="0"/>
              <w:rPr>
                <w:rFonts w:hint="eastAsia"/>
                <w:b w:val="0"/>
                <w:bCs/>
                <w:u w:val="none"/>
                <w:lang w:eastAsia="zh-CN"/>
              </w:rPr>
            </w:pPr>
            <w:r>
              <w:rPr>
                <w:rFonts w:hint="eastAsia"/>
                <w:b w:val="0"/>
                <w:bCs/>
                <w:u w:val="none"/>
                <w:lang w:eastAsia="zh-CN"/>
              </w:rPr>
              <w:t>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2178"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b w:val="0"/>
                <w:bCs/>
                <w:lang w:val="en-US" w:eastAsia="zh-CN"/>
              </w:rPr>
              <w:t>调节池</w:t>
            </w:r>
            <w:r>
              <w:rPr>
                <w:rFonts w:hint="eastAsia"/>
                <w:b w:val="0"/>
                <w:bCs/>
                <w:lang w:val="en-US" w:eastAsia="zh-CN"/>
              </w:rPr>
              <w:t>南西</w:t>
            </w:r>
            <w:r>
              <w:rPr>
                <w:rFonts w:hint="default"/>
                <w:b w:val="0"/>
                <w:bCs/>
                <w:lang w:val="en-US" w:eastAsia="zh-CN"/>
              </w:rPr>
              <w:t>侧15m处</w:t>
            </w:r>
          </w:p>
        </w:tc>
        <w:tc>
          <w:tcPr>
            <w:tcW w:w="406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862"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0"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c>
          <w:tcPr>
            <w:tcW w:w="2178" w:type="dxa"/>
            <w:vAlign w:val="center"/>
          </w:tcPr>
          <w:p>
            <w:pPr>
              <w:pStyle w:val="352"/>
              <w:keepNext w:val="0"/>
              <w:keepLines w:val="0"/>
              <w:suppressLineNumbers w:val="0"/>
              <w:bidi w:val="0"/>
              <w:spacing w:before="0" w:beforeAutospacing="0" w:after="0" w:afterAutospacing="0"/>
              <w:ind w:left="0" w:leftChars="0" w:right="0" w:rightChars="0" w:firstLine="0" w:firstLineChars="0"/>
              <w:rPr>
                <w:rFonts w:hint="eastAsia"/>
                <w:b w:val="0"/>
                <w:bCs/>
                <w:u w:val="none"/>
                <w:lang w:val="en-US" w:eastAsia="zh-CN"/>
              </w:rPr>
            </w:pPr>
            <w:r>
              <w:rPr>
                <w:rFonts w:hint="default"/>
                <w:b w:val="0"/>
                <w:bCs/>
                <w:lang w:val="en-US" w:eastAsia="zh-CN"/>
              </w:rPr>
              <w:t>调节池</w:t>
            </w:r>
            <w:r>
              <w:rPr>
                <w:rFonts w:hint="eastAsia"/>
                <w:b w:val="0"/>
                <w:bCs/>
                <w:lang w:val="en-US" w:eastAsia="zh-CN"/>
              </w:rPr>
              <w:t>南</w:t>
            </w:r>
            <w:r>
              <w:rPr>
                <w:rFonts w:hint="default"/>
                <w:b w:val="0"/>
                <w:bCs/>
                <w:lang w:val="en-US" w:eastAsia="zh-CN"/>
              </w:rPr>
              <w:t>侧25m处</w:t>
            </w:r>
          </w:p>
        </w:tc>
        <w:tc>
          <w:tcPr>
            <w:tcW w:w="4063" w:type="dxa"/>
            <w:vMerge w:val="continue"/>
            <w:vAlign w:val="center"/>
          </w:tcPr>
          <w:p>
            <w:pPr>
              <w:pStyle w:val="352"/>
              <w:keepNext w:val="0"/>
              <w:keepLines w:val="0"/>
              <w:suppressLineNumbers w:val="0"/>
              <w:spacing w:before="0" w:beforeAutospacing="0" w:after="0" w:afterAutospacing="0"/>
              <w:ind w:left="0" w:right="0"/>
              <w:rPr>
                <w:rFonts w:hint="default"/>
                <w:b w:val="0"/>
                <w:bCs/>
                <w:u w:val="none"/>
              </w:rPr>
            </w:pPr>
          </w:p>
        </w:tc>
        <w:tc>
          <w:tcPr>
            <w:tcW w:w="1862" w:type="dxa"/>
            <w:vMerge w:val="continue"/>
            <w:vAlign w:val="center"/>
          </w:tcPr>
          <w:p>
            <w:pPr>
              <w:pStyle w:val="352"/>
              <w:keepNext w:val="0"/>
              <w:keepLines w:val="0"/>
              <w:suppressLineNumbers w:val="0"/>
              <w:spacing w:before="0" w:beforeAutospacing="0" w:after="0" w:afterAutospacing="0"/>
              <w:ind w:left="0" w:right="0"/>
              <w:rPr>
                <w:rFonts w:hint="eastAsia"/>
                <w:b w:val="0"/>
                <w:bCs/>
                <w:u w:val="none"/>
                <w:lang w:eastAsia="zh-CN"/>
              </w:rPr>
            </w:pPr>
          </w:p>
        </w:tc>
      </w:tr>
    </w:tbl>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5、土壤监测</w:t>
      </w:r>
    </w:p>
    <w:p>
      <w:pPr>
        <w:spacing w:line="360" w:lineRule="auto"/>
        <w:ind w:firstLine="480" w:firstLineChars="200"/>
        <w:jc w:val="left"/>
        <w:rPr>
          <w:rFonts w:hint="eastAsia"/>
          <w:color w:val="000000"/>
          <w:sz w:val="24"/>
          <w:u w:val="none"/>
          <w:lang w:val="en-US" w:eastAsia="zh-CN"/>
        </w:rPr>
      </w:pPr>
      <w:r>
        <w:rPr>
          <w:rFonts w:hint="eastAsia"/>
          <w:color w:val="000000"/>
          <w:sz w:val="24"/>
          <w:u w:val="none"/>
          <w:lang w:val="en-US" w:eastAsia="zh-CN"/>
        </w:rPr>
        <w:t>本项目土壤监测项目、点位、频次如下表所示</w:t>
      </w:r>
    </w:p>
    <w:p>
      <w:pPr>
        <w:pStyle w:val="352"/>
        <w:bidi w:val="0"/>
        <w:rPr>
          <w:rFonts w:hint="eastAsia"/>
          <w:lang w:val="en-US" w:eastAsia="zh-CN"/>
        </w:rPr>
      </w:pPr>
      <w:r>
        <w:rPr>
          <w:rFonts w:hint="eastAsia"/>
          <w:lang w:val="en-US" w:eastAsia="zh-CN"/>
        </w:rPr>
        <w:t>表12-6  土壤监测计划一览表</w:t>
      </w:r>
    </w:p>
    <w:tbl>
      <w:tblPr>
        <w:tblStyle w:val="59"/>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667"/>
        <w:gridCol w:w="1900"/>
        <w:gridCol w:w="1516"/>
        <w:gridCol w:w="1484"/>
        <w:gridCol w:w="81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功能区</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编号</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监测点位</w:t>
            </w:r>
          </w:p>
        </w:tc>
        <w:tc>
          <w:tcPr>
            <w:tcW w:w="1516"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取样要求</w:t>
            </w:r>
          </w:p>
        </w:tc>
        <w:tc>
          <w:tcPr>
            <w:tcW w:w="1484"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监测项目</w:t>
            </w:r>
          </w:p>
        </w:tc>
        <w:tc>
          <w:tcPr>
            <w:tcW w:w="817"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监测频率</w:t>
            </w:r>
          </w:p>
        </w:tc>
        <w:tc>
          <w:tcPr>
            <w:tcW w:w="1680" w:type="dxa"/>
            <w:vAlign w:val="center"/>
          </w:tcPr>
          <w:p>
            <w:pPr>
              <w:pStyle w:val="352"/>
              <w:keepNext w:val="0"/>
              <w:keepLines w:val="0"/>
              <w:suppressLineNumbers w:val="0"/>
              <w:spacing w:before="0" w:beforeAutospacing="0" w:after="0" w:afterAutospacing="0"/>
              <w:ind w:left="0" w:right="0"/>
              <w:jc w:val="center"/>
              <w:rPr>
                <w:rFonts w:hint="default"/>
                <w:b/>
                <w:bCs/>
                <w:u w:val="none"/>
                <w:vertAlign w:val="baseline"/>
                <w:lang w:val="en-US" w:eastAsia="zh-CN"/>
              </w:rPr>
            </w:pPr>
            <w:r>
              <w:rPr>
                <w:rFonts w:hint="eastAsia"/>
                <w:b/>
                <w:bCs/>
                <w:u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生产厂区</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1#</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消毒车间南侧</w:t>
            </w:r>
          </w:p>
        </w:tc>
        <w:tc>
          <w:tcPr>
            <w:tcW w:w="1516"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表层样</w:t>
            </w:r>
          </w:p>
        </w:tc>
        <w:tc>
          <w:tcPr>
            <w:tcW w:w="1484"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项目投产运行后每3年监测一次</w:t>
            </w:r>
          </w:p>
        </w:tc>
        <w:tc>
          <w:tcPr>
            <w:tcW w:w="1680" w:type="dxa"/>
            <w:vMerge w:val="restart"/>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GB36600-2018中表1、表2第二类用地风险筛选值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2#</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消毒车间下风向厂内空地</w:t>
            </w:r>
          </w:p>
        </w:tc>
        <w:tc>
          <w:tcPr>
            <w:tcW w:w="1516"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污水处理站</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3#</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调节池池体旁</w:t>
            </w:r>
          </w:p>
        </w:tc>
        <w:tc>
          <w:tcPr>
            <w:tcW w:w="15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柱状样</w:t>
            </w:r>
          </w:p>
        </w:tc>
        <w:tc>
          <w:tcPr>
            <w:tcW w:w="1484"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厂区外农田</w:t>
            </w:r>
          </w:p>
        </w:tc>
        <w:tc>
          <w:tcPr>
            <w:tcW w:w="667"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4#</w:t>
            </w:r>
          </w:p>
        </w:tc>
        <w:tc>
          <w:tcPr>
            <w:tcW w:w="190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厂区外南面农田</w:t>
            </w:r>
          </w:p>
        </w:tc>
        <w:tc>
          <w:tcPr>
            <w:tcW w:w="1516"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表层样</w:t>
            </w:r>
          </w:p>
        </w:tc>
        <w:tc>
          <w:tcPr>
            <w:tcW w:w="1484"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817" w:type="dxa"/>
            <w:vMerge w:val="continue"/>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p>
        </w:tc>
        <w:tc>
          <w:tcPr>
            <w:tcW w:w="1680" w:type="dxa"/>
            <w:vAlign w:val="center"/>
          </w:tcPr>
          <w:p>
            <w:pPr>
              <w:pStyle w:val="352"/>
              <w:keepNext w:val="0"/>
              <w:keepLines w:val="0"/>
              <w:suppressLineNumbers w:val="0"/>
              <w:spacing w:before="0" w:beforeAutospacing="0" w:after="0" w:afterAutospacing="0"/>
              <w:ind w:left="0" w:right="0"/>
              <w:jc w:val="center"/>
              <w:rPr>
                <w:rFonts w:hint="default"/>
                <w:b w:val="0"/>
                <w:bCs w:val="0"/>
                <w:u w:val="none"/>
                <w:vertAlign w:val="baseline"/>
                <w:lang w:val="en-US" w:eastAsia="zh-CN"/>
              </w:rPr>
            </w:pPr>
            <w:r>
              <w:rPr>
                <w:rFonts w:hint="eastAsia"/>
                <w:b w:val="0"/>
                <w:bCs w:val="0"/>
                <w:u w:val="none"/>
                <w:vertAlign w:val="baseline"/>
                <w:lang w:val="en-US" w:eastAsia="zh-CN"/>
              </w:rPr>
              <w:t>GB15618-2018中表1农用地风险筛选值</w:t>
            </w:r>
          </w:p>
        </w:tc>
      </w:tr>
    </w:tbl>
    <w:p>
      <w:pPr>
        <w:spacing w:line="360" w:lineRule="auto"/>
        <w:ind w:firstLine="480" w:firstLineChars="200"/>
        <w:jc w:val="left"/>
        <w:rPr>
          <w:color w:val="000000"/>
          <w:sz w:val="24"/>
          <w:u w:val="none"/>
        </w:rPr>
      </w:pPr>
      <w:r>
        <w:rPr>
          <w:rFonts w:hint="eastAsia"/>
          <w:color w:val="000000"/>
          <w:sz w:val="24"/>
          <w:u w:val="none"/>
          <w:lang w:val="en-US" w:eastAsia="zh-CN"/>
        </w:rPr>
        <w:t>5</w:t>
      </w:r>
      <w:r>
        <w:rPr>
          <w:color w:val="000000"/>
          <w:sz w:val="24"/>
          <w:u w:val="none"/>
        </w:rPr>
        <w:t>、监测方法</w:t>
      </w:r>
    </w:p>
    <w:p>
      <w:pPr>
        <w:spacing w:line="360" w:lineRule="auto"/>
        <w:ind w:firstLine="480" w:firstLineChars="200"/>
        <w:jc w:val="left"/>
        <w:rPr>
          <w:color w:val="000000"/>
          <w:sz w:val="24"/>
          <w:u w:val="none"/>
        </w:rPr>
      </w:pPr>
      <w:r>
        <w:rPr>
          <w:color w:val="000000"/>
          <w:sz w:val="24"/>
          <w:u w:val="none"/>
        </w:rPr>
        <w:t>按《环境监测技术规范》及国家规定的统一方法进行，具体方案可由委托监测机构技术人员负责制定。</w:t>
      </w:r>
    </w:p>
    <w:p>
      <w:pPr>
        <w:spacing w:line="360" w:lineRule="auto"/>
        <w:ind w:firstLine="480" w:firstLineChars="200"/>
        <w:jc w:val="left"/>
        <w:rPr>
          <w:color w:val="000000"/>
          <w:sz w:val="24"/>
          <w:u w:val="none"/>
        </w:rPr>
      </w:pPr>
      <w:r>
        <w:rPr>
          <w:rFonts w:hint="eastAsia"/>
          <w:color w:val="000000"/>
          <w:sz w:val="24"/>
          <w:u w:val="none"/>
          <w:lang w:val="en-US" w:eastAsia="zh-CN"/>
        </w:rPr>
        <w:t>6</w:t>
      </w:r>
      <w:r>
        <w:rPr>
          <w:color w:val="000000"/>
          <w:sz w:val="24"/>
          <w:u w:val="none"/>
        </w:rPr>
        <w:t>、监测结果反馈</w:t>
      </w:r>
    </w:p>
    <w:p>
      <w:pPr>
        <w:spacing w:line="360" w:lineRule="auto"/>
        <w:ind w:firstLine="480" w:firstLineChars="200"/>
        <w:jc w:val="left"/>
        <w:rPr>
          <w:color w:val="000000"/>
          <w:sz w:val="24"/>
          <w:u w:val="none"/>
        </w:rPr>
      </w:pPr>
      <w:r>
        <w:rPr>
          <w:color w:val="000000"/>
          <w:sz w:val="24"/>
          <w:u w:val="none"/>
        </w:rPr>
        <w:t>对监测结果进行统计汇总，上报有关领导和上级主管部门。监测结果如有异常，及时反馈生产管理部门，查找原因，及时解决。</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12.3.3环保管理、监测人员的培训计划</w:t>
      </w:r>
    </w:p>
    <w:p>
      <w:pPr>
        <w:spacing w:line="360" w:lineRule="auto"/>
        <w:ind w:firstLine="480" w:firstLineChars="200"/>
        <w:jc w:val="left"/>
        <w:rPr>
          <w:color w:val="000000"/>
          <w:sz w:val="24"/>
          <w:u w:val="none"/>
        </w:rPr>
      </w:pPr>
      <w:r>
        <w:rPr>
          <w:color w:val="000000"/>
          <w:sz w:val="24"/>
          <w:u w:val="none"/>
        </w:rPr>
        <w:t>从事环保的专职人员，进行上岗前和日常的专业培训，环境监测人员应在环境监测专业部门，学习环境监测规范和分析技术，使其有一定的环境保护专业知识，要求其了解企业各种产品的生产工艺和产生的废水、废气、噪声等污染的治理技术，掌握废水、废气、噪声的监测规范和分析技能，确保废水、废气、噪声等污染物的达标排放和处理设备的正常运转。加强对从事环保工作的专职人员的环境保护法律、法规教育，提高工作责任感，杜绝人为因素造成的环保事故发生。</w:t>
      </w:r>
    </w:p>
    <w:p>
      <w:pPr>
        <w:spacing w:line="360" w:lineRule="auto"/>
        <w:jc w:val="left"/>
        <w:rPr>
          <w:color w:val="000000"/>
          <w:sz w:val="24"/>
          <w:u w:val="none"/>
        </w:rPr>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pPr>
    </w:p>
    <w:p>
      <w:pPr>
        <w:pStyle w:val="2"/>
        <w:topLinePunct/>
        <w:spacing w:before="120" w:after="360"/>
        <w:rPr>
          <w:sz w:val="36"/>
          <w:szCs w:val="36"/>
          <w:u w:val="none"/>
        </w:rPr>
      </w:pPr>
      <w:bookmarkStart w:id="110" w:name="_Toc25561"/>
      <w:r>
        <w:rPr>
          <w:sz w:val="36"/>
          <w:szCs w:val="36"/>
          <w:u w:val="none"/>
        </w:rPr>
        <w:t>1</w:t>
      </w:r>
      <w:r>
        <w:rPr>
          <w:rFonts w:hint="eastAsia"/>
          <w:sz w:val="36"/>
          <w:szCs w:val="36"/>
          <w:u w:val="none"/>
          <w:lang w:val="en-US" w:eastAsia="zh-CN"/>
        </w:rPr>
        <w:t>3</w:t>
      </w:r>
      <w:r>
        <w:rPr>
          <w:sz w:val="36"/>
          <w:szCs w:val="36"/>
          <w:u w:val="none"/>
        </w:rPr>
        <w:t>、环境影响评价结论与建议</w:t>
      </w:r>
      <w:bookmarkEnd w:id="110"/>
    </w:p>
    <w:p>
      <w:pPr>
        <w:pStyle w:val="3"/>
        <w:rPr>
          <w:rFonts w:ascii="Times New Roman" w:hAnsi="Times New Roman"/>
          <w:sz w:val="28"/>
          <w:szCs w:val="28"/>
          <w:u w:val="none"/>
        </w:rPr>
      </w:pPr>
      <w:bookmarkStart w:id="111" w:name="_Toc1936"/>
      <w:r>
        <w:rPr>
          <w:rFonts w:ascii="Times New Roman" w:hAnsi="Times New Roman"/>
          <w:sz w:val="28"/>
          <w:szCs w:val="28"/>
          <w:u w:val="none"/>
        </w:rPr>
        <w:t>1</w:t>
      </w:r>
      <w:r>
        <w:rPr>
          <w:rFonts w:hint="eastAsia" w:ascii="Times New Roman" w:hAnsi="Times New Roman"/>
          <w:sz w:val="28"/>
          <w:szCs w:val="28"/>
          <w:u w:val="none"/>
          <w:lang w:val="en-US" w:eastAsia="zh-CN"/>
        </w:rPr>
        <w:t>3</w:t>
      </w:r>
      <w:r>
        <w:rPr>
          <w:rFonts w:ascii="Times New Roman" w:hAnsi="Times New Roman"/>
          <w:sz w:val="28"/>
          <w:szCs w:val="28"/>
          <w:u w:val="none"/>
        </w:rPr>
        <w:t>.1项目概况</w:t>
      </w:r>
      <w:bookmarkEnd w:id="111"/>
    </w:p>
    <w:p>
      <w:pPr>
        <w:topLinePunct/>
        <w:spacing w:line="360" w:lineRule="auto"/>
        <w:ind w:firstLine="480" w:firstLineChars="200"/>
        <w:jc w:val="left"/>
        <w:rPr>
          <w:sz w:val="24"/>
          <w:u w:val="none"/>
        </w:rPr>
      </w:pPr>
      <w:r>
        <w:rPr>
          <w:rFonts w:hint="eastAsia"/>
          <w:sz w:val="24"/>
          <w:u w:val="none"/>
          <w:lang w:eastAsia="zh-CN"/>
        </w:rPr>
        <w:t>本项目选址于旺苍县嘉川镇石桥村，</w:t>
      </w:r>
      <w:r>
        <w:rPr>
          <w:rFonts w:hint="eastAsia"/>
          <w:sz w:val="24"/>
          <w:u w:val="none"/>
          <w:lang w:val="en-US" w:eastAsia="zh-CN"/>
        </w:rPr>
        <w:t>总用地面积4012m²，建筑面积962.38m²，其中：处置车间建筑面积515.10m²、办公楼399.48m²、2个门卫值班室总计30.72m²、2个独立设备用房17.08m²及附属配套设施。项目建成后，利用用微波消毒工艺对医疗废物进行处理，总处理规模为800t/a。</w:t>
      </w:r>
    </w:p>
    <w:p>
      <w:pPr>
        <w:pStyle w:val="3"/>
        <w:rPr>
          <w:rFonts w:ascii="Times New Roman" w:hAnsi="Times New Roman"/>
          <w:sz w:val="28"/>
          <w:szCs w:val="28"/>
          <w:u w:val="none"/>
        </w:rPr>
      </w:pPr>
      <w:bookmarkStart w:id="112" w:name="_Toc20854"/>
      <w:r>
        <w:rPr>
          <w:rFonts w:ascii="Times New Roman" w:hAnsi="Times New Roman"/>
          <w:sz w:val="28"/>
          <w:szCs w:val="28"/>
          <w:u w:val="none"/>
        </w:rPr>
        <w:t>1</w:t>
      </w:r>
      <w:r>
        <w:rPr>
          <w:rFonts w:hint="eastAsia" w:ascii="Times New Roman" w:hAnsi="Times New Roman"/>
          <w:sz w:val="28"/>
          <w:szCs w:val="28"/>
          <w:u w:val="none"/>
          <w:lang w:val="en-US" w:eastAsia="zh-CN"/>
        </w:rPr>
        <w:t>3</w:t>
      </w:r>
      <w:r>
        <w:rPr>
          <w:rFonts w:ascii="Times New Roman" w:hAnsi="Times New Roman"/>
          <w:sz w:val="28"/>
          <w:szCs w:val="28"/>
          <w:u w:val="none"/>
        </w:rPr>
        <w:t>.2产业政策及规划符合性</w:t>
      </w:r>
      <w:bookmarkEnd w:id="112"/>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13.2.1产业政策符合性分析</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本项目为医疗废物集中处置中心建设项目，</w:t>
      </w:r>
      <w:r>
        <w:rPr>
          <w:rFonts w:hint="eastAsia"/>
          <w:sz w:val="24"/>
          <w:u w:val="none"/>
        </w:rPr>
        <w:t>根据国民经济行业分类，本项目属于</w:t>
      </w:r>
      <w:r>
        <w:rPr>
          <w:rFonts w:hint="eastAsia"/>
          <w:sz w:val="24"/>
          <w:u w:val="none"/>
          <w:lang w:eastAsia="zh-CN"/>
        </w:rPr>
        <w:t>名录中</w:t>
      </w:r>
      <w:r>
        <w:rPr>
          <w:rFonts w:hint="eastAsia"/>
          <w:sz w:val="24"/>
          <w:u w:val="none"/>
        </w:rPr>
        <w:t>“</w:t>
      </w:r>
      <w:r>
        <w:rPr>
          <w:rFonts w:hint="eastAsia"/>
          <w:sz w:val="24"/>
          <w:u w:val="none"/>
          <w:lang w:val="en-US" w:eastAsia="zh-CN"/>
        </w:rPr>
        <w:t>N7724危险废物治理</w:t>
      </w:r>
      <w:r>
        <w:rPr>
          <w:rFonts w:hint="eastAsia"/>
          <w:sz w:val="24"/>
          <w:u w:val="none"/>
        </w:rPr>
        <w:t>”</w:t>
      </w:r>
      <w:r>
        <w:rPr>
          <w:rFonts w:hint="eastAsia"/>
          <w:sz w:val="24"/>
          <w:u w:val="none"/>
          <w:lang w:eastAsia="zh-CN"/>
        </w:rPr>
        <w:t>类</w:t>
      </w:r>
      <w:r>
        <w:rPr>
          <w:rFonts w:hint="eastAsia"/>
          <w:sz w:val="24"/>
          <w:u w:val="none"/>
          <w:lang w:val="en-US" w:eastAsia="zh-CN"/>
        </w:rPr>
        <w:t>，根据2013年5月1日起实施的《产业结构调整指导目录（2011年本）（2013年修正）》，本项目属于“鼓励类”中“三十八、环境保护与资源节约综合利用：8、危险废物（放射性废物、核设施退役工程、医疗废物、含重金属废弃物）安全处置技术设备开发制造及处置中心建设”类别，因此，本项目建设与国家产业政策相符。</w:t>
      </w:r>
    </w:p>
    <w:p>
      <w:pPr>
        <w:topLinePunct/>
        <w:spacing w:line="360" w:lineRule="auto"/>
        <w:ind w:firstLine="480" w:firstLineChars="200"/>
        <w:jc w:val="left"/>
        <w:rPr>
          <w:rFonts w:hint="eastAsia"/>
          <w:sz w:val="24"/>
          <w:u w:val="none"/>
        </w:rPr>
      </w:pPr>
      <w:r>
        <w:rPr>
          <w:rFonts w:hint="eastAsia"/>
          <w:sz w:val="24"/>
          <w:u w:val="none"/>
        </w:rPr>
        <w:t>综上，本项目符合国家现行产业政策。</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13.2.2规划符合性分析</w:t>
      </w:r>
    </w:p>
    <w:p>
      <w:pPr>
        <w:topLinePunct/>
        <w:spacing w:line="360" w:lineRule="auto"/>
        <w:ind w:firstLine="482" w:firstLineChars="200"/>
        <w:jc w:val="left"/>
        <w:rPr>
          <w:b/>
          <w:bCs/>
          <w:sz w:val="24"/>
          <w:u w:val="none"/>
        </w:rPr>
      </w:pPr>
      <w:r>
        <w:rPr>
          <w:rFonts w:hint="eastAsia"/>
          <w:b/>
          <w:bCs/>
          <w:sz w:val="24"/>
          <w:u w:val="none"/>
          <w:lang w:val="en-US" w:eastAsia="zh-CN"/>
        </w:rPr>
        <w:t>1、</w:t>
      </w:r>
      <w:r>
        <w:rPr>
          <w:b/>
          <w:bCs/>
          <w:sz w:val="24"/>
          <w:u w:val="none"/>
        </w:rPr>
        <w:t>与用地规划符合性分析</w:t>
      </w:r>
    </w:p>
    <w:p>
      <w:pPr>
        <w:topLinePunct/>
        <w:spacing w:line="360" w:lineRule="auto"/>
        <w:ind w:firstLine="480" w:firstLineChars="200"/>
        <w:jc w:val="left"/>
        <w:rPr>
          <w:rFonts w:hint="eastAsia"/>
          <w:sz w:val="24"/>
          <w:u w:val="none"/>
          <w:lang w:eastAsia="zh-CN"/>
        </w:rPr>
      </w:pPr>
      <w:r>
        <w:rPr>
          <w:sz w:val="24"/>
          <w:u w:val="none"/>
        </w:rPr>
        <w:t>本项目拟选址于</w:t>
      </w:r>
      <w:r>
        <w:rPr>
          <w:rFonts w:hint="eastAsia"/>
          <w:sz w:val="24"/>
          <w:u w:val="none"/>
          <w:lang w:eastAsia="zh-CN"/>
        </w:rPr>
        <w:t>旺苍县嘉川镇石桥村</w:t>
      </w:r>
      <w:r>
        <w:rPr>
          <w:sz w:val="24"/>
          <w:u w:val="none"/>
        </w:rPr>
        <w:t>内，</w:t>
      </w:r>
      <w:r>
        <w:rPr>
          <w:rFonts w:hint="eastAsia"/>
          <w:sz w:val="24"/>
          <w:u w:val="none"/>
          <w:lang w:eastAsia="zh-CN"/>
        </w:rPr>
        <w:t>根据《旺苍县自然资源局关于旺苍县医疗废物处置中心建设用地预审的复函》（旺自然资函【</w:t>
      </w:r>
      <w:r>
        <w:rPr>
          <w:rFonts w:hint="eastAsia"/>
          <w:sz w:val="24"/>
          <w:u w:val="none"/>
          <w:lang w:val="en-US" w:eastAsia="zh-CN"/>
        </w:rPr>
        <w:t>2019</w:t>
      </w:r>
      <w:r>
        <w:rPr>
          <w:rFonts w:hint="eastAsia"/>
          <w:sz w:val="24"/>
          <w:u w:val="none"/>
          <w:lang w:eastAsia="zh-CN"/>
        </w:rPr>
        <w:t>】</w:t>
      </w:r>
      <w:r>
        <w:rPr>
          <w:rFonts w:hint="eastAsia"/>
          <w:sz w:val="24"/>
          <w:u w:val="none"/>
          <w:lang w:val="en-US" w:eastAsia="zh-CN"/>
        </w:rPr>
        <w:t>3号</w:t>
      </w:r>
      <w:r>
        <w:rPr>
          <w:rFonts w:hint="eastAsia"/>
          <w:sz w:val="24"/>
          <w:u w:val="none"/>
          <w:lang w:eastAsia="zh-CN"/>
        </w:rPr>
        <w:t>）（详见附件），该项目符合旺苍县（中心城区）土地利用总体规划（</w:t>
      </w:r>
      <w:r>
        <w:rPr>
          <w:rFonts w:hint="eastAsia"/>
          <w:sz w:val="24"/>
          <w:u w:val="none"/>
          <w:lang w:val="en-US" w:eastAsia="zh-CN"/>
        </w:rPr>
        <w:t>2006-2020</w:t>
      </w:r>
      <w:r>
        <w:rPr>
          <w:rFonts w:hint="eastAsia"/>
          <w:sz w:val="24"/>
          <w:u w:val="none"/>
          <w:lang w:eastAsia="zh-CN"/>
        </w:rPr>
        <w:t>）</w:t>
      </w:r>
      <w:r>
        <w:rPr>
          <w:sz w:val="24"/>
          <w:u w:val="none"/>
        </w:rPr>
        <w:t>。</w:t>
      </w:r>
      <w:r>
        <w:rPr>
          <w:rFonts w:hint="eastAsia"/>
          <w:sz w:val="24"/>
          <w:u w:val="none"/>
          <w:lang w:eastAsia="zh-CN"/>
        </w:rPr>
        <w:t>根据《中华人民共和国建设项目选址意见书》（旺选字第</w:t>
      </w:r>
      <w:r>
        <w:rPr>
          <w:rFonts w:hint="eastAsia"/>
          <w:sz w:val="24"/>
          <w:u w:val="none"/>
          <w:lang w:val="en-US" w:eastAsia="zh-CN"/>
        </w:rPr>
        <w:t>2019-04号</w:t>
      </w:r>
      <w:r>
        <w:rPr>
          <w:rFonts w:hint="eastAsia"/>
          <w:sz w:val="24"/>
          <w:u w:val="none"/>
          <w:lang w:eastAsia="zh-CN"/>
        </w:rPr>
        <w:t>）（详见附件），建设项目符合城乡规划要求。</w:t>
      </w:r>
    </w:p>
    <w:p>
      <w:pPr>
        <w:topLinePunct/>
        <w:spacing w:line="360" w:lineRule="auto"/>
        <w:ind w:firstLine="480" w:firstLineChars="200"/>
        <w:jc w:val="left"/>
        <w:rPr>
          <w:sz w:val="24"/>
          <w:u w:val="none"/>
        </w:rPr>
      </w:pPr>
      <w:r>
        <w:rPr>
          <w:sz w:val="24"/>
          <w:u w:val="none"/>
        </w:rPr>
        <w:t>综上，本项目选址符合</w:t>
      </w:r>
      <w:r>
        <w:rPr>
          <w:rFonts w:hint="eastAsia"/>
          <w:sz w:val="24"/>
          <w:u w:val="none"/>
          <w:lang w:eastAsia="zh-CN"/>
        </w:rPr>
        <w:t>旺苍县城市总体规划和城乡规划</w:t>
      </w:r>
      <w:r>
        <w:rPr>
          <w:sz w:val="24"/>
          <w:u w:val="none"/>
        </w:rPr>
        <w:t>要求。</w:t>
      </w:r>
    </w:p>
    <w:p>
      <w:pPr>
        <w:topLinePunct/>
        <w:spacing w:line="360" w:lineRule="auto"/>
        <w:ind w:firstLine="482" w:firstLineChars="200"/>
        <w:jc w:val="left"/>
        <w:rPr>
          <w:rFonts w:hint="eastAsia"/>
          <w:b/>
          <w:bCs/>
          <w:sz w:val="24"/>
          <w:u w:val="none"/>
          <w:lang w:val="en-US" w:eastAsia="zh-CN"/>
        </w:rPr>
      </w:pPr>
      <w:r>
        <w:rPr>
          <w:rFonts w:hint="eastAsia"/>
          <w:b/>
          <w:bCs/>
          <w:sz w:val="24"/>
          <w:u w:val="none"/>
          <w:lang w:val="en-US" w:eastAsia="zh-CN"/>
        </w:rPr>
        <w:t>2、与《四川省危险废物集中处置设施建设规划（2017-2022年）》符合性分析</w:t>
      </w:r>
    </w:p>
    <w:p>
      <w:pPr>
        <w:topLinePunct/>
        <w:spacing w:line="360" w:lineRule="auto"/>
        <w:ind w:firstLine="480" w:firstLineChars="200"/>
        <w:jc w:val="left"/>
        <w:rPr>
          <w:rFonts w:hint="eastAsia"/>
          <w:b w:val="0"/>
          <w:bCs w:val="0"/>
          <w:sz w:val="24"/>
          <w:u w:val="none"/>
          <w:lang w:val="en-US" w:eastAsia="zh-CN"/>
        </w:rPr>
      </w:pPr>
      <w:r>
        <w:rPr>
          <w:rFonts w:hint="eastAsia"/>
          <w:b w:val="0"/>
          <w:bCs w:val="0"/>
          <w:sz w:val="24"/>
          <w:u w:val="none"/>
          <w:lang w:val="en-US" w:eastAsia="zh-CN"/>
        </w:rPr>
        <w:t>根据《四川省危险废物集中处置设施建设规划（2017-2022年）》要求，到2020年全省医疗废物处置能力达到14.29万吨/年，新增能力8.92万吨/年。为实现这一目标，规划要求：加快推进旺苍县、剑阁县、大英县、营山县、茂县、丹巴县、乡城县、甘孜县、会理县、盐源县、雷波县、昭觉县、普格县、冕宁县、甘洛县等产生量大区域或偏远地区的医疗废物集中处置设施建设，鼓励采取高温蒸汽处理、化学消毒和微波消毒等非焚烧方式，有效辐射周边区域，实现区域医疗废物集中收集、无害化处置。</w:t>
      </w:r>
    </w:p>
    <w:p>
      <w:pPr>
        <w:topLinePunct/>
        <w:spacing w:line="360" w:lineRule="auto"/>
        <w:ind w:firstLine="480" w:firstLineChars="200"/>
        <w:jc w:val="left"/>
        <w:rPr>
          <w:rFonts w:hint="eastAsia"/>
          <w:b w:val="0"/>
          <w:bCs w:val="0"/>
          <w:sz w:val="24"/>
          <w:u w:val="none"/>
          <w:lang w:eastAsia="zh-CN"/>
        </w:rPr>
      </w:pPr>
      <w:r>
        <w:rPr>
          <w:rFonts w:hint="eastAsia"/>
          <w:b w:val="0"/>
          <w:bCs w:val="0"/>
          <w:sz w:val="24"/>
          <w:u w:val="none"/>
          <w:lang w:val="en-US" w:eastAsia="zh-CN"/>
        </w:rPr>
        <w:t>本项目选址于旺苍县嘉川镇石桥村内，项目采用微波消毒工艺进行医疗废物的集中、无害化处置，年处置量为800t/a。因此，本项目与《四川省危险废物集中处置设施建设规划（2017-2022年）》相符。</w:t>
      </w:r>
    </w:p>
    <w:p>
      <w:pPr>
        <w:topLinePunct/>
        <w:spacing w:line="360" w:lineRule="auto"/>
        <w:ind w:firstLine="482" w:firstLineChars="200"/>
        <w:jc w:val="left"/>
        <w:rPr>
          <w:b/>
          <w:bCs/>
          <w:sz w:val="24"/>
          <w:u w:val="none"/>
        </w:rPr>
      </w:pPr>
      <w:r>
        <w:rPr>
          <w:rFonts w:hint="eastAsia"/>
          <w:b/>
          <w:bCs/>
          <w:sz w:val="24"/>
          <w:u w:val="none"/>
          <w:lang w:val="en-US" w:eastAsia="zh-CN"/>
        </w:rPr>
        <w:t>3、与《广元市医疗废物集中处置管理办法》符合性分析</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根据《广元市医疗废物集中处置管理办法》的要求，医疗废物集中处置单位收集、运输、贮存和处置医疗废物应当符合国家规定的环境保护、卫生标准与规范。</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本项目医疗废物运输路线避开人群密集区和人群出没频繁时段，选择最短的运输路线，最大限度的减小意外事故带来的环境污染和病毒感染；项目厂区内设有专门的医疗废物储存场所，医疗废物卸料场地、暂时储存库、冷藏库等设施的设计、运行、安全防护等满足《危险废物贮存污染控制标准》和《医疗卫生机构医疗废物管理办法》的有关要求；项目采用微波消毒工艺进行医疗废物的集中处置，具有杀菌谱广、无残留物、除臭效果好、清洁卫生等特点，可用于感染性和损伤性医疗废物的处理。</w:t>
      </w:r>
    </w:p>
    <w:p>
      <w:pPr>
        <w:topLinePunct/>
        <w:spacing w:line="360" w:lineRule="auto"/>
        <w:ind w:firstLine="480" w:firstLineChars="200"/>
        <w:jc w:val="left"/>
        <w:rPr>
          <w:rFonts w:hint="eastAsia"/>
          <w:sz w:val="24"/>
          <w:u w:val="none"/>
          <w:lang w:val="en-US" w:eastAsia="zh-CN"/>
        </w:rPr>
      </w:pPr>
      <w:r>
        <w:rPr>
          <w:rFonts w:hint="eastAsia"/>
          <w:sz w:val="24"/>
          <w:u w:val="none"/>
          <w:lang w:val="en-US" w:eastAsia="zh-CN"/>
        </w:rPr>
        <w:t>因此，本项目的建设符合《广元市医疗废物集中处置管理办法》相关要求。</w:t>
      </w:r>
    </w:p>
    <w:p>
      <w:pPr>
        <w:topLinePunct/>
        <w:spacing w:line="360" w:lineRule="auto"/>
        <w:ind w:firstLine="482" w:firstLineChars="200"/>
        <w:rPr>
          <w:b/>
          <w:sz w:val="24"/>
          <w:u w:val="none"/>
        </w:rPr>
      </w:pPr>
      <w:r>
        <w:rPr>
          <w:rFonts w:hint="eastAsia"/>
          <w:b/>
          <w:bCs/>
          <w:sz w:val="24"/>
          <w:u w:val="none"/>
          <w:lang w:val="en-US" w:eastAsia="zh-CN"/>
        </w:rPr>
        <w:t>4、</w:t>
      </w:r>
      <w:r>
        <w:rPr>
          <w:b/>
          <w:sz w:val="24"/>
          <w:u w:val="none"/>
        </w:rPr>
        <w:t>选址合理性分析</w:t>
      </w:r>
    </w:p>
    <w:p>
      <w:pPr>
        <w:topLinePunct/>
        <w:spacing w:line="360" w:lineRule="auto"/>
        <w:ind w:firstLine="480" w:firstLineChars="200"/>
        <w:rPr>
          <w:rFonts w:hint="default"/>
          <w:sz w:val="24"/>
          <w:u w:val="none"/>
          <w:lang w:val="en-US" w:eastAsia="zh-CN"/>
        </w:rPr>
      </w:pPr>
      <w:r>
        <w:rPr>
          <w:rFonts w:hint="eastAsia"/>
          <w:sz w:val="24"/>
          <w:u w:val="none"/>
          <w:lang w:val="en-US" w:eastAsia="zh-CN"/>
        </w:rPr>
        <w:t>根据现场踏勘，本项目拟建于旺苍县东河镇嘉川镇，北面距规划环城路约180m，东北距县垃圾填埋场180m，南侧距规划居住区直线距离约235米，项目场址所在区域不属于居民聚集居住区、直接与航道想通的地区、地下水补给区、洪泛区、淤泥区。项目选址的标高位于重现期不小于100年一遇的洪水位之上，建设在长远规划中的水库等人工蓄水设施的淹没区和保护区之外。</w:t>
      </w:r>
    </w:p>
    <w:p>
      <w:pPr>
        <w:topLinePunct/>
        <w:spacing w:line="360" w:lineRule="auto"/>
        <w:ind w:firstLine="480" w:firstLineChars="200"/>
        <w:rPr>
          <w:kern w:val="0"/>
          <w:sz w:val="24"/>
          <w:u w:val="none"/>
        </w:rPr>
      </w:pPr>
      <w:r>
        <w:rPr>
          <w:rFonts w:hint="eastAsia"/>
          <w:sz w:val="24"/>
          <w:u w:val="none"/>
          <w:lang w:eastAsia="zh-CN"/>
        </w:rPr>
        <w:t>综上所述</w:t>
      </w:r>
      <w:r>
        <w:rPr>
          <w:sz w:val="24"/>
          <w:u w:val="none"/>
        </w:rPr>
        <w:t>，本项目</w:t>
      </w:r>
      <w:r>
        <w:rPr>
          <w:rFonts w:hint="eastAsia"/>
          <w:sz w:val="24"/>
          <w:u w:val="none"/>
          <w:lang w:eastAsia="zh-CN"/>
        </w:rPr>
        <w:t>与周边外环境关系相</w:t>
      </w:r>
      <w:r>
        <w:rPr>
          <w:rFonts w:hint="eastAsia"/>
          <w:sz w:val="24"/>
          <w:u w:val="none"/>
          <w:lang w:val="en-US" w:eastAsia="zh-CN"/>
        </w:rPr>
        <w:t>容，项目选址合理。</w:t>
      </w:r>
    </w:p>
    <w:p>
      <w:pPr>
        <w:pStyle w:val="3"/>
        <w:rPr>
          <w:rFonts w:hint="eastAsia" w:ascii="Times New Roman" w:hAnsi="Times New Roman"/>
          <w:sz w:val="28"/>
          <w:szCs w:val="28"/>
          <w:u w:val="none"/>
          <w:lang w:val="en-US" w:eastAsia="zh-CN"/>
        </w:rPr>
      </w:pPr>
      <w:bookmarkStart w:id="113" w:name="_Toc29964"/>
      <w:r>
        <w:rPr>
          <w:rFonts w:hint="eastAsia" w:ascii="Times New Roman" w:hAnsi="Times New Roman"/>
          <w:sz w:val="28"/>
          <w:szCs w:val="28"/>
          <w:u w:val="none"/>
          <w:lang w:val="en-US" w:eastAsia="zh-CN"/>
        </w:rPr>
        <w:t>13.3区域环境质量现状</w:t>
      </w:r>
      <w:bookmarkEnd w:id="113"/>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13.3.1环境空气质量现状</w:t>
      </w:r>
    </w:p>
    <w:p>
      <w:pPr>
        <w:adjustRightInd w:val="0"/>
        <w:snapToGrid w:val="0"/>
        <w:spacing w:line="360" w:lineRule="auto"/>
        <w:ind w:firstLine="480" w:firstLineChars="200"/>
        <w:jc w:val="left"/>
        <w:rPr>
          <w:rFonts w:hint="eastAsia"/>
          <w:sz w:val="24"/>
          <w:szCs w:val="24"/>
          <w:u w:val="none"/>
          <w:lang w:val="en-US" w:eastAsia="zh-CN"/>
        </w:rPr>
      </w:pPr>
      <w:r>
        <w:rPr>
          <w:rFonts w:hint="eastAsia"/>
          <w:sz w:val="24"/>
          <w:szCs w:val="24"/>
          <w:u w:val="none"/>
          <w:lang w:val="en-US" w:eastAsia="zh-CN"/>
        </w:rPr>
        <w:t>根据《2018年旺苍县环境质量公告》，本项目所在区域颗粒物和细颗粒物存在不同程度的超标，项目所在评价区域为不达标区。而本项目外排废气污染物主要为硫化氢、氨、挥发性有机污染物和颗粒物，根据补充监测结果可知，拟建项目评价范围内大气其他污染物空气环境质量现状良好，表明评价范围内有足够的环境容量容纳本项目的建设。</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13.3.2地表水环境现状</w:t>
      </w:r>
    </w:p>
    <w:p>
      <w:pPr>
        <w:spacing w:line="360" w:lineRule="auto"/>
        <w:ind w:firstLine="480" w:firstLineChars="200"/>
        <w:jc w:val="left"/>
        <w:rPr>
          <w:rFonts w:hint="eastAsia"/>
          <w:sz w:val="24"/>
          <w:szCs w:val="24"/>
          <w:u w:val="none"/>
          <w:lang w:val="en-US" w:eastAsia="zh-CN"/>
        </w:rPr>
      </w:pPr>
      <w:r>
        <w:rPr>
          <w:rFonts w:hint="eastAsia"/>
          <w:color w:val="auto"/>
          <w:sz w:val="24"/>
          <w:u w:val="none"/>
          <w:lang w:val="en-US" w:eastAsia="zh-CN"/>
        </w:rPr>
        <w:t>从《2018年旺苍县环境质量公告》以及现场监测情况来看，本项目所在区域东河水质水环境质量现状良好，有足够的环境容量容纳本项目的建设。</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13.3.3地下水环境现状</w:t>
      </w:r>
    </w:p>
    <w:p>
      <w:pPr>
        <w:spacing w:line="360" w:lineRule="auto"/>
        <w:ind w:firstLine="480" w:firstLineChars="200"/>
        <w:jc w:val="left"/>
        <w:rPr>
          <w:sz w:val="24"/>
          <w:u w:val="none"/>
        </w:rPr>
      </w:pPr>
      <w:r>
        <w:rPr>
          <w:rFonts w:hint="eastAsia"/>
          <w:sz w:val="24"/>
          <w:u w:val="none"/>
          <w:lang w:val="en-US" w:eastAsia="zh-CN"/>
        </w:rPr>
        <w:t>根据现场监测结果评价可知，项目评价区域地下水质量均满足《地下水质量标准》（GB/T14848-2017）中</w:t>
      </w:r>
      <w:r>
        <w:rPr>
          <w:rFonts w:hint="eastAsia"/>
          <w:sz w:val="24"/>
          <w:u w:val="none"/>
          <w:lang w:val="en-US" w:eastAsia="zh-CN"/>
        </w:rPr>
        <w:fldChar w:fldCharType="begin"/>
      </w:r>
      <w:r>
        <w:rPr>
          <w:rFonts w:hint="eastAsia"/>
          <w:sz w:val="24"/>
          <w:u w:val="none"/>
          <w:lang w:val="en-US" w:eastAsia="zh-CN"/>
        </w:rPr>
        <w:instrText xml:space="preserve"> = 3 \* ROMAN \* MERGEFORMAT </w:instrText>
      </w:r>
      <w:r>
        <w:rPr>
          <w:rFonts w:hint="eastAsia"/>
          <w:sz w:val="24"/>
          <w:u w:val="none"/>
          <w:lang w:val="en-US" w:eastAsia="zh-CN"/>
        </w:rPr>
        <w:fldChar w:fldCharType="separate"/>
      </w:r>
      <w:r>
        <w:rPr>
          <w:rFonts w:hint="eastAsia"/>
          <w:sz w:val="24"/>
          <w:u w:val="none"/>
          <w:lang w:val="en-US" w:eastAsia="zh-CN"/>
        </w:rPr>
        <w:t>III</w:t>
      </w:r>
      <w:r>
        <w:rPr>
          <w:rFonts w:hint="eastAsia"/>
          <w:sz w:val="24"/>
          <w:u w:val="none"/>
          <w:lang w:val="en-US" w:eastAsia="zh-CN"/>
        </w:rPr>
        <w:fldChar w:fldCharType="end"/>
      </w:r>
      <w:r>
        <w:rPr>
          <w:rFonts w:hint="eastAsia"/>
          <w:sz w:val="24"/>
          <w:u w:val="none"/>
          <w:lang w:val="en-US" w:eastAsia="zh-CN"/>
        </w:rPr>
        <w:t>类标准限值要求，评价区域地下水水质良好</w:t>
      </w:r>
      <w:r>
        <w:rPr>
          <w:sz w:val="24"/>
          <w:u w:val="none"/>
        </w:rPr>
        <w:t>。</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13.3.4声环境现状</w:t>
      </w:r>
    </w:p>
    <w:p>
      <w:pPr>
        <w:spacing w:line="360" w:lineRule="auto"/>
        <w:ind w:firstLine="480" w:firstLineChars="200"/>
        <w:jc w:val="left"/>
        <w:rPr>
          <w:sz w:val="24"/>
          <w:u w:val="none"/>
        </w:rPr>
      </w:pPr>
      <w:r>
        <w:rPr>
          <w:sz w:val="24"/>
          <w:u w:val="none"/>
        </w:rPr>
        <w:t>根据监测，项目各厂届噪声监测值满足《声环境质量标准》（GB3096-2008）</w:t>
      </w:r>
      <w:r>
        <w:rPr>
          <w:rFonts w:hint="eastAsia"/>
          <w:sz w:val="24"/>
          <w:u w:val="none"/>
          <w:lang w:val="en-US" w:eastAsia="zh-CN"/>
        </w:rPr>
        <w:t>2</w:t>
      </w:r>
      <w:r>
        <w:rPr>
          <w:sz w:val="24"/>
          <w:u w:val="none"/>
        </w:rPr>
        <w:t>类标准限值要求，区域声环境质量良好。</w:t>
      </w:r>
    </w:p>
    <w:p>
      <w:pPr>
        <w:spacing w:line="360" w:lineRule="auto"/>
        <w:ind w:firstLine="482" w:firstLineChars="200"/>
        <w:jc w:val="left"/>
        <w:rPr>
          <w:rFonts w:hint="eastAsia"/>
          <w:b/>
          <w:bCs/>
          <w:sz w:val="24"/>
          <w:u w:val="none"/>
          <w:lang w:val="en-US" w:eastAsia="zh-CN"/>
        </w:rPr>
      </w:pPr>
      <w:r>
        <w:rPr>
          <w:rFonts w:hint="eastAsia"/>
          <w:b/>
          <w:bCs/>
          <w:sz w:val="24"/>
          <w:u w:val="none"/>
          <w:lang w:val="en-US" w:eastAsia="zh-CN"/>
        </w:rPr>
        <w:t>13.3.5土壤现状</w:t>
      </w:r>
    </w:p>
    <w:p>
      <w:pPr>
        <w:spacing w:line="360" w:lineRule="auto"/>
        <w:ind w:firstLine="480" w:firstLineChars="200"/>
        <w:jc w:val="left"/>
        <w:rPr>
          <w:rFonts w:hint="default"/>
          <w:sz w:val="24"/>
          <w:u w:val="none"/>
          <w:lang w:val="en-US" w:eastAsia="zh-CN"/>
        </w:rPr>
      </w:pPr>
      <w:r>
        <w:rPr>
          <w:rFonts w:hint="eastAsia"/>
          <w:sz w:val="24"/>
          <w:u w:val="none"/>
          <w:lang w:val="en-US" w:eastAsia="zh-CN"/>
        </w:rPr>
        <w:t>根据现场监测结果评价可知，</w:t>
      </w:r>
      <w:r>
        <w:rPr>
          <w:rFonts w:hint="default"/>
          <w:sz w:val="24"/>
          <w:u w:val="none"/>
          <w:lang w:val="en-US" w:eastAsia="zh-CN"/>
        </w:rPr>
        <w:t>本项目土壤环境现状监测中各评价因子均满足相关标准要求。</w:t>
      </w:r>
    </w:p>
    <w:p>
      <w:pPr>
        <w:pStyle w:val="3"/>
        <w:rPr>
          <w:rFonts w:hint="eastAsia" w:ascii="Times New Roman" w:hAnsi="Times New Roman"/>
          <w:sz w:val="28"/>
          <w:szCs w:val="28"/>
          <w:u w:val="none"/>
          <w:lang w:val="en-US" w:eastAsia="zh-CN"/>
        </w:rPr>
      </w:pPr>
      <w:bookmarkStart w:id="114" w:name="_Toc25891"/>
      <w:r>
        <w:rPr>
          <w:rFonts w:hint="eastAsia" w:ascii="Times New Roman" w:hAnsi="Times New Roman"/>
          <w:sz w:val="28"/>
          <w:szCs w:val="28"/>
          <w:u w:val="none"/>
          <w:lang w:val="en-US" w:eastAsia="zh-CN"/>
        </w:rPr>
        <w:t>13.4环保措施及环境影响结论</w:t>
      </w:r>
      <w:bookmarkEnd w:id="114"/>
    </w:p>
    <w:p>
      <w:pPr>
        <w:adjustRightInd w:val="0"/>
        <w:snapToGrid w:val="0"/>
        <w:spacing w:line="360" w:lineRule="auto"/>
        <w:ind w:firstLine="573"/>
        <w:jc w:val="left"/>
        <w:rPr>
          <w:rFonts w:hint="eastAsia" w:cs="Times New Roman"/>
          <w:b/>
          <w:sz w:val="24"/>
          <w:u w:val="none"/>
          <w:lang w:val="en-US" w:eastAsia="zh-CN"/>
        </w:rPr>
      </w:pPr>
      <w:r>
        <w:rPr>
          <w:rFonts w:hint="eastAsia" w:cs="Times New Roman"/>
          <w:b/>
          <w:sz w:val="24"/>
          <w:u w:val="none"/>
          <w:lang w:val="en-US" w:eastAsia="zh-CN"/>
        </w:rPr>
        <w:t>13.4.1废气治理措施及环境影响结论</w:t>
      </w:r>
    </w:p>
    <w:p>
      <w:pPr>
        <w:spacing w:line="360" w:lineRule="auto"/>
        <w:ind w:firstLine="480" w:firstLineChars="200"/>
        <w:jc w:val="left"/>
        <w:rPr>
          <w:rFonts w:hint="eastAsia"/>
          <w:sz w:val="24"/>
          <w:u w:val="none"/>
          <w:lang w:val="en-US" w:eastAsia="zh-CN"/>
        </w:rPr>
      </w:pPr>
      <w:r>
        <w:rPr>
          <w:rFonts w:hint="eastAsia"/>
          <w:sz w:val="24"/>
          <w:u w:val="none"/>
          <w:lang w:val="en-US" w:eastAsia="zh-CN"/>
        </w:rPr>
        <w:t>本项目冷藏库、破碎及微波消毒废气经冷旋流塔处理后，再通过过滤膜（≤0.2μm）+UV光催化氧化+活性炭吸附装置处理后通过15m排气筒高空排放。医废处置车间恶臭：少量未收集废气通过加强通排风的方式外排；车辆尾气：选用合格油品，加强车辆保养，自然扩散；发电机烟气：利用发电机自带烟气净化装置处理后外排。</w:t>
      </w:r>
    </w:p>
    <w:p>
      <w:pPr>
        <w:spacing w:line="360" w:lineRule="auto"/>
        <w:ind w:firstLine="480" w:firstLineChars="200"/>
        <w:jc w:val="left"/>
        <w:rPr>
          <w:rFonts w:hint="eastAsia"/>
          <w:sz w:val="24"/>
          <w:u w:val="none"/>
          <w:lang w:val="en-US" w:eastAsia="zh-CN"/>
        </w:rPr>
      </w:pPr>
      <w:r>
        <w:rPr>
          <w:rFonts w:hint="eastAsia"/>
          <w:sz w:val="24"/>
          <w:u w:val="none"/>
          <w:lang w:val="en-US" w:eastAsia="zh-CN"/>
        </w:rPr>
        <w:t>根据预测结果可知，本项目在采取上述措施后，项目运营期间废气对周围环境造成的影响可接受。</w:t>
      </w:r>
    </w:p>
    <w:p>
      <w:pPr>
        <w:pStyle w:val="71"/>
        <w:rPr>
          <w:rFonts w:hint="eastAsia" w:cs="Times New Roman"/>
          <w:b/>
          <w:sz w:val="24"/>
          <w:u w:val="none"/>
          <w:lang w:val="en-US" w:eastAsia="zh-CN"/>
        </w:rPr>
      </w:pPr>
      <w:r>
        <w:rPr>
          <w:rFonts w:hint="eastAsia" w:cs="Times New Roman"/>
          <w:b/>
          <w:sz w:val="24"/>
          <w:u w:val="none"/>
          <w:lang w:val="en-US" w:eastAsia="zh-CN"/>
        </w:rPr>
        <w:t>14.4.2废水治理措施及环境影响结论</w:t>
      </w:r>
    </w:p>
    <w:p>
      <w:pPr>
        <w:pStyle w:val="71"/>
        <w:rPr>
          <w:rFonts w:hint="eastAsia"/>
          <w:sz w:val="24"/>
          <w:u w:val="none"/>
          <w:lang w:val="en-US" w:eastAsia="zh-CN"/>
        </w:rPr>
      </w:pPr>
      <w:r>
        <w:rPr>
          <w:rFonts w:hint="eastAsia"/>
          <w:sz w:val="24"/>
          <w:u w:val="none"/>
          <w:lang w:val="en-US" w:eastAsia="zh-CN"/>
        </w:rPr>
        <w:t>项目采取雨污分流，设置截留沟和厂区污水处理站。厂区污水处理站采用“调节+MBR+微滤+消毒”工艺进行废水处理。本项目废水集中收集后，排入厂区污水处理站处理后回用；当预下雨天，初期雨水排入污水处理站处理时出水回用不完时，出水由密闭罐车运至旺苍县污水处理站处理达标后外排至东河。</w:t>
      </w:r>
    </w:p>
    <w:p>
      <w:pPr>
        <w:pStyle w:val="71"/>
        <w:rPr>
          <w:rFonts w:hint="eastAsia"/>
          <w:sz w:val="24"/>
          <w:u w:val="none"/>
          <w:lang w:val="en-US" w:eastAsia="zh-CN"/>
        </w:rPr>
      </w:pPr>
      <w:r>
        <w:rPr>
          <w:rFonts w:hint="eastAsia"/>
          <w:sz w:val="24"/>
          <w:u w:val="none"/>
          <w:lang w:val="en-US" w:eastAsia="zh-CN"/>
        </w:rPr>
        <w:t>采取上述措施，项目运营期间废水对周围环境造成影响可接受。</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13.4.3噪声</w:t>
      </w:r>
    </w:p>
    <w:p>
      <w:pPr>
        <w:adjustRightInd w:val="0"/>
        <w:snapToGrid w:val="0"/>
        <w:spacing w:line="360" w:lineRule="auto"/>
        <w:ind w:firstLine="573"/>
        <w:jc w:val="left"/>
        <w:rPr>
          <w:sz w:val="24"/>
          <w:u w:val="none"/>
        </w:rPr>
      </w:pPr>
      <w:r>
        <w:rPr>
          <w:rFonts w:hint="eastAsia"/>
          <w:sz w:val="24"/>
          <w:u w:val="none"/>
        </w:rPr>
        <w:t>通过选用低</w:t>
      </w:r>
      <w:r>
        <w:rPr>
          <w:sz w:val="24"/>
          <w:u w:val="none"/>
        </w:rPr>
        <w:t>噪声设备、</w:t>
      </w:r>
      <w:r>
        <w:rPr>
          <w:rFonts w:hint="eastAsia"/>
          <w:sz w:val="24"/>
          <w:u w:val="none"/>
        </w:rPr>
        <w:t>采取合理布置、基座固定、增加</w:t>
      </w:r>
      <w:r>
        <w:rPr>
          <w:sz w:val="24"/>
          <w:u w:val="none"/>
        </w:rPr>
        <w:t>软性垫层</w:t>
      </w:r>
      <w:r>
        <w:rPr>
          <w:rFonts w:hint="eastAsia"/>
          <w:sz w:val="24"/>
          <w:u w:val="none"/>
        </w:rPr>
        <w:t>减振、墙体隔声、绿化</w:t>
      </w:r>
      <w:r>
        <w:rPr>
          <w:sz w:val="24"/>
          <w:u w:val="none"/>
        </w:rPr>
        <w:t>吸声</w:t>
      </w:r>
      <w:r>
        <w:rPr>
          <w:rFonts w:hint="eastAsia"/>
          <w:sz w:val="24"/>
          <w:u w:val="none"/>
        </w:rPr>
        <w:t>等治理措施，项目</w:t>
      </w:r>
      <w:r>
        <w:rPr>
          <w:sz w:val="24"/>
          <w:u w:val="none"/>
        </w:rPr>
        <w:t>运营期间噪声满足</w:t>
      </w:r>
      <w:r>
        <w:rPr>
          <w:rFonts w:hint="eastAsia"/>
          <w:sz w:val="24"/>
          <w:u w:val="none"/>
        </w:rPr>
        <w:t>场界达标的</w:t>
      </w:r>
      <w:r>
        <w:rPr>
          <w:sz w:val="24"/>
          <w:u w:val="none"/>
        </w:rPr>
        <w:t>要求</w:t>
      </w:r>
      <w:r>
        <w:rPr>
          <w:rFonts w:hint="eastAsia"/>
          <w:sz w:val="24"/>
          <w:u w:val="none"/>
        </w:rPr>
        <w:t>。</w:t>
      </w:r>
    </w:p>
    <w:p>
      <w:pPr>
        <w:adjustRightInd w:val="0"/>
        <w:snapToGrid w:val="0"/>
        <w:spacing w:line="360" w:lineRule="auto"/>
        <w:ind w:firstLine="573"/>
        <w:jc w:val="left"/>
        <w:rPr>
          <w:rFonts w:hint="eastAsia"/>
          <w:sz w:val="24"/>
          <w:u w:val="none"/>
        </w:rPr>
      </w:pPr>
      <w:r>
        <w:rPr>
          <w:rFonts w:hint="eastAsia"/>
          <w:sz w:val="24"/>
          <w:u w:val="none"/>
        </w:rPr>
        <w:t>项目</w:t>
      </w:r>
      <w:r>
        <w:rPr>
          <w:sz w:val="24"/>
          <w:u w:val="none"/>
        </w:rPr>
        <w:t>运营期噪声满足</w:t>
      </w:r>
      <w:r>
        <w:rPr>
          <w:rFonts w:hint="eastAsia"/>
          <w:sz w:val="24"/>
          <w:u w:val="none"/>
        </w:rPr>
        <w:t>场界</w:t>
      </w:r>
      <w:r>
        <w:rPr>
          <w:sz w:val="24"/>
          <w:u w:val="none"/>
        </w:rPr>
        <w:t>达标要求，其项目厂界</w:t>
      </w:r>
      <w:r>
        <w:rPr>
          <w:rFonts w:hint="eastAsia"/>
          <w:sz w:val="24"/>
          <w:u w:val="none"/>
        </w:rPr>
        <w:t>200</w:t>
      </w:r>
      <w:r>
        <w:rPr>
          <w:sz w:val="24"/>
          <w:u w:val="none"/>
        </w:rPr>
        <w:t>m范围无居民居住，项目运营期间不</w:t>
      </w:r>
      <w:r>
        <w:rPr>
          <w:rFonts w:hint="eastAsia"/>
          <w:sz w:val="24"/>
          <w:u w:val="none"/>
        </w:rPr>
        <w:t>会</w:t>
      </w:r>
      <w:r>
        <w:rPr>
          <w:sz w:val="24"/>
          <w:u w:val="none"/>
        </w:rPr>
        <w:t>对项目所在区域声环境造成影响。</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13.4.4固体废物</w:t>
      </w:r>
    </w:p>
    <w:p>
      <w:pPr>
        <w:adjustRightInd w:val="0"/>
        <w:snapToGrid w:val="0"/>
        <w:spacing w:line="360" w:lineRule="auto"/>
        <w:ind w:firstLine="573"/>
        <w:jc w:val="left"/>
        <w:rPr>
          <w:rFonts w:hint="eastAsia"/>
          <w:color w:val="000000"/>
          <w:sz w:val="24"/>
          <w:u w:val="none"/>
          <w:lang w:eastAsia="zh-CN"/>
        </w:rPr>
      </w:pPr>
      <w:r>
        <w:rPr>
          <w:rFonts w:hint="eastAsia"/>
          <w:color w:val="000000"/>
          <w:sz w:val="24"/>
          <w:u w:val="none"/>
          <w:lang w:eastAsia="zh-CN"/>
        </w:rPr>
        <w:t>经微波消毒处置后医废残渣，密闭运输至旺苍县垃圾填埋场或广元市垃圾发电厂进行最终处置；医疗废物转运过程中产生的废手套口罩和破损周转箱，以及废气废水治理过程中产生的废污泥、废过滤膜等危险废物集中收集，暂存于危废间，同医疗废物一并经微波消毒系统处置，处置后的残渣密闭运输至旺苍县垃圾填埋场或广元市垃圾发电厂进行最终处置；废气治理过程中产生的废活性炭暂存于危废间内，定期送有资质单位处理处置；生活垃圾由垃圾袋收集后，暂存于厂内生活垃圾暂存点内，定期交由环卫部门清运处置。</w:t>
      </w:r>
    </w:p>
    <w:p>
      <w:pPr>
        <w:adjustRightInd w:val="0"/>
        <w:snapToGrid w:val="0"/>
        <w:spacing w:line="360" w:lineRule="auto"/>
        <w:ind w:firstLine="573"/>
        <w:jc w:val="left"/>
        <w:rPr>
          <w:color w:val="000000"/>
          <w:sz w:val="24"/>
          <w:u w:val="none"/>
        </w:rPr>
      </w:pPr>
      <w:r>
        <w:rPr>
          <w:rFonts w:hint="eastAsia"/>
          <w:color w:val="000000"/>
          <w:sz w:val="24"/>
          <w:u w:val="none"/>
          <w:lang w:eastAsia="zh-CN"/>
        </w:rPr>
        <w:t>本项目在采取上述措施后，项目运营期间所产生的固废不会对周围环境造成影响。</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13.4.5地下水和土壤污染防治</w:t>
      </w:r>
    </w:p>
    <w:p>
      <w:pPr>
        <w:adjustRightInd w:val="0"/>
        <w:snapToGrid w:val="0"/>
        <w:spacing w:line="360" w:lineRule="auto"/>
        <w:ind w:firstLine="573"/>
        <w:jc w:val="left"/>
        <w:rPr>
          <w:rFonts w:hint="eastAsia" w:eastAsia="宋体"/>
          <w:color w:val="000000"/>
          <w:sz w:val="24"/>
          <w:u w:val="none"/>
          <w:lang w:eastAsia="zh-CN"/>
        </w:rPr>
      </w:pPr>
      <w:r>
        <w:rPr>
          <w:rFonts w:hint="eastAsia"/>
          <w:color w:val="000000"/>
          <w:sz w:val="24"/>
          <w:u w:val="none"/>
        </w:rPr>
        <w:t>建设单位在严格执行了“源头控制、分区防治、污染监控”并做好风险防范措施后，运营期对区域地下水环境满足《地下水质量标准》（GB/T14848-2017）III类限值。通过采取可靠的防渗措施，能够杜绝项目废水排放污染隐患对地下水和土壤的污染，不会对项目所在地的地下水和土壤环境造成环境影响</w:t>
      </w:r>
      <w:r>
        <w:rPr>
          <w:color w:val="000000"/>
          <w:sz w:val="24"/>
          <w:u w:val="none"/>
        </w:rPr>
        <w:t>。</w:t>
      </w:r>
    </w:p>
    <w:p>
      <w:pPr>
        <w:adjustRightInd w:val="0"/>
        <w:snapToGrid w:val="0"/>
        <w:spacing w:line="360" w:lineRule="auto"/>
        <w:ind w:firstLine="573"/>
        <w:jc w:val="left"/>
        <w:rPr>
          <w:color w:val="000000"/>
          <w:sz w:val="24"/>
          <w:u w:val="none"/>
        </w:rPr>
      </w:pPr>
      <w:r>
        <w:rPr>
          <w:color w:val="000000"/>
          <w:sz w:val="24"/>
          <w:u w:val="none"/>
        </w:rPr>
        <w:t>综上，</w:t>
      </w:r>
      <w:r>
        <w:rPr>
          <w:rFonts w:hint="eastAsia"/>
          <w:color w:val="000000"/>
          <w:sz w:val="24"/>
          <w:u w:val="none"/>
          <w:lang w:eastAsia="zh-CN"/>
        </w:rPr>
        <w:t>本</w:t>
      </w:r>
      <w:r>
        <w:rPr>
          <w:color w:val="000000"/>
          <w:sz w:val="24"/>
          <w:u w:val="none"/>
        </w:rPr>
        <w:t>项目对</w:t>
      </w:r>
      <w:r>
        <w:rPr>
          <w:rFonts w:hint="eastAsia"/>
          <w:color w:val="000000"/>
          <w:sz w:val="24"/>
          <w:u w:val="none"/>
          <w:lang w:eastAsia="zh-CN"/>
        </w:rPr>
        <w:t>全厂实施分区防渗处理后，对地下水和土壤环境影响较小。</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13.4.6环境风险结论</w:t>
      </w:r>
    </w:p>
    <w:p>
      <w:pPr>
        <w:adjustRightInd w:val="0"/>
        <w:snapToGrid w:val="0"/>
        <w:spacing w:line="360" w:lineRule="auto"/>
        <w:ind w:firstLine="573"/>
        <w:jc w:val="left"/>
        <w:rPr>
          <w:color w:val="000000"/>
          <w:sz w:val="24"/>
          <w:u w:val="none"/>
        </w:rPr>
      </w:pPr>
      <w:r>
        <w:rPr>
          <w:color w:val="000000"/>
          <w:sz w:val="24"/>
          <w:u w:val="none"/>
        </w:rPr>
        <w:t>本项目建成后，只要不断加强环境管理和生产安全，对每一个环节特别是危险物品落实风险防范措施和应急措施，可以避免环境风险事故的发生，一旦发生环境风险事故，也可将危害降到最低程度。需要指出的是，项目生产还是存在有一定的环境风险事故，划定的安全防护距离应根据项目安全评价报告为准。本项目使用的危险化学品主要为易燃品，其储存量较小，不构成重大危险源；风险分析表明，公司通过采取一系列的风险防范措施，同时制定相应的事故应急预案，可有效地降低危险化学品的使用风险，能够使项目风险水平降低至可接受程度。</w:t>
      </w:r>
    </w:p>
    <w:p>
      <w:pPr>
        <w:pStyle w:val="3"/>
        <w:rPr>
          <w:rFonts w:hint="eastAsia" w:ascii="Times New Roman" w:hAnsi="Times New Roman"/>
          <w:sz w:val="28"/>
          <w:szCs w:val="28"/>
          <w:u w:val="none"/>
          <w:lang w:val="en-US" w:eastAsia="zh-CN"/>
        </w:rPr>
      </w:pPr>
      <w:bookmarkStart w:id="115" w:name="_Toc10311"/>
      <w:r>
        <w:rPr>
          <w:rFonts w:hint="eastAsia" w:ascii="Times New Roman" w:hAnsi="Times New Roman"/>
          <w:sz w:val="28"/>
          <w:szCs w:val="28"/>
          <w:u w:val="none"/>
          <w:lang w:val="en-US" w:eastAsia="zh-CN"/>
        </w:rPr>
        <w:t>13.5总量控制</w:t>
      </w:r>
      <w:bookmarkEnd w:id="115"/>
    </w:p>
    <w:p>
      <w:pPr>
        <w:pStyle w:val="71"/>
        <w:rPr>
          <w:rFonts w:hint="eastAsia"/>
          <w:sz w:val="24"/>
          <w:u w:val="none"/>
          <w:lang w:val="en-US" w:eastAsia="zh-CN"/>
        </w:rPr>
      </w:pPr>
      <w:r>
        <w:rPr>
          <w:rFonts w:hint="eastAsia"/>
          <w:sz w:val="24"/>
          <w:u w:val="none"/>
          <w:lang w:val="en-US" w:eastAsia="zh-CN"/>
        </w:rPr>
        <w:t>本项目污染物排放总量控制指标汇总见下表。</w:t>
      </w:r>
    </w:p>
    <w:p>
      <w:pPr>
        <w:pStyle w:val="352"/>
        <w:bidi w:val="0"/>
        <w:rPr>
          <w:rFonts w:hint="eastAsia"/>
          <w:lang w:val="en-US" w:eastAsia="zh-CN"/>
        </w:rPr>
      </w:pPr>
      <w:r>
        <w:rPr>
          <w:rFonts w:hint="eastAsia"/>
          <w:lang w:val="en-US" w:eastAsia="zh-CN"/>
        </w:rPr>
        <w:t>表13-1  项目总量控制指标汇总表</w:t>
      </w:r>
    </w:p>
    <w:tbl>
      <w:tblPr>
        <w:tblStyle w:val="59"/>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341"/>
        <w:gridCol w:w="806"/>
        <w:gridCol w:w="1694"/>
        <w:gridCol w:w="3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55"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类别</w:t>
            </w:r>
          </w:p>
        </w:tc>
        <w:tc>
          <w:tcPr>
            <w:tcW w:w="2341"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污染物</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单位</w:t>
            </w:r>
          </w:p>
        </w:tc>
        <w:tc>
          <w:tcPr>
            <w:tcW w:w="1694"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申请排放总量</w:t>
            </w:r>
          </w:p>
        </w:tc>
        <w:tc>
          <w:tcPr>
            <w:tcW w:w="3768" w:type="dxa"/>
            <w:vAlign w:val="center"/>
          </w:tcPr>
          <w:p>
            <w:pPr>
              <w:pStyle w:val="352"/>
              <w:keepNext w:val="0"/>
              <w:keepLines w:val="0"/>
              <w:suppressLineNumbers w:val="0"/>
              <w:spacing w:before="0" w:beforeAutospacing="0" w:after="0" w:afterAutospacing="0"/>
              <w:ind w:left="0" w:right="0"/>
              <w:jc w:val="center"/>
              <w:rPr>
                <w:rFonts w:hint="eastAsia"/>
                <w:b/>
                <w:bCs/>
                <w:u w:val="none"/>
                <w:lang w:val="en-US" w:eastAsia="zh-CN"/>
              </w:rPr>
            </w:pPr>
            <w:r>
              <w:rPr>
                <w:rFonts w:hint="eastAsia"/>
                <w:b/>
                <w:bCs/>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废气</w:t>
            </w:r>
          </w:p>
        </w:tc>
        <w:tc>
          <w:tcPr>
            <w:tcW w:w="2341"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VOCs</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0.0858</w:t>
            </w:r>
          </w:p>
        </w:tc>
        <w:tc>
          <w:tcPr>
            <w:tcW w:w="3768"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restart"/>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废水</w:t>
            </w:r>
          </w:p>
        </w:tc>
        <w:tc>
          <w:tcPr>
            <w:tcW w:w="2341"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COD</w:t>
            </w:r>
            <w:r>
              <w:rPr>
                <w:rFonts w:hint="eastAsia"/>
                <w:b w:val="0"/>
                <w:bCs/>
                <w:u w:val="none"/>
                <w:vertAlign w:val="subscript"/>
                <w:lang w:val="en-US" w:eastAsia="zh-CN"/>
              </w:rPr>
              <w:t>5</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3768" w:type="dxa"/>
            <w:vMerge w:val="restart"/>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本项目废水不外排，不需申请总量指标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c>
          <w:tcPr>
            <w:tcW w:w="2341"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NH</w:t>
            </w:r>
            <w:r>
              <w:rPr>
                <w:rFonts w:hint="eastAsia"/>
                <w:b w:val="0"/>
                <w:bCs/>
                <w:u w:val="none"/>
                <w:vertAlign w:val="subscript"/>
                <w:lang w:val="en-US" w:eastAsia="zh-CN"/>
              </w:rPr>
              <w:t>3</w:t>
            </w:r>
            <w:r>
              <w:rPr>
                <w:rFonts w:hint="eastAsia"/>
                <w:b w:val="0"/>
                <w:bCs/>
                <w:u w:val="none"/>
                <w:lang w:val="en-US" w:eastAsia="zh-CN"/>
              </w:rPr>
              <w:t>-N</w:t>
            </w:r>
          </w:p>
        </w:tc>
        <w:tc>
          <w:tcPr>
            <w:tcW w:w="806" w:type="dxa"/>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r>
              <w:rPr>
                <w:rFonts w:hint="eastAsia"/>
                <w:b w:val="0"/>
                <w:bCs/>
                <w:u w:val="none"/>
                <w:lang w:val="en-US" w:eastAsia="zh-CN"/>
              </w:rPr>
              <w:t>t/a</w:t>
            </w:r>
          </w:p>
        </w:tc>
        <w:tc>
          <w:tcPr>
            <w:tcW w:w="1694" w:type="dxa"/>
            <w:vAlign w:val="center"/>
          </w:tcPr>
          <w:p>
            <w:pPr>
              <w:pStyle w:val="352"/>
              <w:keepNext w:val="0"/>
              <w:keepLines w:val="0"/>
              <w:suppressLineNumbers w:val="0"/>
              <w:spacing w:before="0" w:beforeAutospacing="0" w:after="0" w:afterAutospacing="0"/>
              <w:ind w:left="0" w:right="0"/>
              <w:jc w:val="center"/>
              <w:rPr>
                <w:rFonts w:hint="default"/>
                <w:b w:val="0"/>
                <w:bCs/>
                <w:u w:val="none"/>
                <w:lang w:val="en-US" w:eastAsia="zh-CN"/>
              </w:rPr>
            </w:pPr>
            <w:r>
              <w:rPr>
                <w:rFonts w:hint="eastAsia"/>
                <w:b w:val="0"/>
                <w:bCs/>
                <w:u w:val="none"/>
                <w:lang w:val="en-US" w:eastAsia="zh-CN"/>
              </w:rPr>
              <w:t>/</w:t>
            </w:r>
          </w:p>
        </w:tc>
        <w:tc>
          <w:tcPr>
            <w:tcW w:w="3768" w:type="dxa"/>
            <w:vMerge w:val="continue"/>
            <w:vAlign w:val="center"/>
          </w:tcPr>
          <w:p>
            <w:pPr>
              <w:pStyle w:val="352"/>
              <w:keepNext w:val="0"/>
              <w:keepLines w:val="0"/>
              <w:suppressLineNumbers w:val="0"/>
              <w:spacing w:before="0" w:beforeAutospacing="0" w:after="0" w:afterAutospacing="0"/>
              <w:ind w:left="0" w:right="0"/>
              <w:jc w:val="center"/>
              <w:rPr>
                <w:rFonts w:hint="eastAsia"/>
                <w:b w:val="0"/>
                <w:bCs/>
                <w:u w:val="none"/>
                <w:lang w:val="en-US" w:eastAsia="zh-CN"/>
              </w:rPr>
            </w:pPr>
          </w:p>
        </w:tc>
      </w:tr>
    </w:tbl>
    <w:p>
      <w:pPr>
        <w:pStyle w:val="3"/>
        <w:rPr>
          <w:rFonts w:hint="eastAsia" w:ascii="Times New Roman" w:hAnsi="Times New Roman"/>
          <w:sz w:val="28"/>
          <w:szCs w:val="28"/>
          <w:u w:val="none"/>
          <w:lang w:val="en-US" w:eastAsia="zh-CN"/>
        </w:rPr>
      </w:pPr>
      <w:bookmarkStart w:id="116" w:name="_Toc30932"/>
      <w:r>
        <w:rPr>
          <w:rFonts w:hint="eastAsia" w:ascii="Times New Roman" w:hAnsi="Times New Roman"/>
          <w:sz w:val="28"/>
          <w:szCs w:val="28"/>
          <w:u w:val="none"/>
          <w:lang w:val="en-US" w:eastAsia="zh-CN"/>
        </w:rPr>
        <w:t>13.6公众参与</w:t>
      </w:r>
      <w:bookmarkEnd w:id="116"/>
    </w:p>
    <w:p>
      <w:pPr>
        <w:adjustRightInd w:val="0"/>
        <w:snapToGrid w:val="0"/>
        <w:spacing w:line="360" w:lineRule="auto"/>
        <w:ind w:firstLine="573"/>
        <w:jc w:val="left"/>
        <w:rPr>
          <w:sz w:val="24"/>
          <w:u w:val="none"/>
        </w:rPr>
      </w:pPr>
      <w:r>
        <w:rPr>
          <w:sz w:val="24"/>
          <w:u w:val="none"/>
        </w:rPr>
        <w:t>项目公众参与意见调查采用网络媒体公示和发放调查表格两种方式。</w:t>
      </w:r>
    </w:p>
    <w:p>
      <w:pPr>
        <w:adjustRightInd w:val="0"/>
        <w:snapToGrid w:val="0"/>
        <w:spacing w:line="360" w:lineRule="auto"/>
        <w:ind w:firstLine="573"/>
        <w:jc w:val="left"/>
        <w:rPr>
          <w:sz w:val="24"/>
          <w:u w:val="none"/>
        </w:rPr>
      </w:pPr>
      <w:r>
        <w:rPr>
          <w:rFonts w:hint="eastAsia"/>
          <w:sz w:val="24"/>
          <w:u w:val="none"/>
          <w:lang w:eastAsia="zh-CN"/>
        </w:rPr>
        <w:t>旺苍县卫生健康局</w:t>
      </w:r>
      <w:r>
        <w:rPr>
          <w:sz w:val="24"/>
          <w:u w:val="none"/>
        </w:rPr>
        <w:t>在</w:t>
      </w:r>
      <w:r>
        <w:rPr>
          <w:rFonts w:asciiTheme="minorEastAsia" w:hAnsiTheme="minorEastAsia" w:eastAsiaTheme="minorEastAsia"/>
          <w:sz w:val="24"/>
          <w:u w:val="none"/>
        </w:rPr>
        <w:t>“</w:t>
      </w:r>
      <w:r>
        <w:rPr>
          <w:rFonts w:hint="eastAsia" w:asciiTheme="minorEastAsia" w:hAnsiTheme="minorEastAsia" w:eastAsiaTheme="minorEastAsia"/>
          <w:sz w:val="24"/>
          <w:u w:val="none"/>
          <w:lang w:eastAsia="zh-CN"/>
        </w:rPr>
        <w:t>旺苍县人民政府网</w:t>
      </w:r>
      <w:r>
        <w:rPr>
          <w:rFonts w:asciiTheme="minorEastAsia" w:hAnsiTheme="minorEastAsia" w:eastAsiaTheme="minorEastAsia"/>
          <w:sz w:val="24"/>
          <w:u w:val="none"/>
        </w:rPr>
        <w:t>”</w:t>
      </w:r>
      <w:r>
        <w:rPr>
          <w:rFonts w:hint="eastAsia" w:asciiTheme="minorEastAsia" w:hAnsiTheme="minorEastAsia" w:eastAsiaTheme="minorEastAsia"/>
          <w:sz w:val="24"/>
          <w:u w:val="none"/>
          <w:lang w:eastAsia="zh-CN"/>
        </w:rPr>
        <w:t>上</w:t>
      </w:r>
      <w:r>
        <w:rPr>
          <w:sz w:val="24"/>
          <w:u w:val="none"/>
        </w:rPr>
        <w:t>对项目进行了环评第一次公示和第二次公示，持续时间各10个工作日，公示期间未收到公众的反对意见。</w:t>
      </w:r>
    </w:p>
    <w:p>
      <w:pPr>
        <w:adjustRightInd w:val="0"/>
        <w:snapToGrid w:val="0"/>
        <w:spacing w:line="360" w:lineRule="auto"/>
        <w:ind w:firstLine="573"/>
        <w:jc w:val="left"/>
        <w:rPr>
          <w:sz w:val="24"/>
          <w:u w:val="none"/>
        </w:rPr>
      </w:pPr>
      <w:r>
        <w:rPr>
          <w:rFonts w:hint="eastAsia"/>
          <w:sz w:val="24"/>
          <w:u w:val="none"/>
          <w:lang w:eastAsia="zh-CN"/>
        </w:rPr>
        <w:t>由公众参与意见调查可知</w:t>
      </w:r>
      <w:r>
        <w:rPr>
          <w:sz w:val="24"/>
          <w:u w:val="none"/>
        </w:rPr>
        <w:t>，</w:t>
      </w:r>
      <w:r>
        <w:rPr>
          <w:rFonts w:hint="eastAsia"/>
          <w:sz w:val="24"/>
          <w:u w:val="none"/>
          <w:lang w:eastAsia="zh-CN"/>
        </w:rPr>
        <w:t>本</w:t>
      </w:r>
      <w:r>
        <w:rPr>
          <w:sz w:val="24"/>
          <w:u w:val="none"/>
        </w:rPr>
        <w:t>项目的建设得到了当地群众的支持。</w:t>
      </w:r>
    </w:p>
    <w:p>
      <w:pPr>
        <w:pStyle w:val="3"/>
        <w:rPr>
          <w:rFonts w:hint="eastAsia" w:ascii="Times New Roman" w:hAnsi="Times New Roman"/>
          <w:sz w:val="28"/>
          <w:szCs w:val="28"/>
          <w:u w:val="none"/>
          <w:lang w:val="en-US" w:eastAsia="zh-CN"/>
        </w:rPr>
      </w:pPr>
      <w:bookmarkStart w:id="117" w:name="_Toc31920"/>
      <w:r>
        <w:rPr>
          <w:rFonts w:hint="eastAsia" w:ascii="Times New Roman" w:hAnsi="Times New Roman"/>
          <w:sz w:val="28"/>
          <w:szCs w:val="28"/>
          <w:u w:val="none"/>
          <w:lang w:val="en-US" w:eastAsia="zh-CN"/>
        </w:rPr>
        <w:t>13.9建设项目环境保护可行性结论</w:t>
      </w:r>
      <w:bookmarkEnd w:id="117"/>
    </w:p>
    <w:p>
      <w:pPr>
        <w:adjustRightInd w:val="0"/>
        <w:snapToGrid w:val="0"/>
        <w:spacing w:line="360" w:lineRule="auto"/>
        <w:ind w:firstLine="573"/>
        <w:jc w:val="left"/>
        <w:rPr>
          <w:rFonts w:hint="eastAsia" w:ascii="宋体" w:hAnsi="宋体" w:eastAsia="宋体" w:cs="宋体"/>
          <w:color w:val="000000"/>
          <w:sz w:val="24"/>
          <w:u w:val="none"/>
        </w:rPr>
      </w:pPr>
      <w:r>
        <w:rPr>
          <w:sz w:val="24"/>
          <w:u w:val="none"/>
        </w:rPr>
        <w:t>本项目贯彻</w:t>
      </w:r>
      <w:r>
        <w:rPr>
          <w:rFonts w:hint="eastAsia" w:ascii="宋体" w:hAnsi="宋体" w:eastAsia="宋体" w:cs="宋体"/>
          <w:sz w:val="24"/>
          <w:u w:val="none"/>
        </w:rPr>
        <w:t>了“清洁生产、总量控制、达标排放”的原则。建设项目采用国内先进设备、资源消耗、污染物产生指标较低，产品质量好，建设企业循环经济；在认</w:t>
      </w:r>
      <w:r>
        <w:rPr>
          <w:rFonts w:hint="eastAsia" w:ascii="宋体" w:hAnsi="宋体" w:eastAsia="宋体" w:cs="宋体"/>
          <w:color w:val="000000"/>
          <w:sz w:val="24"/>
          <w:u w:val="none"/>
        </w:rPr>
        <w:t>真落实各项环境保护措施后，污染物可以达标排放，并按当地环境管理部门下达的排放总量指标进行控制，对周围环境的影响是可以接受的，不会改变项目周围地区当前的大气、水、声环境质量的现状。在采取完善的安全防范措施，项目抗事故风险能力较强，环境风险水平是可以接受的。</w:t>
      </w:r>
    </w:p>
    <w:p>
      <w:pPr>
        <w:adjustRightInd w:val="0"/>
        <w:snapToGrid w:val="0"/>
        <w:spacing w:line="360" w:lineRule="auto"/>
        <w:ind w:firstLine="573"/>
        <w:jc w:val="left"/>
        <w:rPr>
          <w:sz w:val="24"/>
          <w:u w:val="none"/>
        </w:rPr>
      </w:pPr>
      <w:r>
        <w:rPr>
          <w:color w:val="000000"/>
          <w:sz w:val="24"/>
          <w:u w:val="none"/>
        </w:rPr>
        <w:t>建设单位严格落实</w:t>
      </w:r>
      <w:r>
        <w:rPr>
          <w:rFonts w:hint="eastAsia" w:ascii="宋体" w:hAnsi="宋体" w:eastAsia="宋体" w:cs="宋体"/>
          <w:color w:val="000000"/>
          <w:sz w:val="24"/>
          <w:u w:val="none"/>
        </w:rPr>
        <w:t>本次环评和工程设计提出的环保对策，严格执行“三同时”制度，在确保本项目产生的污染物达标排放并满足总量控制要求前提下，本项目在</w:t>
      </w:r>
      <w:r>
        <w:rPr>
          <w:rFonts w:hint="eastAsia" w:ascii="宋体" w:hAnsi="宋体" w:eastAsia="宋体" w:cs="宋体"/>
          <w:color w:val="000000"/>
          <w:sz w:val="24"/>
          <w:u w:val="none"/>
          <w:lang w:eastAsia="zh-CN"/>
        </w:rPr>
        <w:t>德阳经济技术开发区</w:t>
      </w:r>
      <w:r>
        <w:rPr>
          <w:rFonts w:hint="eastAsia" w:ascii="宋体" w:hAnsi="宋体" w:eastAsia="宋体" w:cs="宋体"/>
          <w:color w:val="000000"/>
          <w:sz w:val="24"/>
          <w:u w:val="none"/>
        </w:rPr>
        <w:t>范围内选址建设，从环境角度分析是可行的。</w:t>
      </w:r>
    </w:p>
    <w:p>
      <w:pPr>
        <w:pStyle w:val="3"/>
        <w:rPr>
          <w:rFonts w:hint="eastAsia" w:ascii="Times New Roman" w:hAnsi="Times New Roman"/>
          <w:sz w:val="28"/>
          <w:szCs w:val="28"/>
          <w:u w:val="none"/>
          <w:lang w:val="en-US" w:eastAsia="zh-CN"/>
        </w:rPr>
      </w:pPr>
      <w:bookmarkStart w:id="118" w:name="_Toc1605"/>
      <w:r>
        <w:rPr>
          <w:rFonts w:hint="eastAsia" w:ascii="Times New Roman" w:hAnsi="Times New Roman"/>
          <w:sz w:val="28"/>
          <w:szCs w:val="28"/>
          <w:u w:val="none"/>
          <w:lang w:val="en-US" w:eastAsia="zh-CN"/>
        </w:rPr>
        <w:t>13.10要求及建议</w:t>
      </w:r>
      <w:bookmarkEnd w:id="118"/>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13.10.1要求</w:t>
      </w:r>
    </w:p>
    <w:p>
      <w:pPr>
        <w:pStyle w:val="71"/>
        <w:rPr>
          <w:color w:val="000000"/>
          <w:sz w:val="24"/>
          <w:u w:val="none"/>
        </w:rPr>
      </w:pPr>
      <w:r>
        <w:rPr>
          <w:color w:val="000000"/>
          <w:sz w:val="24"/>
          <w:u w:val="none"/>
        </w:rPr>
        <w:t>1、</w:t>
      </w:r>
      <w:r>
        <w:rPr>
          <w:rFonts w:hint="eastAsia"/>
          <w:color w:val="000000"/>
          <w:sz w:val="24"/>
          <w:u w:val="none"/>
        </w:rPr>
        <w:t>明确</w:t>
      </w:r>
      <w:r>
        <w:rPr>
          <w:color w:val="000000"/>
          <w:sz w:val="24"/>
          <w:u w:val="none"/>
        </w:rPr>
        <w:t>项目废水末端治理措施，提出</w:t>
      </w:r>
      <w:r>
        <w:rPr>
          <w:rFonts w:hint="eastAsia"/>
          <w:color w:val="000000"/>
          <w:sz w:val="24"/>
          <w:u w:val="none"/>
        </w:rPr>
        <w:t>有效可行</w:t>
      </w:r>
      <w:r>
        <w:rPr>
          <w:color w:val="000000"/>
          <w:sz w:val="24"/>
          <w:u w:val="none"/>
        </w:rPr>
        <w:t>的处理措施，确保项目</w:t>
      </w:r>
      <w:r>
        <w:rPr>
          <w:rFonts w:hint="eastAsia"/>
          <w:color w:val="000000"/>
          <w:sz w:val="24"/>
          <w:u w:val="none"/>
        </w:rPr>
        <w:t>废水</w:t>
      </w:r>
      <w:r>
        <w:rPr>
          <w:color w:val="000000"/>
          <w:sz w:val="24"/>
          <w:u w:val="none"/>
        </w:rPr>
        <w:t>不会对项目所在区域地表水造成影响；</w:t>
      </w:r>
    </w:p>
    <w:p>
      <w:pPr>
        <w:pStyle w:val="71"/>
        <w:rPr>
          <w:color w:val="000000"/>
          <w:sz w:val="24"/>
          <w:u w:val="none"/>
        </w:rPr>
      </w:pPr>
      <w:r>
        <w:rPr>
          <w:rFonts w:hint="eastAsia"/>
          <w:color w:val="000000"/>
          <w:sz w:val="24"/>
          <w:u w:val="none"/>
          <w:lang w:val="en-US" w:eastAsia="zh-CN"/>
        </w:rPr>
        <w:t>2、</w:t>
      </w:r>
      <w:r>
        <w:rPr>
          <w:rFonts w:hint="eastAsia"/>
          <w:color w:val="000000"/>
          <w:sz w:val="24"/>
          <w:u w:val="none"/>
        </w:rPr>
        <w:t>建设</w:t>
      </w:r>
      <w:r>
        <w:rPr>
          <w:color w:val="000000"/>
          <w:sz w:val="24"/>
          <w:u w:val="none"/>
        </w:rPr>
        <w:t>单位应按照规范要求，</w:t>
      </w:r>
      <w:r>
        <w:rPr>
          <w:rFonts w:hint="eastAsia"/>
          <w:color w:val="000000"/>
          <w:sz w:val="24"/>
          <w:u w:val="none"/>
        </w:rPr>
        <w:t>对</w:t>
      </w:r>
      <w:r>
        <w:rPr>
          <w:color w:val="000000"/>
          <w:sz w:val="24"/>
          <w:u w:val="none"/>
        </w:rPr>
        <w:t>冷凝</w:t>
      </w:r>
      <w:r>
        <w:rPr>
          <w:rFonts w:hint="eastAsia"/>
          <w:color w:val="000000"/>
          <w:sz w:val="24"/>
          <w:u w:val="none"/>
        </w:rPr>
        <w:t>器</w:t>
      </w:r>
      <w:r>
        <w:rPr>
          <w:color w:val="000000"/>
          <w:sz w:val="24"/>
          <w:u w:val="none"/>
        </w:rPr>
        <w:t>产生的冷凝废水进行</w:t>
      </w:r>
      <w:r>
        <w:rPr>
          <w:rFonts w:hint="eastAsia"/>
          <w:color w:val="000000"/>
          <w:sz w:val="24"/>
          <w:u w:val="none"/>
        </w:rPr>
        <w:t>预</w:t>
      </w:r>
      <w:r>
        <w:rPr>
          <w:color w:val="000000"/>
          <w:sz w:val="24"/>
          <w:u w:val="none"/>
        </w:rPr>
        <w:t>消毒处理后再排入</w:t>
      </w:r>
      <w:r>
        <w:rPr>
          <w:rFonts w:hint="eastAsia"/>
          <w:color w:val="000000"/>
          <w:sz w:val="24"/>
          <w:u w:val="none"/>
        </w:rPr>
        <w:t>调剂池</w:t>
      </w:r>
      <w:r>
        <w:rPr>
          <w:color w:val="000000"/>
          <w:sz w:val="24"/>
          <w:u w:val="none"/>
        </w:rPr>
        <w:t>处理；</w:t>
      </w:r>
    </w:p>
    <w:p>
      <w:pPr>
        <w:pStyle w:val="71"/>
        <w:rPr>
          <w:color w:val="000000"/>
          <w:sz w:val="24"/>
          <w:u w:val="none"/>
        </w:rPr>
      </w:pPr>
      <w:r>
        <w:rPr>
          <w:rFonts w:hint="eastAsia"/>
          <w:color w:val="000000"/>
          <w:sz w:val="24"/>
          <w:u w:val="none"/>
          <w:lang w:val="en-US" w:eastAsia="zh-CN"/>
        </w:rPr>
        <w:t>3、</w:t>
      </w:r>
      <w:r>
        <w:rPr>
          <w:rFonts w:hint="eastAsia"/>
          <w:color w:val="000000"/>
          <w:sz w:val="24"/>
          <w:u w:val="none"/>
        </w:rPr>
        <w:t>加强环保</w:t>
      </w:r>
      <w:r>
        <w:rPr>
          <w:color w:val="000000"/>
          <w:sz w:val="24"/>
          <w:u w:val="none"/>
        </w:rPr>
        <w:t>治理措施管理，定期更换废气末端处理装置</w:t>
      </w:r>
      <w:r>
        <w:rPr>
          <w:rFonts w:hint="eastAsia"/>
          <w:color w:val="000000"/>
          <w:sz w:val="24"/>
          <w:u w:val="none"/>
        </w:rPr>
        <w:t>（活性炭</w:t>
      </w:r>
      <w:r>
        <w:rPr>
          <w:color w:val="000000"/>
          <w:sz w:val="24"/>
          <w:u w:val="none"/>
        </w:rPr>
        <w:t>、过滤膜</w:t>
      </w:r>
      <w:r>
        <w:rPr>
          <w:rFonts w:hint="eastAsia"/>
          <w:color w:val="000000"/>
          <w:sz w:val="24"/>
          <w:u w:val="none"/>
        </w:rPr>
        <w:t>），</w:t>
      </w:r>
      <w:r>
        <w:rPr>
          <w:color w:val="000000"/>
          <w:sz w:val="24"/>
          <w:u w:val="none"/>
        </w:rPr>
        <w:t>确保废气末端处理</w:t>
      </w:r>
      <w:r>
        <w:rPr>
          <w:rFonts w:hint="eastAsia"/>
          <w:color w:val="000000"/>
          <w:sz w:val="24"/>
          <w:u w:val="none"/>
        </w:rPr>
        <w:t>正常</w:t>
      </w:r>
      <w:r>
        <w:rPr>
          <w:color w:val="000000"/>
          <w:sz w:val="24"/>
          <w:u w:val="none"/>
        </w:rPr>
        <w:t>运行；</w:t>
      </w:r>
    </w:p>
    <w:p>
      <w:pPr>
        <w:pStyle w:val="71"/>
        <w:rPr>
          <w:color w:val="000000"/>
          <w:sz w:val="24"/>
          <w:u w:val="none"/>
        </w:rPr>
      </w:pPr>
      <w:r>
        <w:rPr>
          <w:rFonts w:hint="eastAsia"/>
          <w:color w:val="000000"/>
          <w:sz w:val="24"/>
          <w:u w:val="none"/>
          <w:lang w:val="en-US" w:eastAsia="zh-CN"/>
        </w:rPr>
        <w:t>4、</w:t>
      </w:r>
      <w:r>
        <w:rPr>
          <w:rFonts w:hint="eastAsia"/>
          <w:color w:val="000000"/>
          <w:sz w:val="24"/>
          <w:u w:val="none"/>
        </w:rPr>
        <w:t>定期对</w:t>
      </w:r>
      <w:r>
        <w:rPr>
          <w:color w:val="000000"/>
          <w:sz w:val="24"/>
          <w:u w:val="none"/>
        </w:rPr>
        <w:t>冷凝设备维护，保证设备</w:t>
      </w:r>
      <w:r>
        <w:rPr>
          <w:rFonts w:hint="eastAsia"/>
          <w:color w:val="000000"/>
          <w:sz w:val="24"/>
          <w:u w:val="none"/>
        </w:rPr>
        <w:t>稳定</w:t>
      </w:r>
      <w:r>
        <w:rPr>
          <w:color w:val="000000"/>
          <w:sz w:val="24"/>
          <w:u w:val="none"/>
        </w:rPr>
        <w:t>运行，确保废水产生量恒定，降低</w:t>
      </w:r>
      <w:r>
        <w:rPr>
          <w:rFonts w:hint="eastAsia"/>
          <w:color w:val="000000"/>
          <w:sz w:val="24"/>
          <w:u w:val="none"/>
        </w:rPr>
        <w:t>末端</w:t>
      </w:r>
      <w:r>
        <w:rPr>
          <w:color w:val="000000"/>
          <w:sz w:val="24"/>
          <w:u w:val="none"/>
        </w:rPr>
        <w:t>治理</w:t>
      </w:r>
      <w:r>
        <w:rPr>
          <w:rFonts w:hint="eastAsia"/>
          <w:color w:val="000000"/>
          <w:sz w:val="24"/>
          <w:u w:val="none"/>
        </w:rPr>
        <w:t>负荷</w:t>
      </w:r>
      <w:r>
        <w:rPr>
          <w:color w:val="000000"/>
          <w:sz w:val="24"/>
          <w:u w:val="none"/>
        </w:rPr>
        <w:t>；</w:t>
      </w:r>
    </w:p>
    <w:p>
      <w:pPr>
        <w:pStyle w:val="71"/>
        <w:rPr>
          <w:rFonts w:hint="eastAsia"/>
          <w:color w:val="000000"/>
          <w:sz w:val="24"/>
          <w:u w:val="none"/>
        </w:rPr>
      </w:pPr>
      <w:r>
        <w:rPr>
          <w:rFonts w:hint="eastAsia"/>
          <w:color w:val="000000"/>
          <w:sz w:val="24"/>
          <w:u w:val="none"/>
          <w:lang w:val="en-US" w:eastAsia="zh-CN"/>
        </w:rPr>
        <w:t>5、</w:t>
      </w:r>
      <w:r>
        <w:rPr>
          <w:rFonts w:hint="eastAsia"/>
          <w:color w:val="000000"/>
          <w:sz w:val="24"/>
          <w:u w:val="none"/>
        </w:rPr>
        <w:t>建设单位应加强安全管理，建立相关的规章制度及档案，控制污染及风险事故的发生；</w:t>
      </w:r>
    </w:p>
    <w:p>
      <w:pPr>
        <w:pStyle w:val="71"/>
        <w:rPr>
          <w:color w:val="000000"/>
          <w:sz w:val="24"/>
          <w:u w:val="none"/>
        </w:rPr>
      </w:pPr>
      <w:r>
        <w:rPr>
          <w:rFonts w:hint="eastAsia"/>
          <w:color w:val="000000"/>
          <w:sz w:val="24"/>
          <w:u w:val="none"/>
          <w:lang w:val="en-US" w:eastAsia="zh-CN"/>
        </w:rPr>
        <w:t>6、</w:t>
      </w:r>
      <w:r>
        <w:rPr>
          <w:rFonts w:hint="eastAsia"/>
          <w:color w:val="000000"/>
          <w:sz w:val="24"/>
          <w:u w:val="none"/>
        </w:rPr>
        <w:t>加强管理，确保安全生产。</w:t>
      </w:r>
    </w:p>
    <w:p>
      <w:pPr>
        <w:topLinePunct/>
        <w:spacing w:line="360" w:lineRule="auto"/>
        <w:jc w:val="left"/>
        <w:rPr>
          <w:rFonts w:hint="eastAsia" w:cs="Times New Roman"/>
          <w:b/>
          <w:sz w:val="24"/>
          <w:u w:val="none"/>
          <w:lang w:val="en-US" w:eastAsia="zh-CN"/>
        </w:rPr>
      </w:pPr>
      <w:r>
        <w:rPr>
          <w:rFonts w:hint="eastAsia" w:cs="Times New Roman"/>
          <w:b/>
          <w:sz w:val="24"/>
          <w:u w:val="none"/>
          <w:lang w:val="en-US" w:eastAsia="zh-CN"/>
        </w:rPr>
        <w:t>14.10.2建议</w:t>
      </w:r>
    </w:p>
    <w:p>
      <w:pPr>
        <w:adjustRightInd w:val="0"/>
        <w:snapToGrid w:val="0"/>
        <w:spacing w:line="360" w:lineRule="auto"/>
        <w:ind w:firstLine="573"/>
        <w:jc w:val="left"/>
        <w:rPr>
          <w:color w:val="000000"/>
          <w:sz w:val="24"/>
          <w:u w:val="none"/>
        </w:rPr>
      </w:pPr>
      <w:r>
        <w:rPr>
          <w:color w:val="000000"/>
          <w:sz w:val="24"/>
          <w:u w:val="none"/>
        </w:rPr>
        <w:t>1、</w:t>
      </w:r>
      <w:r>
        <w:rPr>
          <w:rFonts w:hint="eastAsia"/>
          <w:color w:val="000000"/>
          <w:sz w:val="24"/>
          <w:u w:val="none"/>
        </w:rPr>
        <w:t>认真贯彻执行国家和四川省的各项环保法规和要求；</w:t>
      </w:r>
    </w:p>
    <w:p>
      <w:pPr>
        <w:adjustRightInd w:val="0"/>
        <w:snapToGrid w:val="0"/>
        <w:spacing w:line="360" w:lineRule="auto"/>
        <w:ind w:firstLine="573"/>
        <w:jc w:val="left"/>
        <w:rPr>
          <w:color w:val="000000"/>
          <w:sz w:val="24"/>
          <w:u w:val="none"/>
        </w:rPr>
      </w:pPr>
      <w:r>
        <w:rPr>
          <w:rFonts w:hint="eastAsia"/>
          <w:color w:val="000000"/>
          <w:sz w:val="24"/>
          <w:u w:val="none"/>
          <w:lang w:val="en-US" w:eastAsia="zh-CN"/>
        </w:rPr>
        <w:t>2、</w:t>
      </w:r>
      <w:r>
        <w:rPr>
          <w:rFonts w:hint="eastAsia"/>
          <w:color w:val="000000"/>
          <w:sz w:val="24"/>
          <w:u w:val="none"/>
        </w:rPr>
        <w:t>强化施工期的各项管理工作，制定合理施工计划和污染防治对策，严格按照《建筑施工场界环境噪声排放标准》（GB12523-2011）标准和当地环保部门要求进行施工作业；</w:t>
      </w:r>
    </w:p>
    <w:p>
      <w:pPr>
        <w:adjustRightInd w:val="0"/>
        <w:snapToGrid w:val="0"/>
        <w:spacing w:line="360" w:lineRule="auto"/>
        <w:ind w:firstLine="573"/>
        <w:jc w:val="left"/>
        <w:rPr>
          <w:rFonts w:hint="eastAsia"/>
          <w:color w:val="000000"/>
          <w:sz w:val="24"/>
          <w:u w:val="none"/>
        </w:rPr>
      </w:pPr>
      <w:r>
        <w:rPr>
          <w:rFonts w:hint="eastAsia"/>
          <w:color w:val="000000"/>
          <w:sz w:val="24"/>
          <w:u w:val="none"/>
          <w:lang w:val="en-US" w:eastAsia="zh-CN"/>
        </w:rPr>
        <w:t>3、</w:t>
      </w:r>
      <w:r>
        <w:rPr>
          <w:rFonts w:hint="eastAsia"/>
          <w:color w:val="000000"/>
          <w:sz w:val="24"/>
          <w:u w:val="none"/>
        </w:rPr>
        <w:t xml:space="preserve">加强对施工单位及现场工作人员的环境法规宣传，提高民众的环保意识，使环境保护真正成为建设项目施工中的自觉行为和实现人与环境协调发展的内在需要； </w:t>
      </w:r>
    </w:p>
    <w:p>
      <w:pPr>
        <w:adjustRightInd w:val="0"/>
        <w:snapToGrid w:val="0"/>
        <w:spacing w:line="360" w:lineRule="auto"/>
        <w:ind w:firstLine="573"/>
        <w:jc w:val="left"/>
        <w:rPr>
          <w:color w:val="000000"/>
          <w:sz w:val="24"/>
          <w:u w:val="none"/>
        </w:rPr>
      </w:pPr>
      <w:r>
        <w:rPr>
          <w:rFonts w:hint="eastAsia"/>
          <w:color w:val="000000"/>
          <w:sz w:val="24"/>
          <w:u w:val="none"/>
          <w:lang w:val="en-US" w:eastAsia="zh-CN"/>
        </w:rPr>
        <w:t>4、</w:t>
      </w:r>
      <w:r>
        <w:rPr>
          <w:rFonts w:hint="eastAsia"/>
          <w:color w:val="000000"/>
          <w:sz w:val="24"/>
          <w:u w:val="none"/>
        </w:rPr>
        <w:t>建立健全施工管理制度，应将环保责任制纳入施工招投标合同，施工建立中应配备环保专职人员，确保施工期环保措施的落实；</w:t>
      </w:r>
    </w:p>
    <w:p>
      <w:pPr>
        <w:adjustRightInd w:val="0"/>
        <w:snapToGrid w:val="0"/>
        <w:spacing w:line="360" w:lineRule="auto"/>
        <w:ind w:firstLine="573"/>
        <w:jc w:val="left"/>
        <w:rPr>
          <w:rFonts w:hint="eastAsia"/>
          <w:color w:val="000000"/>
          <w:sz w:val="24"/>
          <w:u w:val="none"/>
        </w:rPr>
      </w:pPr>
      <w:r>
        <w:rPr>
          <w:rFonts w:hint="eastAsia"/>
          <w:color w:val="000000"/>
          <w:sz w:val="24"/>
          <w:u w:val="none"/>
          <w:lang w:val="en-US" w:eastAsia="zh-CN"/>
        </w:rPr>
        <w:t>5、</w:t>
      </w:r>
      <w:r>
        <w:rPr>
          <w:rFonts w:hint="eastAsia"/>
          <w:color w:val="000000"/>
          <w:sz w:val="24"/>
          <w:u w:val="none"/>
        </w:rPr>
        <w:t>合理安排医疗废物运输时间和频率，减轻对沿途居民的影响；</w:t>
      </w:r>
    </w:p>
    <w:p>
      <w:pPr>
        <w:adjustRightInd w:val="0"/>
        <w:snapToGrid w:val="0"/>
        <w:spacing w:line="360" w:lineRule="auto"/>
        <w:ind w:firstLine="573"/>
        <w:jc w:val="left"/>
        <w:rPr>
          <w:rFonts w:hint="eastAsia"/>
          <w:color w:val="000000"/>
          <w:sz w:val="24"/>
          <w:u w:val="none"/>
        </w:rPr>
      </w:pPr>
      <w:r>
        <w:rPr>
          <w:rFonts w:hint="eastAsia"/>
          <w:color w:val="000000"/>
          <w:sz w:val="24"/>
          <w:u w:val="none"/>
          <w:lang w:val="en-US" w:eastAsia="zh-CN"/>
        </w:rPr>
        <w:t>6、</w:t>
      </w:r>
      <w:r>
        <w:rPr>
          <w:rFonts w:hint="eastAsia"/>
          <w:color w:val="000000"/>
          <w:sz w:val="24"/>
          <w:u w:val="none"/>
        </w:rPr>
        <w:t>加强培训，全面提高员工的环境保护意识；</w:t>
      </w:r>
    </w:p>
    <w:p>
      <w:pPr>
        <w:adjustRightInd w:val="0"/>
        <w:snapToGrid w:val="0"/>
        <w:spacing w:line="360" w:lineRule="auto"/>
        <w:ind w:firstLine="573"/>
        <w:jc w:val="left"/>
        <w:rPr>
          <w:rFonts w:hint="eastAsia"/>
          <w:color w:val="000000"/>
          <w:sz w:val="24"/>
          <w:u w:val="none"/>
        </w:rPr>
      </w:pPr>
      <w:r>
        <w:rPr>
          <w:rFonts w:hint="eastAsia"/>
          <w:color w:val="000000"/>
          <w:sz w:val="24"/>
          <w:u w:val="none"/>
          <w:lang w:val="en-US" w:eastAsia="zh-CN"/>
        </w:rPr>
        <w:t>7、</w:t>
      </w:r>
      <w:r>
        <w:rPr>
          <w:rFonts w:hint="eastAsia"/>
          <w:color w:val="000000"/>
          <w:sz w:val="24"/>
          <w:u w:val="none"/>
        </w:rPr>
        <w:t>加强绿化工作；</w:t>
      </w:r>
    </w:p>
    <w:p>
      <w:pPr>
        <w:adjustRightInd w:val="0"/>
        <w:snapToGrid w:val="0"/>
        <w:spacing w:line="360" w:lineRule="auto"/>
        <w:ind w:firstLine="573"/>
        <w:jc w:val="left"/>
        <w:rPr>
          <w:color w:val="000000"/>
          <w:sz w:val="24"/>
          <w:u w:val="none"/>
        </w:rPr>
      </w:pPr>
      <w:r>
        <w:rPr>
          <w:rFonts w:hint="eastAsia"/>
          <w:color w:val="000000"/>
          <w:sz w:val="24"/>
          <w:u w:val="none"/>
          <w:lang w:val="en-US" w:eastAsia="zh-CN"/>
        </w:rPr>
        <w:t>8、</w:t>
      </w:r>
      <w:r>
        <w:rPr>
          <w:rFonts w:hint="eastAsia"/>
          <w:color w:val="000000"/>
          <w:sz w:val="24"/>
          <w:u w:val="none"/>
        </w:rPr>
        <w:t>做好与周围群众的联系工作，及时听取他们的意见和建议。</w:t>
      </w:r>
    </w:p>
    <w:sectPr>
      <w:pgSz w:w="11906" w:h="16838"/>
      <w:pgMar w:top="1797" w:right="1417" w:bottom="1797" w:left="1417" w:header="720" w:footer="720" w:gutter="0"/>
      <w:pgBorders>
        <w:top w:val="none" w:sz="0" w:space="0"/>
        <w:left w:val="none" w:sz="0" w:space="0"/>
        <w:bottom w:val="none" w:sz="0" w:space="0"/>
        <w:right w:val="none" w:sz="0" w:space="0"/>
      </w:pgBorders>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imesNewRoman">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Garamond">
    <w:altName w:val="PMingLiU-ExtB"/>
    <w:panose1 w:val="02020404030301010803"/>
    <w:charset w:val="00"/>
    <w:family w:val="roman"/>
    <w:pitch w:val="default"/>
    <w:sig w:usb0="00000000" w:usb1="00000000" w:usb2="00000000" w:usb3="00000000" w:csb0="0000009F" w:csb1="DFD70000"/>
  </w:font>
  <w:font w:name="方正宋三简体">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roman"/>
    <w:pitch w:val="default"/>
    <w:sig w:usb0="E00002FF" w:usb1="6AC7FDFB" w:usb2="00000012" w:usb3="00000000" w:csb0="4002009F" w:csb1="DFD70000"/>
  </w:font>
  <w:font w:name="Century">
    <w:altName w:val="Nyala"/>
    <w:panose1 w:val="02040604050505020304"/>
    <w:charset w:val="00"/>
    <w:family w:val="roman"/>
    <w:pitch w:val="default"/>
    <w:sig w:usb0="00000000" w:usb1="00000000" w:usb2="00000000" w:usb3="00000000" w:csb0="2000009F" w:csb1="DFD70000"/>
  </w:font>
  <w:font w:name="UniversalMath1 BT">
    <w:altName w:val="Symbol"/>
    <w:panose1 w:val="05050102010205020602"/>
    <w:charset w:val="02"/>
    <w:family w:val="roman"/>
    <w:pitch w:val="default"/>
    <w:sig w:usb0="00000000" w:usb1="00000000" w:usb2="00000000" w:usb3="00000000" w:csb0="00000000" w:csb1="00000000"/>
  </w:font>
  <w:font w:name="華康中楷體">
    <w:altName w:val="Microsoft JhengHei"/>
    <w:panose1 w:val="00000000000000000000"/>
    <w:charset w:val="88"/>
    <w:family w:val="modern"/>
    <w:pitch w:val="default"/>
    <w:sig w:usb0="00000000" w:usb1="00000000" w:usb2="00000010" w:usb3="00000000" w:csb0="00100000" w:csb1="00000000"/>
  </w:font>
  <w:font w:name="Tms Rmn">
    <w:altName w:val="Segoe Print"/>
    <w:panose1 w:val="02020603040505020304"/>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TimesNewRomanPSMT">
    <w:altName w:val="Times New Roman"/>
    <w:panose1 w:val="00000000000000000000"/>
    <w:charset w:val="00"/>
    <w:family w:val="auto"/>
    <w:pitch w:val="default"/>
    <w:sig w:usb0="00000000" w:usb1="00000000" w:usb2="00000000" w:usb3="00000000" w:csb0="00000000" w:csb1="00000000"/>
  </w:font>
  <w:font w:name="Wingdings 2">
    <w:altName w:val="Wingdings"/>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Nyala">
    <w:panose1 w:val="02000504070300020003"/>
    <w:charset w:val="00"/>
    <w:family w:val="auto"/>
    <w:pitch w:val="default"/>
    <w:sig w:usb0="A000006F" w:usb1="00000000" w:usb2="00000800" w:usb3="00000000" w:csb0="00000093" w:csb1="00000000"/>
  </w:font>
  <w:font w:name="Microsoft JhengHei">
    <w:panose1 w:val="020B0604030504040204"/>
    <w:charset w:val="88"/>
    <w:family w:val="auto"/>
    <w:pitch w:val="default"/>
    <w:sig w:usb0="00000087" w:usb1="28AF40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V+&#10;SdAAAAADAQAADwAAAAAAAAABACAAAAAiAAAAZHJzL2Rvd25yZXYueG1sUEsBAhQAFAAAAAgAh07i&#10;QDWN4YnxAQAAuAMAAA4AAAAAAAAAAQAgAAAAHwEAAGRycy9lMm9Eb2MueG1sUEsFBgAAAAAGAAYA&#10;WQEAAII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00C"/>
    <w:rsid w:val="00003302"/>
    <w:rsid w:val="00004CE8"/>
    <w:rsid w:val="00017733"/>
    <w:rsid w:val="00030FAD"/>
    <w:rsid w:val="000327BB"/>
    <w:rsid w:val="00037139"/>
    <w:rsid w:val="000467FC"/>
    <w:rsid w:val="0005294E"/>
    <w:rsid w:val="00060D51"/>
    <w:rsid w:val="00061464"/>
    <w:rsid w:val="000616DC"/>
    <w:rsid w:val="00075308"/>
    <w:rsid w:val="000757EF"/>
    <w:rsid w:val="00084FCB"/>
    <w:rsid w:val="00091061"/>
    <w:rsid w:val="000925A8"/>
    <w:rsid w:val="000A0509"/>
    <w:rsid w:val="000A1715"/>
    <w:rsid w:val="000B0BEE"/>
    <w:rsid w:val="000B4C70"/>
    <w:rsid w:val="000C311B"/>
    <w:rsid w:val="000D1D6C"/>
    <w:rsid w:val="000D7CA1"/>
    <w:rsid w:val="000E67E0"/>
    <w:rsid w:val="000F539A"/>
    <w:rsid w:val="0011000A"/>
    <w:rsid w:val="00126CB9"/>
    <w:rsid w:val="001270EB"/>
    <w:rsid w:val="00127385"/>
    <w:rsid w:val="001305D9"/>
    <w:rsid w:val="001375E3"/>
    <w:rsid w:val="0014413A"/>
    <w:rsid w:val="00155225"/>
    <w:rsid w:val="00165D8B"/>
    <w:rsid w:val="00182731"/>
    <w:rsid w:val="00182A84"/>
    <w:rsid w:val="0019124B"/>
    <w:rsid w:val="001A1193"/>
    <w:rsid w:val="001C364A"/>
    <w:rsid w:val="001C622F"/>
    <w:rsid w:val="001D2975"/>
    <w:rsid w:val="001D3461"/>
    <w:rsid w:val="001D3F98"/>
    <w:rsid w:val="001E053D"/>
    <w:rsid w:val="001E71E5"/>
    <w:rsid w:val="001F1677"/>
    <w:rsid w:val="001F2D2D"/>
    <w:rsid w:val="001F5D5E"/>
    <w:rsid w:val="0021065B"/>
    <w:rsid w:val="002107FF"/>
    <w:rsid w:val="00216A2F"/>
    <w:rsid w:val="0021789F"/>
    <w:rsid w:val="002249B9"/>
    <w:rsid w:val="0024766A"/>
    <w:rsid w:val="00252B4E"/>
    <w:rsid w:val="00255EA7"/>
    <w:rsid w:val="00257B84"/>
    <w:rsid w:val="00261857"/>
    <w:rsid w:val="00277A59"/>
    <w:rsid w:val="00281714"/>
    <w:rsid w:val="00292FD0"/>
    <w:rsid w:val="002A1BFF"/>
    <w:rsid w:val="002A3498"/>
    <w:rsid w:val="002A4662"/>
    <w:rsid w:val="002B173C"/>
    <w:rsid w:val="002D2878"/>
    <w:rsid w:val="002E0286"/>
    <w:rsid w:val="002E1EE0"/>
    <w:rsid w:val="002E2E81"/>
    <w:rsid w:val="002E5588"/>
    <w:rsid w:val="002F2939"/>
    <w:rsid w:val="00307839"/>
    <w:rsid w:val="003160DF"/>
    <w:rsid w:val="00324CD0"/>
    <w:rsid w:val="00325A75"/>
    <w:rsid w:val="00327727"/>
    <w:rsid w:val="0033410B"/>
    <w:rsid w:val="00343691"/>
    <w:rsid w:val="0034651A"/>
    <w:rsid w:val="003513B5"/>
    <w:rsid w:val="003538B8"/>
    <w:rsid w:val="003554C0"/>
    <w:rsid w:val="00356319"/>
    <w:rsid w:val="003570FC"/>
    <w:rsid w:val="00374B74"/>
    <w:rsid w:val="00381270"/>
    <w:rsid w:val="00381868"/>
    <w:rsid w:val="00387C39"/>
    <w:rsid w:val="00390DC1"/>
    <w:rsid w:val="00393B3D"/>
    <w:rsid w:val="003953F3"/>
    <w:rsid w:val="00395632"/>
    <w:rsid w:val="003B2A38"/>
    <w:rsid w:val="003B3C53"/>
    <w:rsid w:val="003C3CD4"/>
    <w:rsid w:val="003C7870"/>
    <w:rsid w:val="003F25C9"/>
    <w:rsid w:val="003F44DF"/>
    <w:rsid w:val="004162FD"/>
    <w:rsid w:val="0042389F"/>
    <w:rsid w:val="004420A1"/>
    <w:rsid w:val="00444C53"/>
    <w:rsid w:val="00445911"/>
    <w:rsid w:val="00454965"/>
    <w:rsid w:val="00473BB9"/>
    <w:rsid w:val="004807E0"/>
    <w:rsid w:val="00487E31"/>
    <w:rsid w:val="004A48A1"/>
    <w:rsid w:val="004D097E"/>
    <w:rsid w:val="004E00FE"/>
    <w:rsid w:val="004F29DA"/>
    <w:rsid w:val="00501467"/>
    <w:rsid w:val="00502244"/>
    <w:rsid w:val="005046B3"/>
    <w:rsid w:val="005238F6"/>
    <w:rsid w:val="005327DC"/>
    <w:rsid w:val="0053312A"/>
    <w:rsid w:val="00544733"/>
    <w:rsid w:val="00544CAE"/>
    <w:rsid w:val="005533FC"/>
    <w:rsid w:val="00562517"/>
    <w:rsid w:val="005738EA"/>
    <w:rsid w:val="00573F4C"/>
    <w:rsid w:val="00583BA6"/>
    <w:rsid w:val="00585A9B"/>
    <w:rsid w:val="005971F1"/>
    <w:rsid w:val="00597DE4"/>
    <w:rsid w:val="005A1FA0"/>
    <w:rsid w:val="005A3D1B"/>
    <w:rsid w:val="005A7BAF"/>
    <w:rsid w:val="005B274B"/>
    <w:rsid w:val="005B29F7"/>
    <w:rsid w:val="005B37D0"/>
    <w:rsid w:val="005E0158"/>
    <w:rsid w:val="005E29B1"/>
    <w:rsid w:val="005E5950"/>
    <w:rsid w:val="005E6EDE"/>
    <w:rsid w:val="005F2A59"/>
    <w:rsid w:val="005F462B"/>
    <w:rsid w:val="00600954"/>
    <w:rsid w:val="006047EB"/>
    <w:rsid w:val="00606FED"/>
    <w:rsid w:val="006119E2"/>
    <w:rsid w:val="00615CAD"/>
    <w:rsid w:val="00616BBD"/>
    <w:rsid w:val="00631159"/>
    <w:rsid w:val="006408F9"/>
    <w:rsid w:val="006417CD"/>
    <w:rsid w:val="00667C50"/>
    <w:rsid w:val="00674313"/>
    <w:rsid w:val="00680057"/>
    <w:rsid w:val="006824A0"/>
    <w:rsid w:val="006872AD"/>
    <w:rsid w:val="006941F9"/>
    <w:rsid w:val="006A4E98"/>
    <w:rsid w:val="006B2FC9"/>
    <w:rsid w:val="006B3C2E"/>
    <w:rsid w:val="006B654F"/>
    <w:rsid w:val="006B6D49"/>
    <w:rsid w:val="006D254C"/>
    <w:rsid w:val="006D3F16"/>
    <w:rsid w:val="006D5642"/>
    <w:rsid w:val="006E21FE"/>
    <w:rsid w:val="007059AE"/>
    <w:rsid w:val="00706F41"/>
    <w:rsid w:val="00731F96"/>
    <w:rsid w:val="00733158"/>
    <w:rsid w:val="00735323"/>
    <w:rsid w:val="00751B5A"/>
    <w:rsid w:val="00752D07"/>
    <w:rsid w:val="007537AC"/>
    <w:rsid w:val="007712A0"/>
    <w:rsid w:val="0077215C"/>
    <w:rsid w:val="00774AAF"/>
    <w:rsid w:val="00783219"/>
    <w:rsid w:val="00797D59"/>
    <w:rsid w:val="007A0B96"/>
    <w:rsid w:val="007B2DC4"/>
    <w:rsid w:val="007C0049"/>
    <w:rsid w:val="007D55ED"/>
    <w:rsid w:val="007D6350"/>
    <w:rsid w:val="007E51DC"/>
    <w:rsid w:val="007E63A7"/>
    <w:rsid w:val="007F38B1"/>
    <w:rsid w:val="007F5C21"/>
    <w:rsid w:val="007F72FD"/>
    <w:rsid w:val="00800598"/>
    <w:rsid w:val="008071F9"/>
    <w:rsid w:val="00814790"/>
    <w:rsid w:val="0082773E"/>
    <w:rsid w:val="008371D4"/>
    <w:rsid w:val="008475B5"/>
    <w:rsid w:val="008570E0"/>
    <w:rsid w:val="008621A0"/>
    <w:rsid w:val="0086427E"/>
    <w:rsid w:val="00864ABA"/>
    <w:rsid w:val="00871989"/>
    <w:rsid w:val="00884901"/>
    <w:rsid w:val="0089031A"/>
    <w:rsid w:val="008A12A6"/>
    <w:rsid w:val="008B2823"/>
    <w:rsid w:val="008B76F4"/>
    <w:rsid w:val="008E35DC"/>
    <w:rsid w:val="008E76A9"/>
    <w:rsid w:val="008F012E"/>
    <w:rsid w:val="008F2BDE"/>
    <w:rsid w:val="00900A1A"/>
    <w:rsid w:val="0090452B"/>
    <w:rsid w:val="00912006"/>
    <w:rsid w:val="00914FB6"/>
    <w:rsid w:val="00915D51"/>
    <w:rsid w:val="009219F1"/>
    <w:rsid w:val="009315F7"/>
    <w:rsid w:val="00937CFB"/>
    <w:rsid w:val="009406AB"/>
    <w:rsid w:val="00945C64"/>
    <w:rsid w:val="00947A5F"/>
    <w:rsid w:val="00956969"/>
    <w:rsid w:val="00961ABE"/>
    <w:rsid w:val="009622D6"/>
    <w:rsid w:val="009654C8"/>
    <w:rsid w:val="009974E2"/>
    <w:rsid w:val="009A501D"/>
    <w:rsid w:val="009A643B"/>
    <w:rsid w:val="009B0522"/>
    <w:rsid w:val="009B4CC3"/>
    <w:rsid w:val="009B4E13"/>
    <w:rsid w:val="009B505E"/>
    <w:rsid w:val="009C5C79"/>
    <w:rsid w:val="009C69D8"/>
    <w:rsid w:val="009E222A"/>
    <w:rsid w:val="009E7736"/>
    <w:rsid w:val="009F1A34"/>
    <w:rsid w:val="00A051DD"/>
    <w:rsid w:val="00A11836"/>
    <w:rsid w:val="00A1190F"/>
    <w:rsid w:val="00A15E36"/>
    <w:rsid w:val="00A2220F"/>
    <w:rsid w:val="00A238D7"/>
    <w:rsid w:val="00A23CBE"/>
    <w:rsid w:val="00A3685A"/>
    <w:rsid w:val="00A61F4B"/>
    <w:rsid w:val="00A6495C"/>
    <w:rsid w:val="00A82ED7"/>
    <w:rsid w:val="00A83F78"/>
    <w:rsid w:val="00AC6275"/>
    <w:rsid w:val="00AC6E32"/>
    <w:rsid w:val="00AD6288"/>
    <w:rsid w:val="00AE0DF6"/>
    <w:rsid w:val="00AE4291"/>
    <w:rsid w:val="00B005D3"/>
    <w:rsid w:val="00B0599E"/>
    <w:rsid w:val="00B117B0"/>
    <w:rsid w:val="00B128A3"/>
    <w:rsid w:val="00B23121"/>
    <w:rsid w:val="00B335F8"/>
    <w:rsid w:val="00B37DDE"/>
    <w:rsid w:val="00B4358A"/>
    <w:rsid w:val="00B618F1"/>
    <w:rsid w:val="00B81D29"/>
    <w:rsid w:val="00BA44AC"/>
    <w:rsid w:val="00BA7973"/>
    <w:rsid w:val="00BB03E9"/>
    <w:rsid w:val="00BC2AB6"/>
    <w:rsid w:val="00BC4388"/>
    <w:rsid w:val="00BD0EFB"/>
    <w:rsid w:val="00BD57C7"/>
    <w:rsid w:val="00BE33BD"/>
    <w:rsid w:val="00BF01A8"/>
    <w:rsid w:val="00BF15DB"/>
    <w:rsid w:val="00C10843"/>
    <w:rsid w:val="00C213FF"/>
    <w:rsid w:val="00C2511C"/>
    <w:rsid w:val="00C40359"/>
    <w:rsid w:val="00C40697"/>
    <w:rsid w:val="00C4185D"/>
    <w:rsid w:val="00C64E6C"/>
    <w:rsid w:val="00C80E0B"/>
    <w:rsid w:val="00C81E64"/>
    <w:rsid w:val="00C851C9"/>
    <w:rsid w:val="00C90EB3"/>
    <w:rsid w:val="00C9541A"/>
    <w:rsid w:val="00CA0507"/>
    <w:rsid w:val="00CA3E2E"/>
    <w:rsid w:val="00CB0508"/>
    <w:rsid w:val="00CB286E"/>
    <w:rsid w:val="00CB672D"/>
    <w:rsid w:val="00CB7B4F"/>
    <w:rsid w:val="00CC19DA"/>
    <w:rsid w:val="00CC200C"/>
    <w:rsid w:val="00CF6D25"/>
    <w:rsid w:val="00D002F5"/>
    <w:rsid w:val="00D00ECA"/>
    <w:rsid w:val="00D05665"/>
    <w:rsid w:val="00D10AE2"/>
    <w:rsid w:val="00D16AE0"/>
    <w:rsid w:val="00D4372B"/>
    <w:rsid w:val="00D449B9"/>
    <w:rsid w:val="00D550D5"/>
    <w:rsid w:val="00D7394A"/>
    <w:rsid w:val="00D7496B"/>
    <w:rsid w:val="00D91304"/>
    <w:rsid w:val="00DB389B"/>
    <w:rsid w:val="00DB777F"/>
    <w:rsid w:val="00DD0C64"/>
    <w:rsid w:val="00DD13E1"/>
    <w:rsid w:val="00DE63DE"/>
    <w:rsid w:val="00DF00EC"/>
    <w:rsid w:val="00E059CC"/>
    <w:rsid w:val="00E25A59"/>
    <w:rsid w:val="00E41988"/>
    <w:rsid w:val="00E72407"/>
    <w:rsid w:val="00E87DA9"/>
    <w:rsid w:val="00E90510"/>
    <w:rsid w:val="00E90587"/>
    <w:rsid w:val="00EB2938"/>
    <w:rsid w:val="00EB44AF"/>
    <w:rsid w:val="00EB6851"/>
    <w:rsid w:val="00EC39AB"/>
    <w:rsid w:val="00EC7D91"/>
    <w:rsid w:val="00EF3230"/>
    <w:rsid w:val="00EF4DB8"/>
    <w:rsid w:val="00F11AB5"/>
    <w:rsid w:val="00F2487A"/>
    <w:rsid w:val="00F274B0"/>
    <w:rsid w:val="00F43085"/>
    <w:rsid w:val="00F505E7"/>
    <w:rsid w:val="00F564D4"/>
    <w:rsid w:val="00F6187B"/>
    <w:rsid w:val="00F6593A"/>
    <w:rsid w:val="00F73000"/>
    <w:rsid w:val="00F75F10"/>
    <w:rsid w:val="00F81396"/>
    <w:rsid w:val="00FA485F"/>
    <w:rsid w:val="00FB0309"/>
    <w:rsid w:val="00FB1DC0"/>
    <w:rsid w:val="00FC7846"/>
    <w:rsid w:val="00FD5594"/>
    <w:rsid w:val="00FE2CC4"/>
    <w:rsid w:val="00FE3DA1"/>
    <w:rsid w:val="00FE5301"/>
    <w:rsid w:val="00FE7D46"/>
    <w:rsid w:val="00FF0297"/>
    <w:rsid w:val="00FF4C04"/>
    <w:rsid w:val="00FF4EDA"/>
    <w:rsid w:val="00FF6D73"/>
    <w:rsid w:val="017B325F"/>
    <w:rsid w:val="0184533F"/>
    <w:rsid w:val="01947B39"/>
    <w:rsid w:val="019C3915"/>
    <w:rsid w:val="01BC4569"/>
    <w:rsid w:val="01C47DB7"/>
    <w:rsid w:val="01CB6709"/>
    <w:rsid w:val="01F959DB"/>
    <w:rsid w:val="02253E18"/>
    <w:rsid w:val="02713FF8"/>
    <w:rsid w:val="02B749AF"/>
    <w:rsid w:val="02CE5371"/>
    <w:rsid w:val="02FD7232"/>
    <w:rsid w:val="032074D8"/>
    <w:rsid w:val="033309DB"/>
    <w:rsid w:val="037B303A"/>
    <w:rsid w:val="039B0F11"/>
    <w:rsid w:val="03CF0955"/>
    <w:rsid w:val="03D24592"/>
    <w:rsid w:val="03FD7556"/>
    <w:rsid w:val="04254618"/>
    <w:rsid w:val="042E4453"/>
    <w:rsid w:val="04324EF8"/>
    <w:rsid w:val="047F11BC"/>
    <w:rsid w:val="047F6321"/>
    <w:rsid w:val="04AC6189"/>
    <w:rsid w:val="051514C9"/>
    <w:rsid w:val="05231C93"/>
    <w:rsid w:val="0539227C"/>
    <w:rsid w:val="05427386"/>
    <w:rsid w:val="05634A43"/>
    <w:rsid w:val="05966B84"/>
    <w:rsid w:val="061139FD"/>
    <w:rsid w:val="06247F41"/>
    <w:rsid w:val="06630B37"/>
    <w:rsid w:val="06795029"/>
    <w:rsid w:val="06D42826"/>
    <w:rsid w:val="06DB3F10"/>
    <w:rsid w:val="06FB4108"/>
    <w:rsid w:val="07061423"/>
    <w:rsid w:val="0727630D"/>
    <w:rsid w:val="072947B5"/>
    <w:rsid w:val="072E2885"/>
    <w:rsid w:val="076B0B74"/>
    <w:rsid w:val="077504B8"/>
    <w:rsid w:val="078152F7"/>
    <w:rsid w:val="079F11AE"/>
    <w:rsid w:val="07BE6B76"/>
    <w:rsid w:val="07C77550"/>
    <w:rsid w:val="07D41BAE"/>
    <w:rsid w:val="07D80DF1"/>
    <w:rsid w:val="07E22E84"/>
    <w:rsid w:val="07E472AE"/>
    <w:rsid w:val="07ED0BE8"/>
    <w:rsid w:val="082C777B"/>
    <w:rsid w:val="084324B8"/>
    <w:rsid w:val="08871E5C"/>
    <w:rsid w:val="08AB35C3"/>
    <w:rsid w:val="08CF5555"/>
    <w:rsid w:val="08E50DCB"/>
    <w:rsid w:val="096142F5"/>
    <w:rsid w:val="09694E69"/>
    <w:rsid w:val="09AE6FB1"/>
    <w:rsid w:val="09B02EBA"/>
    <w:rsid w:val="09E60250"/>
    <w:rsid w:val="0A45526B"/>
    <w:rsid w:val="0A5053E0"/>
    <w:rsid w:val="0A725DD2"/>
    <w:rsid w:val="0A754F70"/>
    <w:rsid w:val="0A766F93"/>
    <w:rsid w:val="0AD13F59"/>
    <w:rsid w:val="0ADC659C"/>
    <w:rsid w:val="0AE20B29"/>
    <w:rsid w:val="0AF10B6D"/>
    <w:rsid w:val="0B1C63CC"/>
    <w:rsid w:val="0B2A159C"/>
    <w:rsid w:val="0B3730F1"/>
    <w:rsid w:val="0B527D8A"/>
    <w:rsid w:val="0B6257C8"/>
    <w:rsid w:val="0B6E18FD"/>
    <w:rsid w:val="0BDE1830"/>
    <w:rsid w:val="0BF40315"/>
    <w:rsid w:val="0BF8648F"/>
    <w:rsid w:val="0BF91549"/>
    <w:rsid w:val="0C1532C1"/>
    <w:rsid w:val="0C3F5941"/>
    <w:rsid w:val="0C5014B2"/>
    <w:rsid w:val="0C5B31FE"/>
    <w:rsid w:val="0CDF4DA0"/>
    <w:rsid w:val="0D1F18A8"/>
    <w:rsid w:val="0D31309F"/>
    <w:rsid w:val="0D3814B5"/>
    <w:rsid w:val="0D3E2C7B"/>
    <w:rsid w:val="0D57079F"/>
    <w:rsid w:val="0D7F0734"/>
    <w:rsid w:val="0D835638"/>
    <w:rsid w:val="0D9C2690"/>
    <w:rsid w:val="0DA517D2"/>
    <w:rsid w:val="0DC82513"/>
    <w:rsid w:val="0E7E19AE"/>
    <w:rsid w:val="0EA1698E"/>
    <w:rsid w:val="0EE50292"/>
    <w:rsid w:val="0F0B5679"/>
    <w:rsid w:val="0F495435"/>
    <w:rsid w:val="0F4E3F6C"/>
    <w:rsid w:val="0F65231A"/>
    <w:rsid w:val="0FE61E75"/>
    <w:rsid w:val="0FED3475"/>
    <w:rsid w:val="101040A5"/>
    <w:rsid w:val="10260D30"/>
    <w:rsid w:val="106E2B72"/>
    <w:rsid w:val="108F6201"/>
    <w:rsid w:val="10997AB7"/>
    <w:rsid w:val="10A957B1"/>
    <w:rsid w:val="10AB760C"/>
    <w:rsid w:val="10E213D8"/>
    <w:rsid w:val="10E33502"/>
    <w:rsid w:val="10E84E6E"/>
    <w:rsid w:val="10FD44C0"/>
    <w:rsid w:val="111711FA"/>
    <w:rsid w:val="111D135C"/>
    <w:rsid w:val="11303E44"/>
    <w:rsid w:val="116448B4"/>
    <w:rsid w:val="118F0A79"/>
    <w:rsid w:val="119A4F09"/>
    <w:rsid w:val="11B32807"/>
    <w:rsid w:val="11C57B7F"/>
    <w:rsid w:val="11F304D1"/>
    <w:rsid w:val="124A1E4B"/>
    <w:rsid w:val="128A0B44"/>
    <w:rsid w:val="129071D6"/>
    <w:rsid w:val="12B52F91"/>
    <w:rsid w:val="12BA308D"/>
    <w:rsid w:val="12C96888"/>
    <w:rsid w:val="12F168B9"/>
    <w:rsid w:val="130A6478"/>
    <w:rsid w:val="13223D63"/>
    <w:rsid w:val="13281898"/>
    <w:rsid w:val="13395E16"/>
    <w:rsid w:val="13C77617"/>
    <w:rsid w:val="13EC323C"/>
    <w:rsid w:val="14250F3F"/>
    <w:rsid w:val="1477272E"/>
    <w:rsid w:val="14A74F96"/>
    <w:rsid w:val="14A86904"/>
    <w:rsid w:val="14C12F6A"/>
    <w:rsid w:val="1504504F"/>
    <w:rsid w:val="1516732C"/>
    <w:rsid w:val="15200A3B"/>
    <w:rsid w:val="155109C1"/>
    <w:rsid w:val="15775459"/>
    <w:rsid w:val="15841E2E"/>
    <w:rsid w:val="15DC3C82"/>
    <w:rsid w:val="16005D04"/>
    <w:rsid w:val="160865C8"/>
    <w:rsid w:val="16221257"/>
    <w:rsid w:val="16265078"/>
    <w:rsid w:val="16D919F5"/>
    <w:rsid w:val="16E80E51"/>
    <w:rsid w:val="16ED6A5D"/>
    <w:rsid w:val="16EF19F6"/>
    <w:rsid w:val="171D6FEA"/>
    <w:rsid w:val="17323F86"/>
    <w:rsid w:val="17731F32"/>
    <w:rsid w:val="17892B5D"/>
    <w:rsid w:val="17981127"/>
    <w:rsid w:val="17B83B07"/>
    <w:rsid w:val="17C155D3"/>
    <w:rsid w:val="180A6AD6"/>
    <w:rsid w:val="185F7D23"/>
    <w:rsid w:val="18691D53"/>
    <w:rsid w:val="190700C7"/>
    <w:rsid w:val="193C2DDC"/>
    <w:rsid w:val="19625E90"/>
    <w:rsid w:val="19692B41"/>
    <w:rsid w:val="1982221C"/>
    <w:rsid w:val="19AD2322"/>
    <w:rsid w:val="19B8143A"/>
    <w:rsid w:val="19CF67BC"/>
    <w:rsid w:val="1A237391"/>
    <w:rsid w:val="1A295B00"/>
    <w:rsid w:val="1A3815DB"/>
    <w:rsid w:val="1A4256CA"/>
    <w:rsid w:val="1A470526"/>
    <w:rsid w:val="1A6701DC"/>
    <w:rsid w:val="1A75576C"/>
    <w:rsid w:val="1A945722"/>
    <w:rsid w:val="1A992A49"/>
    <w:rsid w:val="1AAD54B9"/>
    <w:rsid w:val="1AB456D2"/>
    <w:rsid w:val="1ADF0F6A"/>
    <w:rsid w:val="1AE7231E"/>
    <w:rsid w:val="1AF059FE"/>
    <w:rsid w:val="1B604BD3"/>
    <w:rsid w:val="1B6E12C4"/>
    <w:rsid w:val="1B7372E8"/>
    <w:rsid w:val="1B8718DF"/>
    <w:rsid w:val="1BAE6C99"/>
    <w:rsid w:val="1C0108D2"/>
    <w:rsid w:val="1C3F36BB"/>
    <w:rsid w:val="1C4B3895"/>
    <w:rsid w:val="1C4C44FA"/>
    <w:rsid w:val="1C764A2C"/>
    <w:rsid w:val="1C9706EB"/>
    <w:rsid w:val="1C9A240C"/>
    <w:rsid w:val="1CC72DC8"/>
    <w:rsid w:val="1CD16CB9"/>
    <w:rsid w:val="1CDF3275"/>
    <w:rsid w:val="1D0348D3"/>
    <w:rsid w:val="1D12638E"/>
    <w:rsid w:val="1D2D3C6B"/>
    <w:rsid w:val="1D3F1933"/>
    <w:rsid w:val="1D4C627C"/>
    <w:rsid w:val="1D5B34A0"/>
    <w:rsid w:val="1D9B47AB"/>
    <w:rsid w:val="1DA1798E"/>
    <w:rsid w:val="1DBF0C26"/>
    <w:rsid w:val="1DC5354B"/>
    <w:rsid w:val="1DF83606"/>
    <w:rsid w:val="1DF87DB7"/>
    <w:rsid w:val="1DF90183"/>
    <w:rsid w:val="1E031524"/>
    <w:rsid w:val="1E0E681C"/>
    <w:rsid w:val="1E2C60A4"/>
    <w:rsid w:val="1E6C5A8E"/>
    <w:rsid w:val="1E893A38"/>
    <w:rsid w:val="1E95167A"/>
    <w:rsid w:val="1EBE2B94"/>
    <w:rsid w:val="1EE91828"/>
    <w:rsid w:val="1F200DDC"/>
    <w:rsid w:val="1F222B57"/>
    <w:rsid w:val="1F5449D5"/>
    <w:rsid w:val="1F5A123D"/>
    <w:rsid w:val="1F6473EB"/>
    <w:rsid w:val="1F68292B"/>
    <w:rsid w:val="1F6D38B0"/>
    <w:rsid w:val="1F90669E"/>
    <w:rsid w:val="1FA22B8F"/>
    <w:rsid w:val="1FB812EE"/>
    <w:rsid w:val="1FC56C06"/>
    <w:rsid w:val="1FC964F6"/>
    <w:rsid w:val="1FEB60DA"/>
    <w:rsid w:val="1FEF0A48"/>
    <w:rsid w:val="1FEF73A5"/>
    <w:rsid w:val="200D2710"/>
    <w:rsid w:val="20260504"/>
    <w:rsid w:val="20270CD0"/>
    <w:rsid w:val="20422997"/>
    <w:rsid w:val="206005BE"/>
    <w:rsid w:val="206768DD"/>
    <w:rsid w:val="206E2F02"/>
    <w:rsid w:val="20850130"/>
    <w:rsid w:val="20A838B4"/>
    <w:rsid w:val="20BC1640"/>
    <w:rsid w:val="20C62C91"/>
    <w:rsid w:val="20FE256C"/>
    <w:rsid w:val="2130165E"/>
    <w:rsid w:val="214F6373"/>
    <w:rsid w:val="21952240"/>
    <w:rsid w:val="21B42A5F"/>
    <w:rsid w:val="21BE2CB1"/>
    <w:rsid w:val="21F05DD5"/>
    <w:rsid w:val="22145142"/>
    <w:rsid w:val="221D6341"/>
    <w:rsid w:val="22213B47"/>
    <w:rsid w:val="223E1C88"/>
    <w:rsid w:val="226C19FD"/>
    <w:rsid w:val="22732437"/>
    <w:rsid w:val="229D20AF"/>
    <w:rsid w:val="22E3539E"/>
    <w:rsid w:val="22E64B5F"/>
    <w:rsid w:val="22FD01EC"/>
    <w:rsid w:val="231A6D77"/>
    <w:rsid w:val="232E3F0A"/>
    <w:rsid w:val="232F6650"/>
    <w:rsid w:val="233D2BAF"/>
    <w:rsid w:val="235D0211"/>
    <w:rsid w:val="23937EF8"/>
    <w:rsid w:val="239653AD"/>
    <w:rsid w:val="23AD12DE"/>
    <w:rsid w:val="23E166D9"/>
    <w:rsid w:val="23EC7CF4"/>
    <w:rsid w:val="23EF6B5C"/>
    <w:rsid w:val="242F7BDF"/>
    <w:rsid w:val="24D271D9"/>
    <w:rsid w:val="24D723C8"/>
    <w:rsid w:val="24FA6B48"/>
    <w:rsid w:val="2528468B"/>
    <w:rsid w:val="25361D2B"/>
    <w:rsid w:val="254C7A51"/>
    <w:rsid w:val="25882132"/>
    <w:rsid w:val="25B36B75"/>
    <w:rsid w:val="25E47B8C"/>
    <w:rsid w:val="260E317B"/>
    <w:rsid w:val="26307D21"/>
    <w:rsid w:val="266B00B0"/>
    <w:rsid w:val="26943238"/>
    <w:rsid w:val="26C834A6"/>
    <w:rsid w:val="26F70928"/>
    <w:rsid w:val="26F8263B"/>
    <w:rsid w:val="271822AE"/>
    <w:rsid w:val="271C7685"/>
    <w:rsid w:val="275424D3"/>
    <w:rsid w:val="2787147E"/>
    <w:rsid w:val="27A54449"/>
    <w:rsid w:val="27AD6F8B"/>
    <w:rsid w:val="27F06BFD"/>
    <w:rsid w:val="27FC6401"/>
    <w:rsid w:val="281E272E"/>
    <w:rsid w:val="28613E58"/>
    <w:rsid w:val="28BB4687"/>
    <w:rsid w:val="28E15B0F"/>
    <w:rsid w:val="28F036BB"/>
    <w:rsid w:val="28FA6942"/>
    <w:rsid w:val="2907227A"/>
    <w:rsid w:val="29326084"/>
    <w:rsid w:val="299131AD"/>
    <w:rsid w:val="2A0F547A"/>
    <w:rsid w:val="2A1F3C0F"/>
    <w:rsid w:val="2A63653E"/>
    <w:rsid w:val="2A705213"/>
    <w:rsid w:val="2A8C39F7"/>
    <w:rsid w:val="2ABA5B75"/>
    <w:rsid w:val="2AE74F4B"/>
    <w:rsid w:val="2AF80BFB"/>
    <w:rsid w:val="2B1A5DB5"/>
    <w:rsid w:val="2B1F2E35"/>
    <w:rsid w:val="2B345DE5"/>
    <w:rsid w:val="2B7F5489"/>
    <w:rsid w:val="2B83306D"/>
    <w:rsid w:val="2B8B4B65"/>
    <w:rsid w:val="2B8E0340"/>
    <w:rsid w:val="2B9817D8"/>
    <w:rsid w:val="2BAE2140"/>
    <w:rsid w:val="2BB7077A"/>
    <w:rsid w:val="2BBA0827"/>
    <w:rsid w:val="2BFA0DB6"/>
    <w:rsid w:val="2C254E58"/>
    <w:rsid w:val="2C35070D"/>
    <w:rsid w:val="2C6D78B2"/>
    <w:rsid w:val="2C754816"/>
    <w:rsid w:val="2C7F3220"/>
    <w:rsid w:val="2CC011CB"/>
    <w:rsid w:val="2CEF2880"/>
    <w:rsid w:val="2CF03487"/>
    <w:rsid w:val="2CF21B38"/>
    <w:rsid w:val="2D091438"/>
    <w:rsid w:val="2D1C30D9"/>
    <w:rsid w:val="2D433DC1"/>
    <w:rsid w:val="2D50566D"/>
    <w:rsid w:val="2D9C24B8"/>
    <w:rsid w:val="2DAB1EB0"/>
    <w:rsid w:val="2DC620D4"/>
    <w:rsid w:val="2DCE01A5"/>
    <w:rsid w:val="2DCF6A20"/>
    <w:rsid w:val="2DF07058"/>
    <w:rsid w:val="2E094391"/>
    <w:rsid w:val="2E4440D2"/>
    <w:rsid w:val="2E4F60E6"/>
    <w:rsid w:val="2E5D7E5A"/>
    <w:rsid w:val="2E657D36"/>
    <w:rsid w:val="2E6E0D7D"/>
    <w:rsid w:val="2E8A3E18"/>
    <w:rsid w:val="2EA877F9"/>
    <w:rsid w:val="2EDB0C8C"/>
    <w:rsid w:val="2EE92337"/>
    <w:rsid w:val="2F062EAE"/>
    <w:rsid w:val="2F343086"/>
    <w:rsid w:val="2F3B2FF7"/>
    <w:rsid w:val="2F45575D"/>
    <w:rsid w:val="2F524CB3"/>
    <w:rsid w:val="2F69328E"/>
    <w:rsid w:val="2F6B0797"/>
    <w:rsid w:val="2F831F11"/>
    <w:rsid w:val="2F9803B4"/>
    <w:rsid w:val="2FA16C2B"/>
    <w:rsid w:val="2FB27744"/>
    <w:rsid w:val="30001A99"/>
    <w:rsid w:val="3009601B"/>
    <w:rsid w:val="30244510"/>
    <w:rsid w:val="302E6671"/>
    <w:rsid w:val="303D0DD5"/>
    <w:rsid w:val="304B1E7A"/>
    <w:rsid w:val="305E2376"/>
    <w:rsid w:val="308F0010"/>
    <w:rsid w:val="3097158C"/>
    <w:rsid w:val="30C6296D"/>
    <w:rsid w:val="30E73228"/>
    <w:rsid w:val="31046C8E"/>
    <w:rsid w:val="3128296D"/>
    <w:rsid w:val="312A29D5"/>
    <w:rsid w:val="316F669A"/>
    <w:rsid w:val="317400AE"/>
    <w:rsid w:val="31A04770"/>
    <w:rsid w:val="31E51FD7"/>
    <w:rsid w:val="32004281"/>
    <w:rsid w:val="321D09AE"/>
    <w:rsid w:val="322D6C7E"/>
    <w:rsid w:val="32303E78"/>
    <w:rsid w:val="323C4034"/>
    <w:rsid w:val="32593023"/>
    <w:rsid w:val="326C451E"/>
    <w:rsid w:val="32AB5A2C"/>
    <w:rsid w:val="32F450B2"/>
    <w:rsid w:val="33037D95"/>
    <w:rsid w:val="33162D81"/>
    <w:rsid w:val="33505311"/>
    <w:rsid w:val="3382115D"/>
    <w:rsid w:val="338D3BB2"/>
    <w:rsid w:val="33987BB7"/>
    <w:rsid w:val="33B71B21"/>
    <w:rsid w:val="33CD1B44"/>
    <w:rsid w:val="33E87B87"/>
    <w:rsid w:val="33FC4C99"/>
    <w:rsid w:val="34327064"/>
    <w:rsid w:val="344F365B"/>
    <w:rsid w:val="34520297"/>
    <w:rsid w:val="346379CB"/>
    <w:rsid w:val="34645457"/>
    <w:rsid w:val="347B771A"/>
    <w:rsid w:val="348457EE"/>
    <w:rsid w:val="34A15565"/>
    <w:rsid w:val="34B97771"/>
    <w:rsid w:val="34EA5704"/>
    <w:rsid w:val="34EF1A8E"/>
    <w:rsid w:val="34F47749"/>
    <w:rsid w:val="34FB665F"/>
    <w:rsid w:val="352E0EEA"/>
    <w:rsid w:val="3533532B"/>
    <w:rsid w:val="353B16C0"/>
    <w:rsid w:val="353F6012"/>
    <w:rsid w:val="35637B9A"/>
    <w:rsid w:val="35655411"/>
    <w:rsid w:val="356D3B0E"/>
    <w:rsid w:val="356D4D1E"/>
    <w:rsid w:val="35A759C8"/>
    <w:rsid w:val="35B03F0E"/>
    <w:rsid w:val="35BC06AF"/>
    <w:rsid w:val="35C62ACA"/>
    <w:rsid w:val="35FB6E70"/>
    <w:rsid w:val="35FC2283"/>
    <w:rsid w:val="3609050E"/>
    <w:rsid w:val="365404A0"/>
    <w:rsid w:val="366A6045"/>
    <w:rsid w:val="36812304"/>
    <w:rsid w:val="36E6300D"/>
    <w:rsid w:val="371B6C23"/>
    <w:rsid w:val="37202635"/>
    <w:rsid w:val="372A5531"/>
    <w:rsid w:val="3786516D"/>
    <w:rsid w:val="37D01482"/>
    <w:rsid w:val="37EB75EA"/>
    <w:rsid w:val="380833A7"/>
    <w:rsid w:val="3814761B"/>
    <w:rsid w:val="382B3540"/>
    <w:rsid w:val="383554DC"/>
    <w:rsid w:val="38395F8A"/>
    <w:rsid w:val="3841230D"/>
    <w:rsid w:val="386E1F05"/>
    <w:rsid w:val="38776DDC"/>
    <w:rsid w:val="38EC44D2"/>
    <w:rsid w:val="39047560"/>
    <w:rsid w:val="39050D24"/>
    <w:rsid w:val="39357B6A"/>
    <w:rsid w:val="39680586"/>
    <w:rsid w:val="398F70FB"/>
    <w:rsid w:val="39F20501"/>
    <w:rsid w:val="3A715CFA"/>
    <w:rsid w:val="3A901DF9"/>
    <w:rsid w:val="3AA64150"/>
    <w:rsid w:val="3AB6593F"/>
    <w:rsid w:val="3ACF5D58"/>
    <w:rsid w:val="3ADD0802"/>
    <w:rsid w:val="3AE67669"/>
    <w:rsid w:val="3B2E3312"/>
    <w:rsid w:val="3B303488"/>
    <w:rsid w:val="3B3A07D5"/>
    <w:rsid w:val="3B4F0D48"/>
    <w:rsid w:val="3B51147B"/>
    <w:rsid w:val="3B775462"/>
    <w:rsid w:val="3B7968EB"/>
    <w:rsid w:val="3B975A6C"/>
    <w:rsid w:val="3B99437D"/>
    <w:rsid w:val="3BE645ED"/>
    <w:rsid w:val="3BE73179"/>
    <w:rsid w:val="3C080464"/>
    <w:rsid w:val="3C14621A"/>
    <w:rsid w:val="3C1A1DD8"/>
    <w:rsid w:val="3C495989"/>
    <w:rsid w:val="3C9959B3"/>
    <w:rsid w:val="3CA96723"/>
    <w:rsid w:val="3CAD7E88"/>
    <w:rsid w:val="3CC173D7"/>
    <w:rsid w:val="3CFC2627"/>
    <w:rsid w:val="3D2962CA"/>
    <w:rsid w:val="3D574294"/>
    <w:rsid w:val="3D7C6D2A"/>
    <w:rsid w:val="3DB02878"/>
    <w:rsid w:val="3DCA7407"/>
    <w:rsid w:val="3DCE1764"/>
    <w:rsid w:val="3DDD0EE7"/>
    <w:rsid w:val="3DE34C46"/>
    <w:rsid w:val="3DF1697D"/>
    <w:rsid w:val="3E107039"/>
    <w:rsid w:val="3E162DEC"/>
    <w:rsid w:val="3E7C1B1C"/>
    <w:rsid w:val="3E9E42E1"/>
    <w:rsid w:val="3F3F70A0"/>
    <w:rsid w:val="3F78391D"/>
    <w:rsid w:val="3FE03953"/>
    <w:rsid w:val="3FE040F0"/>
    <w:rsid w:val="400206F5"/>
    <w:rsid w:val="401B4B48"/>
    <w:rsid w:val="406C6164"/>
    <w:rsid w:val="40884528"/>
    <w:rsid w:val="40EC4B79"/>
    <w:rsid w:val="411256B6"/>
    <w:rsid w:val="416313C1"/>
    <w:rsid w:val="419368C1"/>
    <w:rsid w:val="419E2AB7"/>
    <w:rsid w:val="41AE5A84"/>
    <w:rsid w:val="41D76BEB"/>
    <w:rsid w:val="422579B0"/>
    <w:rsid w:val="4232270C"/>
    <w:rsid w:val="423847B5"/>
    <w:rsid w:val="42484115"/>
    <w:rsid w:val="425A09B6"/>
    <w:rsid w:val="425C41B5"/>
    <w:rsid w:val="426F57B1"/>
    <w:rsid w:val="427F6643"/>
    <w:rsid w:val="428964CB"/>
    <w:rsid w:val="42A4779E"/>
    <w:rsid w:val="42AA27EC"/>
    <w:rsid w:val="42D0113A"/>
    <w:rsid w:val="43401A32"/>
    <w:rsid w:val="435B5BF4"/>
    <w:rsid w:val="43C45225"/>
    <w:rsid w:val="43C867F6"/>
    <w:rsid w:val="43CB36EE"/>
    <w:rsid w:val="43D1281B"/>
    <w:rsid w:val="44026849"/>
    <w:rsid w:val="441C4D6B"/>
    <w:rsid w:val="448F0917"/>
    <w:rsid w:val="44906138"/>
    <w:rsid w:val="44960CCC"/>
    <w:rsid w:val="44A55649"/>
    <w:rsid w:val="44B171EE"/>
    <w:rsid w:val="44BB1274"/>
    <w:rsid w:val="44C91B9A"/>
    <w:rsid w:val="44D96324"/>
    <w:rsid w:val="44F30C1F"/>
    <w:rsid w:val="44FA591A"/>
    <w:rsid w:val="45282FB6"/>
    <w:rsid w:val="45793F2C"/>
    <w:rsid w:val="45932314"/>
    <w:rsid w:val="45A70BA5"/>
    <w:rsid w:val="45B571BB"/>
    <w:rsid w:val="45BA0B5B"/>
    <w:rsid w:val="460939EB"/>
    <w:rsid w:val="46183F3B"/>
    <w:rsid w:val="46332D93"/>
    <w:rsid w:val="46584AAB"/>
    <w:rsid w:val="46797A36"/>
    <w:rsid w:val="467B4BB9"/>
    <w:rsid w:val="46C3248E"/>
    <w:rsid w:val="47047C2B"/>
    <w:rsid w:val="47154038"/>
    <w:rsid w:val="47272FC7"/>
    <w:rsid w:val="47374F92"/>
    <w:rsid w:val="475B0B10"/>
    <w:rsid w:val="4764678F"/>
    <w:rsid w:val="477B1699"/>
    <w:rsid w:val="479B0E59"/>
    <w:rsid w:val="47C951CE"/>
    <w:rsid w:val="47DC47F1"/>
    <w:rsid w:val="47E76E3E"/>
    <w:rsid w:val="47EC7D91"/>
    <w:rsid w:val="481D61D9"/>
    <w:rsid w:val="481E1D06"/>
    <w:rsid w:val="48317EF6"/>
    <w:rsid w:val="487A44E7"/>
    <w:rsid w:val="48E2350E"/>
    <w:rsid w:val="48FD4A0D"/>
    <w:rsid w:val="495D5A74"/>
    <w:rsid w:val="498D3860"/>
    <w:rsid w:val="49D34C55"/>
    <w:rsid w:val="4A260851"/>
    <w:rsid w:val="4A8B0937"/>
    <w:rsid w:val="4A9818B6"/>
    <w:rsid w:val="4AAA3BD9"/>
    <w:rsid w:val="4ACE6F1F"/>
    <w:rsid w:val="4AD2564C"/>
    <w:rsid w:val="4ADE1EB3"/>
    <w:rsid w:val="4ADE60F9"/>
    <w:rsid w:val="4AE94AC8"/>
    <w:rsid w:val="4AEF664A"/>
    <w:rsid w:val="4B0A5BFD"/>
    <w:rsid w:val="4B5E02DF"/>
    <w:rsid w:val="4B7C3C99"/>
    <w:rsid w:val="4B865D61"/>
    <w:rsid w:val="4B9D0D43"/>
    <w:rsid w:val="4BB76675"/>
    <w:rsid w:val="4BC237D1"/>
    <w:rsid w:val="4BE44578"/>
    <w:rsid w:val="4BEC6928"/>
    <w:rsid w:val="4BEE2AD1"/>
    <w:rsid w:val="4C450936"/>
    <w:rsid w:val="4C5F19D1"/>
    <w:rsid w:val="4CBB2012"/>
    <w:rsid w:val="4CDF2B72"/>
    <w:rsid w:val="4CE76529"/>
    <w:rsid w:val="4CF769BA"/>
    <w:rsid w:val="4D261E18"/>
    <w:rsid w:val="4D4D34AA"/>
    <w:rsid w:val="4D573920"/>
    <w:rsid w:val="4D8A3C19"/>
    <w:rsid w:val="4DAE7F80"/>
    <w:rsid w:val="4DB359A1"/>
    <w:rsid w:val="4DE338AE"/>
    <w:rsid w:val="4DE969D8"/>
    <w:rsid w:val="4DEE2CF8"/>
    <w:rsid w:val="4DFC6A74"/>
    <w:rsid w:val="4E0A70E6"/>
    <w:rsid w:val="4E2C08A2"/>
    <w:rsid w:val="4E560865"/>
    <w:rsid w:val="4EE15B28"/>
    <w:rsid w:val="4F021102"/>
    <w:rsid w:val="4F3A0F27"/>
    <w:rsid w:val="4F3D54AF"/>
    <w:rsid w:val="4F482167"/>
    <w:rsid w:val="4F4A498D"/>
    <w:rsid w:val="4F54197B"/>
    <w:rsid w:val="4F9D4407"/>
    <w:rsid w:val="4FCC1E4A"/>
    <w:rsid w:val="4FD248CC"/>
    <w:rsid w:val="4FE359F6"/>
    <w:rsid w:val="50191797"/>
    <w:rsid w:val="501D2002"/>
    <w:rsid w:val="5081756B"/>
    <w:rsid w:val="508E78D1"/>
    <w:rsid w:val="50CC1A22"/>
    <w:rsid w:val="50F3044C"/>
    <w:rsid w:val="513A06C8"/>
    <w:rsid w:val="5143511D"/>
    <w:rsid w:val="515D1527"/>
    <w:rsid w:val="517F4D91"/>
    <w:rsid w:val="519946D8"/>
    <w:rsid w:val="51E0471C"/>
    <w:rsid w:val="51E06458"/>
    <w:rsid w:val="51ED7721"/>
    <w:rsid w:val="51EE09D2"/>
    <w:rsid w:val="521B0394"/>
    <w:rsid w:val="52282105"/>
    <w:rsid w:val="524A7DD9"/>
    <w:rsid w:val="52924D7F"/>
    <w:rsid w:val="52A86B13"/>
    <w:rsid w:val="52B8700B"/>
    <w:rsid w:val="52DE4FBD"/>
    <w:rsid w:val="52FA78D4"/>
    <w:rsid w:val="534A0E02"/>
    <w:rsid w:val="53742271"/>
    <w:rsid w:val="53917A0A"/>
    <w:rsid w:val="53990B90"/>
    <w:rsid w:val="53991998"/>
    <w:rsid w:val="53A85C10"/>
    <w:rsid w:val="53B16428"/>
    <w:rsid w:val="540C1DC0"/>
    <w:rsid w:val="542439A9"/>
    <w:rsid w:val="54A24B35"/>
    <w:rsid w:val="54A671B5"/>
    <w:rsid w:val="54BF4797"/>
    <w:rsid w:val="54D47DBA"/>
    <w:rsid w:val="54F255E8"/>
    <w:rsid w:val="55043186"/>
    <w:rsid w:val="55641AAF"/>
    <w:rsid w:val="55832879"/>
    <w:rsid w:val="55834553"/>
    <w:rsid w:val="559A4D62"/>
    <w:rsid w:val="55BC3AE7"/>
    <w:rsid w:val="562076F5"/>
    <w:rsid w:val="565E6AD6"/>
    <w:rsid w:val="56674122"/>
    <w:rsid w:val="566D2801"/>
    <w:rsid w:val="5680298C"/>
    <w:rsid w:val="56ED2568"/>
    <w:rsid w:val="570074AA"/>
    <w:rsid w:val="57686FB0"/>
    <w:rsid w:val="577C1144"/>
    <w:rsid w:val="57887799"/>
    <w:rsid w:val="578F7A0C"/>
    <w:rsid w:val="57AF0EFB"/>
    <w:rsid w:val="57EA6685"/>
    <w:rsid w:val="57FD1D9D"/>
    <w:rsid w:val="58381F3B"/>
    <w:rsid w:val="58712188"/>
    <w:rsid w:val="58715F90"/>
    <w:rsid w:val="589061F1"/>
    <w:rsid w:val="58A55AF3"/>
    <w:rsid w:val="58AB25F3"/>
    <w:rsid w:val="58B24748"/>
    <w:rsid w:val="58B4664F"/>
    <w:rsid w:val="58D530E6"/>
    <w:rsid w:val="58E045F1"/>
    <w:rsid w:val="58F701AC"/>
    <w:rsid w:val="58FE3AD2"/>
    <w:rsid w:val="59161413"/>
    <w:rsid w:val="59385906"/>
    <w:rsid w:val="59473E5B"/>
    <w:rsid w:val="595E0A46"/>
    <w:rsid w:val="59676505"/>
    <w:rsid w:val="59720E21"/>
    <w:rsid w:val="59835A5D"/>
    <w:rsid w:val="59FF4711"/>
    <w:rsid w:val="5A0F51AE"/>
    <w:rsid w:val="5A4D285A"/>
    <w:rsid w:val="5A5259C5"/>
    <w:rsid w:val="5A58501B"/>
    <w:rsid w:val="5A6B09CC"/>
    <w:rsid w:val="5A6D4EAA"/>
    <w:rsid w:val="5A832084"/>
    <w:rsid w:val="5A9A5F04"/>
    <w:rsid w:val="5ABA5D48"/>
    <w:rsid w:val="5AD53D31"/>
    <w:rsid w:val="5AE707AC"/>
    <w:rsid w:val="5AED70B0"/>
    <w:rsid w:val="5AFC3B96"/>
    <w:rsid w:val="5B15786B"/>
    <w:rsid w:val="5B310BCC"/>
    <w:rsid w:val="5B3567BF"/>
    <w:rsid w:val="5B4C6F0D"/>
    <w:rsid w:val="5B973AC9"/>
    <w:rsid w:val="5BFB74DF"/>
    <w:rsid w:val="5C036B68"/>
    <w:rsid w:val="5C3D50A8"/>
    <w:rsid w:val="5C4146C0"/>
    <w:rsid w:val="5C477902"/>
    <w:rsid w:val="5C6900A7"/>
    <w:rsid w:val="5C7D11AE"/>
    <w:rsid w:val="5C90729B"/>
    <w:rsid w:val="5CA602FD"/>
    <w:rsid w:val="5CA7377F"/>
    <w:rsid w:val="5CA8563C"/>
    <w:rsid w:val="5CA931E6"/>
    <w:rsid w:val="5CBD1061"/>
    <w:rsid w:val="5CD70792"/>
    <w:rsid w:val="5CF7490A"/>
    <w:rsid w:val="5D0361A6"/>
    <w:rsid w:val="5D0455E4"/>
    <w:rsid w:val="5D214603"/>
    <w:rsid w:val="5D2F5188"/>
    <w:rsid w:val="5D4A0E58"/>
    <w:rsid w:val="5D4E2E30"/>
    <w:rsid w:val="5D527954"/>
    <w:rsid w:val="5D567845"/>
    <w:rsid w:val="5D676D27"/>
    <w:rsid w:val="5D706060"/>
    <w:rsid w:val="5D7632FE"/>
    <w:rsid w:val="5D8230E4"/>
    <w:rsid w:val="5DB94013"/>
    <w:rsid w:val="5DB94CED"/>
    <w:rsid w:val="5DDC7330"/>
    <w:rsid w:val="5DF471FE"/>
    <w:rsid w:val="5DF66455"/>
    <w:rsid w:val="5DF9614D"/>
    <w:rsid w:val="5DFC52BC"/>
    <w:rsid w:val="5E001359"/>
    <w:rsid w:val="5E0E6CE8"/>
    <w:rsid w:val="5E245431"/>
    <w:rsid w:val="5E277EF2"/>
    <w:rsid w:val="5E441087"/>
    <w:rsid w:val="5E626938"/>
    <w:rsid w:val="5E665EB9"/>
    <w:rsid w:val="5E75287E"/>
    <w:rsid w:val="5E925DF8"/>
    <w:rsid w:val="5EA625C5"/>
    <w:rsid w:val="5EBD2229"/>
    <w:rsid w:val="5F1F4BE9"/>
    <w:rsid w:val="5F5F683C"/>
    <w:rsid w:val="5F6B41F3"/>
    <w:rsid w:val="5F97415E"/>
    <w:rsid w:val="5F97782A"/>
    <w:rsid w:val="5F9923BC"/>
    <w:rsid w:val="5FA3538C"/>
    <w:rsid w:val="5FAB175F"/>
    <w:rsid w:val="5FAD5F43"/>
    <w:rsid w:val="5FAF08E7"/>
    <w:rsid w:val="5FC865A1"/>
    <w:rsid w:val="5FD66479"/>
    <w:rsid w:val="5FF0711B"/>
    <w:rsid w:val="6028398E"/>
    <w:rsid w:val="60583BA3"/>
    <w:rsid w:val="60692653"/>
    <w:rsid w:val="607B0D29"/>
    <w:rsid w:val="608B1384"/>
    <w:rsid w:val="608E3EED"/>
    <w:rsid w:val="60A23BC5"/>
    <w:rsid w:val="60E66DDC"/>
    <w:rsid w:val="60F60D7A"/>
    <w:rsid w:val="610056B0"/>
    <w:rsid w:val="610555FD"/>
    <w:rsid w:val="61224601"/>
    <w:rsid w:val="61437985"/>
    <w:rsid w:val="61470903"/>
    <w:rsid w:val="614B2E05"/>
    <w:rsid w:val="617010C5"/>
    <w:rsid w:val="617E209F"/>
    <w:rsid w:val="61807192"/>
    <w:rsid w:val="61D93A87"/>
    <w:rsid w:val="61F87D5B"/>
    <w:rsid w:val="61F908E1"/>
    <w:rsid w:val="61FA16A9"/>
    <w:rsid w:val="622969A5"/>
    <w:rsid w:val="623162CA"/>
    <w:rsid w:val="62431284"/>
    <w:rsid w:val="62510ABC"/>
    <w:rsid w:val="62584048"/>
    <w:rsid w:val="62691302"/>
    <w:rsid w:val="62856D05"/>
    <w:rsid w:val="62972419"/>
    <w:rsid w:val="62A86418"/>
    <w:rsid w:val="62B20710"/>
    <w:rsid w:val="62C0775B"/>
    <w:rsid w:val="62C746CD"/>
    <w:rsid w:val="62D560F5"/>
    <w:rsid w:val="62D81DFC"/>
    <w:rsid w:val="62EA6C5C"/>
    <w:rsid w:val="630E1BC6"/>
    <w:rsid w:val="634F2BF8"/>
    <w:rsid w:val="635864CC"/>
    <w:rsid w:val="640975BE"/>
    <w:rsid w:val="64402948"/>
    <w:rsid w:val="644901A6"/>
    <w:rsid w:val="64680F61"/>
    <w:rsid w:val="64BF2BC1"/>
    <w:rsid w:val="64F863FA"/>
    <w:rsid w:val="651755DA"/>
    <w:rsid w:val="651835CD"/>
    <w:rsid w:val="655A18FA"/>
    <w:rsid w:val="657A2555"/>
    <w:rsid w:val="65895F7C"/>
    <w:rsid w:val="65B02698"/>
    <w:rsid w:val="66347A84"/>
    <w:rsid w:val="663A30CA"/>
    <w:rsid w:val="663B5E50"/>
    <w:rsid w:val="66E75082"/>
    <w:rsid w:val="670D6558"/>
    <w:rsid w:val="670E46E3"/>
    <w:rsid w:val="6786082C"/>
    <w:rsid w:val="678E3DFE"/>
    <w:rsid w:val="67987F2C"/>
    <w:rsid w:val="6799132B"/>
    <w:rsid w:val="679D2982"/>
    <w:rsid w:val="67AE1312"/>
    <w:rsid w:val="682E6B89"/>
    <w:rsid w:val="685856E7"/>
    <w:rsid w:val="687C2ECB"/>
    <w:rsid w:val="68905224"/>
    <w:rsid w:val="68A67FFD"/>
    <w:rsid w:val="68BA35CD"/>
    <w:rsid w:val="68DF71BA"/>
    <w:rsid w:val="68FE048B"/>
    <w:rsid w:val="69175B37"/>
    <w:rsid w:val="69196AFB"/>
    <w:rsid w:val="691C2575"/>
    <w:rsid w:val="692062F9"/>
    <w:rsid w:val="69511315"/>
    <w:rsid w:val="698F3B2B"/>
    <w:rsid w:val="6997604F"/>
    <w:rsid w:val="699941C9"/>
    <w:rsid w:val="69A554B6"/>
    <w:rsid w:val="69B86DB5"/>
    <w:rsid w:val="69FE1A6E"/>
    <w:rsid w:val="6A243C15"/>
    <w:rsid w:val="6A5562E9"/>
    <w:rsid w:val="6A63424B"/>
    <w:rsid w:val="6A722D3C"/>
    <w:rsid w:val="6AC255A7"/>
    <w:rsid w:val="6AEB196E"/>
    <w:rsid w:val="6B0942FE"/>
    <w:rsid w:val="6B5D7213"/>
    <w:rsid w:val="6B5F7BEC"/>
    <w:rsid w:val="6B771E6C"/>
    <w:rsid w:val="6B780253"/>
    <w:rsid w:val="6BA2733F"/>
    <w:rsid w:val="6BAB3203"/>
    <w:rsid w:val="6BDF5AC0"/>
    <w:rsid w:val="6BE1139B"/>
    <w:rsid w:val="6C041DA3"/>
    <w:rsid w:val="6C1B1BC2"/>
    <w:rsid w:val="6C1C2E90"/>
    <w:rsid w:val="6C2108A4"/>
    <w:rsid w:val="6C312DB7"/>
    <w:rsid w:val="6C4D5030"/>
    <w:rsid w:val="6CA42104"/>
    <w:rsid w:val="6CA65C72"/>
    <w:rsid w:val="6CBB20F5"/>
    <w:rsid w:val="6D150404"/>
    <w:rsid w:val="6D49334C"/>
    <w:rsid w:val="6D604C23"/>
    <w:rsid w:val="6D666E6D"/>
    <w:rsid w:val="6DA60265"/>
    <w:rsid w:val="6DAE5691"/>
    <w:rsid w:val="6DB83838"/>
    <w:rsid w:val="6E0D4DFE"/>
    <w:rsid w:val="6E1F56FF"/>
    <w:rsid w:val="6E223B94"/>
    <w:rsid w:val="6E383C1F"/>
    <w:rsid w:val="6E3F6315"/>
    <w:rsid w:val="6E4A5472"/>
    <w:rsid w:val="6E6E14E0"/>
    <w:rsid w:val="6E800247"/>
    <w:rsid w:val="6EAC38FE"/>
    <w:rsid w:val="6ED55210"/>
    <w:rsid w:val="6EE0590D"/>
    <w:rsid w:val="6EE06C29"/>
    <w:rsid w:val="6F201A3E"/>
    <w:rsid w:val="6F3D2D9C"/>
    <w:rsid w:val="6F4E693A"/>
    <w:rsid w:val="6F702C27"/>
    <w:rsid w:val="6F7E470E"/>
    <w:rsid w:val="6FB20780"/>
    <w:rsid w:val="6FB46A3A"/>
    <w:rsid w:val="6FB7450E"/>
    <w:rsid w:val="6FC42253"/>
    <w:rsid w:val="6FCA43DC"/>
    <w:rsid w:val="701A4300"/>
    <w:rsid w:val="702A1BBD"/>
    <w:rsid w:val="70441A96"/>
    <w:rsid w:val="705E14A9"/>
    <w:rsid w:val="70A67DDB"/>
    <w:rsid w:val="70C733CD"/>
    <w:rsid w:val="70CA7718"/>
    <w:rsid w:val="70D03892"/>
    <w:rsid w:val="70FB6359"/>
    <w:rsid w:val="711A6F8B"/>
    <w:rsid w:val="716068B2"/>
    <w:rsid w:val="716558F4"/>
    <w:rsid w:val="716672ED"/>
    <w:rsid w:val="717532F8"/>
    <w:rsid w:val="71B2455E"/>
    <w:rsid w:val="71CA7AA7"/>
    <w:rsid w:val="72403A27"/>
    <w:rsid w:val="72750E95"/>
    <w:rsid w:val="727750FC"/>
    <w:rsid w:val="727F5E89"/>
    <w:rsid w:val="72891E03"/>
    <w:rsid w:val="72973E3C"/>
    <w:rsid w:val="72ED1BF3"/>
    <w:rsid w:val="73341EE7"/>
    <w:rsid w:val="733D7285"/>
    <w:rsid w:val="737F6440"/>
    <w:rsid w:val="7385730F"/>
    <w:rsid w:val="73D5270D"/>
    <w:rsid w:val="73DB1788"/>
    <w:rsid w:val="73DB64B2"/>
    <w:rsid w:val="73E511DB"/>
    <w:rsid w:val="73F53BDA"/>
    <w:rsid w:val="73FF59DE"/>
    <w:rsid w:val="748F19A9"/>
    <w:rsid w:val="749660AD"/>
    <w:rsid w:val="75104306"/>
    <w:rsid w:val="75507B67"/>
    <w:rsid w:val="75823CC8"/>
    <w:rsid w:val="75A73590"/>
    <w:rsid w:val="75A943C7"/>
    <w:rsid w:val="75B67E8A"/>
    <w:rsid w:val="76024393"/>
    <w:rsid w:val="76161B54"/>
    <w:rsid w:val="76163496"/>
    <w:rsid w:val="763B24B2"/>
    <w:rsid w:val="76556714"/>
    <w:rsid w:val="76825C0F"/>
    <w:rsid w:val="768A14EB"/>
    <w:rsid w:val="76A33224"/>
    <w:rsid w:val="76A47DD3"/>
    <w:rsid w:val="76B73982"/>
    <w:rsid w:val="76F97D94"/>
    <w:rsid w:val="770C437B"/>
    <w:rsid w:val="7715142B"/>
    <w:rsid w:val="771A590D"/>
    <w:rsid w:val="77242303"/>
    <w:rsid w:val="773557B3"/>
    <w:rsid w:val="77952102"/>
    <w:rsid w:val="77A80D12"/>
    <w:rsid w:val="78136AAC"/>
    <w:rsid w:val="78453CA8"/>
    <w:rsid w:val="78626620"/>
    <w:rsid w:val="78635A04"/>
    <w:rsid w:val="789E4AC8"/>
    <w:rsid w:val="78B15704"/>
    <w:rsid w:val="78D8409F"/>
    <w:rsid w:val="79147C13"/>
    <w:rsid w:val="79377AE8"/>
    <w:rsid w:val="794A6E77"/>
    <w:rsid w:val="796F4E33"/>
    <w:rsid w:val="797018CE"/>
    <w:rsid w:val="797154CF"/>
    <w:rsid w:val="797D6B6D"/>
    <w:rsid w:val="79BF7792"/>
    <w:rsid w:val="79C23362"/>
    <w:rsid w:val="79D9673E"/>
    <w:rsid w:val="79DF1C24"/>
    <w:rsid w:val="79ED6978"/>
    <w:rsid w:val="7A290A60"/>
    <w:rsid w:val="7A2C5CBE"/>
    <w:rsid w:val="7A5A64CA"/>
    <w:rsid w:val="7A7C691F"/>
    <w:rsid w:val="7AE973D5"/>
    <w:rsid w:val="7AFF2D32"/>
    <w:rsid w:val="7B107FC1"/>
    <w:rsid w:val="7B12009E"/>
    <w:rsid w:val="7B176D59"/>
    <w:rsid w:val="7B515754"/>
    <w:rsid w:val="7B595072"/>
    <w:rsid w:val="7B905C5C"/>
    <w:rsid w:val="7BA01153"/>
    <w:rsid w:val="7BD078DE"/>
    <w:rsid w:val="7BFA73A1"/>
    <w:rsid w:val="7C26274C"/>
    <w:rsid w:val="7C3847AD"/>
    <w:rsid w:val="7C7723AE"/>
    <w:rsid w:val="7CA40DC9"/>
    <w:rsid w:val="7CA94BC0"/>
    <w:rsid w:val="7CB22DAD"/>
    <w:rsid w:val="7CE860CC"/>
    <w:rsid w:val="7D270A27"/>
    <w:rsid w:val="7D29399D"/>
    <w:rsid w:val="7D3450A0"/>
    <w:rsid w:val="7DA75BE3"/>
    <w:rsid w:val="7DB20983"/>
    <w:rsid w:val="7DBB0DC0"/>
    <w:rsid w:val="7DBE1D66"/>
    <w:rsid w:val="7DCB5495"/>
    <w:rsid w:val="7DED491B"/>
    <w:rsid w:val="7E1D763D"/>
    <w:rsid w:val="7E284A8E"/>
    <w:rsid w:val="7E453B33"/>
    <w:rsid w:val="7E5253BE"/>
    <w:rsid w:val="7E6E3346"/>
    <w:rsid w:val="7E8D75C3"/>
    <w:rsid w:val="7EFE42D6"/>
    <w:rsid w:val="7F140895"/>
    <w:rsid w:val="7F481369"/>
    <w:rsid w:val="7F5576C2"/>
    <w:rsid w:val="7F571DA2"/>
    <w:rsid w:val="7F6857F4"/>
    <w:rsid w:val="7FC71C74"/>
    <w:rsid w:val="7FCD5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0" w:semiHidden="0" w:name="footer"/>
    <w:lsdException w:qFormat="1" w:unhideWhenUsed="0" w:uiPriority="0"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qFormat="1" w:unhideWhenUsed="0" w:uiPriority="0" w:name="table of authorities"/>
    <w:lsdException w:uiPriority="99" w:name="macro"/>
    <w:lsdException w:qFormat="1" w:unhideWhenUsed="0" w:uiPriority="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nhideWhenUsed="0" w:uiPriority="0" w:semiHidden="0"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2"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link w:val="79"/>
    <w:qFormat/>
    <w:uiPriority w:val="0"/>
    <w:pPr>
      <w:keepNext/>
      <w:keepLines/>
      <w:pageBreakBefore/>
      <w:tabs>
        <w:tab w:val="left" w:pos="0"/>
      </w:tabs>
      <w:adjustRightInd w:val="0"/>
      <w:spacing w:line="240" w:lineRule="auto"/>
      <w:jc w:val="center"/>
      <w:textAlignment w:val="baseline"/>
      <w:outlineLvl w:val="0"/>
    </w:pPr>
    <w:rPr>
      <w:b/>
      <w:kern w:val="44"/>
      <w:sz w:val="36"/>
      <w:szCs w:val="20"/>
    </w:rPr>
  </w:style>
  <w:style w:type="paragraph" w:styleId="3">
    <w:name w:val="heading 2"/>
    <w:basedOn w:val="1"/>
    <w:next w:val="1"/>
    <w:link w:val="80"/>
    <w:qFormat/>
    <w:uiPriority w:val="0"/>
    <w:pPr>
      <w:keepNext/>
      <w:keepLines/>
      <w:tabs>
        <w:tab w:val="left" w:pos="0"/>
      </w:tabs>
      <w:adjustRightInd w:val="0"/>
      <w:spacing w:line="360" w:lineRule="auto"/>
      <w:ind w:firstLine="0" w:firstLineChars="0"/>
      <w:jc w:val="left"/>
      <w:textAlignment w:val="baseline"/>
      <w:outlineLvl w:val="1"/>
    </w:pPr>
    <w:rPr>
      <w:rFonts w:ascii="宋体" w:hAnsi="宋体"/>
      <w:b/>
      <w:kern w:val="0"/>
      <w:sz w:val="28"/>
      <w:szCs w:val="20"/>
    </w:rPr>
  </w:style>
  <w:style w:type="paragraph" w:styleId="4">
    <w:name w:val="heading 3"/>
    <w:basedOn w:val="1"/>
    <w:next w:val="1"/>
    <w:link w:val="81"/>
    <w:qFormat/>
    <w:uiPriority w:val="0"/>
    <w:pPr>
      <w:keepNext/>
      <w:keepLines/>
      <w:tabs>
        <w:tab w:val="left" w:pos="567"/>
      </w:tabs>
      <w:adjustRightInd w:val="0"/>
      <w:spacing w:before="260" w:after="260" w:line="416" w:lineRule="atLeast"/>
      <w:jc w:val="left"/>
      <w:textAlignment w:val="baseline"/>
      <w:outlineLvl w:val="2"/>
    </w:pPr>
    <w:rPr>
      <w:b/>
      <w:kern w:val="0"/>
      <w:sz w:val="32"/>
      <w:szCs w:val="20"/>
    </w:rPr>
  </w:style>
  <w:style w:type="paragraph" w:styleId="5">
    <w:name w:val="heading 4"/>
    <w:basedOn w:val="1"/>
    <w:next w:val="1"/>
    <w:link w:val="82"/>
    <w:qFormat/>
    <w:uiPriority w:val="0"/>
    <w:pPr>
      <w:keepNext/>
      <w:keepLines/>
      <w:tabs>
        <w:tab w:val="left" w:pos="0"/>
      </w:tabs>
      <w:adjustRightInd w:val="0"/>
      <w:spacing w:before="280" w:after="290" w:line="376" w:lineRule="atLeast"/>
      <w:jc w:val="left"/>
      <w:textAlignment w:val="baseline"/>
      <w:outlineLvl w:val="3"/>
    </w:pPr>
    <w:rPr>
      <w:rFonts w:ascii="Arial" w:hAnsi="Arial"/>
      <w:b/>
      <w:kern w:val="0"/>
      <w:sz w:val="28"/>
      <w:szCs w:val="20"/>
    </w:rPr>
  </w:style>
  <w:style w:type="paragraph" w:styleId="6">
    <w:name w:val="heading 5"/>
    <w:basedOn w:val="1"/>
    <w:next w:val="1"/>
    <w:link w:val="83"/>
    <w:qFormat/>
    <w:uiPriority w:val="0"/>
    <w:pPr>
      <w:keepNext/>
      <w:keepLines/>
      <w:tabs>
        <w:tab w:val="left" w:pos="0"/>
      </w:tabs>
      <w:adjustRightInd w:val="0"/>
      <w:spacing w:before="280" w:after="290" w:line="376" w:lineRule="atLeast"/>
      <w:jc w:val="left"/>
      <w:textAlignment w:val="baseline"/>
      <w:outlineLvl w:val="4"/>
    </w:pPr>
    <w:rPr>
      <w:b/>
      <w:kern w:val="0"/>
      <w:sz w:val="28"/>
      <w:szCs w:val="20"/>
    </w:rPr>
  </w:style>
  <w:style w:type="paragraph" w:styleId="7">
    <w:name w:val="heading 6"/>
    <w:basedOn w:val="1"/>
    <w:next w:val="1"/>
    <w:link w:val="84"/>
    <w:qFormat/>
    <w:uiPriority w:val="0"/>
    <w:pPr>
      <w:keepNext/>
      <w:keepLines/>
      <w:tabs>
        <w:tab w:val="left" w:pos="0"/>
      </w:tabs>
      <w:adjustRightInd w:val="0"/>
      <w:spacing w:before="240" w:after="64" w:line="320" w:lineRule="atLeast"/>
      <w:jc w:val="left"/>
      <w:textAlignment w:val="baseline"/>
      <w:outlineLvl w:val="5"/>
    </w:pPr>
    <w:rPr>
      <w:rFonts w:ascii="Arial" w:hAnsi="Arial" w:eastAsia="黑体"/>
      <w:b/>
      <w:kern w:val="0"/>
      <w:sz w:val="24"/>
      <w:szCs w:val="20"/>
    </w:rPr>
  </w:style>
  <w:style w:type="paragraph" w:styleId="8">
    <w:name w:val="heading 7"/>
    <w:basedOn w:val="1"/>
    <w:next w:val="1"/>
    <w:link w:val="85"/>
    <w:qFormat/>
    <w:uiPriority w:val="0"/>
    <w:pPr>
      <w:keepNext/>
      <w:keepLines/>
      <w:tabs>
        <w:tab w:val="left" w:pos="0"/>
      </w:tabs>
      <w:adjustRightInd w:val="0"/>
      <w:spacing w:before="240" w:after="64" w:line="320" w:lineRule="atLeast"/>
      <w:jc w:val="left"/>
      <w:textAlignment w:val="baseline"/>
      <w:outlineLvl w:val="6"/>
    </w:pPr>
    <w:rPr>
      <w:b/>
      <w:kern w:val="0"/>
      <w:sz w:val="24"/>
      <w:szCs w:val="20"/>
    </w:rPr>
  </w:style>
  <w:style w:type="paragraph" w:styleId="9">
    <w:name w:val="heading 8"/>
    <w:basedOn w:val="1"/>
    <w:next w:val="1"/>
    <w:link w:val="86"/>
    <w:qFormat/>
    <w:uiPriority w:val="0"/>
    <w:pPr>
      <w:keepNext/>
      <w:keepLines/>
      <w:tabs>
        <w:tab w:val="left" w:pos="0"/>
      </w:tabs>
      <w:adjustRightInd w:val="0"/>
      <w:spacing w:before="240" w:after="64" w:line="320" w:lineRule="atLeast"/>
      <w:jc w:val="left"/>
      <w:textAlignment w:val="baseline"/>
      <w:outlineLvl w:val="7"/>
    </w:pPr>
    <w:rPr>
      <w:rFonts w:ascii="Arial" w:hAnsi="Arial" w:eastAsia="黑体"/>
      <w:kern w:val="0"/>
      <w:sz w:val="24"/>
      <w:szCs w:val="20"/>
    </w:rPr>
  </w:style>
  <w:style w:type="paragraph" w:styleId="10">
    <w:name w:val="heading 9"/>
    <w:basedOn w:val="1"/>
    <w:next w:val="1"/>
    <w:link w:val="87"/>
    <w:qFormat/>
    <w:uiPriority w:val="0"/>
    <w:pPr>
      <w:keepNext/>
      <w:keepLines/>
      <w:tabs>
        <w:tab w:val="left" w:pos="0"/>
      </w:tab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63">
    <w:name w:val="Default Paragraph Font"/>
    <w:semiHidden/>
    <w:unhideWhenUsed/>
    <w:qFormat/>
    <w:uiPriority w:val="1"/>
  </w:style>
  <w:style w:type="table" w:default="1" w:styleId="5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table of authorities"/>
    <w:basedOn w:val="1"/>
    <w:next w:val="1"/>
    <w:semiHidden/>
    <w:qFormat/>
    <w:uiPriority w:val="0"/>
    <w:pPr>
      <w:ind w:left="420" w:leftChars="200"/>
    </w:pPr>
  </w:style>
  <w:style w:type="paragraph" w:styleId="13">
    <w:name w:val="Note Heading"/>
    <w:basedOn w:val="1"/>
    <w:next w:val="1"/>
    <w:link w:val="172"/>
    <w:qFormat/>
    <w:uiPriority w:val="0"/>
    <w:pPr>
      <w:jc w:val="center"/>
    </w:pPr>
  </w:style>
  <w:style w:type="paragraph" w:styleId="14">
    <w:name w:val="index 8"/>
    <w:basedOn w:val="1"/>
    <w:next w:val="1"/>
    <w:semiHidden/>
    <w:qFormat/>
    <w:uiPriority w:val="0"/>
    <w:pPr>
      <w:ind w:left="1680" w:hanging="210"/>
      <w:jc w:val="left"/>
    </w:pPr>
    <w:rPr>
      <w:sz w:val="18"/>
      <w:szCs w:val="18"/>
    </w:rPr>
  </w:style>
  <w:style w:type="paragraph" w:styleId="15">
    <w:name w:val="Normal Indent"/>
    <w:basedOn w:val="1"/>
    <w:link w:val="108"/>
    <w:qFormat/>
    <w:uiPriority w:val="0"/>
    <w:pPr>
      <w:ind w:firstLine="420"/>
    </w:pPr>
    <w:rPr>
      <w:rFonts w:ascii="Calibri" w:hAnsi="Calibri"/>
      <w:szCs w:val="22"/>
    </w:rPr>
  </w:style>
  <w:style w:type="paragraph" w:styleId="16">
    <w:name w:val="caption"/>
    <w:basedOn w:val="1"/>
    <w:next w:val="1"/>
    <w:unhideWhenUsed/>
    <w:qFormat/>
    <w:uiPriority w:val="0"/>
    <w:rPr>
      <w:rFonts w:ascii="Calibri Light" w:hAnsi="Calibri Light" w:eastAsia="黑体"/>
      <w:sz w:val="20"/>
      <w:szCs w:val="20"/>
    </w:rPr>
  </w:style>
  <w:style w:type="paragraph" w:styleId="17">
    <w:name w:val="index 5"/>
    <w:basedOn w:val="1"/>
    <w:next w:val="1"/>
    <w:semiHidden/>
    <w:qFormat/>
    <w:uiPriority w:val="0"/>
    <w:pPr>
      <w:ind w:left="1050" w:hanging="210"/>
      <w:jc w:val="left"/>
    </w:pPr>
    <w:rPr>
      <w:sz w:val="18"/>
      <w:szCs w:val="18"/>
    </w:rPr>
  </w:style>
  <w:style w:type="paragraph" w:styleId="18">
    <w:name w:val="List Bullet"/>
    <w:basedOn w:val="1"/>
    <w:qFormat/>
    <w:uiPriority w:val="0"/>
    <w:pPr>
      <w:widowControl/>
      <w:tabs>
        <w:tab w:val="left" w:pos="0"/>
      </w:tabs>
      <w:spacing w:after="60"/>
      <w:ind w:firstLine="899" w:firstLineChars="320"/>
    </w:pPr>
    <w:rPr>
      <w:b/>
      <w:kern w:val="0"/>
      <w:sz w:val="28"/>
      <w:szCs w:val="20"/>
    </w:rPr>
  </w:style>
  <w:style w:type="paragraph" w:styleId="19">
    <w:name w:val="Document Map"/>
    <w:basedOn w:val="1"/>
    <w:link w:val="155"/>
    <w:semiHidden/>
    <w:qFormat/>
    <w:uiPriority w:val="0"/>
    <w:pPr>
      <w:shd w:val="clear" w:color="auto" w:fill="000080"/>
    </w:pPr>
  </w:style>
  <w:style w:type="paragraph" w:styleId="20">
    <w:name w:val="toa heading"/>
    <w:basedOn w:val="1"/>
    <w:next w:val="1"/>
    <w:semiHidden/>
    <w:qFormat/>
    <w:uiPriority w:val="0"/>
    <w:pPr>
      <w:spacing w:before="120"/>
    </w:pPr>
    <w:rPr>
      <w:rFonts w:ascii="Arial" w:hAnsi="Arial"/>
      <w:b/>
      <w:bCs/>
    </w:rPr>
  </w:style>
  <w:style w:type="paragraph" w:styleId="21">
    <w:name w:val="annotation text"/>
    <w:basedOn w:val="1"/>
    <w:link w:val="100"/>
    <w:qFormat/>
    <w:uiPriority w:val="99"/>
    <w:pPr>
      <w:jc w:val="left"/>
    </w:pPr>
    <w:rPr>
      <w:rFonts w:ascii="Calibri" w:hAnsi="Calibri"/>
    </w:rPr>
  </w:style>
  <w:style w:type="paragraph" w:styleId="22">
    <w:name w:val="index 6"/>
    <w:basedOn w:val="1"/>
    <w:next w:val="1"/>
    <w:semiHidden/>
    <w:qFormat/>
    <w:uiPriority w:val="0"/>
    <w:pPr>
      <w:topLinePunct/>
      <w:spacing w:beforeLines="50"/>
      <w:jc w:val="center"/>
    </w:pPr>
    <w:rPr>
      <w:rFonts w:ascii="宋体" w:hAnsi="宋体" w:cs="Arial"/>
      <w:b/>
      <w:szCs w:val="21"/>
    </w:rPr>
  </w:style>
  <w:style w:type="paragraph" w:styleId="23">
    <w:name w:val="Body Text 3"/>
    <w:basedOn w:val="1"/>
    <w:link w:val="145"/>
    <w:qFormat/>
    <w:uiPriority w:val="0"/>
    <w:rPr>
      <w:rFonts w:ascii="楷体" w:eastAsia="楷体"/>
      <w:b/>
      <w:sz w:val="52"/>
    </w:rPr>
  </w:style>
  <w:style w:type="paragraph" w:styleId="24">
    <w:name w:val="Body Text"/>
    <w:basedOn w:val="1"/>
    <w:link w:val="75"/>
    <w:unhideWhenUsed/>
    <w:qFormat/>
    <w:uiPriority w:val="0"/>
    <w:pPr>
      <w:spacing w:after="120"/>
    </w:pPr>
  </w:style>
  <w:style w:type="paragraph" w:styleId="25">
    <w:name w:val="Body Text Indent"/>
    <w:basedOn w:val="1"/>
    <w:link w:val="138"/>
    <w:unhideWhenUsed/>
    <w:qFormat/>
    <w:uiPriority w:val="0"/>
    <w:pPr>
      <w:spacing w:after="120"/>
      <w:ind w:left="420" w:leftChars="200"/>
    </w:pPr>
  </w:style>
  <w:style w:type="paragraph" w:styleId="26">
    <w:name w:val="Block Text"/>
    <w:basedOn w:val="1"/>
    <w:qFormat/>
    <w:uiPriority w:val="0"/>
    <w:pPr>
      <w:adjustRightInd w:val="0"/>
      <w:snapToGrid w:val="0"/>
      <w:spacing w:afterLines="20"/>
      <w:jc w:val="center"/>
      <w:textAlignment w:val="baseline"/>
    </w:pPr>
    <w:rPr>
      <w:rFonts w:ascii="Arial" w:hAnsi="Arial"/>
      <w:snapToGrid w:val="0"/>
      <w:kern w:val="21"/>
      <w:szCs w:val="20"/>
    </w:rPr>
  </w:style>
  <w:style w:type="paragraph" w:styleId="27">
    <w:name w:val="index 4"/>
    <w:basedOn w:val="1"/>
    <w:next w:val="1"/>
    <w:semiHidden/>
    <w:qFormat/>
    <w:uiPriority w:val="0"/>
    <w:pPr>
      <w:ind w:left="840" w:hanging="210"/>
      <w:jc w:val="left"/>
    </w:pPr>
    <w:rPr>
      <w:sz w:val="18"/>
      <w:szCs w:val="18"/>
    </w:rPr>
  </w:style>
  <w:style w:type="paragraph" w:styleId="28">
    <w:name w:val="toc 5"/>
    <w:basedOn w:val="1"/>
    <w:next w:val="1"/>
    <w:qFormat/>
    <w:uiPriority w:val="39"/>
    <w:pPr>
      <w:ind w:left="840"/>
      <w:jc w:val="left"/>
    </w:pPr>
    <w:rPr>
      <w:sz w:val="18"/>
      <w:szCs w:val="18"/>
    </w:rPr>
  </w:style>
  <w:style w:type="paragraph" w:styleId="29">
    <w:name w:val="toc 3"/>
    <w:basedOn w:val="1"/>
    <w:next w:val="1"/>
    <w:qFormat/>
    <w:uiPriority w:val="39"/>
    <w:pPr>
      <w:ind w:left="420"/>
      <w:jc w:val="left"/>
    </w:pPr>
    <w:rPr>
      <w:i/>
      <w:iCs/>
      <w:sz w:val="20"/>
      <w:szCs w:val="20"/>
    </w:rPr>
  </w:style>
  <w:style w:type="paragraph" w:styleId="30">
    <w:name w:val="Plain Text"/>
    <w:basedOn w:val="1"/>
    <w:link w:val="76"/>
    <w:qFormat/>
    <w:uiPriority w:val="0"/>
    <w:rPr>
      <w:rFonts w:ascii="宋体" w:hAnsi="Courier New"/>
      <w:szCs w:val="22"/>
    </w:rPr>
  </w:style>
  <w:style w:type="paragraph" w:styleId="31">
    <w:name w:val="toc 8"/>
    <w:basedOn w:val="1"/>
    <w:next w:val="1"/>
    <w:qFormat/>
    <w:uiPriority w:val="39"/>
    <w:pPr>
      <w:ind w:left="1470"/>
      <w:jc w:val="left"/>
    </w:pPr>
    <w:rPr>
      <w:sz w:val="18"/>
      <w:szCs w:val="18"/>
    </w:rPr>
  </w:style>
  <w:style w:type="paragraph" w:styleId="32">
    <w:name w:val="index 3"/>
    <w:basedOn w:val="1"/>
    <w:next w:val="1"/>
    <w:semiHidden/>
    <w:qFormat/>
    <w:uiPriority w:val="0"/>
    <w:pPr>
      <w:ind w:left="630" w:hanging="210"/>
      <w:jc w:val="left"/>
    </w:pPr>
    <w:rPr>
      <w:sz w:val="18"/>
      <w:szCs w:val="18"/>
    </w:rPr>
  </w:style>
  <w:style w:type="paragraph" w:styleId="33">
    <w:name w:val="Date"/>
    <w:basedOn w:val="1"/>
    <w:next w:val="1"/>
    <w:link w:val="105"/>
    <w:qFormat/>
    <w:uiPriority w:val="0"/>
    <w:rPr>
      <w:rFonts w:ascii="Calibri" w:hAnsi="Calibri" w:eastAsia="楷体"/>
      <w:color w:val="000000"/>
      <w:sz w:val="24"/>
      <w:szCs w:val="22"/>
    </w:rPr>
  </w:style>
  <w:style w:type="paragraph" w:styleId="34">
    <w:name w:val="Body Text Indent 2"/>
    <w:basedOn w:val="1"/>
    <w:next w:val="1"/>
    <w:link w:val="144"/>
    <w:qFormat/>
    <w:uiPriority w:val="0"/>
    <w:pPr>
      <w:adjustRightInd w:val="0"/>
      <w:spacing w:line="360" w:lineRule="atLeast"/>
      <w:ind w:firstLine="480"/>
      <w:jc w:val="left"/>
      <w:textAlignment w:val="baseline"/>
    </w:pPr>
    <w:rPr>
      <w:rFonts w:ascii="仿宋_GB2312" w:eastAsia="仿宋_GB2312"/>
      <w:kern w:val="0"/>
      <w:sz w:val="24"/>
      <w:szCs w:val="20"/>
    </w:rPr>
  </w:style>
  <w:style w:type="paragraph" w:styleId="35">
    <w:name w:val="endnote text"/>
    <w:basedOn w:val="1"/>
    <w:link w:val="160"/>
    <w:semiHidden/>
    <w:qFormat/>
    <w:uiPriority w:val="0"/>
    <w:pPr>
      <w:snapToGrid w:val="0"/>
      <w:jc w:val="left"/>
    </w:pPr>
  </w:style>
  <w:style w:type="paragraph" w:styleId="36">
    <w:name w:val="Balloon Text"/>
    <w:basedOn w:val="1"/>
    <w:link w:val="165"/>
    <w:qFormat/>
    <w:uiPriority w:val="0"/>
    <w:rPr>
      <w:rFonts w:ascii="Calibri" w:hAnsi="Calibri"/>
      <w:sz w:val="18"/>
      <w:szCs w:val="18"/>
    </w:rPr>
  </w:style>
  <w:style w:type="paragraph" w:styleId="37">
    <w:name w:val="footer"/>
    <w:basedOn w:val="1"/>
    <w:link w:val="78"/>
    <w:unhideWhenUsed/>
    <w:qFormat/>
    <w:uiPriority w:val="0"/>
    <w:pPr>
      <w:tabs>
        <w:tab w:val="center" w:pos="4153"/>
        <w:tab w:val="right" w:pos="8306"/>
      </w:tabs>
      <w:snapToGrid w:val="0"/>
      <w:jc w:val="left"/>
    </w:pPr>
    <w:rPr>
      <w:sz w:val="18"/>
      <w:szCs w:val="18"/>
    </w:rPr>
  </w:style>
  <w:style w:type="paragraph" w:styleId="38">
    <w:name w:val="header"/>
    <w:basedOn w:val="1"/>
    <w:link w:val="77"/>
    <w:unhideWhenUsed/>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40"/>
    <w:next w:val="1"/>
    <w:qFormat/>
    <w:uiPriority w:val="39"/>
    <w:pPr>
      <w:topLinePunct/>
      <w:spacing w:before="120" w:after="120"/>
      <w:outlineLvl w:val="9"/>
    </w:pPr>
    <w:rPr>
      <w:rFonts w:ascii="Times New Roman" w:hAnsi="Times New Roman"/>
      <w:bCs/>
      <w:caps/>
      <w:sz w:val="20"/>
    </w:rPr>
  </w:style>
  <w:style w:type="paragraph" w:styleId="40">
    <w:name w:val="Title"/>
    <w:basedOn w:val="1"/>
    <w:link w:val="133"/>
    <w:qFormat/>
    <w:uiPriority w:val="0"/>
    <w:pPr>
      <w:spacing w:before="240" w:after="60"/>
      <w:jc w:val="center"/>
      <w:outlineLvl w:val="0"/>
    </w:pPr>
    <w:rPr>
      <w:rFonts w:ascii="Arial" w:hAnsi="Arial"/>
      <w:b/>
      <w:sz w:val="32"/>
      <w:szCs w:val="20"/>
    </w:rPr>
  </w:style>
  <w:style w:type="paragraph" w:styleId="41">
    <w:name w:val="toc 4"/>
    <w:basedOn w:val="1"/>
    <w:next w:val="1"/>
    <w:qFormat/>
    <w:uiPriority w:val="39"/>
    <w:pPr>
      <w:ind w:left="630"/>
      <w:jc w:val="left"/>
    </w:pPr>
    <w:rPr>
      <w:sz w:val="18"/>
      <w:szCs w:val="18"/>
    </w:rPr>
  </w:style>
  <w:style w:type="paragraph" w:styleId="42">
    <w:name w:val="index heading"/>
    <w:basedOn w:val="1"/>
    <w:next w:val="43"/>
    <w:semiHidden/>
    <w:qFormat/>
    <w:uiPriority w:val="0"/>
    <w:pPr>
      <w:spacing w:before="240" w:after="120"/>
      <w:ind w:left="140"/>
      <w:jc w:val="left"/>
    </w:pPr>
    <w:rPr>
      <w:rFonts w:ascii="Arial" w:hAnsi="Arial" w:cs="Arial"/>
      <w:b/>
      <w:bCs/>
      <w:sz w:val="28"/>
      <w:szCs w:val="28"/>
    </w:rPr>
  </w:style>
  <w:style w:type="paragraph" w:styleId="43">
    <w:name w:val="index 1"/>
    <w:basedOn w:val="1"/>
    <w:next w:val="1"/>
    <w:semiHidden/>
    <w:qFormat/>
    <w:uiPriority w:val="0"/>
    <w:pPr>
      <w:ind w:left="210" w:hanging="210"/>
      <w:jc w:val="left"/>
    </w:pPr>
    <w:rPr>
      <w:sz w:val="18"/>
      <w:szCs w:val="18"/>
    </w:rPr>
  </w:style>
  <w:style w:type="paragraph" w:styleId="44">
    <w:name w:val="List"/>
    <w:basedOn w:val="1"/>
    <w:qFormat/>
    <w:uiPriority w:val="0"/>
    <w:pPr>
      <w:ind w:left="200" w:hanging="200" w:hangingChars="200"/>
    </w:pPr>
  </w:style>
  <w:style w:type="paragraph" w:styleId="45">
    <w:name w:val="toc 6"/>
    <w:basedOn w:val="1"/>
    <w:next w:val="1"/>
    <w:qFormat/>
    <w:uiPriority w:val="39"/>
    <w:pPr>
      <w:ind w:left="1050"/>
      <w:jc w:val="left"/>
    </w:pPr>
    <w:rPr>
      <w:sz w:val="18"/>
      <w:szCs w:val="18"/>
    </w:rPr>
  </w:style>
  <w:style w:type="paragraph" w:styleId="46">
    <w:name w:val="Body Text Indent 3"/>
    <w:basedOn w:val="1"/>
    <w:link w:val="141"/>
    <w:qFormat/>
    <w:uiPriority w:val="0"/>
    <w:pPr>
      <w:adjustRightInd w:val="0"/>
      <w:spacing w:line="360" w:lineRule="auto"/>
      <w:ind w:firstLine="567"/>
      <w:jc w:val="left"/>
      <w:textAlignment w:val="baseline"/>
    </w:pPr>
    <w:rPr>
      <w:rFonts w:ascii="宋体"/>
      <w:kern w:val="0"/>
      <w:sz w:val="24"/>
      <w:szCs w:val="20"/>
    </w:rPr>
  </w:style>
  <w:style w:type="paragraph" w:styleId="47">
    <w:name w:val="index 7"/>
    <w:basedOn w:val="1"/>
    <w:next w:val="1"/>
    <w:semiHidden/>
    <w:qFormat/>
    <w:uiPriority w:val="0"/>
    <w:pPr>
      <w:ind w:left="1470" w:hanging="210"/>
      <w:jc w:val="left"/>
    </w:pPr>
    <w:rPr>
      <w:sz w:val="18"/>
      <w:szCs w:val="18"/>
    </w:rPr>
  </w:style>
  <w:style w:type="paragraph" w:styleId="48">
    <w:name w:val="index 9"/>
    <w:basedOn w:val="1"/>
    <w:next w:val="1"/>
    <w:semiHidden/>
    <w:qFormat/>
    <w:uiPriority w:val="0"/>
    <w:pPr>
      <w:ind w:left="1890" w:hanging="210"/>
      <w:jc w:val="left"/>
    </w:pPr>
    <w:rPr>
      <w:sz w:val="18"/>
      <w:szCs w:val="18"/>
    </w:rPr>
  </w:style>
  <w:style w:type="paragraph" w:styleId="49">
    <w:name w:val="toc 2"/>
    <w:basedOn w:val="1"/>
    <w:next w:val="1"/>
    <w:qFormat/>
    <w:uiPriority w:val="39"/>
    <w:pPr>
      <w:ind w:left="210"/>
      <w:jc w:val="left"/>
    </w:pPr>
    <w:rPr>
      <w:smallCaps/>
      <w:sz w:val="20"/>
      <w:szCs w:val="20"/>
    </w:rPr>
  </w:style>
  <w:style w:type="paragraph" w:styleId="50">
    <w:name w:val="toc 9"/>
    <w:basedOn w:val="1"/>
    <w:next w:val="1"/>
    <w:qFormat/>
    <w:uiPriority w:val="39"/>
    <w:pPr>
      <w:ind w:left="1680"/>
      <w:jc w:val="left"/>
    </w:pPr>
    <w:rPr>
      <w:sz w:val="18"/>
      <w:szCs w:val="18"/>
    </w:rPr>
  </w:style>
  <w:style w:type="paragraph" w:styleId="51">
    <w:name w:val="Body Text 2"/>
    <w:basedOn w:val="1"/>
    <w:link w:val="173"/>
    <w:qFormat/>
    <w:uiPriority w:val="0"/>
    <w:rPr>
      <w:sz w:val="24"/>
      <w:szCs w:val="20"/>
    </w:rPr>
  </w:style>
  <w:style w:type="paragraph" w:styleId="52">
    <w:name w:val="HTML Preformatted"/>
    <w:basedOn w:val="1"/>
    <w:link w:val="11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rPr>
  </w:style>
  <w:style w:type="paragraph" w:styleId="5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4">
    <w:name w:val="index 2"/>
    <w:basedOn w:val="1"/>
    <w:next w:val="1"/>
    <w:semiHidden/>
    <w:qFormat/>
    <w:uiPriority w:val="0"/>
    <w:pPr>
      <w:ind w:left="420" w:hanging="210"/>
      <w:jc w:val="left"/>
    </w:pPr>
    <w:rPr>
      <w:sz w:val="18"/>
      <w:szCs w:val="18"/>
    </w:rPr>
  </w:style>
  <w:style w:type="paragraph" w:styleId="55">
    <w:name w:val="annotation subject"/>
    <w:basedOn w:val="21"/>
    <w:next w:val="21"/>
    <w:link w:val="152"/>
    <w:semiHidden/>
    <w:qFormat/>
    <w:uiPriority w:val="0"/>
    <w:rPr>
      <w:b/>
      <w:bCs/>
    </w:rPr>
  </w:style>
  <w:style w:type="paragraph" w:styleId="56">
    <w:name w:val="Body Text First Indent"/>
    <w:basedOn w:val="24"/>
    <w:link w:val="163"/>
    <w:qFormat/>
    <w:uiPriority w:val="0"/>
    <w:pPr>
      <w:ind w:firstLine="420" w:firstLineChars="100"/>
    </w:pPr>
  </w:style>
  <w:style w:type="paragraph" w:styleId="57">
    <w:name w:val="Body Text First Indent 2"/>
    <w:basedOn w:val="25"/>
    <w:link w:val="122"/>
    <w:qFormat/>
    <w:uiPriority w:val="0"/>
    <w:pPr>
      <w:ind w:firstLine="420" w:firstLineChars="200"/>
    </w:pPr>
    <w:rPr>
      <w:rFonts w:ascii="Calibri" w:hAnsi="Calibri"/>
      <w:color w:val="FF0000"/>
      <w:sz w:val="24"/>
      <w:szCs w:val="22"/>
    </w:rPr>
  </w:style>
  <w:style w:type="table" w:styleId="59">
    <w:name w:val="Table Grid"/>
    <w:basedOn w:val="5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0">
    <w:name w:val="Table Theme"/>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1">
    <w:name w:val="Table Simple 1"/>
    <w:basedOn w:val="5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2">
    <w:name w:val="Table Grid 2"/>
    <w:basedOn w:val="58"/>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64">
    <w:name w:val="Strong"/>
    <w:qFormat/>
    <w:uiPriority w:val="0"/>
    <w:rPr>
      <w:b/>
      <w:bCs/>
    </w:rPr>
  </w:style>
  <w:style w:type="character" w:styleId="65">
    <w:name w:val="page number"/>
    <w:basedOn w:val="63"/>
    <w:qFormat/>
    <w:uiPriority w:val="0"/>
  </w:style>
  <w:style w:type="character" w:styleId="66">
    <w:name w:val="FollowedHyperlink"/>
    <w:qFormat/>
    <w:uiPriority w:val="99"/>
    <w:rPr>
      <w:color w:val="800080"/>
      <w:u w:val="single"/>
    </w:rPr>
  </w:style>
  <w:style w:type="character" w:styleId="67">
    <w:name w:val="Emphasis"/>
    <w:qFormat/>
    <w:uiPriority w:val="0"/>
    <w:rPr>
      <w:color w:val="CC0000"/>
    </w:rPr>
  </w:style>
  <w:style w:type="character" w:styleId="68">
    <w:name w:val="Hyperlink"/>
    <w:qFormat/>
    <w:uiPriority w:val="99"/>
    <w:rPr>
      <w:color w:val="0000FF"/>
      <w:u w:val="single"/>
    </w:rPr>
  </w:style>
  <w:style w:type="character" w:styleId="69">
    <w:name w:val="HTML Code"/>
    <w:basedOn w:val="63"/>
    <w:semiHidden/>
    <w:unhideWhenUsed/>
    <w:qFormat/>
    <w:uiPriority w:val="99"/>
    <w:rPr>
      <w:rFonts w:ascii="Courier New" w:hAnsi="Courier New"/>
      <w:sz w:val="20"/>
    </w:rPr>
  </w:style>
  <w:style w:type="character" w:styleId="70">
    <w:name w:val="annotation reference"/>
    <w:semiHidden/>
    <w:qFormat/>
    <w:uiPriority w:val="0"/>
    <w:rPr>
      <w:sz w:val="21"/>
      <w:szCs w:val="21"/>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表格文字"/>
    <w:next w:val="1"/>
    <w:link w:val="137"/>
    <w:qFormat/>
    <w:uiPriority w:val="0"/>
    <w:pPr>
      <w:widowControl w:val="0"/>
      <w:autoSpaceDE w:val="0"/>
      <w:autoSpaceDN w:val="0"/>
      <w:adjustRightInd w:val="0"/>
      <w:textAlignment w:val="baseline"/>
    </w:pPr>
    <w:rPr>
      <w:rFonts w:ascii="宋体" w:hAnsi="Calibri" w:eastAsia="宋体" w:cs="Times New Roman"/>
      <w:color w:val="000000"/>
      <w:kern w:val="2"/>
      <w:sz w:val="24"/>
      <w:szCs w:val="22"/>
      <w:lang w:val="en-US" w:eastAsia="zh-CN" w:bidi="ar-SA"/>
    </w:rPr>
  </w:style>
  <w:style w:type="character" w:customStyle="1" w:styleId="73">
    <w:name w:val="样式 四号"/>
    <w:qFormat/>
    <w:uiPriority w:val="0"/>
    <w:rPr>
      <w:rFonts w:ascii="Arial" w:hAnsi="Arial" w:cs="Verdana"/>
      <w:b/>
      <w:sz w:val="28"/>
      <w:szCs w:val="24"/>
      <w:lang w:val="en-US" w:eastAsia="en-US" w:bidi="ar-SA"/>
    </w:rPr>
  </w:style>
  <w:style w:type="character" w:customStyle="1" w:styleId="74">
    <w:name w:val="HTML 预设格式 Char1"/>
    <w:basedOn w:val="63"/>
    <w:semiHidden/>
    <w:qFormat/>
    <w:uiPriority w:val="99"/>
    <w:rPr>
      <w:rFonts w:ascii="Courier New" w:hAnsi="Courier New" w:eastAsia="宋体" w:cs="Courier New"/>
      <w:sz w:val="20"/>
      <w:szCs w:val="20"/>
    </w:rPr>
  </w:style>
  <w:style w:type="character" w:customStyle="1" w:styleId="75">
    <w:name w:val="正文文本 Char"/>
    <w:basedOn w:val="63"/>
    <w:link w:val="24"/>
    <w:semiHidden/>
    <w:qFormat/>
    <w:uiPriority w:val="99"/>
    <w:rPr>
      <w:rFonts w:ascii="Times New Roman" w:hAnsi="Times New Roman" w:eastAsia="宋体" w:cs="Times New Roman"/>
      <w:szCs w:val="24"/>
    </w:rPr>
  </w:style>
  <w:style w:type="character" w:customStyle="1" w:styleId="76">
    <w:name w:val="纯文本 Char"/>
    <w:link w:val="30"/>
    <w:qFormat/>
    <w:uiPriority w:val="0"/>
    <w:rPr>
      <w:rFonts w:ascii="宋体" w:hAnsi="Courier New" w:eastAsia="宋体"/>
    </w:rPr>
  </w:style>
  <w:style w:type="character" w:customStyle="1" w:styleId="77">
    <w:name w:val="页眉 Char"/>
    <w:basedOn w:val="63"/>
    <w:link w:val="38"/>
    <w:qFormat/>
    <w:uiPriority w:val="0"/>
    <w:rPr>
      <w:sz w:val="18"/>
      <w:szCs w:val="18"/>
    </w:rPr>
  </w:style>
  <w:style w:type="character" w:customStyle="1" w:styleId="78">
    <w:name w:val="页脚 Char"/>
    <w:basedOn w:val="63"/>
    <w:link w:val="37"/>
    <w:qFormat/>
    <w:uiPriority w:val="99"/>
    <w:rPr>
      <w:sz w:val="18"/>
      <w:szCs w:val="18"/>
    </w:rPr>
  </w:style>
  <w:style w:type="character" w:customStyle="1" w:styleId="79">
    <w:name w:val="标题 1 Char"/>
    <w:basedOn w:val="63"/>
    <w:link w:val="2"/>
    <w:qFormat/>
    <w:uiPriority w:val="0"/>
    <w:rPr>
      <w:rFonts w:eastAsia="宋体"/>
      <w:b/>
      <w:kern w:val="44"/>
      <w:sz w:val="36"/>
    </w:rPr>
  </w:style>
  <w:style w:type="character" w:customStyle="1" w:styleId="80">
    <w:name w:val="标题 2 Char"/>
    <w:basedOn w:val="63"/>
    <w:link w:val="3"/>
    <w:qFormat/>
    <w:uiPriority w:val="0"/>
    <w:rPr>
      <w:rFonts w:ascii="宋体" w:hAnsi="宋体" w:eastAsia="宋体"/>
      <w:b/>
      <w:sz w:val="28"/>
    </w:rPr>
  </w:style>
  <w:style w:type="character" w:customStyle="1" w:styleId="81">
    <w:name w:val="标题 3 Char"/>
    <w:basedOn w:val="63"/>
    <w:link w:val="4"/>
    <w:qFormat/>
    <w:uiPriority w:val="0"/>
    <w:rPr>
      <w:rFonts w:ascii="Times New Roman" w:hAnsi="Times New Roman" w:eastAsia="宋体" w:cs="Times New Roman"/>
      <w:b/>
      <w:kern w:val="0"/>
      <w:sz w:val="32"/>
      <w:szCs w:val="20"/>
    </w:rPr>
  </w:style>
  <w:style w:type="character" w:customStyle="1" w:styleId="82">
    <w:name w:val="标题 4 Char"/>
    <w:basedOn w:val="63"/>
    <w:link w:val="5"/>
    <w:qFormat/>
    <w:uiPriority w:val="0"/>
    <w:rPr>
      <w:rFonts w:ascii="Arial" w:hAnsi="Arial" w:eastAsia="宋体" w:cs="Times New Roman"/>
      <w:b/>
      <w:kern w:val="0"/>
      <w:sz w:val="28"/>
      <w:szCs w:val="20"/>
    </w:rPr>
  </w:style>
  <w:style w:type="character" w:customStyle="1" w:styleId="83">
    <w:name w:val="标题 5 Char"/>
    <w:basedOn w:val="63"/>
    <w:link w:val="6"/>
    <w:qFormat/>
    <w:uiPriority w:val="0"/>
    <w:rPr>
      <w:rFonts w:ascii="Times New Roman" w:hAnsi="Times New Roman" w:eastAsia="宋体" w:cs="Times New Roman"/>
      <w:b/>
      <w:kern w:val="0"/>
      <w:sz w:val="28"/>
      <w:szCs w:val="20"/>
    </w:rPr>
  </w:style>
  <w:style w:type="character" w:customStyle="1" w:styleId="84">
    <w:name w:val="标题 6 Char"/>
    <w:basedOn w:val="63"/>
    <w:link w:val="7"/>
    <w:qFormat/>
    <w:uiPriority w:val="0"/>
    <w:rPr>
      <w:rFonts w:ascii="Arial" w:hAnsi="Arial" w:eastAsia="黑体" w:cs="Times New Roman"/>
      <w:b/>
      <w:kern w:val="0"/>
      <w:sz w:val="24"/>
      <w:szCs w:val="20"/>
    </w:rPr>
  </w:style>
  <w:style w:type="character" w:customStyle="1" w:styleId="85">
    <w:name w:val="标题 7 Char"/>
    <w:basedOn w:val="63"/>
    <w:link w:val="8"/>
    <w:qFormat/>
    <w:uiPriority w:val="0"/>
    <w:rPr>
      <w:rFonts w:ascii="Times New Roman" w:hAnsi="Times New Roman" w:eastAsia="宋体" w:cs="Times New Roman"/>
      <w:b/>
      <w:kern w:val="0"/>
      <w:sz w:val="24"/>
      <w:szCs w:val="20"/>
    </w:rPr>
  </w:style>
  <w:style w:type="character" w:customStyle="1" w:styleId="86">
    <w:name w:val="标题 8 Char"/>
    <w:basedOn w:val="63"/>
    <w:link w:val="9"/>
    <w:qFormat/>
    <w:uiPriority w:val="0"/>
    <w:rPr>
      <w:rFonts w:ascii="Arial" w:hAnsi="Arial" w:eastAsia="黑体" w:cs="Times New Roman"/>
      <w:kern w:val="0"/>
      <w:sz w:val="24"/>
      <w:szCs w:val="20"/>
    </w:rPr>
  </w:style>
  <w:style w:type="character" w:customStyle="1" w:styleId="87">
    <w:name w:val="标题 9 Char"/>
    <w:basedOn w:val="63"/>
    <w:link w:val="10"/>
    <w:qFormat/>
    <w:uiPriority w:val="0"/>
    <w:rPr>
      <w:rFonts w:ascii="Arial" w:hAnsi="Arial" w:eastAsia="黑体" w:cs="Times New Roman"/>
      <w:kern w:val="0"/>
      <w:sz w:val="24"/>
      <w:szCs w:val="20"/>
    </w:rPr>
  </w:style>
  <w:style w:type="character" w:customStyle="1" w:styleId="88">
    <w:name w:val="文本 Char"/>
    <w:link w:val="89"/>
    <w:qFormat/>
    <w:uiPriority w:val="0"/>
    <w:rPr>
      <w:sz w:val="24"/>
    </w:rPr>
  </w:style>
  <w:style w:type="paragraph" w:customStyle="1" w:styleId="89">
    <w:name w:val="文本"/>
    <w:basedOn w:val="1"/>
    <w:next w:val="34"/>
    <w:link w:val="88"/>
    <w:qFormat/>
    <w:uiPriority w:val="0"/>
    <w:pPr>
      <w:spacing w:line="360" w:lineRule="auto"/>
      <w:ind w:firstLine="495" w:firstLineChars="200"/>
    </w:pPr>
    <w:rPr>
      <w:rFonts w:ascii="Calibri" w:hAnsi="Calibri"/>
      <w:sz w:val="24"/>
      <w:szCs w:val="22"/>
    </w:rPr>
  </w:style>
  <w:style w:type="character" w:customStyle="1" w:styleId="90">
    <w:name w:val="表格文字2 Char"/>
    <w:link w:val="91"/>
    <w:qFormat/>
    <w:uiPriority w:val="0"/>
    <w:rPr>
      <w:rFonts w:ascii="宋体"/>
      <w:sz w:val="24"/>
    </w:rPr>
  </w:style>
  <w:style w:type="paragraph" w:customStyle="1" w:styleId="91">
    <w:name w:val="表格文字2"/>
    <w:basedOn w:val="72"/>
    <w:link w:val="90"/>
    <w:qFormat/>
    <w:uiPriority w:val="0"/>
    <w:pPr>
      <w:autoSpaceDE/>
      <w:autoSpaceDN/>
      <w:spacing w:before="60"/>
      <w:jc w:val="center"/>
    </w:pPr>
    <w:rPr>
      <w:color w:val="auto"/>
    </w:rPr>
  </w:style>
  <w:style w:type="character" w:customStyle="1" w:styleId="92">
    <w:name w:val="标题1"/>
    <w:basedOn w:val="63"/>
    <w:qFormat/>
    <w:uiPriority w:val="0"/>
  </w:style>
  <w:style w:type="character" w:customStyle="1" w:styleId="93">
    <w:name w:val="正文段落（缩进） Char"/>
    <w:link w:val="94"/>
    <w:semiHidden/>
    <w:qFormat/>
    <w:uiPriority w:val="0"/>
    <w:rPr>
      <w:rFonts w:ascii="宋体"/>
      <w:sz w:val="24"/>
    </w:rPr>
  </w:style>
  <w:style w:type="paragraph" w:customStyle="1" w:styleId="94">
    <w:name w:val="正文段落（缩进）"/>
    <w:basedOn w:val="1"/>
    <w:next w:val="1"/>
    <w:link w:val="93"/>
    <w:semiHidden/>
    <w:qFormat/>
    <w:uiPriority w:val="0"/>
    <w:pPr>
      <w:adjustRightInd w:val="0"/>
      <w:snapToGrid w:val="0"/>
      <w:spacing w:line="360" w:lineRule="auto"/>
      <w:ind w:firstLine="200" w:firstLineChars="200"/>
      <w:jc w:val="left"/>
    </w:pPr>
    <w:rPr>
      <w:rFonts w:ascii="宋体" w:hAnsi="Calibri"/>
      <w:sz w:val="24"/>
      <w:szCs w:val="22"/>
    </w:rPr>
  </w:style>
  <w:style w:type="character" w:customStyle="1" w:styleId="95">
    <w:name w:val="题注 Char Char1 Char Char Char Char C"/>
    <w:qFormat/>
    <w:uiPriority w:val="0"/>
    <w:rPr>
      <w:rFonts w:ascii="Arial" w:hAnsi="Arial" w:eastAsia="宋体" w:cs="Arial"/>
      <w:kern w:val="2"/>
      <w:sz w:val="24"/>
      <w:lang w:val="en-US" w:eastAsia="zh-CN" w:bidi="ar-SA"/>
    </w:rPr>
  </w:style>
  <w:style w:type="character" w:customStyle="1" w:styleId="96">
    <w:name w:val="apple-converted-space"/>
    <w:basedOn w:val="63"/>
    <w:qFormat/>
    <w:uiPriority w:val="0"/>
  </w:style>
  <w:style w:type="character" w:customStyle="1" w:styleId="97">
    <w:name w:val="Char Char1"/>
    <w:qFormat/>
    <w:uiPriority w:val="0"/>
    <w:rPr>
      <w:rFonts w:ascii="宋体" w:hAnsi="Courier New" w:eastAsia="宋体"/>
      <w:kern w:val="2"/>
      <w:sz w:val="21"/>
      <w:lang w:val="en-US" w:eastAsia="zh-CN" w:bidi="ar-SA"/>
    </w:rPr>
  </w:style>
  <w:style w:type="character" w:customStyle="1" w:styleId="98">
    <w:name w:val="样式9 Char"/>
    <w:link w:val="99"/>
    <w:qFormat/>
    <w:uiPriority w:val="0"/>
    <w:rPr>
      <w:rFonts w:eastAsia="宋体"/>
      <w:b/>
      <w:bCs/>
      <w:color w:val="000000"/>
      <w:spacing w:val="20"/>
      <w:sz w:val="24"/>
      <w:szCs w:val="24"/>
    </w:rPr>
  </w:style>
  <w:style w:type="paragraph" w:customStyle="1" w:styleId="99">
    <w:name w:val="样式9"/>
    <w:basedOn w:val="1"/>
    <w:link w:val="98"/>
    <w:qFormat/>
    <w:uiPriority w:val="0"/>
    <w:pPr>
      <w:spacing w:beforeLines="50" w:line="360" w:lineRule="auto"/>
      <w:jc w:val="center"/>
    </w:pPr>
    <w:rPr>
      <w:rFonts w:ascii="Calibri" w:hAnsi="Calibri"/>
      <w:b/>
      <w:bCs/>
      <w:color w:val="000000"/>
      <w:spacing w:val="20"/>
      <w:sz w:val="24"/>
    </w:rPr>
  </w:style>
  <w:style w:type="character" w:customStyle="1" w:styleId="100">
    <w:name w:val="批注文字 Char"/>
    <w:link w:val="21"/>
    <w:qFormat/>
    <w:uiPriority w:val="99"/>
    <w:rPr>
      <w:szCs w:val="24"/>
    </w:rPr>
  </w:style>
  <w:style w:type="character" w:customStyle="1" w:styleId="101">
    <w:name w:val="我的样式 Char"/>
    <w:link w:val="102"/>
    <w:qFormat/>
    <w:uiPriority w:val="0"/>
    <w:rPr>
      <w:rFonts w:eastAsia="宋体"/>
      <w:snapToGrid w:val="0"/>
      <w:sz w:val="28"/>
    </w:rPr>
  </w:style>
  <w:style w:type="paragraph" w:customStyle="1" w:styleId="102">
    <w:name w:val="我的样式"/>
    <w:basedOn w:val="1"/>
    <w:link w:val="101"/>
    <w:qFormat/>
    <w:uiPriority w:val="0"/>
    <w:pPr>
      <w:adjustRightInd w:val="0"/>
      <w:snapToGrid w:val="0"/>
      <w:spacing w:line="360" w:lineRule="auto"/>
      <w:ind w:firstLine="200" w:firstLineChars="200"/>
      <w:jc w:val="left"/>
      <w:textAlignment w:val="baseline"/>
    </w:pPr>
    <w:rPr>
      <w:rFonts w:ascii="Calibri" w:hAnsi="Calibri"/>
      <w:snapToGrid w:val="0"/>
      <w:sz w:val="28"/>
      <w:szCs w:val="22"/>
    </w:rPr>
  </w:style>
  <w:style w:type="character" w:customStyle="1" w:styleId="103">
    <w:name w:val="报告表格 Char"/>
    <w:link w:val="104"/>
    <w:qFormat/>
    <w:uiPriority w:val="0"/>
  </w:style>
  <w:style w:type="paragraph" w:customStyle="1" w:styleId="104">
    <w:name w:val="报告表格"/>
    <w:basedOn w:val="1"/>
    <w:link w:val="103"/>
    <w:qFormat/>
    <w:uiPriority w:val="0"/>
    <w:pPr>
      <w:autoSpaceDE w:val="0"/>
      <w:autoSpaceDN w:val="0"/>
      <w:adjustRightInd w:val="0"/>
      <w:spacing w:before="40" w:after="40"/>
      <w:jc w:val="center"/>
    </w:pPr>
    <w:rPr>
      <w:rFonts w:ascii="Calibri" w:hAnsi="Calibri"/>
      <w:szCs w:val="22"/>
    </w:rPr>
  </w:style>
  <w:style w:type="character" w:customStyle="1" w:styleId="105">
    <w:name w:val="日期 Char"/>
    <w:link w:val="33"/>
    <w:qFormat/>
    <w:uiPriority w:val="0"/>
    <w:rPr>
      <w:rFonts w:eastAsia="楷体"/>
      <w:color w:val="000000"/>
      <w:sz w:val="24"/>
    </w:rPr>
  </w:style>
  <w:style w:type="character" w:customStyle="1" w:styleId="106">
    <w:name w:val="样式1 Char1"/>
    <w:link w:val="107"/>
    <w:qFormat/>
    <w:uiPriority w:val="0"/>
    <w:rPr>
      <w:rFonts w:eastAsia="宋体"/>
      <w:bCs/>
      <w:color w:val="000000"/>
      <w:spacing w:val="20"/>
      <w:sz w:val="24"/>
      <w:szCs w:val="24"/>
    </w:rPr>
  </w:style>
  <w:style w:type="paragraph" w:customStyle="1" w:styleId="107">
    <w:name w:val="样式1"/>
    <w:basedOn w:val="39"/>
    <w:link w:val="106"/>
    <w:qFormat/>
    <w:uiPriority w:val="0"/>
    <w:pPr>
      <w:spacing w:before="100" w:beforeAutospacing="1" w:after="100" w:afterAutospacing="1" w:line="360" w:lineRule="auto"/>
      <w:ind w:firstLine="480" w:firstLineChars="200"/>
    </w:pPr>
    <w:rPr>
      <w:rFonts w:ascii="Calibri" w:hAnsi="Calibri"/>
      <w:b w:val="0"/>
      <w:caps w:val="0"/>
      <w:color w:val="000000"/>
      <w:spacing w:val="20"/>
      <w:sz w:val="24"/>
      <w:szCs w:val="24"/>
    </w:rPr>
  </w:style>
  <w:style w:type="character" w:customStyle="1" w:styleId="108">
    <w:name w:val="正文缩进 Char"/>
    <w:link w:val="15"/>
    <w:qFormat/>
    <w:uiPriority w:val="0"/>
    <w:rPr>
      <w:rFonts w:eastAsia="宋体"/>
    </w:rPr>
  </w:style>
  <w:style w:type="character" w:customStyle="1" w:styleId="109">
    <w:name w:val="四号 Char"/>
    <w:qFormat/>
    <w:uiPriority w:val="0"/>
    <w:rPr>
      <w:rFonts w:eastAsia="宋体"/>
      <w:kern w:val="2"/>
      <w:sz w:val="21"/>
      <w:szCs w:val="24"/>
      <w:lang w:val="en-US" w:eastAsia="zh-CN" w:bidi="ar-SA"/>
    </w:rPr>
  </w:style>
  <w:style w:type="character" w:customStyle="1" w:styleId="110">
    <w:name w:val="德胜正文 Char"/>
    <w:link w:val="111"/>
    <w:qFormat/>
    <w:uiPriority w:val="0"/>
    <w:rPr>
      <w:rFonts w:eastAsia="宋体" w:cs="宋体"/>
      <w:snapToGrid w:val="0"/>
      <w:color w:val="0000FF"/>
      <w:sz w:val="24"/>
      <w:szCs w:val="24"/>
    </w:rPr>
  </w:style>
  <w:style w:type="paragraph" w:customStyle="1" w:styleId="111">
    <w:name w:val="德胜正文"/>
    <w:basedOn w:val="1"/>
    <w:link w:val="110"/>
    <w:qFormat/>
    <w:uiPriority w:val="0"/>
    <w:pPr>
      <w:adjustRightInd w:val="0"/>
      <w:snapToGrid w:val="0"/>
      <w:spacing w:line="360" w:lineRule="auto"/>
      <w:ind w:firstLine="200" w:firstLineChars="200"/>
    </w:pPr>
    <w:rPr>
      <w:rFonts w:ascii="Calibri" w:hAnsi="Calibri" w:cs="宋体"/>
      <w:snapToGrid w:val="0"/>
      <w:color w:val="0000FF"/>
      <w:sz w:val="24"/>
    </w:rPr>
  </w:style>
  <w:style w:type="character" w:customStyle="1" w:styleId="112">
    <w:name w:val="unnamed11"/>
    <w:qFormat/>
    <w:uiPriority w:val="0"/>
    <w:rPr>
      <w:spacing w:val="340"/>
      <w:sz w:val="30"/>
      <w:szCs w:val="30"/>
    </w:rPr>
  </w:style>
  <w:style w:type="character" w:customStyle="1" w:styleId="113">
    <w:name w:val="正文四号 Char"/>
    <w:qFormat/>
    <w:uiPriority w:val="0"/>
    <w:rPr>
      <w:rFonts w:eastAsia="宋体"/>
      <w:kern w:val="2"/>
      <w:sz w:val="28"/>
      <w:lang w:val="en-US" w:eastAsia="zh-CN" w:bidi="ar-SA"/>
    </w:rPr>
  </w:style>
  <w:style w:type="character" w:customStyle="1" w:styleId="114">
    <w:name w:val="报告书正文 Char"/>
    <w:link w:val="115"/>
    <w:qFormat/>
    <w:uiPriority w:val="0"/>
    <w:rPr>
      <w:rFonts w:ascii="Calibri" w:hAnsi="Calibri" w:eastAsia="宋体"/>
      <w:sz w:val="24"/>
      <w:szCs w:val="24"/>
    </w:rPr>
  </w:style>
  <w:style w:type="paragraph" w:customStyle="1" w:styleId="115">
    <w:name w:val="报告书正文"/>
    <w:basedOn w:val="1"/>
    <w:link w:val="114"/>
    <w:qFormat/>
    <w:uiPriority w:val="0"/>
    <w:pPr>
      <w:spacing w:line="360" w:lineRule="auto"/>
      <w:ind w:firstLine="422" w:firstLineChars="200"/>
    </w:pPr>
    <w:rPr>
      <w:rFonts w:ascii="Calibri" w:hAnsi="Calibri"/>
      <w:sz w:val="24"/>
    </w:rPr>
  </w:style>
  <w:style w:type="character" w:customStyle="1" w:styleId="116">
    <w:name w:val="样式 四号 黑色 Char"/>
    <w:qFormat/>
    <w:uiPriority w:val="0"/>
    <w:rPr>
      <w:rFonts w:eastAsia="宋体" w:cs="宋体"/>
      <w:color w:val="000000"/>
      <w:kern w:val="2"/>
      <w:sz w:val="28"/>
      <w:szCs w:val="24"/>
      <w:lang w:val="en-US" w:eastAsia="zh-CN" w:bidi="ar-SA"/>
    </w:rPr>
  </w:style>
  <w:style w:type="character" w:customStyle="1" w:styleId="117">
    <w:name w:val="newstopic-h1"/>
    <w:qFormat/>
    <w:uiPriority w:val="0"/>
    <w:rPr>
      <w:rFonts w:hint="default"/>
      <w:b/>
      <w:bCs/>
      <w:color w:val="333333"/>
      <w:spacing w:val="0"/>
      <w:sz w:val="21"/>
      <w:szCs w:val="21"/>
    </w:rPr>
  </w:style>
  <w:style w:type="character" w:customStyle="1" w:styleId="118">
    <w:name w:val="HTML 预设格式 Char"/>
    <w:link w:val="52"/>
    <w:qFormat/>
    <w:uiPriority w:val="99"/>
    <w:rPr>
      <w:rFonts w:ascii="宋体" w:hAnsi="宋体" w:cs="宋体"/>
      <w:sz w:val="24"/>
      <w:szCs w:val="24"/>
    </w:rPr>
  </w:style>
  <w:style w:type="character" w:customStyle="1" w:styleId="119">
    <w:name w:val="文章正文样式 Char"/>
    <w:link w:val="120"/>
    <w:qFormat/>
    <w:uiPriority w:val="0"/>
    <w:rPr>
      <w:rFonts w:ascii="宋体" w:hAnsi="宋体"/>
      <w:sz w:val="24"/>
    </w:rPr>
  </w:style>
  <w:style w:type="paragraph" w:customStyle="1" w:styleId="120">
    <w:name w:val="文章正文样式"/>
    <w:basedOn w:val="1"/>
    <w:link w:val="119"/>
    <w:qFormat/>
    <w:uiPriority w:val="0"/>
    <w:pPr>
      <w:spacing w:line="520" w:lineRule="exact"/>
      <w:ind w:firstLine="480" w:firstLineChars="200"/>
      <w:jc w:val="left"/>
    </w:pPr>
    <w:rPr>
      <w:rFonts w:ascii="宋体" w:hAnsi="宋体"/>
      <w:sz w:val="24"/>
      <w:szCs w:val="22"/>
    </w:rPr>
  </w:style>
  <w:style w:type="character" w:customStyle="1" w:styleId="121">
    <w:name w:val="Char Char16"/>
    <w:qFormat/>
    <w:uiPriority w:val="0"/>
    <w:rPr>
      <w:rFonts w:ascii="Arial" w:hAnsi="Arial" w:eastAsia="宋体" w:cs="Arial"/>
      <w:b/>
      <w:kern w:val="44"/>
      <w:sz w:val="36"/>
      <w:szCs w:val="44"/>
      <w:lang w:val="en-US" w:eastAsia="zh-CN" w:bidi="ar-SA"/>
    </w:rPr>
  </w:style>
  <w:style w:type="character" w:customStyle="1" w:styleId="122">
    <w:name w:val="正文首行缩进 2 Char"/>
    <w:basedOn w:val="123"/>
    <w:link w:val="57"/>
    <w:qFormat/>
    <w:uiPriority w:val="0"/>
    <w:rPr>
      <w:color w:val="FF0000"/>
      <w:sz w:val="24"/>
    </w:rPr>
  </w:style>
  <w:style w:type="character" w:customStyle="1" w:styleId="123">
    <w:name w:val="正文文本缩进 Char"/>
    <w:qFormat/>
    <w:uiPriority w:val="0"/>
    <w:rPr>
      <w:color w:val="FF0000"/>
      <w:sz w:val="24"/>
    </w:rPr>
  </w:style>
  <w:style w:type="character" w:customStyle="1" w:styleId="124">
    <w:name w:val="ttitle1"/>
    <w:qFormat/>
    <w:uiPriority w:val="0"/>
    <w:rPr>
      <w:spacing w:val="120"/>
      <w:sz w:val="21"/>
      <w:szCs w:val="21"/>
    </w:rPr>
  </w:style>
  <w:style w:type="character" w:customStyle="1" w:styleId="125">
    <w:name w:val="文本_zxj Char"/>
    <w:qFormat/>
    <w:uiPriority w:val="0"/>
    <w:rPr>
      <w:rFonts w:eastAsia="宋体" w:cs="宋体"/>
      <w:kern w:val="2"/>
      <w:sz w:val="28"/>
      <w:lang w:val="en-US" w:eastAsia="zh-CN" w:bidi="ar-SA"/>
    </w:rPr>
  </w:style>
  <w:style w:type="character" w:customStyle="1" w:styleId="126">
    <w:name w:val="样式18 Char"/>
    <w:link w:val="127"/>
    <w:qFormat/>
    <w:uiPriority w:val="0"/>
    <w:rPr>
      <w:sz w:val="26"/>
      <w:szCs w:val="26"/>
    </w:rPr>
  </w:style>
  <w:style w:type="paragraph" w:customStyle="1" w:styleId="127">
    <w:name w:val="样式18"/>
    <w:basedOn w:val="1"/>
    <w:link w:val="126"/>
    <w:qFormat/>
    <w:uiPriority w:val="0"/>
    <w:pPr>
      <w:widowControl/>
      <w:adjustRightInd w:val="0"/>
      <w:snapToGrid w:val="0"/>
      <w:spacing w:line="460" w:lineRule="exact"/>
      <w:ind w:firstLine="567" w:firstLineChars="218"/>
      <w:jc w:val="left"/>
    </w:pPr>
    <w:rPr>
      <w:rFonts w:ascii="Calibri" w:hAnsi="Calibri"/>
      <w:sz w:val="26"/>
      <w:szCs w:val="26"/>
    </w:rPr>
  </w:style>
  <w:style w:type="character" w:customStyle="1" w:styleId="128">
    <w:name w:val="报告 Char"/>
    <w:link w:val="129"/>
    <w:qFormat/>
    <w:uiPriority w:val="0"/>
    <w:rPr>
      <w:rFonts w:ascii="TimesNewRoman" w:hAnsi="TimesNewRoman"/>
      <w:sz w:val="24"/>
    </w:rPr>
  </w:style>
  <w:style w:type="paragraph" w:customStyle="1" w:styleId="129">
    <w:name w:val="报告"/>
    <w:basedOn w:val="1"/>
    <w:link w:val="128"/>
    <w:qFormat/>
    <w:uiPriority w:val="0"/>
    <w:pPr>
      <w:adjustRightInd w:val="0"/>
      <w:spacing w:line="360" w:lineRule="auto"/>
      <w:ind w:firstLine="505"/>
      <w:textAlignment w:val="center"/>
    </w:pPr>
    <w:rPr>
      <w:rFonts w:ascii="TimesNewRoman" w:hAnsi="TimesNewRoman"/>
      <w:sz w:val="24"/>
      <w:szCs w:val="22"/>
    </w:rPr>
  </w:style>
  <w:style w:type="character" w:customStyle="1" w:styleId="130">
    <w:name w:val="批注文字 Char1"/>
    <w:basedOn w:val="63"/>
    <w:semiHidden/>
    <w:qFormat/>
    <w:uiPriority w:val="99"/>
    <w:rPr>
      <w:rFonts w:ascii="Times New Roman" w:hAnsi="Times New Roman" w:eastAsia="宋体" w:cs="Times New Roman"/>
      <w:szCs w:val="24"/>
    </w:rPr>
  </w:style>
  <w:style w:type="character" w:customStyle="1" w:styleId="131">
    <w:name w:val="表格 Char"/>
    <w:link w:val="132"/>
    <w:qFormat/>
    <w:uiPriority w:val="0"/>
    <w:rPr>
      <w:rFonts w:ascii="Calibri" w:hAnsi="Calibri"/>
    </w:rPr>
  </w:style>
  <w:style w:type="paragraph" w:customStyle="1" w:styleId="132">
    <w:name w:val="表格"/>
    <w:basedOn w:val="44"/>
    <w:link w:val="131"/>
    <w:qFormat/>
    <w:uiPriority w:val="0"/>
    <w:pPr>
      <w:spacing w:line="300" w:lineRule="exact"/>
    </w:pPr>
    <w:rPr>
      <w:rFonts w:ascii="Calibri" w:hAnsi="Calibri"/>
      <w:szCs w:val="22"/>
    </w:rPr>
  </w:style>
  <w:style w:type="character" w:customStyle="1" w:styleId="133">
    <w:name w:val="标题 Char"/>
    <w:basedOn w:val="63"/>
    <w:link w:val="40"/>
    <w:qFormat/>
    <w:uiPriority w:val="0"/>
    <w:rPr>
      <w:rFonts w:ascii="Arial" w:hAnsi="Arial" w:eastAsia="宋体" w:cs="Times New Roman"/>
      <w:b/>
      <w:sz w:val="32"/>
      <w:szCs w:val="20"/>
    </w:rPr>
  </w:style>
  <w:style w:type="character" w:customStyle="1" w:styleId="134">
    <w:name w:val="表格内文字 Char"/>
    <w:link w:val="135"/>
    <w:qFormat/>
    <w:uiPriority w:val="0"/>
    <w:rPr>
      <w:rFonts w:eastAsia="仿宋_GB2312"/>
      <w:sz w:val="24"/>
      <w:szCs w:val="24"/>
    </w:rPr>
  </w:style>
  <w:style w:type="paragraph" w:customStyle="1" w:styleId="135">
    <w:name w:val="表格内文字"/>
    <w:basedOn w:val="1"/>
    <w:link w:val="134"/>
    <w:qFormat/>
    <w:uiPriority w:val="0"/>
    <w:pPr>
      <w:tabs>
        <w:tab w:val="left" w:pos="0"/>
      </w:tabs>
      <w:adjustRightInd w:val="0"/>
      <w:snapToGrid w:val="0"/>
      <w:jc w:val="center"/>
    </w:pPr>
    <w:rPr>
      <w:rFonts w:ascii="Calibri" w:hAnsi="Calibri" w:eastAsia="仿宋_GB2312"/>
      <w:sz w:val="24"/>
    </w:rPr>
  </w:style>
  <w:style w:type="character" w:customStyle="1" w:styleId="136">
    <w:name w:val="批注框文本 Char1"/>
    <w:basedOn w:val="63"/>
    <w:semiHidden/>
    <w:qFormat/>
    <w:uiPriority w:val="99"/>
    <w:rPr>
      <w:rFonts w:ascii="Times New Roman" w:hAnsi="Times New Roman" w:eastAsia="宋体" w:cs="Times New Roman"/>
      <w:sz w:val="18"/>
      <w:szCs w:val="18"/>
    </w:rPr>
  </w:style>
  <w:style w:type="character" w:customStyle="1" w:styleId="137">
    <w:name w:val="表格文字 Char"/>
    <w:link w:val="72"/>
    <w:qFormat/>
    <w:uiPriority w:val="0"/>
    <w:rPr>
      <w:rFonts w:ascii="宋体"/>
      <w:color w:val="000000"/>
      <w:sz w:val="24"/>
    </w:rPr>
  </w:style>
  <w:style w:type="character" w:customStyle="1" w:styleId="138">
    <w:name w:val="正文文本缩进 Char1"/>
    <w:basedOn w:val="63"/>
    <w:link w:val="25"/>
    <w:semiHidden/>
    <w:qFormat/>
    <w:uiPriority w:val="99"/>
    <w:rPr>
      <w:rFonts w:ascii="Times New Roman" w:hAnsi="Times New Roman" w:eastAsia="宋体" w:cs="Times New Roman"/>
      <w:szCs w:val="24"/>
    </w:rPr>
  </w:style>
  <w:style w:type="character" w:customStyle="1" w:styleId="139">
    <w:name w:val="【表中文字】 Char"/>
    <w:link w:val="140"/>
    <w:qFormat/>
    <w:uiPriority w:val="0"/>
    <w:rPr>
      <w:rFonts w:eastAsia="宋体"/>
    </w:rPr>
  </w:style>
  <w:style w:type="paragraph" w:customStyle="1" w:styleId="140">
    <w:name w:val="【表中文字】"/>
    <w:basedOn w:val="1"/>
    <w:link w:val="139"/>
    <w:qFormat/>
    <w:uiPriority w:val="0"/>
    <w:pPr>
      <w:jc w:val="center"/>
    </w:pPr>
    <w:rPr>
      <w:rFonts w:ascii="Calibri" w:hAnsi="Calibri"/>
      <w:szCs w:val="22"/>
    </w:rPr>
  </w:style>
  <w:style w:type="character" w:customStyle="1" w:styleId="141">
    <w:name w:val="正文文本缩进 3 Char"/>
    <w:basedOn w:val="63"/>
    <w:link w:val="46"/>
    <w:qFormat/>
    <w:uiPriority w:val="0"/>
    <w:rPr>
      <w:rFonts w:ascii="宋体" w:hAnsi="Times New Roman" w:eastAsia="宋体" w:cs="Times New Roman"/>
      <w:kern w:val="0"/>
      <w:sz w:val="24"/>
      <w:szCs w:val="20"/>
    </w:rPr>
  </w:style>
  <w:style w:type="character" w:customStyle="1" w:styleId="142">
    <w:name w:val="环评正文 Char"/>
    <w:link w:val="143"/>
    <w:qFormat/>
    <w:uiPriority w:val="0"/>
    <w:rPr>
      <w:sz w:val="28"/>
    </w:rPr>
  </w:style>
  <w:style w:type="paragraph" w:customStyle="1" w:styleId="143">
    <w:name w:val="环评正文"/>
    <w:basedOn w:val="2"/>
    <w:link w:val="142"/>
    <w:qFormat/>
    <w:uiPriority w:val="0"/>
    <w:pPr>
      <w:keepNext w:val="0"/>
      <w:keepLines w:val="0"/>
      <w:pageBreakBefore w:val="0"/>
      <w:tabs>
        <w:tab w:val="left" w:pos="662"/>
      </w:tabs>
      <w:adjustRightInd/>
      <w:spacing w:before="0" w:after="0" w:line="240" w:lineRule="auto"/>
      <w:ind w:firstLine="578"/>
      <w:jc w:val="both"/>
      <w:textAlignment w:val="auto"/>
      <w:outlineLvl w:val="9"/>
    </w:pPr>
    <w:rPr>
      <w:rFonts w:ascii="Calibri" w:hAnsi="Calibri"/>
      <w:b w:val="0"/>
      <w:kern w:val="2"/>
      <w:sz w:val="28"/>
      <w:szCs w:val="22"/>
    </w:rPr>
  </w:style>
  <w:style w:type="character" w:customStyle="1" w:styleId="144">
    <w:name w:val="正文文本缩进 2 Char"/>
    <w:basedOn w:val="63"/>
    <w:link w:val="34"/>
    <w:qFormat/>
    <w:uiPriority w:val="0"/>
    <w:rPr>
      <w:rFonts w:ascii="仿宋_GB2312" w:hAnsi="Times New Roman" w:eastAsia="仿宋_GB2312" w:cs="Times New Roman"/>
      <w:kern w:val="0"/>
      <w:sz w:val="24"/>
      <w:szCs w:val="20"/>
    </w:rPr>
  </w:style>
  <w:style w:type="character" w:customStyle="1" w:styleId="145">
    <w:name w:val="正文文本 3 Char"/>
    <w:basedOn w:val="63"/>
    <w:link w:val="23"/>
    <w:qFormat/>
    <w:uiPriority w:val="0"/>
    <w:rPr>
      <w:rFonts w:ascii="楷体" w:hAnsi="Times New Roman" w:eastAsia="楷体" w:cs="Times New Roman"/>
      <w:b/>
      <w:sz w:val="52"/>
      <w:szCs w:val="24"/>
    </w:rPr>
  </w:style>
  <w:style w:type="character" w:customStyle="1" w:styleId="146">
    <w:name w:val="headline-content2"/>
    <w:basedOn w:val="63"/>
    <w:qFormat/>
    <w:uiPriority w:val="0"/>
  </w:style>
  <w:style w:type="character" w:customStyle="1" w:styleId="147">
    <w:name w:val="日期 Char1"/>
    <w:basedOn w:val="63"/>
    <w:semiHidden/>
    <w:qFormat/>
    <w:uiPriority w:val="99"/>
    <w:rPr>
      <w:rFonts w:ascii="Times New Roman" w:hAnsi="Times New Roman" w:eastAsia="宋体" w:cs="Times New Roman"/>
      <w:szCs w:val="24"/>
    </w:rPr>
  </w:style>
  <w:style w:type="character" w:customStyle="1" w:styleId="148">
    <w:name w:val="我的样式1 Char"/>
    <w:link w:val="149"/>
    <w:qFormat/>
    <w:uiPriority w:val="0"/>
    <w:rPr>
      <w:rFonts w:ascii="宋体" w:hAnsi="宋体" w:eastAsia="宋体"/>
      <w:bCs/>
      <w:sz w:val="24"/>
      <w:szCs w:val="24"/>
    </w:rPr>
  </w:style>
  <w:style w:type="paragraph" w:customStyle="1" w:styleId="149">
    <w:name w:val="我的样式1"/>
    <w:basedOn w:val="1"/>
    <w:link w:val="148"/>
    <w:qFormat/>
    <w:uiPriority w:val="0"/>
    <w:pPr>
      <w:framePr w:hSpace="180" w:wrap="around" w:vAnchor="page" w:hAnchor="margin" w:xAlign="center" w:y="1753"/>
      <w:spacing w:line="360" w:lineRule="auto"/>
      <w:ind w:firstLine="200" w:firstLineChars="200"/>
      <w:jc w:val="left"/>
    </w:pPr>
    <w:rPr>
      <w:rFonts w:ascii="宋体" w:hAnsi="宋体"/>
      <w:bCs/>
      <w:sz w:val="24"/>
    </w:rPr>
  </w:style>
  <w:style w:type="character" w:customStyle="1" w:styleId="150">
    <w:name w:val="纯文本 Char1"/>
    <w:basedOn w:val="63"/>
    <w:semiHidden/>
    <w:qFormat/>
    <w:uiPriority w:val="99"/>
    <w:rPr>
      <w:rFonts w:ascii="宋体" w:hAnsi="Courier New" w:eastAsia="宋体" w:cs="Courier New"/>
      <w:szCs w:val="21"/>
    </w:rPr>
  </w:style>
  <w:style w:type="character" w:customStyle="1" w:styleId="151">
    <w:name w:val="zi1"/>
    <w:qFormat/>
    <w:uiPriority w:val="0"/>
    <w:rPr>
      <w:color w:val="000000"/>
      <w:sz w:val="18"/>
      <w:szCs w:val="18"/>
    </w:rPr>
  </w:style>
  <w:style w:type="character" w:customStyle="1" w:styleId="152">
    <w:name w:val="批注主题 Char"/>
    <w:basedOn w:val="130"/>
    <w:link w:val="55"/>
    <w:semiHidden/>
    <w:qFormat/>
    <w:uiPriority w:val="0"/>
    <w:rPr>
      <w:rFonts w:ascii="Times New Roman" w:hAnsi="Times New Roman" w:eastAsia="宋体" w:cs="Times New Roman"/>
      <w:b/>
      <w:bCs/>
      <w:szCs w:val="24"/>
    </w:rPr>
  </w:style>
  <w:style w:type="character" w:customStyle="1" w:styleId="153">
    <w:name w:val="报告表正文 Char"/>
    <w:link w:val="154"/>
    <w:qFormat/>
    <w:uiPriority w:val="0"/>
    <w:rPr>
      <w:sz w:val="24"/>
    </w:rPr>
  </w:style>
  <w:style w:type="paragraph" w:customStyle="1" w:styleId="154">
    <w:name w:val="报告表正文"/>
    <w:basedOn w:val="1"/>
    <w:link w:val="153"/>
    <w:qFormat/>
    <w:uiPriority w:val="0"/>
    <w:pPr>
      <w:adjustRightInd w:val="0"/>
      <w:spacing w:line="312" w:lineRule="auto"/>
      <w:ind w:left="113" w:right="113" w:firstLine="482"/>
      <w:textAlignment w:val="baseline"/>
    </w:pPr>
    <w:rPr>
      <w:rFonts w:ascii="Calibri" w:hAnsi="Calibri"/>
      <w:sz w:val="24"/>
      <w:szCs w:val="22"/>
    </w:rPr>
  </w:style>
  <w:style w:type="character" w:customStyle="1" w:styleId="155">
    <w:name w:val="文档结构图 Char"/>
    <w:basedOn w:val="63"/>
    <w:link w:val="19"/>
    <w:semiHidden/>
    <w:qFormat/>
    <w:uiPriority w:val="0"/>
    <w:rPr>
      <w:rFonts w:ascii="Times New Roman" w:hAnsi="Times New Roman" w:eastAsia="宋体" w:cs="Times New Roman"/>
      <w:szCs w:val="24"/>
      <w:shd w:val="clear" w:color="auto" w:fill="000080"/>
    </w:rPr>
  </w:style>
  <w:style w:type="character" w:customStyle="1" w:styleId="156">
    <w:name w:val="标准样式 Char"/>
    <w:link w:val="157"/>
    <w:qFormat/>
    <w:uiPriority w:val="0"/>
    <w:rPr>
      <w:rFonts w:ascii="宋体" w:eastAsia="Times New Roman"/>
      <w:sz w:val="28"/>
    </w:rPr>
  </w:style>
  <w:style w:type="paragraph" w:customStyle="1" w:styleId="157">
    <w:name w:val="标准样式"/>
    <w:link w:val="156"/>
    <w:qFormat/>
    <w:uiPriority w:val="0"/>
    <w:pPr>
      <w:widowControl w:val="0"/>
      <w:spacing w:line="600" w:lineRule="exact"/>
      <w:ind w:firstLine="567"/>
      <w:jc w:val="both"/>
    </w:pPr>
    <w:rPr>
      <w:rFonts w:ascii="宋体" w:hAnsi="Calibri" w:eastAsia="Times New Roman" w:cs="Times New Roman"/>
      <w:kern w:val="2"/>
      <w:sz w:val="28"/>
      <w:szCs w:val="22"/>
      <w:lang w:val="en-US" w:eastAsia="zh-CN" w:bidi="ar-SA"/>
    </w:rPr>
  </w:style>
  <w:style w:type="character" w:customStyle="1" w:styleId="158">
    <w:name w:val="headline-content"/>
    <w:basedOn w:val="63"/>
    <w:qFormat/>
    <w:uiPriority w:val="0"/>
  </w:style>
  <w:style w:type="character" w:customStyle="1" w:styleId="159">
    <w:name w:val="content"/>
    <w:basedOn w:val="63"/>
    <w:qFormat/>
    <w:uiPriority w:val="0"/>
  </w:style>
  <w:style w:type="character" w:customStyle="1" w:styleId="160">
    <w:name w:val="尾注文本 Char"/>
    <w:basedOn w:val="63"/>
    <w:link w:val="35"/>
    <w:semiHidden/>
    <w:qFormat/>
    <w:uiPriority w:val="0"/>
    <w:rPr>
      <w:rFonts w:ascii="Times New Roman" w:hAnsi="Times New Roman" w:eastAsia="宋体" w:cs="Times New Roman"/>
      <w:szCs w:val="24"/>
    </w:rPr>
  </w:style>
  <w:style w:type="character" w:customStyle="1" w:styleId="161">
    <w:name w:val="表头 Char"/>
    <w:link w:val="162"/>
    <w:qFormat/>
    <w:uiPriority w:val="0"/>
    <w:rPr>
      <w:rFonts w:eastAsia="黑体"/>
      <w:sz w:val="24"/>
      <w:szCs w:val="24"/>
    </w:rPr>
  </w:style>
  <w:style w:type="paragraph" w:customStyle="1" w:styleId="162">
    <w:name w:val="表头"/>
    <w:basedOn w:val="1"/>
    <w:link w:val="161"/>
    <w:qFormat/>
    <w:uiPriority w:val="0"/>
    <w:pPr>
      <w:spacing w:beforeLines="50" w:line="440" w:lineRule="exact"/>
      <w:jc w:val="center"/>
    </w:pPr>
    <w:rPr>
      <w:rFonts w:ascii="Calibri" w:hAnsi="Calibri" w:eastAsia="黑体"/>
      <w:sz w:val="24"/>
    </w:rPr>
  </w:style>
  <w:style w:type="character" w:customStyle="1" w:styleId="163">
    <w:name w:val="正文首行缩进 Char"/>
    <w:basedOn w:val="75"/>
    <w:link w:val="56"/>
    <w:qFormat/>
    <w:uiPriority w:val="0"/>
    <w:rPr>
      <w:rFonts w:ascii="Times New Roman" w:hAnsi="Times New Roman" w:eastAsia="宋体" w:cs="Times New Roman"/>
      <w:szCs w:val="24"/>
    </w:rPr>
  </w:style>
  <w:style w:type="character" w:customStyle="1" w:styleId="164">
    <w:name w:val="样式 样式 四号 黑色 + 首行缩进:  2 字符 Char"/>
    <w:qFormat/>
    <w:uiPriority w:val="0"/>
    <w:rPr>
      <w:rFonts w:eastAsia="宋体" w:cs="宋体"/>
      <w:color w:val="000000"/>
      <w:kern w:val="2"/>
      <w:sz w:val="28"/>
      <w:lang w:val="en-US" w:eastAsia="zh-CN" w:bidi="ar-SA"/>
    </w:rPr>
  </w:style>
  <w:style w:type="character" w:customStyle="1" w:styleId="165">
    <w:name w:val="批注框文本 Char"/>
    <w:link w:val="36"/>
    <w:qFormat/>
    <w:uiPriority w:val="0"/>
    <w:rPr>
      <w:sz w:val="18"/>
      <w:szCs w:val="18"/>
    </w:rPr>
  </w:style>
  <w:style w:type="character" w:customStyle="1" w:styleId="166">
    <w:name w:val="Char Char6"/>
    <w:qFormat/>
    <w:uiPriority w:val="0"/>
    <w:rPr>
      <w:rFonts w:ascii="楷体_GB2312" w:hAnsi="Arial" w:eastAsia="楷体_GB2312"/>
      <w:b/>
      <w:kern w:val="2"/>
      <w:sz w:val="32"/>
      <w:szCs w:val="30"/>
      <w:lang w:val="en-US" w:eastAsia="zh-CN" w:bidi="ar-SA"/>
    </w:rPr>
  </w:style>
  <w:style w:type="character" w:customStyle="1" w:styleId="167">
    <w:name w:val="样式 小四"/>
    <w:qFormat/>
    <w:uiPriority w:val="0"/>
    <w:rPr>
      <w:sz w:val="24"/>
    </w:rPr>
  </w:style>
  <w:style w:type="character" w:customStyle="1" w:styleId="168">
    <w:name w:val="排版正文 Char"/>
    <w:link w:val="169"/>
    <w:qFormat/>
    <w:uiPriority w:val="0"/>
    <w:rPr>
      <w:color w:val="000000"/>
      <w:sz w:val="26"/>
      <w:szCs w:val="24"/>
    </w:rPr>
  </w:style>
  <w:style w:type="paragraph" w:customStyle="1" w:styleId="169">
    <w:name w:val="排版正文"/>
    <w:basedOn w:val="1"/>
    <w:link w:val="168"/>
    <w:qFormat/>
    <w:uiPriority w:val="0"/>
    <w:pPr>
      <w:adjustRightInd w:val="0"/>
      <w:snapToGrid w:val="0"/>
      <w:spacing w:line="480" w:lineRule="exact"/>
      <w:ind w:firstLine="520" w:firstLineChars="200"/>
    </w:pPr>
    <w:rPr>
      <w:rFonts w:ascii="Calibri" w:hAnsi="Calibri"/>
      <w:color w:val="000000"/>
      <w:sz w:val="26"/>
    </w:rPr>
  </w:style>
  <w:style w:type="character" w:customStyle="1" w:styleId="170">
    <w:name w:val="表格内容1 Char"/>
    <w:link w:val="171"/>
    <w:qFormat/>
    <w:uiPriority w:val="0"/>
    <w:rPr>
      <w:rFonts w:ascii="宋体" w:hAnsi="宋体"/>
      <w:snapToGrid w:val="0"/>
      <w:szCs w:val="21"/>
    </w:rPr>
  </w:style>
  <w:style w:type="paragraph" w:customStyle="1" w:styleId="171">
    <w:name w:val="表格内容1"/>
    <w:basedOn w:val="1"/>
    <w:link w:val="170"/>
    <w:qFormat/>
    <w:uiPriority w:val="0"/>
    <w:pPr>
      <w:adjustRightInd w:val="0"/>
      <w:snapToGrid w:val="0"/>
      <w:spacing w:beforeLines="10" w:afterLines="10"/>
      <w:jc w:val="center"/>
    </w:pPr>
    <w:rPr>
      <w:rFonts w:ascii="宋体" w:hAnsi="宋体"/>
      <w:snapToGrid w:val="0"/>
      <w:szCs w:val="21"/>
    </w:rPr>
  </w:style>
  <w:style w:type="character" w:customStyle="1" w:styleId="172">
    <w:name w:val="注释标题 Char"/>
    <w:basedOn w:val="63"/>
    <w:link w:val="13"/>
    <w:qFormat/>
    <w:uiPriority w:val="0"/>
    <w:rPr>
      <w:rFonts w:ascii="Times New Roman" w:hAnsi="Times New Roman" w:eastAsia="宋体" w:cs="Times New Roman"/>
      <w:szCs w:val="24"/>
    </w:rPr>
  </w:style>
  <w:style w:type="character" w:customStyle="1" w:styleId="173">
    <w:name w:val="正文文本 2 Char"/>
    <w:basedOn w:val="63"/>
    <w:link w:val="51"/>
    <w:qFormat/>
    <w:uiPriority w:val="0"/>
    <w:rPr>
      <w:rFonts w:ascii="Times New Roman" w:hAnsi="Times New Roman" w:eastAsia="宋体" w:cs="Times New Roman"/>
      <w:sz w:val="24"/>
      <w:szCs w:val="20"/>
    </w:rPr>
  </w:style>
  <w:style w:type="character" w:customStyle="1" w:styleId="174">
    <w:name w:val="正文首行缩进 2 Char1"/>
    <w:basedOn w:val="138"/>
    <w:semiHidden/>
    <w:qFormat/>
    <w:uiPriority w:val="99"/>
    <w:rPr>
      <w:rFonts w:ascii="Times New Roman" w:hAnsi="Times New Roman" w:eastAsia="宋体" w:cs="Times New Roman"/>
      <w:szCs w:val="24"/>
    </w:rPr>
  </w:style>
  <w:style w:type="character" w:customStyle="1" w:styleId="175">
    <w:name w:val="font11"/>
    <w:basedOn w:val="63"/>
    <w:qFormat/>
    <w:uiPriority w:val="0"/>
    <w:rPr>
      <w:rFonts w:hint="eastAsia" w:ascii="宋体" w:hAnsi="宋体" w:eastAsia="宋体" w:cs="宋体"/>
      <w:color w:val="000000"/>
      <w:sz w:val="21"/>
      <w:szCs w:val="21"/>
      <w:u w:val="none"/>
    </w:rPr>
  </w:style>
  <w:style w:type="character" w:customStyle="1" w:styleId="176">
    <w:name w:val="占位符文本1"/>
    <w:basedOn w:val="63"/>
    <w:semiHidden/>
    <w:qFormat/>
    <w:uiPriority w:val="99"/>
    <w:rPr>
      <w:color w:val="808080"/>
    </w:rPr>
  </w:style>
  <w:style w:type="character" w:customStyle="1" w:styleId="177">
    <w:name w:val="fontstyle01"/>
    <w:basedOn w:val="63"/>
    <w:qFormat/>
    <w:uiPriority w:val="0"/>
    <w:rPr>
      <w:rFonts w:hint="eastAsia" w:ascii="宋体" w:hAnsi="宋体" w:eastAsia="宋体" w:cs="宋体"/>
      <w:color w:val="000000"/>
      <w:sz w:val="26"/>
      <w:szCs w:val="26"/>
    </w:rPr>
  </w:style>
  <w:style w:type="character" w:customStyle="1" w:styleId="178">
    <w:name w:val="fontstyle21"/>
    <w:basedOn w:val="63"/>
    <w:qFormat/>
    <w:uiPriority w:val="0"/>
    <w:rPr>
      <w:rFonts w:hint="default" w:ascii="Times New Roman" w:hAnsi="Times New Roman" w:cs="Times New Roman"/>
      <w:color w:val="000000"/>
      <w:sz w:val="26"/>
      <w:szCs w:val="26"/>
    </w:rPr>
  </w:style>
  <w:style w:type="character" w:customStyle="1" w:styleId="179">
    <w:name w:val="fontstyle11"/>
    <w:basedOn w:val="63"/>
    <w:qFormat/>
    <w:uiPriority w:val="0"/>
    <w:rPr>
      <w:rFonts w:hint="default" w:ascii="Times New Roman" w:hAnsi="Times New Roman" w:cs="Times New Roman"/>
      <w:color w:val="000000"/>
      <w:sz w:val="24"/>
      <w:szCs w:val="24"/>
    </w:rPr>
  </w:style>
  <w:style w:type="character" w:customStyle="1" w:styleId="180">
    <w:name w:val="font01"/>
    <w:basedOn w:val="63"/>
    <w:qFormat/>
    <w:uiPriority w:val="0"/>
    <w:rPr>
      <w:rFonts w:hint="eastAsia" w:ascii="宋体" w:hAnsi="宋体" w:eastAsia="宋体" w:cs="宋体"/>
      <w:color w:val="000000"/>
      <w:sz w:val="21"/>
      <w:szCs w:val="21"/>
      <w:u w:val="none"/>
      <w:vertAlign w:val="subscript"/>
    </w:rPr>
  </w:style>
  <w:style w:type="paragraph" w:customStyle="1" w:styleId="181">
    <w:name w:val="样式 样式 正文缩进表格标题 + (中文) 黑体 17.5 磅 加粗 + 首行缩进:  2 字符"/>
    <w:basedOn w:val="182"/>
    <w:qFormat/>
    <w:uiPriority w:val="0"/>
    <w:pPr>
      <w:ind w:firstLine="502"/>
      <w:jc w:val="center"/>
    </w:pPr>
    <w:rPr>
      <w:rFonts w:cs="宋体"/>
      <w:szCs w:val="20"/>
    </w:rPr>
  </w:style>
  <w:style w:type="paragraph" w:customStyle="1" w:styleId="182">
    <w:name w:val="样式 正文缩进表格标题 + (中文) 黑体 17.5 磅 加粗"/>
    <w:basedOn w:val="15"/>
    <w:qFormat/>
    <w:uiPriority w:val="0"/>
    <w:pPr>
      <w:ind w:firstLine="200" w:firstLineChars="200"/>
    </w:pPr>
    <w:rPr>
      <w:rFonts w:eastAsia="黑体"/>
      <w:b/>
      <w:bCs/>
      <w:sz w:val="44"/>
      <w:szCs w:val="24"/>
    </w:rPr>
  </w:style>
  <w:style w:type="paragraph" w:customStyle="1" w:styleId="183">
    <w:name w:val="样式 样式 四号 黑色 + 首行缩进:  2 字符1"/>
    <w:basedOn w:val="184"/>
    <w:qFormat/>
    <w:uiPriority w:val="0"/>
    <w:pPr>
      <w:spacing w:line="360" w:lineRule="auto"/>
      <w:ind w:firstLine="560"/>
    </w:pPr>
    <w:rPr>
      <w:szCs w:val="20"/>
    </w:rPr>
  </w:style>
  <w:style w:type="paragraph" w:customStyle="1" w:styleId="184">
    <w:name w:val="样式 四号 黑色"/>
    <w:basedOn w:val="1"/>
    <w:qFormat/>
    <w:uiPriority w:val="0"/>
    <w:pPr>
      <w:ind w:firstLine="480" w:firstLineChars="200"/>
    </w:pPr>
    <w:rPr>
      <w:color w:val="000000"/>
      <w:sz w:val="28"/>
    </w:rPr>
  </w:style>
  <w:style w:type="paragraph" w:customStyle="1" w:styleId="185">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86">
    <w:name w:val="标题3（二级标题）"/>
    <w:basedOn w:val="1"/>
    <w:qFormat/>
    <w:uiPriority w:val="0"/>
    <w:pPr>
      <w:adjustRightInd w:val="0"/>
      <w:snapToGrid w:val="0"/>
      <w:spacing w:line="360" w:lineRule="auto"/>
      <w:jc w:val="left"/>
    </w:pPr>
    <w:rPr>
      <w:rFonts w:hAnsi="宋体"/>
      <w:b/>
      <w:bCs/>
      <w:sz w:val="26"/>
      <w:szCs w:val="26"/>
    </w:rPr>
  </w:style>
  <w:style w:type="paragraph" w:customStyle="1" w:styleId="187">
    <w:name w:val="yz"/>
    <w:basedOn w:val="24"/>
    <w:qFormat/>
    <w:uiPriority w:val="0"/>
    <w:pPr>
      <w:tabs>
        <w:tab w:val="left" w:pos="900"/>
      </w:tabs>
      <w:adjustRightInd w:val="0"/>
      <w:spacing w:after="0"/>
      <w:ind w:firstLine="200" w:firstLineChars="200"/>
      <w:textAlignment w:val="baseline"/>
    </w:pPr>
    <w:rPr>
      <w:rFonts w:hint="eastAsia" w:ascii="宋体" w:hAnsi="宋体"/>
      <w:sz w:val="24"/>
      <w:szCs w:val="20"/>
    </w:rPr>
  </w:style>
  <w:style w:type="paragraph" w:customStyle="1" w:styleId="188">
    <w:name w:val="Char Char Char Char"/>
    <w:basedOn w:val="1"/>
    <w:semiHidden/>
    <w:qFormat/>
    <w:uiPriority w:val="0"/>
    <w:pPr>
      <w:tabs>
        <w:tab w:val="left" w:pos="360"/>
      </w:tabs>
    </w:pPr>
    <w:rPr>
      <w:sz w:val="24"/>
    </w:rPr>
  </w:style>
  <w:style w:type="paragraph" w:customStyle="1" w:styleId="189">
    <w:name w:val="日期1"/>
    <w:basedOn w:val="1"/>
    <w:next w:val="1"/>
    <w:qFormat/>
    <w:uiPriority w:val="0"/>
    <w:pPr>
      <w:adjustRightInd w:val="0"/>
      <w:textAlignment w:val="baseline"/>
    </w:pPr>
    <w:rPr>
      <w:rFonts w:cs="Garamond"/>
      <w:szCs w:val="20"/>
    </w:rPr>
  </w:style>
  <w:style w:type="paragraph" w:customStyle="1" w:styleId="190">
    <w:name w:val="样式6"/>
    <w:basedOn w:val="30"/>
    <w:qFormat/>
    <w:uiPriority w:val="0"/>
    <w:pPr>
      <w:tabs>
        <w:tab w:val="left" w:pos="-280"/>
        <w:tab w:val="left" w:pos="-220"/>
      </w:tabs>
    </w:pPr>
    <w:rPr>
      <w:rFonts w:ascii="Times New Roman" w:hAnsi="Times New Roman"/>
      <w:sz w:val="24"/>
    </w:rPr>
  </w:style>
  <w:style w:type="paragraph" w:customStyle="1" w:styleId="191">
    <w:name w:val="表biao"/>
    <w:basedOn w:val="1"/>
    <w:qFormat/>
    <w:uiPriority w:val="0"/>
    <w:pPr>
      <w:wordWrap w:val="0"/>
      <w:adjustRightInd w:val="0"/>
      <w:snapToGrid w:val="0"/>
      <w:spacing w:line="0" w:lineRule="atLeast"/>
      <w:ind w:right="-62"/>
      <w:jc w:val="center"/>
    </w:pPr>
    <w:rPr>
      <w:rFonts w:cs="Garamond"/>
      <w:kern w:val="0"/>
    </w:rPr>
  </w:style>
  <w:style w:type="paragraph" w:customStyle="1" w:styleId="192">
    <w:name w:val="正文（zha）"/>
    <w:basedOn w:val="1"/>
    <w:qFormat/>
    <w:uiPriority w:val="0"/>
    <w:pPr>
      <w:adjustRightInd w:val="0"/>
      <w:snapToGrid w:val="0"/>
      <w:spacing w:line="360" w:lineRule="auto"/>
      <w:ind w:firstLine="200" w:firstLineChars="200"/>
      <w:jc w:val="left"/>
    </w:pPr>
    <w:rPr>
      <w:sz w:val="26"/>
      <w:szCs w:val="26"/>
    </w:rPr>
  </w:style>
  <w:style w:type="paragraph" w:customStyle="1" w:styleId="193">
    <w:name w:val="Char"/>
    <w:basedOn w:val="1"/>
    <w:qFormat/>
    <w:uiPriority w:val="0"/>
  </w:style>
  <w:style w:type="paragraph" w:customStyle="1" w:styleId="194">
    <w:name w:val="样式2"/>
    <w:basedOn w:val="1"/>
    <w:qFormat/>
    <w:uiPriority w:val="0"/>
    <w:pPr>
      <w:spacing w:line="360" w:lineRule="auto"/>
      <w:ind w:firstLine="480" w:firstLineChars="200"/>
    </w:pPr>
    <w:rPr>
      <w:rFonts w:ascii="宋体" w:hAnsi="宋体" w:eastAsia="方正宋三简体"/>
      <w:sz w:val="24"/>
    </w:rPr>
  </w:style>
  <w:style w:type="paragraph" w:customStyle="1" w:styleId="195">
    <w:name w:val="图框"/>
    <w:basedOn w:val="1"/>
    <w:next w:val="1"/>
    <w:qFormat/>
    <w:uiPriority w:val="0"/>
    <w:pPr>
      <w:spacing w:line="320" w:lineRule="exact"/>
      <w:jc w:val="center"/>
    </w:pPr>
    <w:rPr>
      <w:szCs w:val="21"/>
    </w:rPr>
  </w:style>
  <w:style w:type="paragraph" w:customStyle="1" w:styleId="196">
    <w:name w:val="样式 (符号) 宋体 13 磅 行距: 1.5 倍行距1"/>
    <w:basedOn w:val="1"/>
    <w:next w:val="1"/>
    <w:qFormat/>
    <w:uiPriority w:val="0"/>
    <w:pPr>
      <w:spacing w:line="360" w:lineRule="auto"/>
      <w:ind w:firstLine="520" w:firstLineChars="200"/>
    </w:pPr>
    <w:rPr>
      <w:rFonts w:hAnsi="宋体" w:eastAsia="黑体" w:cs="宋体"/>
      <w:b/>
      <w:sz w:val="44"/>
      <w:szCs w:val="20"/>
    </w:rPr>
  </w:style>
  <w:style w:type="paragraph" w:customStyle="1" w:styleId="197">
    <w:name w:val="样式 正文缩进表格标题 + (中文) 黑体 17.5 磅 加粗 居中 图案: 清除 (白色) 行距: 最小值 12 磅"/>
    <w:basedOn w:val="15"/>
    <w:qFormat/>
    <w:uiPriority w:val="0"/>
    <w:pPr>
      <w:spacing w:line="240" w:lineRule="atLeast"/>
      <w:ind w:firstLine="0"/>
      <w:jc w:val="center"/>
    </w:pPr>
    <w:rPr>
      <w:rFonts w:eastAsia="黑体" w:cs="宋体"/>
      <w:b/>
      <w:bCs/>
      <w:sz w:val="44"/>
      <w:shd w:val="clear" w:color="auto" w:fill="FFFFFF"/>
    </w:rPr>
  </w:style>
  <w:style w:type="paragraph" w:customStyle="1" w:styleId="198">
    <w:name w:val="标题2（一级标题1.1）"/>
    <w:basedOn w:val="1"/>
    <w:qFormat/>
    <w:uiPriority w:val="0"/>
    <w:pPr>
      <w:adjustRightInd w:val="0"/>
      <w:snapToGrid w:val="0"/>
      <w:spacing w:line="360" w:lineRule="auto"/>
      <w:jc w:val="left"/>
    </w:pPr>
    <w:rPr>
      <w:rFonts w:eastAsia="黑体"/>
      <w:b/>
      <w:bCs/>
      <w:sz w:val="26"/>
      <w:szCs w:val="25"/>
    </w:rPr>
  </w:style>
  <w:style w:type="paragraph" w:customStyle="1" w:styleId="199">
    <w:name w:val="Char Char Char1 Char Char Char Char Char Char Char Char Char Char Char Char Char Char Char Char"/>
    <w:basedOn w:val="1"/>
    <w:qFormat/>
    <w:uiPriority w:val="0"/>
    <w:rPr>
      <w:sz w:val="24"/>
    </w:rPr>
  </w:style>
  <w:style w:type="paragraph" w:customStyle="1" w:styleId="200">
    <w:name w:val="标题5"/>
    <w:basedOn w:val="15"/>
    <w:qFormat/>
    <w:uiPriority w:val="0"/>
    <w:pPr>
      <w:tabs>
        <w:tab w:val="left" w:pos="900"/>
      </w:tabs>
      <w:ind w:left="900" w:hanging="900"/>
    </w:pPr>
    <w:rPr>
      <w:rFonts w:cs="Garamond"/>
      <w:b/>
      <w:spacing w:val="10"/>
      <w:sz w:val="28"/>
    </w:rPr>
  </w:style>
  <w:style w:type="paragraph" w:customStyle="1" w:styleId="201">
    <w:name w:val="Date1"/>
    <w:basedOn w:val="1"/>
    <w:next w:val="1"/>
    <w:qFormat/>
    <w:uiPriority w:val="0"/>
    <w:pPr>
      <w:adjustRightInd w:val="0"/>
      <w:textAlignment w:val="baseline"/>
    </w:pPr>
    <w:rPr>
      <w:szCs w:val="20"/>
    </w:rPr>
  </w:style>
  <w:style w:type="paragraph" w:customStyle="1" w:styleId="202">
    <w:name w:val="表体"/>
    <w:basedOn w:val="1"/>
    <w:qFormat/>
    <w:uiPriority w:val="0"/>
    <w:pPr>
      <w:adjustRightInd w:val="0"/>
      <w:snapToGrid w:val="0"/>
      <w:spacing w:line="240" w:lineRule="atLeast"/>
      <w:ind w:left="-63" w:leftChars="-30" w:right="-63" w:rightChars="-30"/>
      <w:jc w:val="center"/>
    </w:pPr>
    <w:rPr>
      <w:color w:val="000000"/>
      <w:kern w:val="0"/>
      <w:sz w:val="18"/>
      <w:szCs w:val="18"/>
    </w:rPr>
  </w:style>
  <w:style w:type="paragraph" w:customStyle="1" w:styleId="203">
    <w:name w:val="标题1（每章标题）"/>
    <w:basedOn w:val="1"/>
    <w:next w:val="5"/>
    <w:qFormat/>
    <w:uiPriority w:val="0"/>
    <w:pPr>
      <w:adjustRightInd w:val="0"/>
      <w:snapToGrid w:val="0"/>
      <w:spacing w:line="360" w:lineRule="auto"/>
      <w:ind w:firstLine="200" w:firstLineChars="200"/>
      <w:jc w:val="center"/>
    </w:pPr>
    <w:rPr>
      <w:rFonts w:hAnsi="宋体" w:eastAsia="黑体"/>
      <w:b/>
      <w:sz w:val="44"/>
      <w:szCs w:val="26"/>
    </w:rPr>
  </w:style>
  <w:style w:type="paragraph" w:customStyle="1" w:styleId="204">
    <w:name w:val="三级标题"/>
    <w:basedOn w:val="1"/>
    <w:qFormat/>
    <w:uiPriority w:val="0"/>
    <w:pPr>
      <w:spacing w:line="520" w:lineRule="exact"/>
    </w:pPr>
    <w:rPr>
      <w:rFonts w:ascii="楷体_GB2312" w:eastAsia="楷体_GB2312"/>
      <w:sz w:val="28"/>
    </w:rPr>
  </w:style>
  <w:style w:type="paragraph" w:customStyle="1" w:styleId="20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6">
    <w:name w:val="正文文本 22"/>
    <w:basedOn w:val="1"/>
    <w:qFormat/>
    <w:uiPriority w:val="0"/>
    <w:pPr>
      <w:adjustRightInd w:val="0"/>
      <w:spacing w:after="120" w:line="360" w:lineRule="auto"/>
      <w:jc w:val="left"/>
      <w:textAlignment w:val="baseline"/>
    </w:pPr>
    <w:rPr>
      <w:rFonts w:ascii="宋体" w:hAnsi="宋体"/>
      <w:kern w:val="0"/>
      <w:sz w:val="24"/>
      <w:szCs w:val="20"/>
    </w:rPr>
  </w:style>
  <w:style w:type="paragraph" w:customStyle="1" w:styleId="207">
    <w:name w:val="ZZY——正文标题2"/>
    <w:basedOn w:val="1"/>
    <w:qFormat/>
    <w:uiPriority w:val="0"/>
    <w:pPr>
      <w:adjustRightInd w:val="0"/>
      <w:snapToGrid w:val="0"/>
      <w:spacing w:line="360" w:lineRule="auto"/>
    </w:pPr>
    <w:rPr>
      <w:rFonts w:cs="Garamond"/>
      <w:b/>
      <w:bCs/>
      <w:sz w:val="26"/>
    </w:rPr>
  </w:style>
  <w:style w:type="paragraph" w:customStyle="1" w:styleId="208">
    <w:name w:val="正文1"/>
    <w:basedOn w:val="1"/>
    <w:qFormat/>
    <w:uiPriority w:val="0"/>
    <w:pPr>
      <w:adjustRightInd w:val="0"/>
      <w:spacing w:line="360" w:lineRule="atLeast"/>
      <w:jc w:val="left"/>
      <w:textAlignment w:val="baseline"/>
    </w:pPr>
    <w:rPr>
      <w:rFonts w:ascii="宋体"/>
      <w:color w:val="000000"/>
      <w:kern w:val="0"/>
      <w:sz w:val="24"/>
      <w:szCs w:val="20"/>
    </w:rPr>
  </w:style>
  <w:style w:type="paragraph" w:customStyle="1" w:styleId="209">
    <w:name w:val="样式 样式 环评正文 + (西文) 仿宋_GB2312 (中文) 宋体 10.5 磅 首行缩进:  2 字符 + 首行缩进:  ..."/>
    <w:basedOn w:val="1"/>
    <w:qFormat/>
    <w:uiPriority w:val="0"/>
    <w:pPr>
      <w:spacing w:line="400" w:lineRule="exact"/>
      <w:ind w:firstLine="200" w:firstLineChars="200"/>
    </w:pPr>
    <w:rPr>
      <w:rFonts w:ascii="仿宋_GB2312" w:hAnsi="仿宋_GB2312"/>
      <w:sz w:val="24"/>
      <w:szCs w:val="20"/>
    </w:rPr>
  </w:style>
  <w:style w:type="paragraph" w:customStyle="1" w:styleId="210">
    <w:name w:val="一太郎８/９"/>
    <w:qFormat/>
    <w:uiPriority w:val="0"/>
    <w:pPr>
      <w:widowControl w:val="0"/>
      <w:wordWrap w:val="0"/>
      <w:autoSpaceDE w:val="0"/>
      <w:autoSpaceDN w:val="0"/>
      <w:adjustRightInd w:val="0"/>
      <w:spacing w:line="394" w:lineRule="atLeast"/>
      <w:jc w:val="both"/>
    </w:pPr>
    <w:rPr>
      <w:rFonts w:ascii="MS Mincho" w:hAnsi="Century" w:eastAsia="MS Mincho" w:cs="Times New Roman"/>
      <w:lang w:val="en-US" w:eastAsia="ja-JP" w:bidi="ar-SA"/>
    </w:rPr>
  </w:style>
  <w:style w:type="paragraph" w:customStyle="1" w:styleId="211">
    <w:name w:val="font9"/>
    <w:basedOn w:val="1"/>
    <w:qFormat/>
    <w:uiPriority w:val="0"/>
    <w:pPr>
      <w:widowControl/>
      <w:spacing w:before="100" w:beforeAutospacing="1" w:after="100" w:afterAutospacing="1"/>
      <w:jc w:val="left"/>
    </w:pPr>
    <w:rPr>
      <w:rFonts w:hint="eastAsia" w:ascii="宋体" w:hAnsi="宋体" w:cs="Arial Unicode MS"/>
      <w:color w:val="FF0000"/>
      <w:kern w:val="0"/>
      <w:sz w:val="22"/>
      <w:szCs w:val="22"/>
    </w:rPr>
  </w:style>
  <w:style w:type="paragraph" w:customStyle="1" w:styleId="21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13">
    <w:name w:val="样式2新"/>
    <w:basedOn w:val="3"/>
    <w:next w:val="1"/>
    <w:qFormat/>
    <w:uiPriority w:val="0"/>
    <w:pPr>
      <w:snapToGrid w:val="0"/>
      <w:spacing w:line="240" w:lineRule="auto"/>
      <w:jc w:val="both"/>
      <w:textAlignment w:val="auto"/>
    </w:pPr>
    <w:rPr>
      <w:rFonts w:ascii="Times New Roman" w:hAnsi="Times New Roman"/>
      <w:kern w:val="2"/>
      <w:sz w:val="32"/>
    </w:rPr>
  </w:style>
  <w:style w:type="paragraph" w:customStyle="1" w:styleId="214">
    <w:name w:val="Char Char Char Char3"/>
    <w:basedOn w:val="1"/>
    <w:qFormat/>
    <w:uiPriority w:val="0"/>
  </w:style>
  <w:style w:type="paragraph" w:customStyle="1" w:styleId="215">
    <w:name w:val="Char1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216">
    <w:name w:val="Char21"/>
    <w:basedOn w:val="1"/>
    <w:qFormat/>
    <w:uiPriority w:val="0"/>
    <w:pPr>
      <w:ind w:firstLine="200" w:firstLineChars="200"/>
    </w:pPr>
    <w:rPr>
      <w:sz w:val="24"/>
    </w:rPr>
  </w:style>
  <w:style w:type="paragraph" w:customStyle="1" w:styleId="217">
    <w:name w:val="Char11"/>
    <w:basedOn w:val="1"/>
    <w:qFormat/>
    <w:uiPriority w:val="0"/>
  </w:style>
  <w:style w:type="paragraph" w:customStyle="1" w:styleId="21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9">
    <w:name w:val="中文报告书样式"/>
    <w:basedOn w:val="1"/>
    <w:qFormat/>
    <w:uiPriority w:val="0"/>
    <w:pPr>
      <w:adjustRightInd w:val="0"/>
      <w:spacing w:line="360" w:lineRule="auto"/>
      <w:ind w:firstLine="482"/>
      <w:textAlignment w:val="baseline"/>
    </w:pPr>
    <w:rPr>
      <w:kern w:val="24"/>
      <w:sz w:val="24"/>
      <w:szCs w:val="20"/>
    </w:rPr>
  </w:style>
  <w:style w:type="paragraph" w:customStyle="1" w:styleId="220">
    <w:name w:val="Char Char Char Char Char Char"/>
    <w:basedOn w:val="1"/>
    <w:qFormat/>
    <w:uiPriority w:val="0"/>
    <w:rPr>
      <w:sz w:val="24"/>
    </w:rPr>
  </w:style>
  <w:style w:type="paragraph" w:customStyle="1" w:styleId="221">
    <w:name w:val="样式 标题 1 + 非加粗 两端对齐"/>
    <w:basedOn w:val="2"/>
    <w:qFormat/>
    <w:uiPriority w:val="0"/>
    <w:pPr>
      <w:keepNext w:val="0"/>
      <w:keepLines w:val="0"/>
      <w:pageBreakBefore w:val="0"/>
      <w:snapToGrid w:val="0"/>
      <w:spacing w:before="0" w:after="0" w:line="260" w:lineRule="atLeast"/>
      <w:jc w:val="both"/>
      <w:textAlignment w:val="auto"/>
      <w:outlineLvl w:val="9"/>
    </w:pPr>
    <w:rPr>
      <w:rFonts w:cs="Garamond"/>
      <w:b w:val="0"/>
      <w:color w:val="000000"/>
      <w:kern w:val="0"/>
      <w:sz w:val="18"/>
      <w:szCs w:val="24"/>
    </w:rPr>
  </w:style>
  <w:style w:type="paragraph" w:customStyle="1" w:styleId="222">
    <w:name w:val="Char Char Char Char Char Char Char"/>
    <w:basedOn w:val="1"/>
    <w:qFormat/>
    <w:uiPriority w:val="0"/>
  </w:style>
  <w:style w:type="paragraph" w:customStyle="1" w:styleId="223">
    <w:name w:val="xl47"/>
    <w:basedOn w:val="1"/>
    <w:qFormat/>
    <w:uiPriority w:val="0"/>
    <w:pPr>
      <w:widowControl/>
      <w:shd w:val="clear" w:color="auto" w:fill="CCFFCC"/>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224">
    <w:name w:val="1表格头"/>
    <w:basedOn w:val="1"/>
    <w:qFormat/>
    <w:uiPriority w:val="0"/>
    <w:pPr>
      <w:snapToGrid w:val="0"/>
      <w:spacing w:line="160" w:lineRule="atLeast"/>
      <w:jc w:val="center"/>
    </w:pPr>
    <w:rPr>
      <w:rFonts w:eastAsia="仿宋_GB2312"/>
      <w:sz w:val="24"/>
      <w:szCs w:val="20"/>
    </w:rPr>
  </w:style>
  <w:style w:type="paragraph" w:customStyle="1" w:styleId="225">
    <w:name w:val="样式 样式 标题1（每章标题） + 图案: 清除 (白色) + 首行缩进:  0 字符"/>
    <w:basedOn w:val="226"/>
    <w:qFormat/>
    <w:uiPriority w:val="0"/>
    <w:pPr>
      <w:ind w:firstLine="0" w:firstLineChars="0"/>
    </w:pPr>
  </w:style>
  <w:style w:type="paragraph" w:customStyle="1" w:styleId="226">
    <w:name w:val="样式 标题1（每章标题） + 图案: 清除 (白色)"/>
    <w:basedOn w:val="203"/>
    <w:qFormat/>
    <w:uiPriority w:val="0"/>
    <w:pPr>
      <w:ind w:firstLine="199" w:firstLineChars="45"/>
    </w:pPr>
    <w:rPr>
      <w:rFonts w:cs="宋体"/>
      <w:bCs/>
      <w:szCs w:val="20"/>
      <w:shd w:val="clear" w:color="auto" w:fill="FFFFFF"/>
    </w:rPr>
  </w:style>
  <w:style w:type="paragraph" w:customStyle="1" w:styleId="227">
    <w:name w:val="新正文样式"/>
    <w:basedOn w:val="1"/>
    <w:qFormat/>
    <w:uiPriority w:val="0"/>
    <w:pPr>
      <w:tabs>
        <w:tab w:val="left" w:pos="567"/>
      </w:tabs>
      <w:spacing w:line="360" w:lineRule="auto"/>
      <w:ind w:firstLine="560" w:firstLineChars="200"/>
    </w:pPr>
  </w:style>
  <w:style w:type="paragraph" w:customStyle="1" w:styleId="228">
    <w:name w:val="Char4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29">
    <w:name w:val="样式 (符号) 宋体 13 磅 行距: 1.5 倍行距2"/>
    <w:basedOn w:val="1"/>
    <w:qFormat/>
    <w:uiPriority w:val="0"/>
    <w:pPr>
      <w:spacing w:line="360" w:lineRule="auto"/>
      <w:ind w:firstLine="520" w:firstLineChars="200"/>
    </w:pPr>
    <w:rPr>
      <w:rFonts w:hAnsi="宋体" w:cs="宋体"/>
      <w:sz w:val="26"/>
      <w:szCs w:val="20"/>
    </w:rPr>
  </w:style>
  <w:style w:type="paragraph" w:customStyle="1" w:styleId="230">
    <w:name w:val="附录一级条标题"/>
    <w:basedOn w:val="1"/>
    <w:next w:val="205"/>
    <w:qFormat/>
    <w:uiPriority w:val="0"/>
    <w:pPr>
      <w:widowControl/>
      <w:tabs>
        <w:tab w:val="left" w:pos="828"/>
      </w:tabs>
      <w:wordWrap w:val="0"/>
      <w:overflowPunct w:val="0"/>
      <w:autoSpaceDE w:val="0"/>
      <w:autoSpaceDN w:val="0"/>
      <w:ind w:left="828" w:hanging="240"/>
      <w:textAlignment w:val="baseline"/>
      <w:outlineLvl w:val="2"/>
    </w:pPr>
    <w:rPr>
      <w:rFonts w:ascii="黑体" w:eastAsia="黑体"/>
      <w:kern w:val="21"/>
      <w:szCs w:val="20"/>
    </w:rPr>
  </w:style>
  <w:style w:type="paragraph" w:customStyle="1" w:styleId="231">
    <w:name w:val="样式 标题 3小节标题条标题1.1.1 + 首行缩进:  2 字符"/>
    <w:basedOn w:val="4"/>
    <w:qFormat/>
    <w:uiPriority w:val="0"/>
    <w:pPr>
      <w:adjustRightInd/>
      <w:spacing w:before="0" w:after="0" w:line="480" w:lineRule="auto"/>
      <w:ind w:firstLine="561" w:firstLineChars="200"/>
      <w:jc w:val="both"/>
      <w:textAlignment w:val="auto"/>
    </w:pPr>
    <w:rPr>
      <w:rFonts w:cs="宋体"/>
      <w:bCs/>
      <w:color w:val="000000"/>
      <w:kern w:val="2"/>
      <w:sz w:val="28"/>
    </w:rPr>
  </w:style>
  <w:style w:type="paragraph" w:customStyle="1" w:styleId="232">
    <w:name w:val="样式4"/>
    <w:basedOn w:val="1"/>
    <w:qFormat/>
    <w:uiPriority w:val="0"/>
    <w:pPr>
      <w:autoSpaceDE w:val="0"/>
      <w:adjustRightInd w:val="0"/>
      <w:spacing w:line="400" w:lineRule="exact"/>
      <w:ind w:left="420" w:firstLine="200"/>
      <w:jc w:val="center"/>
    </w:pPr>
    <w:rPr>
      <w:rFonts w:ascii="宋体" w:hAnsi="宋体" w:cs="Garamond"/>
      <w:b/>
      <w:spacing w:val="20"/>
      <w:sz w:val="24"/>
    </w:rPr>
  </w:style>
  <w:style w:type="paragraph" w:customStyle="1" w:styleId="233">
    <w:name w:val="Char Char Char Char1"/>
    <w:basedOn w:val="1"/>
    <w:qFormat/>
    <w:uiPriority w:val="0"/>
  </w:style>
  <w:style w:type="paragraph" w:customStyle="1" w:styleId="234">
    <w:name w:val="Char4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3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0"/>
    </w:rPr>
  </w:style>
  <w:style w:type="paragraph" w:customStyle="1" w:styleId="236">
    <w:name w:val="xl5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7">
    <w:name w:val="xl51"/>
    <w:basedOn w:val="1"/>
    <w:qFormat/>
    <w:uiPriority w:val="0"/>
    <w:pPr>
      <w:widowControl/>
      <w:pBdr>
        <w:bottom w:val="single" w:color="auto" w:sz="4" w:space="0"/>
      </w:pBdr>
      <w:spacing w:before="100" w:beforeAutospacing="1" w:after="100" w:afterAutospacing="1"/>
      <w:jc w:val="center"/>
      <w:textAlignment w:val="center"/>
    </w:pPr>
    <w:rPr>
      <w:rFonts w:ascii="宋体" w:hAnsi="宋体"/>
      <w:b/>
      <w:bCs/>
      <w:kern w:val="0"/>
      <w:sz w:val="36"/>
      <w:szCs w:val="36"/>
    </w:rPr>
  </w:style>
  <w:style w:type="paragraph" w:customStyle="1" w:styleId="238">
    <w:name w:val="xl34"/>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39">
    <w:name w:val="样式5"/>
    <w:basedOn w:val="1"/>
    <w:next w:val="35"/>
    <w:qFormat/>
    <w:uiPriority w:val="0"/>
    <w:pPr>
      <w:spacing w:line="400" w:lineRule="exact"/>
      <w:ind w:firstLine="200" w:firstLineChars="200"/>
    </w:pPr>
    <w:rPr>
      <w:sz w:val="24"/>
      <w:szCs w:val="20"/>
    </w:rPr>
  </w:style>
  <w:style w:type="paragraph" w:customStyle="1" w:styleId="240">
    <w:name w:val="xl57"/>
    <w:basedOn w:val="1"/>
    <w:qFormat/>
    <w:uiPriority w:val="0"/>
    <w:pPr>
      <w:widowControl/>
      <w:spacing w:before="100" w:beforeAutospacing="1" w:after="100" w:afterAutospacing="1"/>
      <w:jc w:val="right"/>
    </w:pPr>
    <w:rPr>
      <w:rFonts w:hint="eastAsia" w:ascii="黑体" w:hAnsi="Arial Unicode MS" w:eastAsia="黑体" w:cs="Arial Unicode MS"/>
      <w:kern w:val="0"/>
      <w:sz w:val="24"/>
    </w:rPr>
  </w:style>
  <w:style w:type="paragraph" w:customStyle="1" w:styleId="241">
    <w:name w:val="Char2"/>
    <w:basedOn w:val="1"/>
    <w:qFormat/>
    <w:uiPriority w:val="0"/>
    <w:pPr>
      <w:ind w:firstLine="200" w:firstLineChars="200"/>
    </w:pPr>
    <w:rPr>
      <w:sz w:val="24"/>
    </w:rPr>
  </w:style>
  <w:style w:type="paragraph" w:customStyle="1" w:styleId="242">
    <w:name w:val="表格样式"/>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243">
    <w:name w:val="Char Char Char Char Char Char Char Char Char Char Char Char Char Char Char Char Char Char Char Char Char Char"/>
    <w:basedOn w:val="1"/>
    <w:qFormat/>
    <w:uiPriority w:val="0"/>
    <w:rPr>
      <w:rFonts w:ascii="宋体" w:hAnsi="宋体" w:eastAsia="仿宋_GB2312" w:cs="Courier New"/>
      <w:sz w:val="32"/>
      <w:szCs w:val="32"/>
    </w:rPr>
  </w:style>
  <w:style w:type="paragraph" w:customStyle="1" w:styleId="244">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245">
    <w:name w:val="Char Char Char"/>
    <w:basedOn w:val="1"/>
    <w:qFormat/>
    <w:uiPriority w:val="0"/>
    <w:rPr>
      <w:sz w:val="24"/>
    </w:rPr>
  </w:style>
  <w:style w:type="paragraph" w:customStyle="1" w:styleId="246">
    <w:name w:val="font8"/>
    <w:basedOn w:val="1"/>
    <w:qFormat/>
    <w:uiPriority w:val="0"/>
    <w:pPr>
      <w:widowControl/>
      <w:spacing w:before="100" w:beforeAutospacing="1" w:after="100" w:afterAutospacing="1"/>
      <w:jc w:val="left"/>
    </w:pPr>
    <w:rPr>
      <w:rFonts w:ascii="Arial" w:hAnsi="Arial" w:eastAsia="Arial Unicode MS" w:cs="Arial"/>
      <w:kern w:val="0"/>
      <w:sz w:val="22"/>
      <w:szCs w:val="22"/>
    </w:rPr>
  </w:style>
  <w:style w:type="paragraph" w:customStyle="1" w:styleId="247">
    <w:name w:val="news2"/>
    <w:basedOn w:val="1"/>
    <w:qFormat/>
    <w:uiPriority w:val="0"/>
    <w:pPr>
      <w:widowControl/>
      <w:spacing w:before="100" w:beforeAutospacing="1" w:after="100" w:afterAutospacing="1" w:line="336" w:lineRule="auto"/>
      <w:jc w:val="left"/>
    </w:pPr>
    <w:rPr>
      <w:rFonts w:ascii="Arial Unicode MS" w:hAnsi="Arial Unicode MS" w:eastAsia="Arial Unicode MS" w:cs="Arial Unicode MS"/>
      <w:color w:val="000000"/>
      <w:kern w:val="0"/>
      <w:szCs w:val="21"/>
    </w:rPr>
  </w:style>
  <w:style w:type="paragraph" w:customStyle="1" w:styleId="248">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9">
    <w:name w:val="Char4"/>
    <w:basedOn w:val="1"/>
    <w:qFormat/>
    <w:uiPriority w:val="0"/>
    <w:pPr>
      <w:spacing w:line="360" w:lineRule="auto"/>
      <w:ind w:firstLine="200" w:firstLineChars="200"/>
    </w:pPr>
    <w:rPr>
      <w:rFonts w:ascii="宋体" w:hAnsi="宋体" w:cs="宋体"/>
      <w:sz w:val="24"/>
    </w:rPr>
  </w:style>
  <w:style w:type="paragraph" w:customStyle="1" w:styleId="250">
    <w:name w:val="Char Char Char Char2"/>
    <w:basedOn w:val="1"/>
    <w:qFormat/>
    <w:uiPriority w:val="0"/>
  </w:style>
  <w:style w:type="paragraph" w:customStyle="1" w:styleId="251">
    <w:name w:val="样式3"/>
    <w:basedOn w:val="252"/>
    <w:qFormat/>
    <w:uiPriority w:val="0"/>
    <w:pPr>
      <w:outlineLvl w:val="0"/>
    </w:pPr>
    <w:rPr>
      <w:color w:val="000000"/>
    </w:rPr>
  </w:style>
  <w:style w:type="paragraph" w:customStyle="1" w:styleId="252">
    <w:name w:val="ZZY——正文标题1"/>
    <w:basedOn w:val="1"/>
    <w:qFormat/>
    <w:uiPriority w:val="0"/>
    <w:pPr>
      <w:adjustRightInd w:val="0"/>
      <w:snapToGrid w:val="0"/>
      <w:spacing w:line="360" w:lineRule="auto"/>
    </w:pPr>
    <w:rPr>
      <w:rFonts w:eastAsia="黑体" w:cs="Garamond"/>
      <w:b/>
      <w:bCs/>
      <w:sz w:val="28"/>
    </w:rPr>
  </w:style>
  <w:style w:type="paragraph" w:customStyle="1" w:styleId="253">
    <w:name w:val="样式 正文文本缩进正文文字缩进正文文字缩进1 + 首行缩进:  0.98 厘米 Char"/>
    <w:basedOn w:val="25"/>
    <w:qFormat/>
    <w:uiPriority w:val="0"/>
    <w:pPr>
      <w:snapToGrid w:val="0"/>
      <w:spacing w:after="0"/>
      <w:ind w:left="0" w:leftChars="0"/>
    </w:pPr>
    <w:rPr>
      <w:kern w:val="0"/>
      <w:szCs w:val="20"/>
    </w:rPr>
  </w:style>
  <w:style w:type="paragraph" w:customStyle="1" w:styleId="254">
    <w:name w:val="二级无标题条"/>
    <w:basedOn w:val="1"/>
    <w:qFormat/>
    <w:uiPriority w:val="0"/>
  </w:style>
  <w:style w:type="paragraph" w:customStyle="1" w:styleId="255">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56">
    <w:name w:val="正文文本 21"/>
    <w:basedOn w:val="1"/>
    <w:qFormat/>
    <w:uiPriority w:val="0"/>
    <w:pPr>
      <w:adjustRightInd w:val="0"/>
      <w:spacing w:after="120" w:line="360" w:lineRule="auto"/>
      <w:jc w:val="left"/>
      <w:textAlignment w:val="baseline"/>
    </w:pPr>
    <w:rPr>
      <w:rFonts w:ascii="宋体" w:hAnsi="宋体"/>
      <w:kern w:val="0"/>
      <w:sz w:val="24"/>
      <w:szCs w:val="20"/>
    </w:rPr>
  </w:style>
  <w:style w:type="paragraph" w:customStyle="1" w:styleId="257">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UniversalMath1 BT" w:hAnsi="UniversalMath1 BT" w:eastAsia="Arial Unicode MS" w:cs="Arial Unicode MS"/>
      <w:kern w:val="0"/>
      <w:szCs w:val="21"/>
    </w:rPr>
  </w:style>
  <w:style w:type="paragraph" w:customStyle="1" w:styleId="258">
    <w:name w:val="xl30"/>
    <w:basedOn w:val="1"/>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paragraph" w:customStyle="1" w:styleId="259">
    <w:name w:val="xl24"/>
    <w:basedOn w:val="1"/>
    <w:qFormat/>
    <w:uiPriority w:val="0"/>
    <w:pPr>
      <w:widowControl/>
      <w:spacing w:before="100" w:beforeAutospacing="1" w:after="100" w:afterAutospacing="1"/>
      <w:jc w:val="center"/>
    </w:pPr>
    <w:rPr>
      <w:rFonts w:ascii="宋体"/>
      <w:kern w:val="0"/>
      <w:sz w:val="24"/>
    </w:rPr>
  </w:style>
  <w:style w:type="paragraph" w:customStyle="1" w:styleId="260">
    <w:name w:val="样式 样式1 + 首行缩进:  0.04 厘米"/>
    <w:basedOn w:val="107"/>
    <w:qFormat/>
    <w:uiPriority w:val="0"/>
    <w:pPr>
      <w:topLinePunct w:val="0"/>
      <w:spacing w:before="60" w:beforeAutospacing="0" w:after="60" w:afterAutospacing="0" w:line="280" w:lineRule="exact"/>
      <w:ind w:firstLine="20" w:firstLineChars="0"/>
      <w:jc w:val="both"/>
    </w:pPr>
    <w:rPr>
      <w:rFonts w:cs="Garamond"/>
      <w:bCs w:val="0"/>
      <w:color w:val="auto"/>
      <w:spacing w:val="0"/>
    </w:rPr>
  </w:style>
  <w:style w:type="paragraph" w:customStyle="1" w:styleId="26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top"/>
    </w:pPr>
    <w:rPr>
      <w:rFonts w:ascii="Arial Unicode MS" w:hAnsi="Arial Unicode MS" w:eastAsia="Arial Unicode MS" w:cs="Arial Unicode MS"/>
      <w:kern w:val="0"/>
      <w:sz w:val="22"/>
      <w:szCs w:val="22"/>
    </w:rPr>
  </w:style>
  <w:style w:type="paragraph" w:customStyle="1" w:styleId="26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263">
    <w:name w:val="样式 (符号) 宋体 小四 行距: 单倍行距"/>
    <w:basedOn w:val="1"/>
    <w:qFormat/>
    <w:uiPriority w:val="0"/>
    <w:pPr>
      <w:ind w:firstLine="480" w:firstLineChars="200"/>
    </w:pPr>
    <w:rPr>
      <w:rFonts w:hAnsi="宋体" w:cs="宋体"/>
      <w:sz w:val="24"/>
      <w:szCs w:val="20"/>
    </w:rPr>
  </w:style>
  <w:style w:type="paragraph" w:customStyle="1" w:styleId="26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默认段落字体 Para Char Char"/>
    <w:basedOn w:val="1"/>
    <w:semiHidden/>
    <w:qFormat/>
    <w:uiPriority w:val="0"/>
  </w:style>
  <w:style w:type="paragraph" w:customStyle="1" w:styleId="266">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267">
    <w:name w:val="xl28"/>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268">
    <w:name w:val="正文3"/>
    <w:qFormat/>
    <w:uiPriority w:val="0"/>
    <w:pPr>
      <w:adjustRightInd w:val="0"/>
      <w:snapToGrid w:val="0"/>
      <w:spacing w:line="360" w:lineRule="auto"/>
      <w:ind w:firstLine="200" w:firstLineChars="200"/>
    </w:pPr>
    <w:rPr>
      <w:rFonts w:ascii="Times New Roman" w:hAnsi="Times New Roman" w:eastAsia="宋体" w:cs="Times New Roman"/>
      <w:sz w:val="26"/>
      <w:szCs w:val="26"/>
      <w:lang w:val="en-US" w:eastAsia="zh-CN" w:bidi="ar-SA"/>
    </w:rPr>
  </w:style>
  <w:style w:type="paragraph" w:customStyle="1" w:styleId="269">
    <w:name w:val="文本_zxj"/>
    <w:basedOn w:val="1"/>
    <w:qFormat/>
    <w:uiPriority w:val="0"/>
    <w:pPr>
      <w:spacing w:line="360" w:lineRule="auto"/>
      <w:ind w:firstLine="560"/>
    </w:pPr>
    <w:rPr>
      <w:sz w:val="28"/>
      <w:szCs w:val="20"/>
    </w:rPr>
  </w:style>
  <w:style w:type="paragraph" w:customStyle="1" w:styleId="270">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71">
    <w:name w:val="一级条标题"/>
    <w:basedOn w:val="272"/>
    <w:next w:val="1"/>
    <w:qFormat/>
    <w:uiPriority w:val="0"/>
    <w:pPr>
      <w:tabs>
        <w:tab w:val="left" w:pos="360"/>
        <w:tab w:val="left" w:pos="903"/>
      </w:tabs>
      <w:spacing w:before="0" w:after="0"/>
      <w:ind w:left="0" w:firstLine="0"/>
      <w:outlineLvl w:val="2"/>
    </w:pPr>
  </w:style>
  <w:style w:type="paragraph" w:customStyle="1" w:styleId="272">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73">
    <w:name w:val="正文文本 23"/>
    <w:basedOn w:val="1"/>
    <w:qFormat/>
    <w:uiPriority w:val="0"/>
    <w:pPr>
      <w:adjustRightInd w:val="0"/>
      <w:ind w:firstLine="480"/>
      <w:textAlignment w:val="baseline"/>
    </w:pPr>
    <w:rPr>
      <w:rFonts w:ascii="宋体"/>
      <w:kern w:val="0"/>
      <w:sz w:val="24"/>
      <w:szCs w:val="20"/>
    </w:rPr>
  </w:style>
  <w:style w:type="paragraph" w:customStyle="1" w:styleId="274">
    <w:name w:val="表"/>
    <w:basedOn w:val="1"/>
    <w:qFormat/>
    <w:uiPriority w:val="0"/>
    <w:pPr>
      <w:spacing w:line="320" w:lineRule="atLeast"/>
      <w:jc w:val="center"/>
    </w:pPr>
    <w:rPr>
      <w:szCs w:val="20"/>
    </w:rPr>
  </w:style>
  <w:style w:type="paragraph" w:customStyle="1" w:styleId="275">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6">
    <w:name w:val="Char1"/>
    <w:basedOn w:val="1"/>
    <w:qFormat/>
    <w:uiPriority w:val="0"/>
  </w:style>
  <w:style w:type="paragraph" w:customStyle="1" w:styleId="277">
    <w:name w:val="font7"/>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278">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27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280">
    <w:name w:val="ZZY——正文标题3"/>
    <w:basedOn w:val="1"/>
    <w:qFormat/>
    <w:uiPriority w:val="0"/>
    <w:pPr>
      <w:adjustRightInd w:val="0"/>
      <w:snapToGrid w:val="0"/>
      <w:spacing w:line="360" w:lineRule="auto"/>
    </w:pPr>
    <w:rPr>
      <w:rFonts w:cs="Garamond"/>
      <w:b/>
      <w:bCs/>
      <w:sz w:val="26"/>
    </w:rPr>
  </w:style>
  <w:style w:type="paragraph" w:customStyle="1" w:styleId="281">
    <w:name w:val="8--"/>
    <w:basedOn w:val="1"/>
    <w:qFormat/>
    <w:uiPriority w:val="0"/>
    <w:pPr>
      <w:adjustRightInd w:val="0"/>
      <w:spacing w:line="360" w:lineRule="atLeast"/>
      <w:jc w:val="left"/>
      <w:textAlignment w:val="baseline"/>
    </w:pPr>
    <w:rPr>
      <w:kern w:val="0"/>
      <w:sz w:val="24"/>
      <w:szCs w:val="20"/>
    </w:rPr>
  </w:style>
  <w:style w:type="paragraph" w:customStyle="1" w:styleId="282">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textAlignment w:val="center"/>
    </w:pPr>
    <w:rPr>
      <w:rFonts w:ascii="Arial Unicode MS" w:hAnsi="Arial Unicode MS" w:eastAsia="Arial Unicode MS" w:cs="Arial Unicode MS"/>
      <w:color w:val="FF0000"/>
      <w:kern w:val="0"/>
      <w:sz w:val="22"/>
      <w:szCs w:val="22"/>
    </w:rPr>
  </w:style>
  <w:style w:type="paragraph" w:customStyle="1" w:styleId="283">
    <w:name w:val="表格文字1"/>
    <w:basedOn w:val="1"/>
    <w:qFormat/>
    <w:uiPriority w:val="0"/>
    <w:pPr>
      <w:adjustRightInd w:val="0"/>
      <w:spacing w:before="120" w:line="360" w:lineRule="auto"/>
      <w:ind w:left="113"/>
      <w:jc w:val="left"/>
      <w:textAlignment w:val="baseline"/>
    </w:pPr>
    <w:rPr>
      <w:rFonts w:ascii="宋体"/>
      <w:kern w:val="0"/>
      <w:sz w:val="24"/>
      <w:szCs w:val="20"/>
    </w:rPr>
  </w:style>
  <w:style w:type="paragraph" w:customStyle="1" w:styleId="284">
    <w:name w:val="样式 (中文) 仿宋_GB2312 四号 首行缩进:  1.01 厘米 行距: 固定值 22 磅"/>
    <w:basedOn w:val="1"/>
    <w:qFormat/>
    <w:uiPriority w:val="0"/>
    <w:pPr>
      <w:spacing w:line="440" w:lineRule="exact"/>
      <w:ind w:firstLine="200" w:firstLineChars="200"/>
    </w:pPr>
    <w:rPr>
      <w:rFonts w:eastAsia="仿宋_GB2312" w:cs="宋体"/>
      <w:sz w:val="28"/>
      <w:szCs w:val="20"/>
    </w:rPr>
  </w:style>
  <w:style w:type="paragraph" w:customStyle="1" w:styleId="285">
    <w:name w:val="ZZY——标题1"/>
    <w:basedOn w:val="1"/>
    <w:qFormat/>
    <w:uiPriority w:val="0"/>
    <w:pPr>
      <w:adjustRightInd w:val="0"/>
      <w:snapToGrid w:val="0"/>
      <w:spacing w:beforeLines="50" w:afterLines="100" w:line="360" w:lineRule="auto"/>
      <w:jc w:val="center"/>
    </w:pPr>
    <w:rPr>
      <w:rFonts w:eastAsia="黑体" w:cs="Garamond"/>
      <w:b/>
      <w:snapToGrid w:val="0"/>
      <w:kern w:val="0"/>
      <w:sz w:val="36"/>
      <w:shd w:val="clear" w:color="auto" w:fill="FFFFFF"/>
    </w:rPr>
  </w:style>
  <w:style w:type="paragraph" w:customStyle="1" w:styleId="286">
    <w:name w:val="body 1"/>
    <w:basedOn w:val="1"/>
    <w:qFormat/>
    <w:uiPriority w:val="0"/>
    <w:pPr>
      <w:adjustRightInd w:val="0"/>
      <w:spacing w:line="360" w:lineRule="atLeast"/>
      <w:textAlignment w:val="baseline"/>
    </w:pPr>
    <w:rPr>
      <w:rFonts w:ascii="華康中楷體" w:hAnsi="宋体" w:eastAsia="華康中楷體"/>
      <w:spacing w:val="60"/>
      <w:kern w:val="0"/>
      <w:sz w:val="24"/>
      <w:szCs w:val="20"/>
      <w:lang w:eastAsia="zh-TW"/>
    </w:rPr>
  </w:style>
  <w:style w:type="paragraph" w:customStyle="1" w:styleId="287">
    <w:name w:val="表格1"/>
    <w:basedOn w:val="1"/>
    <w:qFormat/>
    <w:uiPriority w:val="0"/>
    <w:pPr>
      <w:spacing w:line="240" w:lineRule="exact"/>
      <w:jc w:val="center"/>
    </w:pPr>
    <w:rPr>
      <w:sz w:val="18"/>
      <w:szCs w:val="21"/>
    </w:rPr>
  </w:style>
  <w:style w:type="paragraph" w:customStyle="1" w:styleId="288">
    <w:name w:val="表样式"/>
    <w:qFormat/>
    <w:uiPriority w:val="0"/>
    <w:pPr>
      <w:spacing w:beforeLines="50" w:afterLines="50"/>
      <w:jc w:val="center"/>
    </w:pPr>
    <w:rPr>
      <w:rFonts w:ascii="Times New Roman" w:hAnsi="Times New Roman" w:eastAsia="宋体" w:cs="Times New Roman"/>
      <w:sz w:val="28"/>
      <w:lang w:val="en-US" w:eastAsia="zh-CN" w:bidi="ar-SA"/>
    </w:rPr>
  </w:style>
  <w:style w:type="paragraph" w:customStyle="1" w:styleId="289">
    <w:name w:val="正文四号"/>
    <w:basedOn w:val="1"/>
    <w:qFormat/>
    <w:uiPriority w:val="0"/>
    <w:pPr>
      <w:spacing w:line="360" w:lineRule="auto"/>
      <w:ind w:firstLine="200" w:firstLineChars="200"/>
    </w:pPr>
    <w:rPr>
      <w:sz w:val="28"/>
      <w:szCs w:val="20"/>
    </w:rPr>
  </w:style>
  <w:style w:type="paragraph" w:customStyle="1" w:styleId="290">
    <w:name w:val="样式 样式 四号 黑色 + 首行缩进:  2 字符"/>
    <w:qFormat/>
    <w:uiPriority w:val="0"/>
    <w:pPr>
      <w:spacing w:line="360" w:lineRule="auto"/>
      <w:ind w:firstLine="200" w:firstLineChars="200"/>
    </w:pPr>
    <w:rPr>
      <w:rFonts w:ascii="Times New Roman" w:hAnsi="Times New Roman" w:eastAsia="宋体" w:cs="宋体"/>
      <w:color w:val="000000"/>
      <w:kern w:val="2"/>
      <w:sz w:val="28"/>
      <w:lang w:val="en-US" w:eastAsia="zh-CN" w:bidi="ar-SA"/>
    </w:rPr>
  </w:style>
  <w:style w:type="paragraph" w:customStyle="1" w:styleId="291">
    <w:name w:val="简单回函地址"/>
    <w:basedOn w:val="1"/>
    <w:qFormat/>
    <w:uiPriority w:val="0"/>
  </w:style>
  <w:style w:type="paragraph" w:customStyle="1" w:styleId="292">
    <w:name w:val="样式 杨双铭 + 首行缩进:  2 字符"/>
    <w:basedOn w:val="293"/>
    <w:qFormat/>
    <w:uiPriority w:val="0"/>
    <w:rPr>
      <w:rFonts w:eastAsia="宋体"/>
      <w:szCs w:val="24"/>
    </w:rPr>
  </w:style>
  <w:style w:type="paragraph" w:customStyle="1" w:styleId="293">
    <w:name w:val="杨双铭"/>
    <w:basedOn w:val="1"/>
    <w:qFormat/>
    <w:uiPriority w:val="0"/>
    <w:pPr>
      <w:spacing w:line="480" w:lineRule="exact"/>
      <w:ind w:firstLine="200" w:firstLineChars="200"/>
    </w:pPr>
    <w:rPr>
      <w:rFonts w:eastAsia="Times New Roman" w:cs="宋体"/>
      <w:sz w:val="24"/>
      <w:szCs w:val="20"/>
    </w:rPr>
  </w:style>
  <w:style w:type="paragraph" w:customStyle="1" w:styleId="294">
    <w:name w:val="纯文本1"/>
    <w:basedOn w:val="1"/>
    <w:qFormat/>
    <w:uiPriority w:val="0"/>
    <w:pPr>
      <w:adjustRightInd w:val="0"/>
      <w:spacing w:line="312" w:lineRule="atLeast"/>
      <w:textAlignment w:val="baseline"/>
    </w:pPr>
    <w:rPr>
      <w:caps/>
      <w:kern w:val="0"/>
      <w:szCs w:val="20"/>
    </w:rPr>
  </w:style>
  <w:style w:type="paragraph" w:customStyle="1" w:styleId="29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96">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样式 宋体 小四 首行缩进:  0.69 厘米1"/>
    <w:basedOn w:val="1"/>
    <w:qFormat/>
    <w:uiPriority w:val="0"/>
    <w:pPr>
      <w:adjustRightInd w:val="0"/>
      <w:snapToGrid w:val="0"/>
      <w:spacing w:line="360" w:lineRule="auto"/>
      <w:ind w:firstLine="260" w:firstLineChars="100"/>
    </w:pPr>
    <w:rPr>
      <w:rFonts w:cs="Garamond"/>
      <w:color w:val="FF0000"/>
      <w:kern w:val="0"/>
      <w:sz w:val="26"/>
      <w:szCs w:val="20"/>
    </w:rPr>
  </w:style>
  <w:style w:type="paragraph" w:customStyle="1" w:styleId="298">
    <w:name w:val="样式 样式 首行缩进:  2 字符 + 首行缩进:  2 字符"/>
    <w:basedOn w:val="1"/>
    <w:qFormat/>
    <w:uiPriority w:val="0"/>
    <w:pPr>
      <w:spacing w:line="500" w:lineRule="exact"/>
      <w:ind w:firstLine="200" w:firstLineChars="200"/>
    </w:pPr>
    <w:rPr>
      <w:rFonts w:cs="宋体"/>
      <w:spacing w:val="30"/>
      <w:sz w:val="28"/>
      <w:szCs w:val="20"/>
    </w:rPr>
  </w:style>
  <w:style w:type="paragraph" w:customStyle="1" w:styleId="299">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300">
    <w:name w:val="wtext"/>
    <w:basedOn w:val="1"/>
    <w:qFormat/>
    <w:uiPriority w:val="0"/>
    <w:pPr>
      <w:widowControl/>
      <w:spacing w:before="30" w:after="30" w:line="312" w:lineRule="auto"/>
      <w:ind w:left="30" w:right="30"/>
      <w:jc w:val="left"/>
    </w:pPr>
    <w:rPr>
      <w:rFonts w:ascii="Arial Unicode MS" w:hAnsi="Arial Unicode MS" w:eastAsia="Arial Unicode MS" w:cs="Arial Unicode MS"/>
      <w:kern w:val="0"/>
      <w:sz w:val="24"/>
    </w:rPr>
  </w:style>
  <w:style w:type="paragraph" w:customStyle="1" w:styleId="301">
    <w:name w:val="Char Char Char Char21"/>
    <w:basedOn w:val="1"/>
    <w:qFormat/>
    <w:uiPriority w:val="0"/>
    <w:rPr>
      <w:sz w:val="24"/>
    </w:rPr>
  </w:style>
  <w:style w:type="paragraph" w:customStyle="1" w:styleId="302">
    <w:name w:val="xl33"/>
    <w:basedOn w:val="1"/>
    <w:qFormat/>
    <w:uiPriority w:val="0"/>
    <w:pPr>
      <w:widowControl/>
      <w:spacing w:before="100" w:beforeAutospacing="1" w:after="100" w:afterAutospacing="1"/>
      <w:jc w:val="center"/>
      <w:textAlignment w:val="center"/>
    </w:pPr>
    <w:rPr>
      <w:rFonts w:hint="eastAsia" w:ascii="仿宋_GB2312" w:hAnsi="Arial Unicode MS" w:eastAsia="仿宋_GB2312" w:cs="Arial Unicode MS"/>
      <w:b/>
      <w:bCs/>
      <w:kern w:val="0"/>
      <w:sz w:val="22"/>
      <w:szCs w:val="22"/>
    </w:rPr>
  </w:style>
  <w:style w:type="paragraph" w:customStyle="1" w:styleId="303">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FF0000"/>
      <w:kern w:val="0"/>
      <w:sz w:val="22"/>
      <w:szCs w:val="22"/>
    </w:rPr>
  </w:style>
  <w:style w:type="paragraph" w:customStyle="1" w:styleId="30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05">
    <w:name w:val="二级条标题"/>
    <w:basedOn w:val="271"/>
    <w:next w:val="1"/>
    <w:qFormat/>
    <w:uiPriority w:val="0"/>
    <w:pPr>
      <w:outlineLvl w:val="3"/>
    </w:pPr>
  </w:style>
  <w:style w:type="paragraph" w:customStyle="1" w:styleId="306">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0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08">
    <w:name w:val="Char3"/>
    <w:basedOn w:val="1"/>
    <w:qFormat/>
    <w:uiPriority w:val="0"/>
    <w:rPr>
      <w:szCs w:val="20"/>
    </w:rPr>
  </w:style>
  <w:style w:type="paragraph" w:customStyle="1" w:styleId="309">
    <w:name w:val="样式 宋体 小四 首行缩进:  0.69 厘米"/>
    <w:basedOn w:val="1"/>
    <w:qFormat/>
    <w:uiPriority w:val="0"/>
    <w:pPr>
      <w:adjustRightInd w:val="0"/>
      <w:snapToGrid w:val="0"/>
      <w:spacing w:line="360" w:lineRule="auto"/>
    </w:pPr>
    <w:rPr>
      <w:rFonts w:cs="Garamond"/>
      <w:snapToGrid w:val="0"/>
      <w:color w:val="000000"/>
      <w:kern w:val="0"/>
    </w:rPr>
  </w:style>
  <w:style w:type="paragraph" w:customStyle="1" w:styleId="310">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11">
    <w:name w:val="正文文本缩进 31"/>
    <w:basedOn w:val="1"/>
    <w:qFormat/>
    <w:uiPriority w:val="0"/>
    <w:pPr>
      <w:adjustRightInd w:val="0"/>
      <w:spacing w:line="480" w:lineRule="exact"/>
      <w:ind w:firstLine="480"/>
      <w:textAlignment w:val="baseline"/>
    </w:pPr>
    <w:rPr>
      <w:color w:val="000000"/>
      <w:kern w:val="0"/>
      <w:sz w:val="24"/>
      <w:szCs w:val="20"/>
    </w:rPr>
  </w:style>
  <w:style w:type="paragraph" w:customStyle="1" w:styleId="31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13">
    <w:name w:val="1表格"/>
    <w:basedOn w:val="1"/>
    <w:qFormat/>
    <w:uiPriority w:val="0"/>
    <w:pPr>
      <w:snapToGrid w:val="0"/>
      <w:spacing w:line="160" w:lineRule="atLeast"/>
      <w:jc w:val="center"/>
    </w:pPr>
    <w:rPr>
      <w:rFonts w:eastAsia="仿宋_GB2312"/>
      <w:szCs w:val="20"/>
    </w:rPr>
  </w:style>
  <w:style w:type="paragraph" w:customStyle="1" w:styleId="314">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15">
    <w:name w:val="Char Char Char Char Char Char Char Char Char Char"/>
    <w:basedOn w:val="1"/>
    <w:qFormat/>
    <w:uiPriority w:val="0"/>
    <w:pPr>
      <w:spacing w:before="300" w:after="300" w:line="560" w:lineRule="exact"/>
    </w:pPr>
    <w:rPr>
      <w:rFonts w:eastAsia="黑体"/>
      <w:sz w:val="36"/>
      <w:szCs w:val="36"/>
    </w:rPr>
  </w:style>
  <w:style w:type="paragraph" w:customStyle="1" w:styleId="316">
    <w:name w:val="正文01"/>
    <w:basedOn w:val="1"/>
    <w:qFormat/>
    <w:uiPriority w:val="0"/>
    <w:pPr>
      <w:spacing w:before="60" w:line="460" w:lineRule="exact"/>
      <w:ind w:firstLine="200" w:firstLineChars="200"/>
    </w:pPr>
    <w:rPr>
      <w:sz w:val="24"/>
      <w:szCs w:val="20"/>
    </w:rPr>
  </w:style>
  <w:style w:type="paragraph" w:customStyle="1" w:styleId="317">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18">
    <w:name w:val="Frame picture"/>
    <w:basedOn w:val="1"/>
    <w:qFormat/>
    <w:uiPriority w:val="0"/>
    <w:pPr>
      <w:framePr w:w="9072" w:h="6804" w:hRule="exact" w:hSpace="142" w:wrap="notBeside" w:vAnchor="page" w:hAnchor="page" w:xAlign="center" w:y="1010" w:anchorLock="1"/>
      <w:widowControl/>
      <w:spacing w:after="60"/>
      <w:jc w:val="left"/>
    </w:pPr>
    <w:rPr>
      <w:kern w:val="0"/>
      <w:sz w:val="22"/>
      <w:szCs w:val="20"/>
      <w:lang w:val="sv-SE" w:eastAsia="en-US"/>
    </w:rPr>
  </w:style>
  <w:style w:type="paragraph" w:customStyle="1" w:styleId="319">
    <w:name w:val="正文 首行缩进:  2 字符"/>
    <w:basedOn w:val="1"/>
    <w:qFormat/>
    <w:uiPriority w:val="0"/>
    <w:pPr>
      <w:ind w:firstLine="579" w:firstLineChars="200"/>
    </w:pPr>
    <w:rPr>
      <w:rFonts w:cs="Garamond"/>
      <w:sz w:val="28"/>
      <w:szCs w:val="20"/>
    </w:rPr>
  </w:style>
  <w:style w:type="paragraph" w:customStyle="1" w:styleId="320">
    <w:name w:val="2"/>
    <w:basedOn w:val="1"/>
    <w:next w:val="25"/>
    <w:qFormat/>
    <w:uiPriority w:val="0"/>
    <w:pPr>
      <w:spacing w:line="360" w:lineRule="auto"/>
      <w:ind w:firstLine="600"/>
    </w:pPr>
    <w:rPr>
      <w:rFonts w:ascii="楷体" w:eastAsia="楷体"/>
      <w:sz w:val="28"/>
      <w:szCs w:val="20"/>
    </w:rPr>
  </w:style>
  <w:style w:type="paragraph" w:customStyle="1" w:styleId="321">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left"/>
      <w:textAlignment w:val="center"/>
    </w:pPr>
    <w:rPr>
      <w:rFonts w:eastAsia="Arial Unicode MS"/>
      <w:kern w:val="0"/>
      <w:sz w:val="22"/>
      <w:szCs w:val="22"/>
    </w:rPr>
  </w:style>
  <w:style w:type="paragraph" w:customStyle="1" w:styleId="322">
    <w:name w:val="Char Char Char3 Char Char Char Char Char Char Char Char Char Char"/>
    <w:basedOn w:val="1"/>
    <w:qFormat/>
    <w:uiPriority w:val="0"/>
    <w:rPr>
      <w:sz w:val="24"/>
    </w:rPr>
  </w:style>
  <w:style w:type="paragraph" w:customStyle="1" w:styleId="323">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324">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325">
    <w:name w:val="三级条标题"/>
    <w:basedOn w:val="305"/>
    <w:next w:val="1"/>
    <w:qFormat/>
    <w:uiPriority w:val="0"/>
    <w:pPr>
      <w:outlineLvl w:val="4"/>
    </w:pPr>
  </w:style>
  <w:style w:type="paragraph" w:customStyle="1" w:styleId="326">
    <w:name w:val="正文内容"/>
    <w:basedOn w:val="1"/>
    <w:qFormat/>
    <w:uiPriority w:val="0"/>
    <w:pPr>
      <w:spacing w:line="360" w:lineRule="auto"/>
      <w:ind w:firstLine="200" w:firstLineChars="200"/>
    </w:pPr>
    <w:rPr>
      <w:sz w:val="24"/>
    </w:rPr>
  </w:style>
  <w:style w:type="paragraph" w:customStyle="1" w:styleId="327">
    <w:name w:val="xl52"/>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color w:val="000000"/>
      <w:kern w:val="0"/>
      <w:sz w:val="24"/>
    </w:rPr>
  </w:style>
  <w:style w:type="paragraph" w:customStyle="1" w:styleId="328">
    <w:name w:val="列出段落1"/>
    <w:basedOn w:val="1"/>
    <w:qFormat/>
    <w:uiPriority w:val="34"/>
    <w:pPr>
      <w:ind w:firstLine="420" w:firstLineChars="200"/>
    </w:pPr>
  </w:style>
  <w:style w:type="paragraph" w:customStyle="1" w:styleId="329">
    <w:name w:val="纯文本2"/>
    <w:basedOn w:val="1"/>
    <w:qFormat/>
    <w:uiPriority w:val="0"/>
    <w:pPr>
      <w:adjustRightInd w:val="0"/>
      <w:snapToGrid w:val="0"/>
      <w:spacing w:line="240" w:lineRule="atLeast"/>
      <w:ind w:left="-105" w:leftChars="-50" w:right="-105" w:rightChars="-50"/>
      <w:jc w:val="center"/>
    </w:pPr>
    <w:rPr>
      <w:szCs w:val="21"/>
    </w:rPr>
  </w:style>
  <w:style w:type="paragraph" w:customStyle="1" w:styleId="330">
    <w:name w:val="Char5"/>
    <w:basedOn w:val="1"/>
    <w:qFormat/>
    <w:uiPriority w:val="0"/>
    <w:rPr>
      <w:szCs w:val="20"/>
    </w:rPr>
  </w:style>
  <w:style w:type="paragraph" w:customStyle="1" w:styleId="331">
    <w:name w:val="点项目"/>
    <w:qFormat/>
    <w:uiPriority w:val="0"/>
    <w:pPr>
      <w:widowControl w:val="0"/>
      <w:tabs>
        <w:tab w:val="left" w:pos="360"/>
        <w:tab w:val="left" w:pos="780"/>
        <w:tab w:val="left" w:pos="1134"/>
      </w:tabs>
      <w:overflowPunct w:val="0"/>
      <w:topLinePunct/>
      <w:autoSpaceDE w:val="0"/>
      <w:adjustRightInd w:val="0"/>
      <w:snapToGrid w:val="0"/>
      <w:spacing w:before="60" w:afterLines="50" w:line="288" w:lineRule="auto"/>
      <w:ind w:left="737" w:hanging="317"/>
      <w:jc w:val="both"/>
    </w:pPr>
    <w:rPr>
      <w:rFonts w:ascii="Times New Roman" w:hAnsi="Times New Roman" w:eastAsia="宋体" w:cs="Times New Roman"/>
      <w:b/>
      <w:bCs/>
      <w:spacing w:val="16"/>
      <w:kern w:val="2"/>
      <w:sz w:val="24"/>
      <w:lang w:val="en-US" w:eastAsia="zh-CN" w:bidi="ar-SA"/>
    </w:rPr>
  </w:style>
  <w:style w:type="paragraph" w:customStyle="1" w:styleId="332">
    <w:name w:val="正文(首行缩进)"/>
    <w:basedOn w:val="1"/>
    <w:qFormat/>
    <w:uiPriority w:val="0"/>
    <w:pPr>
      <w:adjustRightInd w:val="0"/>
      <w:snapToGrid w:val="0"/>
      <w:spacing w:line="360" w:lineRule="auto"/>
      <w:ind w:firstLine="200" w:firstLineChars="200"/>
    </w:pPr>
    <w:rPr>
      <w:snapToGrid w:val="0"/>
      <w:sz w:val="24"/>
      <w:szCs w:val="20"/>
    </w:rPr>
  </w:style>
  <w:style w:type="paragraph" w:customStyle="1" w:styleId="333">
    <w:name w:val="font6"/>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34">
    <w:name w:val="xl63"/>
    <w:basedOn w:val="1"/>
    <w:qFormat/>
    <w:uiPriority w:val="0"/>
    <w:pPr>
      <w:widowControl/>
      <w:spacing w:before="100" w:after="100"/>
      <w:jc w:val="center"/>
    </w:pPr>
    <w:rPr>
      <w:rFonts w:hint="eastAsia" w:ascii="黑体" w:hAnsi="宋体" w:eastAsia="黑体"/>
      <w:kern w:val="0"/>
      <w:sz w:val="24"/>
      <w:szCs w:val="20"/>
    </w:rPr>
  </w:style>
  <w:style w:type="paragraph" w:customStyle="1" w:styleId="335">
    <w:name w:val="样式 (符号) 宋体 13 磅 行距: 1.5 倍行距"/>
    <w:basedOn w:val="1"/>
    <w:qFormat/>
    <w:uiPriority w:val="0"/>
    <w:pPr>
      <w:spacing w:line="360" w:lineRule="auto"/>
      <w:ind w:firstLine="520" w:firstLineChars="200"/>
    </w:pPr>
    <w:rPr>
      <w:rFonts w:hAnsi="宋体" w:eastAsia="黑体" w:cs="宋体"/>
      <w:b/>
      <w:sz w:val="26"/>
      <w:szCs w:val="20"/>
    </w:rPr>
  </w:style>
  <w:style w:type="paragraph" w:customStyle="1" w:styleId="336">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337">
    <w:name w:val="样式 标题 3小节标题条标题1.1.1 + 非加粗"/>
    <w:basedOn w:val="4"/>
    <w:qFormat/>
    <w:uiPriority w:val="0"/>
    <w:pPr>
      <w:adjustRightInd/>
      <w:spacing w:before="0" w:after="0" w:line="480" w:lineRule="auto"/>
      <w:ind w:firstLine="560" w:firstLineChars="200"/>
      <w:jc w:val="both"/>
      <w:textAlignment w:val="auto"/>
    </w:pPr>
    <w:rPr>
      <w:color w:val="000000"/>
      <w:kern w:val="2"/>
      <w:sz w:val="28"/>
      <w:szCs w:val="28"/>
    </w:rPr>
  </w:style>
  <w:style w:type="paragraph" w:customStyle="1" w:styleId="338">
    <w:name w:val="流程图"/>
    <w:basedOn w:val="1"/>
    <w:qFormat/>
    <w:uiPriority w:val="0"/>
    <w:pPr>
      <w:tabs>
        <w:tab w:val="center" w:pos="0"/>
      </w:tabs>
    </w:pPr>
    <w:rPr>
      <w:rFonts w:eastAsia="楷体_GB2312"/>
      <w:sz w:val="24"/>
      <w:szCs w:val="20"/>
    </w:rPr>
  </w:style>
  <w:style w:type="paragraph" w:customStyle="1" w:styleId="339">
    <w:name w:val="样式 样式 样式 宋体 小四 黑色 行距: 固定值 24 磅 + 首行缩进:  2 字符 + Times New Roman ..."/>
    <w:basedOn w:val="1"/>
    <w:qFormat/>
    <w:uiPriority w:val="0"/>
    <w:pPr>
      <w:spacing w:line="440" w:lineRule="exact"/>
      <w:ind w:firstLine="565" w:firstLineChars="200"/>
    </w:pPr>
    <w:rPr>
      <w:color w:val="000000"/>
      <w:spacing w:val="20"/>
      <w:sz w:val="24"/>
      <w:szCs w:val="20"/>
    </w:rPr>
  </w:style>
  <w:style w:type="paragraph" w:customStyle="1" w:styleId="340">
    <w:name w:val="样式 标题1（每章标题） + 首行缩进:  2 字符"/>
    <w:basedOn w:val="203"/>
    <w:qFormat/>
    <w:uiPriority w:val="0"/>
    <w:pPr>
      <w:ind w:firstLine="502"/>
    </w:pPr>
    <w:rPr>
      <w:rFonts w:cs="宋体"/>
      <w:bCs/>
      <w:szCs w:val="20"/>
    </w:rPr>
  </w:style>
  <w:style w:type="paragraph" w:customStyle="1" w:styleId="341">
    <w:name w:val="Char41"/>
    <w:basedOn w:val="1"/>
    <w:qFormat/>
    <w:uiPriority w:val="0"/>
    <w:rPr>
      <w:szCs w:val="20"/>
    </w:rPr>
  </w:style>
  <w:style w:type="paragraph" w:customStyle="1" w:styleId="342">
    <w:name w:val="样式 标题 21节标题 + 小四 左侧:  0.01 厘米 首行缩进:  2 字符"/>
    <w:basedOn w:val="3"/>
    <w:qFormat/>
    <w:uiPriority w:val="0"/>
    <w:pPr>
      <w:adjustRightInd/>
      <w:jc w:val="both"/>
      <w:textAlignment w:val="auto"/>
    </w:pPr>
    <w:rPr>
      <w:rFonts w:hAnsi="宋体" w:cs="Garamond"/>
      <w:bCs/>
      <w:w w:val="90"/>
      <w:kern w:val="2"/>
      <w:sz w:val="28"/>
      <w:szCs w:val="28"/>
    </w:rPr>
  </w:style>
  <w:style w:type="paragraph" w:customStyle="1" w:styleId="343">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344">
    <w:name w:val="样式 标题 3 + 黑色"/>
    <w:basedOn w:val="4"/>
    <w:qFormat/>
    <w:uiPriority w:val="0"/>
    <w:pPr>
      <w:keepNext w:val="0"/>
      <w:keepLines w:val="0"/>
      <w:snapToGrid w:val="0"/>
      <w:spacing w:before="0" w:after="0" w:line="440" w:lineRule="atLeast"/>
      <w:ind w:firstLine="469" w:firstLineChars="200"/>
      <w:jc w:val="both"/>
      <w:textAlignment w:val="auto"/>
      <w:outlineLvl w:val="9"/>
    </w:pPr>
    <w:rPr>
      <w:b w:val="0"/>
      <w:bCs/>
      <w:kern w:val="2"/>
      <w:sz w:val="24"/>
      <w:szCs w:val="24"/>
    </w:rPr>
  </w:style>
  <w:style w:type="paragraph" w:customStyle="1" w:styleId="345">
    <w:name w:val="wg"/>
    <w:basedOn w:val="1"/>
    <w:qFormat/>
    <w:uiPriority w:val="0"/>
    <w:rPr>
      <w:sz w:val="28"/>
      <w:szCs w:val="20"/>
    </w:rPr>
  </w:style>
  <w:style w:type="paragraph" w:customStyle="1" w:styleId="346">
    <w:name w:val="样式 正文（zha） + 首行缩进:  2 字符"/>
    <w:basedOn w:val="192"/>
    <w:qFormat/>
    <w:uiPriority w:val="0"/>
    <w:pPr>
      <w:topLinePunct/>
      <w:spacing w:line="480" w:lineRule="atLeast"/>
      <w:ind w:firstLine="240" w:firstLineChars="100"/>
    </w:pPr>
    <w:rPr>
      <w:rFonts w:ascii="宋体" w:hAnsi="宋体" w:cs="宋体"/>
      <w:sz w:val="24"/>
      <w:szCs w:val="24"/>
    </w:rPr>
  </w:style>
  <w:style w:type="paragraph" w:customStyle="1" w:styleId="347">
    <w:name w:val="Char1 Char Char Char Char Char Char Char Char1 Char Char Char"/>
    <w:basedOn w:val="1"/>
    <w:qFormat/>
    <w:uiPriority w:val="0"/>
    <w:pPr>
      <w:snapToGrid w:val="0"/>
      <w:spacing w:line="360" w:lineRule="auto"/>
      <w:ind w:firstLine="200" w:firstLineChars="200"/>
    </w:pPr>
    <w:rPr>
      <w:szCs w:val="20"/>
    </w:rPr>
  </w:style>
  <w:style w:type="paragraph" w:customStyle="1" w:styleId="348">
    <w:name w:val="ZZY——正文"/>
    <w:basedOn w:val="1"/>
    <w:qFormat/>
    <w:uiPriority w:val="0"/>
    <w:pPr>
      <w:adjustRightInd w:val="0"/>
      <w:snapToGrid w:val="0"/>
      <w:spacing w:line="360" w:lineRule="auto"/>
      <w:ind w:firstLine="200" w:firstLineChars="200"/>
    </w:pPr>
    <w:rPr>
      <w:rFonts w:cs="Garamond"/>
      <w:bCs/>
      <w:snapToGrid w:val="0"/>
      <w:kern w:val="0"/>
      <w:sz w:val="26"/>
    </w:rPr>
  </w:style>
  <w:style w:type="paragraph" w:customStyle="1" w:styleId="349">
    <w:name w:val="Char Char1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table" w:customStyle="1" w:styleId="350">
    <w:name w:val="刘文自定义表格"/>
    <w:basedOn w:val="60"/>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tblHeader/>
    </w:trPr>
    <w:tcPr>
      <w:tcMar>
        <w:left w:w="28" w:type="dxa"/>
        <w:right w:w="28" w:type="dxa"/>
      </w:tcMar>
      <w:vAlign w:val="center"/>
    </w:tcPr>
  </w:style>
  <w:style w:type="character" w:customStyle="1" w:styleId="351">
    <w:name w:val="font21"/>
    <w:basedOn w:val="63"/>
    <w:qFormat/>
    <w:uiPriority w:val="0"/>
    <w:rPr>
      <w:rFonts w:hint="default" w:ascii="Times New Roman" w:hAnsi="Times New Roman" w:cs="Times New Roman"/>
      <w:color w:val="000000"/>
      <w:sz w:val="20"/>
      <w:szCs w:val="20"/>
      <w:u w:val="none"/>
    </w:rPr>
  </w:style>
  <w:style w:type="paragraph" w:customStyle="1" w:styleId="352">
    <w:name w:val="表格内容"/>
    <w:basedOn w:val="1"/>
    <w:qFormat/>
    <w:uiPriority w:val="0"/>
    <w:pPr>
      <w:spacing w:line="240" w:lineRule="auto"/>
      <w:ind w:firstLine="0" w:firstLineChars="0"/>
      <w:jc w:val="center"/>
    </w:pPr>
    <w:rPr>
      <w:b/>
      <w:sz w:val="21"/>
    </w:rPr>
  </w:style>
  <w:style w:type="character" w:customStyle="1" w:styleId="353">
    <w:name w:val="hover28"/>
    <w:basedOn w:val="63"/>
    <w:qFormat/>
    <w:uiPriority w:val="0"/>
  </w:style>
  <w:style w:type="character" w:customStyle="1" w:styleId="354">
    <w:name w:val="hover29"/>
    <w:basedOn w:val="63"/>
    <w:qFormat/>
    <w:uiPriority w:val="0"/>
  </w:style>
  <w:style w:type="paragraph" w:customStyle="1" w:styleId="355">
    <w:name w:val="表头O"/>
    <w:basedOn w:val="1"/>
    <w:qFormat/>
    <w:uiPriority w:val="0"/>
    <w:pPr>
      <w:spacing w:before="156" w:beforeLines="50" w:line="240" w:lineRule="atLeast"/>
      <w:jc w:val="center"/>
    </w:pPr>
    <w:rPr>
      <w:rFonts w:ascii="Times New Roman" w:hAnsi="Times New Roman"/>
      <w:b/>
      <w:sz w:val="24"/>
    </w:rPr>
  </w:style>
  <w:style w:type="paragraph" w:customStyle="1" w:styleId="356">
    <w:name w:val="表格正文"/>
    <w:qFormat/>
    <w:uiPriority w:val="0"/>
    <w:pPr>
      <w:spacing w:line="400" w:lineRule="exact"/>
      <w:jc w:val="both"/>
    </w:pPr>
    <w:rPr>
      <w:rFonts w:ascii="Calibri" w:hAnsi="Calibri" w:eastAsia="宋体" w:cs="Times New Roman"/>
      <w:kern w:val="2"/>
      <w:sz w:val="21"/>
      <w:szCs w:val="21"/>
      <w:lang w:val="en-US" w:eastAsia="zh-CN" w:bidi="ar-SA"/>
    </w:rPr>
  </w:style>
  <w:style w:type="paragraph" w:customStyle="1" w:styleId="357">
    <w:name w:val="fcc正文"/>
    <w:basedOn w:val="1"/>
    <w:qFormat/>
    <w:uiPriority w:val="0"/>
    <w:rPr>
      <w:rFonts w:ascii="Calibri" w:hAnsi="Calibri"/>
      <w:szCs w:val="20"/>
    </w:rPr>
  </w:style>
  <w:style w:type="paragraph" w:customStyle="1" w:styleId="358">
    <w:name w:val="图表"/>
    <w:basedOn w:val="1"/>
    <w:next w:val="1"/>
    <w:qFormat/>
    <w:uiPriority w:val="0"/>
    <w:pPr>
      <w:adjustRightInd w:val="0"/>
      <w:snapToGrid w:val="0"/>
      <w:spacing w:line="280" w:lineRule="exact"/>
      <w:ind w:firstLine="0" w:firstLineChars="0"/>
      <w:jc w:val="center"/>
    </w:pPr>
    <w:rPr>
      <w:rFonts w:ascii="Calibri" w:hAnsi="Calibri"/>
      <w:kern w:val="0"/>
      <w:sz w:val="20"/>
      <w:szCs w:val="20"/>
    </w:rPr>
  </w:style>
  <w:style w:type="paragraph" w:customStyle="1" w:styleId="359">
    <w:name w:val="表格内字体普安"/>
    <w:basedOn w:val="1"/>
    <w:qFormat/>
    <w:uiPriority w:val="0"/>
    <w:pPr>
      <w:snapToGrid w:val="0"/>
      <w:spacing w:line="240" w:lineRule="auto"/>
      <w:ind w:firstLine="0" w:firstLineChars="0"/>
      <w:jc w:val="center"/>
    </w:pPr>
    <w:rPr>
      <w:bCs/>
      <w:color w:val="00000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image" Target="media/image47.wmf"/><Relationship Id="rId96" Type="http://schemas.openxmlformats.org/officeDocument/2006/relationships/oleObject" Target="embeddings/oleObject41.bin"/><Relationship Id="rId95" Type="http://schemas.openxmlformats.org/officeDocument/2006/relationships/image" Target="media/image46.wmf"/><Relationship Id="rId94" Type="http://schemas.openxmlformats.org/officeDocument/2006/relationships/oleObject" Target="embeddings/oleObject40.bin"/><Relationship Id="rId93" Type="http://schemas.openxmlformats.org/officeDocument/2006/relationships/image" Target="media/image45.wmf"/><Relationship Id="rId92" Type="http://schemas.openxmlformats.org/officeDocument/2006/relationships/oleObject" Target="embeddings/oleObject39.bin"/><Relationship Id="rId91" Type="http://schemas.openxmlformats.org/officeDocument/2006/relationships/image" Target="media/image44.wmf"/><Relationship Id="rId90" Type="http://schemas.openxmlformats.org/officeDocument/2006/relationships/oleObject" Target="embeddings/oleObject38.bin"/><Relationship Id="rId9" Type="http://schemas.openxmlformats.org/officeDocument/2006/relationships/theme" Target="theme/theme1.xml"/><Relationship Id="rId89" Type="http://schemas.openxmlformats.org/officeDocument/2006/relationships/oleObject" Target="embeddings/oleObject37.bin"/><Relationship Id="rId88" Type="http://schemas.openxmlformats.org/officeDocument/2006/relationships/image" Target="media/image43.wmf"/><Relationship Id="rId87" Type="http://schemas.openxmlformats.org/officeDocument/2006/relationships/oleObject" Target="embeddings/oleObject36.bin"/><Relationship Id="rId86" Type="http://schemas.openxmlformats.org/officeDocument/2006/relationships/image" Target="media/image42.wmf"/><Relationship Id="rId85" Type="http://schemas.openxmlformats.org/officeDocument/2006/relationships/oleObject" Target="embeddings/oleObject35.bin"/><Relationship Id="rId84" Type="http://schemas.openxmlformats.org/officeDocument/2006/relationships/image" Target="media/image41.wmf"/><Relationship Id="rId83" Type="http://schemas.openxmlformats.org/officeDocument/2006/relationships/oleObject" Target="embeddings/oleObject34.bin"/><Relationship Id="rId82" Type="http://schemas.openxmlformats.org/officeDocument/2006/relationships/image" Target="media/image40.wmf"/><Relationship Id="rId81" Type="http://schemas.openxmlformats.org/officeDocument/2006/relationships/oleObject" Target="embeddings/oleObject33.bin"/><Relationship Id="rId80" Type="http://schemas.openxmlformats.org/officeDocument/2006/relationships/oleObject" Target="embeddings/oleObject32.bin"/><Relationship Id="rId8" Type="http://schemas.openxmlformats.org/officeDocument/2006/relationships/header" Target="header5.xml"/><Relationship Id="rId79" Type="http://schemas.openxmlformats.org/officeDocument/2006/relationships/image" Target="media/image39.wmf"/><Relationship Id="rId78" Type="http://schemas.openxmlformats.org/officeDocument/2006/relationships/oleObject" Target="embeddings/oleObject31.bin"/><Relationship Id="rId77" Type="http://schemas.openxmlformats.org/officeDocument/2006/relationships/image" Target="media/image38.wmf"/><Relationship Id="rId76" Type="http://schemas.openxmlformats.org/officeDocument/2006/relationships/oleObject" Target="embeddings/oleObject30.bin"/><Relationship Id="rId75" Type="http://schemas.openxmlformats.org/officeDocument/2006/relationships/image" Target="media/image37.wmf"/><Relationship Id="rId74" Type="http://schemas.openxmlformats.org/officeDocument/2006/relationships/oleObject" Target="embeddings/oleObject29.bin"/><Relationship Id="rId73" Type="http://schemas.openxmlformats.org/officeDocument/2006/relationships/image" Target="media/image36.wmf"/><Relationship Id="rId72" Type="http://schemas.openxmlformats.org/officeDocument/2006/relationships/oleObject" Target="embeddings/oleObject28.bin"/><Relationship Id="rId71" Type="http://schemas.openxmlformats.org/officeDocument/2006/relationships/image" Target="media/image35.wmf"/><Relationship Id="rId70" Type="http://schemas.openxmlformats.org/officeDocument/2006/relationships/oleObject" Target="embeddings/oleObject27.bin"/><Relationship Id="rId7" Type="http://schemas.openxmlformats.org/officeDocument/2006/relationships/header" Target="header4.xml"/><Relationship Id="rId69" Type="http://schemas.openxmlformats.org/officeDocument/2006/relationships/image" Target="media/image34.wmf"/><Relationship Id="rId68" Type="http://schemas.openxmlformats.org/officeDocument/2006/relationships/oleObject" Target="embeddings/oleObject26.bin"/><Relationship Id="rId67" Type="http://schemas.openxmlformats.org/officeDocument/2006/relationships/image" Target="media/image33.wmf"/><Relationship Id="rId66" Type="http://schemas.openxmlformats.org/officeDocument/2006/relationships/oleObject" Target="embeddings/oleObject25.bin"/><Relationship Id="rId65" Type="http://schemas.openxmlformats.org/officeDocument/2006/relationships/image" Target="media/image32.wmf"/><Relationship Id="rId64" Type="http://schemas.openxmlformats.org/officeDocument/2006/relationships/oleObject" Target="embeddings/oleObject24.bin"/><Relationship Id="rId63" Type="http://schemas.openxmlformats.org/officeDocument/2006/relationships/image" Target="media/image31.wmf"/><Relationship Id="rId62" Type="http://schemas.openxmlformats.org/officeDocument/2006/relationships/oleObject" Target="embeddings/oleObject23.bin"/><Relationship Id="rId61" Type="http://schemas.openxmlformats.org/officeDocument/2006/relationships/image" Target="media/image30.wmf"/><Relationship Id="rId60" Type="http://schemas.openxmlformats.org/officeDocument/2006/relationships/oleObject" Target="embeddings/oleObject22.bin"/><Relationship Id="rId6" Type="http://schemas.openxmlformats.org/officeDocument/2006/relationships/header" Target="header3.xml"/><Relationship Id="rId59" Type="http://schemas.openxmlformats.org/officeDocument/2006/relationships/image" Target="media/image29.wmf"/><Relationship Id="rId58" Type="http://schemas.openxmlformats.org/officeDocument/2006/relationships/oleObject" Target="embeddings/oleObject21.bin"/><Relationship Id="rId57" Type="http://schemas.openxmlformats.org/officeDocument/2006/relationships/image" Target="media/image28.wmf"/><Relationship Id="rId56" Type="http://schemas.openxmlformats.org/officeDocument/2006/relationships/oleObject" Target="embeddings/oleObject20.bin"/><Relationship Id="rId55" Type="http://schemas.openxmlformats.org/officeDocument/2006/relationships/image" Target="media/image27.wmf"/><Relationship Id="rId54" Type="http://schemas.openxmlformats.org/officeDocument/2006/relationships/oleObject" Target="embeddings/oleObject19.bin"/><Relationship Id="rId53" Type="http://schemas.openxmlformats.org/officeDocument/2006/relationships/image" Target="media/image26.emf"/><Relationship Id="rId52" Type="http://schemas.openxmlformats.org/officeDocument/2006/relationships/oleObject" Target="embeddings/oleObject18.bin"/><Relationship Id="rId51" Type="http://schemas.openxmlformats.org/officeDocument/2006/relationships/image" Target="media/image25.wmf"/><Relationship Id="rId50" Type="http://schemas.openxmlformats.org/officeDocument/2006/relationships/image" Target="media/image24.wmf"/><Relationship Id="rId5" Type="http://schemas.openxmlformats.org/officeDocument/2006/relationships/header" Target="header2.xml"/><Relationship Id="rId49" Type="http://schemas.openxmlformats.org/officeDocument/2006/relationships/image" Target="media/image23.wmf"/><Relationship Id="rId48" Type="http://schemas.openxmlformats.org/officeDocument/2006/relationships/oleObject" Target="embeddings/oleObject17.bin"/><Relationship Id="rId47" Type="http://schemas.openxmlformats.org/officeDocument/2006/relationships/image" Target="media/image22.wmf"/><Relationship Id="rId46" Type="http://schemas.openxmlformats.org/officeDocument/2006/relationships/oleObject" Target="embeddings/oleObject16.bin"/><Relationship Id="rId45" Type="http://schemas.openxmlformats.org/officeDocument/2006/relationships/image" Target="media/image21.wmf"/><Relationship Id="rId44" Type="http://schemas.openxmlformats.org/officeDocument/2006/relationships/oleObject" Target="embeddings/oleObject15.bin"/><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wmf"/><Relationship Id="rId36" Type="http://schemas.openxmlformats.org/officeDocument/2006/relationships/oleObject" Target="embeddings/oleObject11.bin"/><Relationship Id="rId352" Type="http://schemas.openxmlformats.org/officeDocument/2006/relationships/fontTable" Target="fontTable.xml"/><Relationship Id="rId351" Type="http://schemas.openxmlformats.org/officeDocument/2006/relationships/customXml" Target="../customXml/item2.xml"/><Relationship Id="rId350" Type="http://schemas.openxmlformats.org/officeDocument/2006/relationships/customXml" Target="../customXml/item1.xml"/><Relationship Id="rId35" Type="http://schemas.openxmlformats.org/officeDocument/2006/relationships/image" Target="media/image16.wmf"/><Relationship Id="rId349" Type="http://schemas.openxmlformats.org/officeDocument/2006/relationships/image" Target="media/image179.png"/><Relationship Id="rId348" Type="http://schemas.openxmlformats.org/officeDocument/2006/relationships/image" Target="media/image178.png"/><Relationship Id="rId347" Type="http://schemas.openxmlformats.org/officeDocument/2006/relationships/image" Target="media/image177.png"/><Relationship Id="rId346" Type="http://schemas.openxmlformats.org/officeDocument/2006/relationships/image" Target="media/image176.png"/><Relationship Id="rId345" Type="http://schemas.openxmlformats.org/officeDocument/2006/relationships/image" Target="media/image175.png"/><Relationship Id="rId344" Type="http://schemas.openxmlformats.org/officeDocument/2006/relationships/image" Target="media/image174.png"/><Relationship Id="rId343" Type="http://schemas.openxmlformats.org/officeDocument/2006/relationships/image" Target="media/image173.png"/><Relationship Id="rId342" Type="http://schemas.openxmlformats.org/officeDocument/2006/relationships/image" Target="media/image172.png"/><Relationship Id="rId341" Type="http://schemas.openxmlformats.org/officeDocument/2006/relationships/image" Target="media/image171.png"/><Relationship Id="rId340" Type="http://schemas.openxmlformats.org/officeDocument/2006/relationships/image" Target="media/image170.wmf"/><Relationship Id="rId34" Type="http://schemas.openxmlformats.org/officeDocument/2006/relationships/oleObject" Target="embeddings/oleObject10.bin"/><Relationship Id="rId339" Type="http://schemas.openxmlformats.org/officeDocument/2006/relationships/oleObject" Target="embeddings/oleObject161.bin"/><Relationship Id="rId338" Type="http://schemas.openxmlformats.org/officeDocument/2006/relationships/image" Target="media/image169.wmf"/><Relationship Id="rId337" Type="http://schemas.openxmlformats.org/officeDocument/2006/relationships/oleObject" Target="embeddings/oleObject160.bin"/><Relationship Id="rId336" Type="http://schemas.openxmlformats.org/officeDocument/2006/relationships/image" Target="media/image168.wmf"/><Relationship Id="rId335" Type="http://schemas.openxmlformats.org/officeDocument/2006/relationships/oleObject" Target="embeddings/oleObject159.bin"/><Relationship Id="rId334" Type="http://schemas.openxmlformats.org/officeDocument/2006/relationships/image" Target="media/image167.wmf"/><Relationship Id="rId333" Type="http://schemas.openxmlformats.org/officeDocument/2006/relationships/oleObject" Target="embeddings/oleObject158.bin"/><Relationship Id="rId332" Type="http://schemas.openxmlformats.org/officeDocument/2006/relationships/image" Target="media/image166.wmf"/><Relationship Id="rId331" Type="http://schemas.openxmlformats.org/officeDocument/2006/relationships/oleObject" Target="embeddings/oleObject157.bin"/><Relationship Id="rId330" Type="http://schemas.openxmlformats.org/officeDocument/2006/relationships/image" Target="media/image165.wmf"/><Relationship Id="rId33" Type="http://schemas.openxmlformats.org/officeDocument/2006/relationships/image" Target="media/image15.wmf"/><Relationship Id="rId329" Type="http://schemas.openxmlformats.org/officeDocument/2006/relationships/oleObject" Target="embeddings/oleObject156.bin"/><Relationship Id="rId328" Type="http://schemas.openxmlformats.org/officeDocument/2006/relationships/image" Target="media/image164.wmf"/><Relationship Id="rId327" Type="http://schemas.openxmlformats.org/officeDocument/2006/relationships/oleObject" Target="embeddings/oleObject155.bin"/><Relationship Id="rId326" Type="http://schemas.openxmlformats.org/officeDocument/2006/relationships/image" Target="media/image163.wmf"/><Relationship Id="rId325" Type="http://schemas.openxmlformats.org/officeDocument/2006/relationships/oleObject" Target="embeddings/oleObject154.bin"/><Relationship Id="rId324" Type="http://schemas.openxmlformats.org/officeDocument/2006/relationships/image" Target="media/image162.emf"/><Relationship Id="rId323" Type="http://schemas.openxmlformats.org/officeDocument/2006/relationships/oleObject" Target="embeddings/oleObject153.bin"/><Relationship Id="rId322" Type="http://schemas.openxmlformats.org/officeDocument/2006/relationships/image" Target="media/image161.emf"/><Relationship Id="rId321" Type="http://schemas.openxmlformats.org/officeDocument/2006/relationships/oleObject" Target="embeddings/oleObject152.bin"/><Relationship Id="rId320" Type="http://schemas.openxmlformats.org/officeDocument/2006/relationships/image" Target="media/image160.wmf"/><Relationship Id="rId32" Type="http://schemas.openxmlformats.org/officeDocument/2006/relationships/oleObject" Target="embeddings/oleObject9.bin"/><Relationship Id="rId319" Type="http://schemas.openxmlformats.org/officeDocument/2006/relationships/oleObject" Target="embeddings/oleObject151.bin"/><Relationship Id="rId318" Type="http://schemas.openxmlformats.org/officeDocument/2006/relationships/image" Target="media/image159.wmf"/><Relationship Id="rId317" Type="http://schemas.openxmlformats.org/officeDocument/2006/relationships/oleObject" Target="embeddings/oleObject150.bin"/><Relationship Id="rId316" Type="http://schemas.openxmlformats.org/officeDocument/2006/relationships/image" Target="media/image158.wmf"/><Relationship Id="rId315" Type="http://schemas.openxmlformats.org/officeDocument/2006/relationships/oleObject" Target="embeddings/oleObject149.bin"/><Relationship Id="rId314" Type="http://schemas.openxmlformats.org/officeDocument/2006/relationships/image" Target="media/image157.wmf"/><Relationship Id="rId313" Type="http://schemas.openxmlformats.org/officeDocument/2006/relationships/oleObject" Target="embeddings/oleObject148.bin"/><Relationship Id="rId312" Type="http://schemas.openxmlformats.org/officeDocument/2006/relationships/image" Target="media/image156.wmf"/><Relationship Id="rId311" Type="http://schemas.openxmlformats.org/officeDocument/2006/relationships/oleObject" Target="embeddings/oleObject147.bin"/><Relationship Id="rId310" Type="http://schemas.openxmlformats.org/officeDocument/2006/relationships/image" Target="media/image155.wmf"/><Relationship Id="rId31" Type="http://schemas.openxmlformats.org/officeDocument/2006/relationships/image" Target="media/image14.png"/><Relationship Id="rId309" Type="http://schemas.openxmlformats.org/officeDocument/2006/relationships/oleObject" Target="embeddings/oleObject146.bin"/><Relationship Id="rId308" Type="http://schemas.openxmlformats.org/officeDocument/2006/relationships/image" Target="media/image154.jpeg"/><Relationship Id="rId307" Type="http://schemas.openxmlformats.org/officeDocument/2006/relationships/image" Target="media/image153.wmf"/><Relationship Id="rId306" Type="http://schemas.openxmlformats.org/officeDocument/2006/relationships/oleObject" Target="embeddings/oleObject145.bin"/><Relationship Id="rId305" Type="http://schemas.openxmlformats.org/officeDocument/2006/relationships/image" Target="media/image152.wmf"/><Relationship Id="rId304" Type="http://schemas.openxmlformats.org/officeDocument/2006/relationships/oleObject" Target="embeddings/oleObject144.bin"/><Relationship Id="rId303" Type="http://schemas.openxmlformats.org/officeDocument/2006/relationships/image" Target="media/image151.wmf"/><Relationship Id="rId302" Type="http://schemas.openxmlformats.org/officeDocument/2006/relationships/oleObject" Target="embeddings/oleObject143.bin"/><Relationship Id="rId301" Type="http://schemas.openxmlformats.org/officeDocument/2006/relationships/oleObject" Target="embeddings/oleObject142.bin"/><Relationship Id="rId300" Type="http://schemas.openxmlformats.org/officeDocument/2006/relationships/oleObject" Target="embeddings/oleObject141.bin"/><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oleObject" Target="embeddings/oleObject140.bin"/><Relationship Id="rId298" Type="http://schemas.openxmlformats.org/officeDocument/2006/relationships/oleObject" Target="embeddings/oleObject139.bin"/><Relationship Id="rId297" Type="http://schemas.openxmlformats.org/officeDocument/2006/relationships/image" Target="media/image150.wmf"/><Relationship Id="rId296" Type="http://schemas.openxmlformats.org/officeDocument/2006/relationships/oleObject" Target="embeddings/oleObject138.bin"/><Relationship Id="rId295" Type="http://schemas.openxmlformats.org/officeDocument/2006/relationships/image" Target="media/image149.wmf"/><Relationship Id="rId294" Type="http://schemas.openxmlformats.org/officeDocument/2006/relationships/oleObject" Target="embeddings/oleObject137.bin"/><Relationship Id="rId293" Type="http://schemas.openxmlformats.org/officeDocument/2006/relationships/image" Target="media/image148.wmf"/><Relationship Id="rId292" Type="http://schemas.openxmlformats.org/officeDocument/2006/relationships/oleObject" Target="embeddings/oleObject136.bin"/><Relationship Id="rId291" Type="http://schemas.openxmlformats.org/officeDocument/2006/relationships/image" Target="media/image147.wmf"/><Relationship Id="rId290" Type="http://schemas.openxmlformats.org/officeDocument/2006/relationships/oleObject" Target="embeddings/oleObject135.bin"/><Relationship Id="rId29" Type="http://schemas.openxmlformats.org/officeDocument/2006/relationships/image" Target="media/image12.wmf"/><Relationship Id="rId289" Type="http://schemas.openxmlformats.org/officeDocument/2006/relationships/image" Target="media/image146.wmf"/><Relationship Id="rId288" Type="http://schemas.openxmlformats.org/officeDocument/2006/relationships/oleObject" Target="embeddings/oleObject134.bin"/><Relationship Id="rId287" Type="http://schemas.openxmlformats.org/officeDocument/2006/relationships/image" Target="media/image145.wmf"/><Relationship Id="rId286" Type="http://schemas.openxmlformats.org/officeDocument/2006/relationships/oleObject" Target="embeddings/oleObject133.bin"/><Relationship Id="rId285" Type="http://schemas.openxmlformats.org/officeDocument/2006/relationships/image" Target="media/image144.wmf"/><Relationship Id="rId284" Type="http://schemas.openxmlformats.org/officeDocument/2006/relationships/oleObject" Target="embeddings/oleObject132.bin"/><Relationship Id="rId283" Type="http://schemas.openxmlformats.org/officeDocument/2006/relationships/image" Target="media/image143.wmf"/><Relationship Id="rId282" Type="http://schemas.openxmlformats.org/officeDocument/2006/relationships/oleObject" Target="embeddings/oleObject131.bin"/><Relationship Id="rId281" Type="http://schemas.openxmlformats.org/officeDocument/2006/relationships/image" Target="media/image142.wmf"/><Relationship Id="rId280" Type="http://schemas.openxmlformats.org/officeDocument/2006/relationships/oleObject" Target="embeddings/oleObject130.bin"/><Relationship Id="rId28" Type="http://schemas.openxmlformats.org/officeDocument/2006/relationships/oleObject" Target="embeddings/oleObject8.bin"/><Relationship Id="rId279" Type="http://schemas.openxmlformats.org/officeDocument/2006/relationships/image" Target="media/image141.wmf"/><Relationship Id="rId278" Type="http://schemas.openxmlformats.org/officeDocument/2006/relationships/oleObject" Target="embeddings/oleObject129.bin"/><Relationship Id="rId277" Type="http://schemas.openxmlformats.org/officeDocument/2006/relationships/image" Target="media/image140.wmf"/><Relationship Id="rId276" Type="http://schemas.openxmlformats.org/officeDocument/2006/relationships/oleObject" Target="embeddings/oleObject128.bin"/><Relationship Id="rId275" Type="http://schemas.openxmlformats.org/officeDocument/2006/relationships/image" Target="media/image139.wmf"/><Relationship Id="rId274" Type="http://schemas.openxmlformats.org/officeDocument/2006/relationships/oleObject" Target="embeddings/oleObject127.bin"/><Relationship Id="rId273" Type="http://schemas.openxmlformats.org/officeDocument/2006/relationships/image" Target="media/image138.wmf"/><Relationship Id="rId272" Type="http://schemas.openxmlformats.org/officeDocument/2006/relationships/oleObject" Target="embeddings/oleObject126.bin"/><Relationship Id="rId271" Type="http://schemas.openxmlformats.org/officeDocument/2006/relationships/image" Target="media/image137.emf"/><Relationship Id="rId270" Type="http://schemas.openxmlformats.org/officeDocument/2006/relationships/oleObject" Target="embeddings/oleObject125.bin"/><Relationship Id="rId27" Type="http://schemas.openxmlformats.org/officeDocument/2006/relationships/image" Target="media/image11.wmf"/><Relationship Id="rId269" Type="http://schemas.openxmlformats.org/officeDocument/2006/relationships/image" Target="media/image136.emf"/><Relationship Id="rId268" Type="http://schemas.openxmlformats.org/officeDocument/2006/relationships/oleObject" Target="embeddings/oleObject124.bin"/><Relationship Id="rId267" Type="http://schemas.openxmlformats.org/officeDocument/2006/relationships/image" Target="media/image135.emf"/><Relationship Id="rId266" Type="http://schemas.openxmlformats.org/officeDocument/2006/relationships/oleObject" Target="embeddings/oleObject123.bin"/><Relationship Id="rId265" Type="http://schemas.openxmlformats.org/officeDocument/2006/relationships/image" Target="media/image134.jpeg"/><Relationship Id="rId264" Type="http://schemas.openxmlformats.org/officeDocument/2006/relationships/image" Target="media/image133.jpeg"/><Relationship Id="rId263" Type="http://schemas.openxmlformats.org/officeDocument/2006/relationships/image" Target="media/image132.png"/><Relationship Id="rId262" Type="http://schemas.openxmlformats.org/officeDocument/2006/relationships/image" Target="media/image131.png"/><Relationship Id="rId261" Type="http://schemas.openxmlformats.org/officeDocument/2006/relationships/image" Target="media/image130.png"/><Relationship Id="rId260" Type="http://schemas.openxmlformats.org/officeDocument/2006/relationships/image" Target="media/image129.png"/><Relationship Id="rId26" Type="http://schemas.openxmlformats.org/officeDocument/2006/relationships/oleObject" Target="embeddings/oleObject7.bin"/><Relationship Id="rId259" Type="http://schemas.openxmlformats.org/officeDocument/2006/relationships/image" Target="media/image128.png"/><Relationship Id="rId258" Type="http://schemas.openxmlformats.org/officeDocument/2006/relationships/image" Target="media/image127.png"/><Relationship Id="rId257" Type="http://schemas.openxmlformats.org/officeDocument/2006/relationships/image" Target="media/image126.png"/><Relationship Id="rId256" Type="http://schemas.openxmlformats.org/officeDocument/2006/relationships/image" Target="media/image125.png"/><Relationship Id="rId255" Type="http://schemas.openxmlformats.org/officeDocument/2006/relationships/image" Target="media/image124.png"/><Relationship Id="rId254" Type="http://schemas.openxmlformats.org/officeDocument/2006/relationships/image" Target="media/image123.png"/><Relationship Id="rId253" Type="http://schemas.openxmlformats.org/officeDocument/2006/relationships/image" Target="media/image122.wmf"/><Relationship Id="rId252" Type="http://schemas.openxmlformats.org/officeDocument/2006/relationships/oleObject" Target="embeddings/oleObject122.bin"/><Relationship Id="rId251" Type="http://schemas.openxmlformats.org/officeDocument/2006/relationships/image" Target="media/image121.wmf"/><Relationship Id="rId250" Type="http://schemas.openxmlformats.org/officeDocument/2006/relationships/oleObject" Target="embeddings/oleObject121.bin"/><Relationship Id="rId25" Type="http://schemas.openxmlformats.org/officeDocument/2006/relationships/image" Target="media/image10.wmf"/><Relationship Id="rId249" Type="http://schemas.openxmlformats.org/officeDocument/2006/relationships/image" Target="media/image120.wmf"/><Relationship Id="rId248" Type="http://schemas.openxmlformats.org/officeDocument/2006/relationships/oleObject" Target="embeddings/oleObject120.bin"/><Relationship Id="rId247" Type="http://schemas.openxmlformats.org/officeDocument/2006/relationships/image" Target="media/image119.wmf"/><Relationship Id="rId246" Type="http://schemas.openxmlformats.org/officeDocument/2006/relationships/oleObject" Target="embeddings/oleObject119.bin"/><Relationship Id="rId245" Type="http://schemas.openxmlformats.org/officeDocument/2006/relationships/image" Target="media/image118.wmf"/><Relationship Id="rId244" Type="http://schemas.openxmlformats.org/officeDocument/2006/relationships/oleObject" Target="embeddings/oleObject118.bin"/><Relationship Id="rId243" Type="http://schemas.openxmlformats.org/officeDocument/2006/relationships/image" Target="media/image117.wmf"/><Relationship Id="rId242" Type="http://schemas.openxmlformats.org/officeDocument/2006/relationships/oleObject" Target="embeddings/oleObject117.bin"/><Relationship Id="rId241" Type="http://schemas.openxmlformats.org/officeDocument/2006/relationships/image" Target="media/image116.wmf"/><Relationship Id="rId240" Type="http://schemas.openxmlformats.org/officeDocument/2006/relationships/oleObject" Target="embeddings/oleObject116.bin"/><Relationship Id="rId24" Type="http://schemas.openxmlformats.org/officeDocument/2006/relationships/oleObject" Target="embeddings/oleObject6.bin"/><Relationship Id="rId239" Type="http://schemas.openxmlformats.org/officeDocument/2006/relationships/oleObject" Target="embeddings/oleObject115.bin"/><Relationship Id="rId238" Type="http://schemas.openxmlformats.org/officeDocument/2006/relationships/image" Target="media/image115.wmf"/><Relationship Id="rId237" Type="http://schemas.openxmlformats.org/officeDocument/2006/relationships/oleObject" Target="embeddings/oleObject114.bin"/><Relationship Id="rId236" Type="http://schemas.openxmlformats.org/officeDocument/2006/relationships/oleObject" Target="embeddings/oleObject113.bin"/><Relationship Id="rId235" Type="http://schemas.openxmlformats.org/officeDocument/2006/relationships/image" Target="media/image114.wmf"/><Relationship Id="rId234" Type="http://schemas.openxmlformats.org/officeDocument/2006/relationships/oleObject" Target="embeddings/oleObject112.bin"/><Relationship Id="rId233" Type="http://schemas.openxmlformats.org/officeDocument/2006/relationships/image" Target="media/image113.wmf"/><Relationship Id="rId232" Type="http://schemas.openxmlformats.org/officeDocument/2006/relationships/oleObject" Target="embeddings/oleObject111.bin"/><Relationship Id="rId231" Type="http://schemas.openxmlformats.org/officeDocument/2006/relationships/image" Target="media/image112.wmf"/><Relationship Id="rId230" Type="http://schemas.openxmlformats.org/officeDocument/2006/relationships/oleObject" Target="embeddings/oleObject110.bin"/><Relationship Id="rId23" Type="http://schemas.openxmlformats.org/officeDocument/2006/relationships/image" Target="media/image9.wmf"/><Relationship Id="rId229" Type="http://schemas.openxmlformats.org/officeDocument/2006/relationships/image" Target="media/image111.wmf"/><Relationship Id="rId228" Type="http://schemas.openxmlformats.org/officeDocument/2006/relationships/oleObject" Target="embeddings/oleObject109.bin"/><Relationship Id="rId227" Type="http://schemas.openxmlformats.org/officeDocument/2006/relationships/image" Target="media/image110.wmf"/><Relationship Id="rId226" Type="http://schemas.openxmlformats.org/officeDocument/2006/relationships/oleObject" Target="embeddings/oleObject108.bin"/><Relationship Id="rId225" Type="http://schemas.openxmlformats.org/officeDocument/2006/relationships/image" Target="media/image109.wmf"/><Relationship Id="rId224" Type="http://schemas.openxmlformats.org/officeDocument/2006/relationships/oleObject" Target="embeddings/oleObject107.bin"/><Relationship Id="rId223" Type="http://schemas.openxmlformats.org/officeDocument/2006/relationships/image" Target="media/image108.wmf"/><Relationship Id="rId222" Type="http://schemas.openxmlformats.org/officeDocument/2006/relationships/oleObject" Target="embeddings/oleObject106.bin"/><Relationship Id="rId221" Type="http://schemas.openxmlformats.org/officeDocument/2006/relationships/image" Target="media/image107.wmf"/><Relationship Id="rId220" Type="http://schemas.openxmlformats.org/officeDocument/2006/relationships/oleObject" Target="embeddings/oleObject105.bin"/><Relationship Id="rId22" Type="http://schemas.openxmlformats.org/officeDocument/2006/relationships/oleObject" Target="embeddings/oleObject5.bin"/><Relationship Id="rId219" Type="http://schemas.openxmlformats.org/officeDocument/2006/relationships/image" Target="media/image106.wmf"/><Relationship Id="rId218" Type="http://schemas.openxmlformats.org/officeDocument/2006/relationships/oleObject" Target="embeddings/oleObject104.bin"/><Relationship Id="rId217" Type="http://schemas.openxmlformats.org/officeDocument/2006/relationships/image" Target="media/image105.wmf"/><Relationship Id="rId216" Type="http://schemas.openxmlformats.org/officeDocument/2006/relationships/oleObject" Target="embeddings/oleObject103.bin"/><Relationship Id="rId215" Type="http://schemas.openxmlformats.org/officeDocument/2006/relationships/image" Target="media/image104.wmf"/><Relationship Id="rId214" Type="http://schemas.openxmlformats.org/officeDocument/2006/relationships/oleObject" Target="embeddings/oleObject102.bin"/><Relationship Id="rId213" Type="http://schemas.openxmlformats.org/officeDocument/2006/relationships/image" Target="media/image103.wmf"/><Relationship Id="rId212" Type="http://schemas.openxmlformats.org/officeDocument/2006/relationships/oleObject" Target="embeddings/oleObject101.bin"/><Relationship Id="rId211" Type="http://schemas.openxmlformats.org/officeDocument/2006/relationships/image" Target="media/image102.wmf"/><Relationship Id="rId210" Type="http://schemas.openxmlformats.org/officeDocument/2006/relationships/oleObject" Target="embeddings/oleObject100.bin"/><Relationship Id="rId21" Type="http://schemas.openxmlformats.org/officeDocument/2006/relationships/image" Target="media/image8.emf"/><Relationship Id="rId209" Type="http://schemas.openxmlformats.org/officeDocument/2006/relationships/image" Target="media/image101.wmf"/><Relationship Id="rId208" Type="http://schemas.openxmlformats.org/officeDocument/2006/relationships/oleObject" Target="embeddings/oleObject99.bin"/><Relationship Id="rId207" Type="http://schemas.openxmlformats.org/officeDocument/2006/relationships/image" Target="media/image100.wmf"/><Relationship Id="rId206" Type="http://schemas.openxmlformats.org/officeDocument/2006/relationships/oleObject" Target="embeddings/oleObject98.bin"/><Relationship Id="rId205" Type="http://schemas.openxmlformats.org/officeDocument/2006/relationships/image" Target="media/image99.wmf"/><Relationship Id="rId204" Type="http://schemas.openxmlformats.org/officeDocument/2006/relationships/oleObject" Target="embeddings/oleObject97.bin"/><Relationship Id="rId203" Type="http://schemas.openxmlformats.org/officeDocument/2006/relationships/image" Target="media/image98.wmf"/><Relationship Id="rId202" Type="http://schemas.openxmlformats.org/officeDocument/2006/relationships/oleObject" Target="embeddings/oleObject96.bin"/><Relationship Id="rId201" Type="http://schemas.openxmlformats.org/officeDocument/2006/relationships/image" Target="media/image97.wmf"/><Relationship Id="rId200" Type="http://schemas.openxmlformats.org/officeDocument/2006/relationships/oleObject" Target="embeddings/oleObject95.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4.bin"/><Relationship Id="rId197" Type="http://schemas.openxmlformats.org/officeDocument/2006/relationships/image" Target="media/image95.wmf"/><Relationship Id="rId196" Type="http://schemas.openxmlformats.org/officeDocument/2006/relationships/oleObject" Target="embeddings/oleObject93.bin"/><Relationship Id="rId195" Type="http://schemas.openxmlformats.org/officeDocument/2006/relationships/image" Target="media/image94.wmf"/><Relationship Id="rId194" Type="http://schemas.openxmlformats.org/officeDocument/2006/relationships/oleObject" Target="embeddings/oleObject92.bin"/><Relationship Id="rId193" Type="http://schemas.openxmlformats.org/officeDocument/2006/relationships/image" Target="media/image93.wmf"/><Relationship Id="rId192" Type="http://schemas.openxmlformats.org/officeDocument/2006/relationships/oleObject" Target="embeddings/oleObject91.bin"/><Relationship Id="rId191" Type="http://schemas.openxmlformats.org/officeDocument/2006/relationships/image" Target="media/image92.wmf"/><Relationship Id="rId190" Type="http://schemas.openxmlformats.org/officeDocument/2006/relationships/oleObject" Target="embeddings/oleObject90.bin"/><Relationship Id="rId19" Type="http://schemas.openxmlformats.org/officeDocument/2006/relationships/image" Target="media/image7.png"/><Relationship Id="rId189" Type="http://schemas.openxmlformats.org/officeDocument/2006/relationships/image" Target="media/image91.wmf"/><Relationship Id="rId188" Type="http://schemas.openxmlformats.org/officeDocument/2006/relationships/oleObject" Target="embeddings/oleObject89.bin"/><Relationship Id="rId187" Type="http://schemas.openxmlformats.org/officeDocument/2006/relationships/image" Target="media/image90.wmf"/><Relationship Id="rId186" Type="http://schemas.openxmlformats.org/officeDocument/2006/relationships/oleObject" Target="embeddings/oleObject88.bin"/><Relationship Id="rId185" Type="http://schemas.openxmlformats.org/officeDocument/2006/relationships/image" Target="media/image89.wmf"/><Relationship Id="rId184" Type="http://schemas.openxmlformats.org/officeDocument/2006/relationships/oleObject" Target="embeddings/oleObject87.bin"/><Relationship Id="rId183" Type="http://schemas.openxmlformats.org/officeDocument/2006/relationships/image" Target="media/image88.wmf"/><Relationship Id="rId182" Type="http://schemas.openxmlformats.org/officeDocument/2006/relationships/oleObject" Target="embeddings/oleObject86.bin"/><Relationship Id="rId181" Type="http://schemas.openxmlformats.org/officeDocument/2006/relationships/image" Target="media/image87.wmf"/><Relationship Id="rId180" Type="http://schemas.openxmlformats.org/officeDocument/2006/relationships/oleObject" Target="embeddings/oleObject85.bin"/><Relationship Id="rId18" Type="http://schemas.openxmlformats.org/officeDocument/2006/relationships/image" Target="media/image6.emf"/><Relationship Id="rId179" Type="http://schemas.openxmlformats.org/officeDocument/2006/relationships/image" Target="media/image86.wmf"/><Relationship Id="rId178" Type="http://schemas.openxmlformats.org/officeDocument/2006/relationships/oleObject" Target="embeddings/oleObject84.bin"/><Relationship Id="rId177" Type="http://schemas.openxmlformats.org/officeDocument/2006/relationships/image" Target="media/image85.wmf"/><Relationship Id="rId176" Type="http://schemas.openxmlformats.org/officeDocument/2006/relationships/oleObject" Target="embeddings/oleObject83.bin"/><Relationship Id="rId175" Type="http://schemas.openxmlformats.org/officeDocument/2006/relationships/image" Target="media/image84.wmf"/><Relationship Id="rId174" Type="http://schemas.openxmlformats.org/officeDocument/2006/relationships/oleObject" Target="embeddings/oleObject82.bin"/><Relationship Id="rId173" Type="http://schemas.openxmlformats.org/officeDocument/2006/relationships/image" Target="media/image83.wmf"/><Relationship Id="rId172" Type="http://schemas.openxmlformats.org/officeDocument/2006/relationships/oleObject" Target="embeddings/oleObject81.bin"/><Relationship Id="rId171" Type="http://schemas.openxmlformats.org/officeDocument/2006/relationships/image" Target="media/image82.wmf"/><Relationship Id="rId170" Type="http://schemas.openxmlformats.org/officeDocument/2006/relationships/oleObject" Target="embeddings/oleObject80.bin"/><Relationship Id="rId17" Type="http://schemas.openxmlformats.org/officeDocument/2006/relationships/oleObject" Target="embeddings/oleObject3.bin"/><Relationship Id="rId169" Type="http://schemas.openxmlformats.org/officeDocument/2006/relationships/image" Target="media/image81.wmf"/><Relationship Id="rId168" Type="http://schemas.openxmlformats.org/officeDocument/2006/relationships/oleObject" Target="embeddings/oleObject79.bin"/><Relationship Id="rId167" Type="http://schemas.openxmlformats.org/officeDocument/2006/relationships/image" Target="media/image80.wmf"/><Relationship Id="rId166" Type="http://schemas.openxmlformats.org/officeDocument/2006/relationships/oleObject" Target="embeddings/oleObject78.bin"/><Relationship Id="rId165" Type="http://schemas.openxmlformats.org/officeDocument/2006/relationships/image" Target="media/image79.jpeg"/><Relationship Id="rId164" Type="http://schemas.openxmlformats.org/officeDocument/2006/relationships/image" Target="media/image78.png"/><Relationship Id="rId163" Type="http://schemas.openxmlformats.org/officeDocument/2006/relationships/image" Target="media/image77.png"/><Relationship Id="rId162" Type="http://schemas.openxmlformats.org/officeDocument/2006/relationships/image" Target="media/image76.jpeg"/><Relationship Id="rId161" Type="http://schemas.openxmlformats.org/officeDocument/2006/relationships/image" Target="media/image75.wmf"/><Relationship Id="rId160" Type="http://schemas.openxmlformats.org/officeDocument/2006/relationships/oleObject" Target="embeddings/oleObject77.bin"/><Relationship Id="rId16" Type="http://schemas.openxmlformats.org/officeDocument/2006/relationships/image" Target="media/image5.png"/><Relationship Id="rId159" Type="http://schemas.openxmlformats.org/officeDocument/2006/relationships/image" Target="media/image74.wmf"/><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image" Target="media/image72.wmf"/><Relationship Id="rId154" Type="http://schemas.openxmlformats.org/officeDocument/2006/relationships/oleObject" Target="embeddings/oleObject74.bin"/><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image" Target="media/image4.png"/><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image" Target="media/image68.wmf"/><Relationship Id="rId145" Type="http://schemas.openxmlformats.org/officeDocument/2006/relationships/oleObject" Target="embeddings/oleObject69.bin"/><Relationship Id="rId144" Type="http://schemas.openxmlformats.org/officeDocument/2006/relationships/image" Target="media/image67.wmf"/><Relationship Id="rId143" Type="http://schemas.openxmlformats.org/officeDocument/2006/relationships/oleObject" Target="embeddings/oleObject68.bin"/><Relationship Id="rId142" Type="http://schemas.openxmlformats.org/officeDocument/2006/relationships/image" Target="media/image66.wmf"/><Relationship Id="rId141" Type="http://schemas.openxmlformats.org/officeDocument/2006/relationships/oleObject" Target="embeddings/oleObject67.bin"/><Relationship Id="rId140" Type="http://schemas.openxmlformats.org/officeDocument/2006/relationships/oleObject" Target="embeddings/oleObject66.bin"/><Relationship Id="rId14" Type="http://schemas.openxmlformats.org/officeDocument/2006/relationships/image" Target="media/image3.emf"/><Relationship Id="rId139" Type="http://schemas.openxmlformats.org/officeDocument/2006/relationships/oleObject" Target="embeddings/oleObject65.bin"/><Relationship Id="rId138" Type="http://schemas.openxmlformats.org/officeDocument/2006/relationships/oleObject" Target="embeddings/oleObject64.bin"/><Relationship Id="rId137" Type="http://schemas.openxmlformats.org/officeDocument/2006/relationships/oleObject" Target="embeddings/oleObject63.bin"/><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oleObject" Target="embeddings/oleObject59.bin"/><Relationship Id="rId130" Type="http://schemas.openxmlformats.org/officeDocument/2006/relationships/image" Target="media/image63.wmf"/><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image" Target="media/image61.wmf"/><Relationship Id="rId125" Type="http://schemas.openxmlformats.org/officeDocument/2006/relationships/oleObject" Target="embeddings/oleObject56.bin"/><Relationship Id="rId124" Type="http://schemas.openxmlformats.org/officeDocument/2006/relationships/oleObject" Target="embeddings/oleObject55.bin"/><Relationship Id="rId123" Type="http://schemas.openxmlformats.org/officeDocument/2006/relationships/image" Target="media/image60.wmf"/><Relationship Id="rId122" Type="http://schemas.openxmlformats.org/officeDocument/2006/relationships/oleObject" Target="embeddings/oleObject54.bin"/><Relationship Id="rId121" Type="http://schemas.openxmlformats.org/officeDocument/2006/relationships/image" Target="media/image59.wmf"/><Relationship Id="rId120" Type="http://schemas.openxmlformats.org/officeDocument/2006/relationships/oleObject" Target="embeddings/oleObject53.bin"/><Relationship Id="rId12" Type="http://schemas.openxmlformats.org/officeDocument/2006/relationships/image" Target="media/image2.emf"/><Relationship Id="rId119" Type="http://schemas.openxmlformats.org/officeDocument/2006/relationships/image" Target="media/image58.wmf"/><Relationship Id="rId118" Type="http://schemas.openxmlformats.org/officeDocument/2006/relationships/oleObject" Target="embeddings/oleObject52.bin"/><Relationship Id="rId117" Type="http://schemas.openxmlformats.org/officeDocument/2006/relationships/image" Target="media/image57.wmf"/><Relationship Id="rId116" Type="http://schemas.openxmlformats.org/officeDocument/2006/relationships/oleObject" Target="embeddings/oleObject51.bin"/><Relationship Id="rId115" Type="http://schemas.openxmlformats.org/officeDocument/2006/relationships/image" Target="media/image56.wmf"/><Relationship Id="rId114" Type="http://schemas.openxmlformats.org/officeDocument/2006/relationships/oleObject" Target="embeddings/oleObject50.bin"/><Relationship Id="rId113" Type="http://schemas.openxmlformats.org/officeDocument/2006/relationships/image" Target="media/image55.wmf"/><Relationship Id="rId112" Type="http://schemas.openxmlformats.org/officeDocument/2006/relationships/oleObject" Target="embeddings/oleObject49.bin"/><Relationship Id="rId111" Type="http://schemas.openxmlformats.org/officeDocument/2006/relationships/image" Target="media/image54.wmf"/><Relationship Id="rId110" Type="http://schemas.openxmlformats.org/officeDocument/2006/relationships/oleObject" Target="embeddings/oleObject48.bin"/><Relationship Id="rId11" Type="http://schemas.openxmlformats.org/officeDocument/2006/relationships/oleObject" Target="embeddings/oleObject1.bin"/><Relationship Id="rId109" Type="http://schemas.openxmlformats.org/officeDocument/2006/relationships/image" Target="media/image53.wmf"/><Relationship Id="rId108" Type="http://schemas.openxmlformats.org/officeDocument/2006/relationships/oleObject" Target="embeddings/oleObject47.bin"/><Relationship Id="rId107" Type="http://schemas.openxmlformats.org/officeDocument/2006/relationships/image" Target="media/image52.wmf"/><Relationship Id="rId106" Type="http://schemas.openxmlformats.org/officeDocument/2006/relationships/oleObject" Target="embeddings/oleObject46.bin"/><Relationship Id="rId105" Type="http://schemas.openxmlformats.org/officeDocument/2006/relationships/image" Target="media/image51.wmf"/><Relationship Id="rId104" Type="http://schemas.openxmlformats.org/officeDocument/2006/relationships/oleObject" Target="embeddings/oleObject45.bin"/><Relationship Id="rId103" Type="http://schemas.openxmlformats.org/officeDocument/2006/relationships/image" Target="media/image50.wmf"/><Relationship Id="rId102" Type="http://schemas.openxmlformats.org/officeDocument/2006/relationships/oleObject" Target="embeddings/oleObject44.bin"/><Relationship Id="rId101" Type="http://schemas.openxmlformats.org/officeDocument/2006/relationships/image" Target="media/image49.wmf"/><Relationship Id="rId100" Type="http://schemas.openxmlformats.org/officeDocument/2006/relationships/oleObject" Target="embeddings/oleObject43.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65A83E-2155-4D0A-B72F-35D1B3BD9E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93127</Words>
  <Characters>109862</Characters>
  <Lines>1</Lines>
  <Paragraphs>1</Paragraphs>
  <TotalTime>0</TotalTime>
  <ScaleCrop>false</ScaleCrop>
  <LinksUpToDate>false</LinksUpToDate>
  <CharactersWithSpaces>110781</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2018-01-19T09:15:00Z</dcterms:created>
  <dc:creator>xzlj</dc:creator>
  <cp:lastModifiedBy>Q</cp:lastModifiedBy>
  <cp:lastPrinted>2019-09-08T03:42:00Z</cp:lastPrinted>
  <dcterms:modified xsi:type="dcterms:W3CDTF">2025-01-07T03:30:58Z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