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B5D97">
      <w:pPr>
        <w:spacing w:line="576" w:lineRule="exac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1</w:t>
      </w:r>
    </w:p>
    <w:p w14:paraId="15857E5B">
      <w:pPr>
        <w:spacing w:line="576" w:lineRule="exact"/>
        <w:jc w:val="center"/>
        <w:rPr>
          <w:rFonts w:hint="eastAsia"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涉企行政检查事项清单（202</w:t>
      </w:r>
      <w:r>
        <w:rPr>
          <w:rFonts w:hint="eastAsia" w:ascii="方正小标宋简体" w:hAnsi="宋体" w:eastAsia="方正小标宋简体" w:cs="宋体"/>
          <w:color w:val="000000"/>
          <w:kern w:val="0"/>
          <w:sz w:val="40"/>
          <w:szCs w:val="40"/>
          <w:lang w:val="en-US" w:eastAsia="zh-CN"/>
        </w:rPr>
        <w:t>5</w:t>
      </w:r>
      <w:bookmarkStart w:id="0" w:name="_GoBack"/>
      <w:bookmarkEnd w:id="0"/>
      <w:r>
        <w:rPr>
          <w:rFonts w:hint="eastAsia" w:ascii="方正小标宋简体" w:hAnsi="宋体" w:eastAsia="方正小标宋简体" w:cs="宋体"/>
          <w:color w:val="000000"/>
          <w:kern w:val="0"/>
          <w:sz w:val="40"/>
          <w:szCs w:val="40"/>
        </w:rPr>
        <w:t>年版）</w:t>
      </w:r>
    </w:p>
    <w:p w14:paraId="2CD4F9A8">
      <w:pPr>
        <w:spacing w:line="320" w:lineRule="exact"/>
        <w:rPr>
          <w:rFonts w:hint="eastAsia" w:ascii="仿宋_GB2312" w:hAnsi="仿宋_GB2312" w:eastAsia="仿宋_GB2312" w:cs="仿宋_GB2312"/>
          <w:sz w:val="32"/>
          <w:szCs w:val="32"/>
        </w:rPr>
      </w:pPr>
      <w:r>
        <w:rPr>
          <w:rFonts w:hint="eastAsia" w:ascii="仿宋_GB2312" w:hAnsi="宋体" w:eastAsia="仿宋_GB2312" w:cs="宋体"/>
          <w:color w:val="000000"/>
          <w:kern w:val="0"/>
          <w:sz w:val="24"/>
        </w:rPr>
        <w:t>填报单位：</w:t>
      </w:r>
      <w:r>
        <w:rPr>
          <w:rFonts w:hint="eastAsia" w:ascii="仿宋_GB2312" w:hAnsi="宋体" w:eastAsia="仿宋_GB2312" w:cs="宋体"/>
          <w:color w:val="000000"/>
          <w:kern w:val="0"/>
          <w:sz w:val="24"/>
          <w:lang w:val="en-US" w:eastAsia="zh-CN"/>
        </w:rPr>
        <w:t>旺苍县医疗保障局</w:t>
      </w:r>
      <w:r>
        <w:rPr>
          <w:rFonts w:hint="eastAsia" w:ascii="仿宋_GB2312" w:hAnsi="宋体" w:eastAsia="仿宋_GB2312" w:cs="宋体"/>
          <w:color w:val="000000"/>
          <w:kern w:val="0"/>
          <w:sz w:val="24"/>
        </w:rPr>
        <w:t xml:space="preserve">  </w:t>
      </w:r>
    </w:p>
    <w:tbl>
      <w:tblPr>
        <w:tblStyle w:val="2"/>
        <w:tblW w:w="15256" w:type="dxa"/>
        <w:jc w:val="center"/>
        <w:tblLayout w:type="autofit"/>
        <w:tblCellMar>
          <w:top w:w="0" w:type="dxa"/>
          <w:left w:w="108" w:type="dxa"/>
          <w:bottom w:w="0" w:type="dxa"/>
          <w:right w:w="108" w:type="dxa"/>
        </w:tblCellMar>
      </w:tblPr>
      <w:tblGrid>
        <w:gridCol w:w="426"/>
        <w:gridCol w:w="813"/>
        <w:gridCol w:w="767"/>
        <w:gridCol w:w="752"/>
        <w:gridCol w:w="4136"/>
        <w:gridCol w:w="1282"/>
        <w:gridCol w:w="862"/>
        <w:gridCol w:w="577"/>
        <w:gridCol w:w="715"/>
        <w:gridCol w:w="687"/>
        <w:gridCol w:w="693"/>
        <w:gridCol w:w="447"/>
        <w:gridCol w:w="426"/>
        <w:gridCol w:w="426"/>
        <w:gridCol w:w="463"/>
        <w:gridCol w:w="426"/>
        <w:gridCol w:w="426"/>
        <w:gridCol w:w="476"/>
        <w:gridCol w:w="456"/>
      </w:tblGrid>
      <w:tr w14:paraId="785A1C08">
        <w:tblPrEx>
          <w:tblCellMar>
            <w:top w:w="0" w:type="dxa"/>
            <w:left w:w="108" w:type="dxa"/>
            <w:bottom w:w="0" w:type="dxa"/>
            <w:right w:w="108" w:type="dxa"/>
          </w:tblCellMar>
        </w:tblPrEx>
        <w:trPr>
          <w:trHeight w:val="378"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82B13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81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9EA80">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行政检查事项名称</w:t>
            </w:r>
          </w:p>
        </w:tc>
        <w:tc>
          <w:tcPr>
            <w:tcW w:w="699"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63BAB">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检查对象</w:t>
            </w:r>
          </w:p>
        </w:tc>
        <w:tc>
          <w:tcPr>
            <w:tcW w:w="4986" w:type="dxa"/>
            <w:gridSpan w:val="2"/>
            <w:tcBorders>
              <w:top w:val="single" w:color="000000" w:sz="4" w:space="0"/>
              <w:left w:val="single" w:color="000000" w:sz="4" w:space="0"/>
              <w:bottom w:val="single" w:color="000000" w:sz="4" w:space="0"/>
              <w:right w:val="single" w:color="000000" w:sz="4" w:space="0"/>
            </w:tcBorders>
            <w:noWrap w:val="0"/>
            <w:vAlign w:val="center"/>
          </w:tcPr>
          <w:p w14:paraId="3DCB1C9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实施依据</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62A47">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检查内容及检查要求</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056D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检查方式（检查类型）</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983D2">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主体</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F5D7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承办机构</w:t>
            </w: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D0A3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联合部门</w:t>
            </w: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10A9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时间</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安排</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（检查频次）</w:t>
            </w:r>
          </w:p>
        </w:tc>
        <w:tc>
          <w:tcPr>
            <w:tcW w:w="1300" w:type="dxa"/>
            <w:gridSpan w:val="3"/>
            <w:tcBorders>
              <w:top w:val="single" w:color="000000" w:sz="4" w:space="0"/>
              <w:left w:val="single" w:color="000000" w:sz="4" w:space="0"/>
              <w:bottom w:val="single" w:color="000000" w:sz="4" w:space="0"/>
              <w:right w:val="single" w:color="000000" w:sz="4" w:space="0"/>
            </w:tcBorders>
            <w:noWrap w:val="0"/>
            <w:vAlign w:val="center"/>
          </w:tcPr>
          <w:p w14:paraId="178C8DB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实施层级</w:t>
            </w:r>
          </w:p>
        </w:tc>
        <w:tc>
          <w:tcPr>
            <w:tcW w:w="1316" w:type="dxa"/>
            <w:gridSpan w:val="3"/>
            <w:tcBorders>
              <w:top w:val="single" w:color="000000" w:sz="4" w:space="0"/>
              <w:left w:val="single" w:color="000000" w:sz="4" w:space="0"/>
              <w:bottom w:val="single" w:color="000000" w:sz="4" w:space="0"/>
              <w:right w:val="single" w:color="000000" w:sz="4" w:space="0"/>
            </w:tcBorders>
            <w:noWrap w:val="0"/>
            <w:vAlign w:val="center"/>
          </w:tcPr>
          <w:p w14:paraId="3E350FE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第一责任</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层级（建议）</w:t>
            </w:r>
          </w:p>
        </w:tc>
        <w:tc>
          <w:tcPr>
            <w:tcW w:w="4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D9F0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能否预约</w:t>
            </w:r>
          </w:p>
        </w:tc>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BA897F">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备注</w:t>
            </w:r>
          </w:p>
        </w:tc>
      </w:tr>
      <w:tr w14:paraId="3EBB15D2">
        <w:tblPrEx>
          <w:tblCellMar>
            <w:top w:w="0" w:type="dxa"/>
            <w:left w:w="108" w:type="dxa"/>
            <w:bottom w:w="0" w:type="dxa"/>
            <w:right w:w="108" w:type="dxa"/>
          </w:tblCellMar>
        </w:tblPrEx>
        <w:trPr>
          <w:trHeight w:val="104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5C787">
            <w:pPr>
              <w:widowControl/>
              <w:spacing w:line="280" w:lineRule="exact"/>
              <w:jc w:val="left"/>
              <w:rPr>
                <w:rFonts w:hint="eastAsia" w:ascii="黑体" w:hAnsi="黑体" w:eastAsia="黑体" w:cs="宋体"/>
                <w:bCs/>
                <w:color w:val="000000"/>
                <w:kern w:val="0"/>
                <w:szCs w:val="21"/>
              </w:rPr>
            </w:pPr>
          </w:p>
        </w:tc>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13E91">
            <w:pPr>
              <w:widowControl/>
              <w:spacing w:line="280" w:lineRule="exact"/>
              <w:jc w:val="left"/>
              <w:rPr>
                <w:rFonts w:hint="eastAsia" w:ascii="黑体" w:hAnsi="黑体" w:eastAsia="黑体" w:cs="宋体"/>
                <w:bCs/>
                <w:color w:val="000000"/>
                <w:kern w:val="0"/>
                <w:szCs w:val="21"/>
              </w:rPr>
            </w:pPr>
          </w:p>
        </w:tc>
        <w:tc>
          <w:tcPr>
            <w:tcW w:w="6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87375">
            <w:pPr>
              <w:widowControl/>
              <w:spacing w:line="280" w:lineRule="exact"/>
              <w:jc w:val="left"/>
              <w:rPr>
                <w:rFonts w:hint="eastAsia" w:ascii="黑体" w:hAnsi="黑体" w:eastAsia="黑体" w:cs="宋体"/>
                <w:bCs/>
                <w:color w:val="000000"/>
                <w:kern w:val="0"/>
                <w:szCs w:val="21"/>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6CC8133">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法律效力位阶</w:t>
            </w:r>
          </w:p>
        </w:tc>
        <w:tc>
          <w:tcPr>
            <w:tcW w:w="4229" w:type="dxa"/>
            <w:tcBorders>
              <w:top w:val="single" w:color="000000" w:sz="4" w:space="0"/>
              <w:left w:val="single" w:color="000000" w:sz="4" w:space="0"/>
              <w:bottom w:val="single" w:color="000000" w:sz="4" w:space="0"/>
              <w:right w:val="single" w:color="000000" w:sz="4" w:space="0"/>
            </w:tcBorders>
            <w:noWrap w:val="0"/>
            <w:vAlign w:val="center"/>
          </w:tcPr>
          <w:p w14:paraId="135CC4B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依据内容</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（具体到条款项目的内容）</w:t>
            </w: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5A29E">
            <w:pPr>
              <w:widowControl/>
              <w:spacing w:line="280" w:lineRule="exact"/>
              <w:jc w:val="left"/>
              <w:rPr>
                <w:rFonts w:hint="eastAsia" w:ascii="黑体" w:hAnsi="黑体" w:eastAsia="黑体" w:cs="宋体"/>
                <w:bCs/>
                <w:color w:val="000000"/>
                <w:kern w:val="0"/>
                <w:szCs w:val="21"/>
              </w:rPr>
            </w:pP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233BF">
            <w:pPr>
              <w:widowControl/>
              <w:spacing w:line="280" w:lineRule="exact"/>
              <w:jc w:val="left"/>
              <w:rPr>
                <w:rFonts w:hint="eastAsia" w:ascii="黑体" w:hAnsi="黑体" w:eastAsia="黑体" w:cs="宋体"/>
                <w:bCs/>
                <w:color w:val="000000"/>
                <w:kern w:val="0"/>
                <w:szCs w:val="21"/>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40329">
            <w:pPr>
              <w:widowControl/>
              <w:spacing w:line="280" w:lineRule="exact"/>
              <w:jc w:val="left"/>
              <w:rPr>
                <w:rFonts w:hint="eastAsia" w:ascii="黑体" w:hAnsi="黑体" w:eastAsia="黑体" w:cs="宋体"/>
                <w:bCs/>
                <w:color w:val="000000"/>
                <w:kern w:val="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EE262">
            <w:pPr>
              <w:widowControl/>
              <w:spacing w:line="280" w:lineRule="exact"/>
              <w:jc w:val="left"/>
              <w:rPr>
                <w:rFonts w:hint="eastAsia" w:ascii="黑体" w:hAnsi="黑体" w:eastAsia="黑体" w:cs="宋体"/>
                <w:bCs/>
                <w:color w:val="000000"/>
                <w:kern w:val="0"/>
                <w:szCs w:val="21"/>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06038">
            <w:pPr>
              <w:widowControl/>
              <w:spacing w:line="280" w:lineRule="exact"/>
              <w:jc w:val="left"/>
              <w:rPr>
                <w:rFonts w:hint="eastAsia" w:ascii="黑体" w:hAnsi="黑体" w:eastAsia="黑体" w:cs="宋体"/>
                <w:bCs/>
                <w:color w:val="000000"/>
                <w:kern w:val="0"/>
                <w:szCs w:val="21"/>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7695B">
            <w:pPr>
              <w:widowControl/>
              <w:spacing w:line="280" w:lineRule="exact"/>
              <w:jc w:val="left"/>
              <w:rPr>
                <w:rFonts w:hint="eastAsia" w:ascii="黑体" w:hAnsi="黑体" w:eastAsia="黑体" w:cs="宋体"/>
                <w:bCs/>
                <w:color w:val="000000"/>
                <w:kern w:val="0"/>
                <w:szCs w:val="21"/>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877DCB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11F5C3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15EF8D0">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165B9E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5F07B2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C812DB0">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5D79C">
            <w:pPr>
              <w:widowControl/>
              <w:spacing w:line="280" w:lineRule="exact"/>
              <w:jc w:val="left"/>
              <w:rPr>
                <w:rFonts w:hint="eastAsia" w:ascii="黑体" w:hAnsi="黑体" w:eastAsia="黑体" w:cs="宋体"/>
                <w:bCs/>
                <w:color w:val="000000"/>
                <w:kern w:val="0"/>
                <w:szCs w:val="21"/>
              </w:rPr>
            </w:pPr>
          </w:p>
        </w:tc>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C249B">
            <w:pPr>
              <w:widowControl/>
              <w:spacing w:line="280" w:lineRule="exact"/>
              <w:jc w:val="left"/>
              <w:rPr>
                <w:rFonts w:hint="eastAsia" w:ascii="黑体" w:hAnsi="黑体" w:eastAsia="黑体" w:cs="宋体"/>
                <w:bCs/>
                <w:color w:val="000000"/>
                <w:kern w:val="0"/>
                <w:szCs w:val="21"/>
              </w:rPr>
            </w:pPr>
          </w:p>
        </w:tc>
      </w:tr>
      <w:tr w14:paraId="352F1F67">
        <w:tblPrEx>
          <w:tblCellMar>
            <w:top w:w="0" w:type="dxa"/>
            <w:left w:w="108" w:type="dxa"/>
            <w:bottom w:w="0" w:type="dxa"/>
            <w:right w:w="108" w:type="dxa"/>
          </w:tblCellMar>
        </w:tblPrEx>
        <w:trPr>
          <w:trHeight w:val="4539"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14:paraId="3652A6CD">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811" w:type="dxa"/>
            <w:tcBorders>
              <w:top w:val="single" w:color="000000" w:sz="4" w:space="0"/>
              <w:left w:val="single" w:color="000000" w:sz="4" w:space="0"/>
              <w:bottom w:val="single" w:color="000000" w:sz="4" w:space="0"/>
              <w:right w:val="single" w:color="000000" w:sz="4" w:space="0"/>
            </w:tcBorders>
            <w:noWrap w:val="0"/>
            <w:vAlign w:val="top"/>
          </w:tcPr>
          <w:p w14:paraId="40826551">
            <w:pPr>
              <w:pStyle w:val="4"/>
              <w:spacing w:line="248" w:lineRule="auto"/>
            </w:pPr>
          </w:p>
          <w:p w14:paraId="11C5A72B">
            <w:pPr>
              <w:pStyle w:val="4"/>
              <w:spacing w:line="248" w:lineRule="auto"/>
            </w:pPr>
          </w:p>
          <w:p w14:paraId="5E9B6F80">
            <w:pPr>
              <w:pStyle w:val="4"/>
              <w:spacing w:line="248" w:lineRule="auto"/>
            </w:pPr>
          </w:p>
          <w:p w14:paraId="7F785241">
            <w:pPr>
              <w:pStyle w:val="4"/>
              <w:spacing w:line="248" w:lineRule="auto"/>
            </w:pPr>
          </w:p>
          <w:p w14:paraId="2B07582E">
            <w:pPr>
              <w:pStyle w:val="4"/>
              <w:spacing w:line="248" w:lineRule="auto"/>
            </w:pPr>
          </w:p>
          <w:p w14:paraId="0FAE3B14">
            <w:pPr>
              <w:pStyle w:val="4"/>
              <w:spacing w:line="248" w:lineRule="auto"/>
            </w:pPr>
          </w:p>
          <w:p w14:paraId="4B79B2BD">
            <w:pPr>
              <w:spacing w:before="40" w:line="224" w:lineRule="auto"/>
              <w:ind w:left="197" w:leftChars="0"/>
              <w:rPr>
                <w:rFonts w:hint="eastAsia" w:ascii="仿宋_GB2312" w:hAnsi="宋体" w:eastAsia="仿宋_GB2312" w:cs="宋体"/>
                <w:color w:val="000000"/>
                <w:kern w:val="0"/>
                <w:szCs w:val="21"/>
              </w:rPr>
            </w:pPr>
            <w:r>
              <w:rPr>
                <w:rFonts w:hint="eastAsia" w:ascii="FangSong_GB2312" w:hAnsi="FangSong_GB2312" w:eastAsia="FangSong_GB2312" w:cs="FangSong_GB2312"/>
                <w:sz w:val="20"/>
                <w:szCs w:val="20"/>
                <w:lang w:val="en-US" w:eastAsia="zh-CN"/>
              </w:rPr>
              <w:t>对定点零售药店、诊所、民营医疗机构的行政执法检查</w:t>
            </w:r>
          </w:p>
        </w:tc>
        <w:tc>
          <w:tcPr>
            <w:tcW w:w="699" w:type="dxa"/>
            <w:tcBorders>
              <w:top w:val="single" w:color="000000" w:sz="4" w:space="0"/>
              <w:left w:val="single" w:color="000000" w:sz="4" w:space="0"/>
              <w:bottom w:val="single" w:color="000000" w:sz="4" w:space="0"/>
              <w:right w:val="single" w:color="000000" w:sz="4" w:space="0"/>
            </w:tcBorders>
            <w:noWrap w:val="0"/>
            <w:vAlign w:val="top"/>
          </w:tcPr>
          <w:p w14:paraId="546C9DDC">
            <w:pPr>
              <w:pStyle w:val="4"/>
              <w:spacing w:line="311" w:lineRule="auto"/>
            </w:pPr>
          </w:p>
          <w:p w14:paraId="59C041BF">
            <w:pPr>
              <w:pStyle w:val="4"/>
              <w:spacing w:line="311" w:lineRule="auto"/>
            </w:pPr>
          </w:p>
          <w:p w14:paraId="2F90F716">
            <w:pPr>
              <w:pStyle w:val="4"/>
              <w:spacing w:line="311" w:lineRule="auto"/>
            </w:pPr>
          </w:p>
          <w:p w14:paraId="09FE2A01">
            <w:pPr>
              <w:spacing w:before="38" w:line="222" w:lineRule="auto"/>
              <w:ind w:left="151" w:leftChars="0"/>
              <w:rPr>
                <w:rFonts w:hint="eastAsia" w:ascii="仿宋_GB2312" w:hAnsi="宋体" w:eastAsia="仿宋_GB2312" w:cs="宋体"/>
                <w:color w:val="000000"/>
                <w:kern w:val="0"/>
                <w:szCs w:val="21"/>
              </w:rPr>
            </w:pPr>
            <w:r>
              <w:rPr>
                <w:rFonts w:hint="eastAsia" w:ascii="FangSong_GB2312" w:hAnsi="FangSong_GB2312" w:eastAsia="FangSong_GB2312" w:cs="FangSong_GB2312"/>
                <w:sz w:val="20"/>
                <w:szCs w:val="20"/>
                <w:lang w:val="en-US" w:eastAsia="zh-CN"/>
              </w:rPr>
              <w:t>定点零售药店、诊所、民营医疗机构</w:t>
            </w:r>
          </w:p>
        </w:tc>
        <w:tc>
          <w:tcPr>
            <w:tcW w:w="757" w:type="dxa"/>
            <w:tcBorders>
              <w:top w:val="single" w:color="000000" w:sz="4" w:space="0"/>
              <w:left w:val="single" w:color="000000" w:sz="4" w:space="0"/>
              <w:bottom w:val="single" w:color="000000" w:sz="4" w:space="0"/>
              <w:right w:val="single" w:color="000000" w:sz="4" w:space="0"/>
            </w:tcBorders>
            <w:noWrap w:val="0"/>
            <w:vAlign w:val="top"/>
          </w:tcPr>
          <w:p w14:paraId="41A8B610">
            <w:pPr>
              <w:pStyle w:val="4"/>
              <w:spacing w:line="272" w:lineRule="auto"/>
            </w:pPr>
          </w:p>
          <w:p w14:paraId="4E1DFF13">
            <w:pPr>
              <w:pStyle w:val="4"/>
              <w:spacing w:line="272" w:lineRule="auto"/>
            </w:pPr>
          </w:p>
          <w:p w14:paraId="39703114">
            <w:pPr>
              <w:pStyle w:val="4"/>
              <w:spacing w:line="272" w:lineRule="auto"/>
            </w:pPr>
          </w:p>
          <w:p w14:paraId="76597864">
            <w:pPr>
              <w:pStyle w:val="4"/>
              <w:spacing w:line="272" w:lineRule="auto"/>
            </w:pPr>
          </w:p>
          <w:p w14:paraId="1DBCD506">
            <w:pPr>
              <w:pStyle w:val="4"/>
              <w:spacing w:line="272" w:lineRule="auto"/>
            </w:pPr>
          </w:p>
          <w:p w14:paraId="26677540">
            <w:pPr>
              <w:pStyle w:val="4"/>
              <w:spacing w:line="272" w:lineRule="auto"/>
            </w:pPr>
          </w:p>
          <w:p w14:paraId="6D59AA59">
            <w:pPr>
              <w:pStyle w:val="4"/>
              <w:spacing w:line="273" w:lineRule="auto"/>
            </w:pPr>
          </w:p>
          <w:p w14:paraId="62ED8848">
            <w:pPr>
              <w:spacing w:before="65" w:line="222" w:lineRule="auto"/>
              <w:ind w:left="172"/>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行政</w:t>
            </w:r>
          </w:p>
          <w:p w14:paraId="6D02BCB6">
            <w:pPr>
              <w:spacing w:before="40" w:line="225" w:lineRule="auto"/>
              <w:ind w:left="180" w:leftChars="0"/>
              <w:rPr>
                <w:rFonts w:hint="eastAsia" w:ascii="仿宋_GB2312" w:hAnsi="宋体" w:eastAsia="仿宋_GB2312" w:cs="宋体"/>
                <w:color w:val="000000"/>
                <w:kern w:val="0"/>
                <w:szCs w:val="21"/>
              </w:rPr>
            </w:pPr>
            <w:r>
              <w:rPr>
                <w:rFonts w:ascii="FangSong_GB2312" w:hAnsi="FangSong_GB2312" w:eastAsia="FangSong_GB2312" w:cs="FangSong_GB2312"/>
                <w:spacing w:val="1"/>
                <w:sz w:val="20"/>
                <w:szCs w:val="20"/>
              </w:rPr>
              <w:t>法规</w:t>
            </w:r>
          </w:p>
        </w:tc>
        <w:tc>
          <w:tcPr>
            <w:tcW w:w="4229" w:type="dxa"/>
            <w:tcBorders>
              <w:top w:val="single" w:color="000000" w:sz="4" w:space="0"/>
              <w:left w:val="single" w:color="000000" w:sz="4" w:space="0"/>
              <w:bottom w:val="single" w:color="000000" w:sz="4" w:space="0"/>
              <w:right w:val="single" w:color="000000" w:sz="4" w:space="0"/>
            </w:tcBorders>
            <w:noWrap w:val="0"/>
            <w:vAlign w:val="top"/>
          </w:tcPr>
          <w:p w14:paraId="0B14BEBC">
            <w:pPr>
              <w:spacing w:before="2" w:line="258" w:lineRule="auto"/>
              <w:ind w:left="111" w:right="129" w:firstLine="420"/>
              <w:jc w:val="both"/>
              <w:rPr>
                <w:rFonts w:hint="eastAsia" w:ascii="FangSong_GB2312" w:hAnsi="FangSong_GB2312" w:eastAsia="FangSong_GB2312" w:cs="FangSong_GB2312"/>
                <w:sz w:val="20"/>
                <w:szCs w:val="20"/>
                <w:lang w:val="en-US" w:eastAsia="zh-CN"/>
              </w:rPr>
            </w:pPr>
            <w:r>
              <w:rPr>
                <w:rFonts w:hint="eastAsia" w:ascii="FangSong_GB2312" w:hAnsi="FangSong_GB2312" w:eastAsia="FangSong_GB2312" w:cs="FangSong_GB2312"/>
                <w:sz w:val="20"/>
                <w:szCs w:val="20"/>
                <w:lang w:val="en-US" w:eastAsia="zh-CN"/>
              </w:rPr>
              <w:t>《医疗保障基金监管条例》第六条国务院医疗保障行政部门主管全国的医疗保障基金使用监督管理工作。国务院其他有关在各自职责范围内负责有关的医疗保障基金使用监督管理工作。县级以上地方人民政府医疗保障行政部门负责本行政区域的医疗保障基金使用监督管理工作。县级以上地方人民政府其他有关部门在各自职责范围内负责有关的医疗保障基金使用监督管理工作。</w:t>
            </w:r>
          </w:p>
          <w:p w14:paraId="0683DFF1">
            <w:pPr>
              <w:spacing w:before="2" w:line="258" w:lineRule="auto"/>
              <w:ind w:left="111" w:leftChars="0" w:right="129" w:rightChars="0" w:firstLine="420" w:firstLineChars="0"/>
              <w:jc w:val="both"/>
              <w:rPr>
                <w:rFonts w:hint="eastAsia" w:ascii="仿宋_GB2312" w:hAnsi="宋体" w:eastAsia="仿宋_GB2312" w:cs="宋体"/>
                <w:color w:val="000000"/>
                <w:kern w:val="0"/>
                <w:szCs w:val="21"/>
              </w:rPr>
            </w:pPr>
            <w:r>
              <w:rPr>
                <w:rFonts w:hint="eastAsia" w:ascii="FangSong_GB2312" w:hAnsi="FangSong_GB2312" w:eastAsia="FangSong_GB2312" w:cs="FangSong_GB2312"/>
                <w:sz w:val="20"/>
                <w:szCs w:val="20"/>
                <w:lang w:val="en-US" w:eastAsia="zh-CN"/>
              </w:rPr>
              <w:t>第二十二条医疗保障、卫生健康、中医药、市场监督管理、财政、审计、公安等部门应当分工协作、相互配合、建立沟通协调、案件移送等机制，共同做好医疗保障基金使用监督管理工作。医疗保障行政部门应当加强对纳入医疗保障基金支付范围的医疗服务行为和医疗费用的监督，规范医疗保障经办业务，依法查处违法使用医疗保障基金的行为。</w:t>
            </w:r>
          </w:p>
        </w:tc>
        <w:tc>
          <w:tcPr>
            <w:tcW w:w="1303" w:type="dxa"/>
            <w:tcBorders>
              <w:top w:val="single" w:color="000000" w:sz="4" w:space="0"/>
              <w:left w:val="single" w:color="000000" w:sz="4" w:space="0"/>
              <w:bottom w:val="single" w:color="000000" w:sz="4" w:space="0"/>
              <w:right w:val="single" w:color="000000" w:sz="4" w:space="0"/>
            </w:tcBorders>
            <w:noWrap w:val="0"/>
            <w:vAlign w:val="top"/>
          </w:tcPr>
          <w:p w14:paraId="084D8DFE">
            <w:pPr>
              <w:pStyle w:val="4"/>
              <w:spacing w:line="265" w:lineRule="auto"/>
              <w:rPr>
                <w:rFonts w:hint="default" w:eastAsia="宋体"/>
                <w:lang w:val="en-US" w:eastAsia="zh-CN"/>
              </w:rPr>
            </w:pPr>
            <w:r>
              <w:rPr>
                <w:rFonts w:hint="eastAsia" w:ascii="仿宋" w:hAnsi="仿宋" w:eastAsia="仿宋" w:cs="仿宋"/>
                <w:lang w:val="en-US" w:eastAsia="zh-CN"/>
              </w:rPr>
              <w:t>检查内容：定点药店、诊所、民营医疗机构的医保基金使用情况。</w:t>
            </w:r>
          </w:p>
          <w:p w14:paraId="1951AE71">
            <w:pPr>
              <w:spacing w:before="38" w:line="224" w:lineRule="auto"/>
              <w:rPr>
                <w:rFonts w:hint="eastAsia" w:ascii="仿宋_GB2312" w:hAnsi="宋体" w:eastAsia="仿宋_GB2312" w:cs="宋体"/>
                <w:color w:val="000000"/>
                <w:kern w:val="0"/>
                <w:szCs w:val="21"/>
              </w:rPr>
            </w:pPr>
            <w:r>
              <w:rPr>
                <w:rFonts w:ascii="FangSong_GB2312" w:hAnsi="FangSong_GB2312" w:eastAsia="FangSong_GB2312" w:cs="FangSong_GB2312"/>
                <w:spacing w:val="6"/>
                <w:sz w:val="20"/>
                <w:szCs w:val="20"/>
              </w:rPr>
              <w:t>检查要求：</w:t>
            </w:r>
            <w:r>
              <w:rPr>
                <w:rFonts w:hint="eastAsia" w:ascii="FangSong_GB2312" w:hAnsi="FangSong_GB2312" w:eastAsia="FangSong_GB2312" w:cs="FangSong_GB2312"/>
                <w:spacing w:val="1"/>
                <w:sz w:val="20"/>
                <w:szCs w:val="20"/>
                <w:lang w:val="en-US" w:eastAsia="zh-CN"/>
              </w:rPr>
              <w:t>对定点药店、诊所、民营医疗机构纳入医保基金支付范围的医疗服务行为和医疗费用进行监督检查。</w:t>
            </w:r>
          </w:p>
        </w:tc>
        <w:tc>
          <w:tcPr>
            <w:tcW w:w="865" w:type="dxa"/>
            <w:tcBorders>
              <w:top w:val="single" w:color="000000" w:sz="4" w:space="0"/>
              <w:left w:val="single" w:color="000000" w:sz="4" w:space="0"/>
              <w:bottom w:val="single" w:color="000000" w:sz="4" w:space="0"/>
              <w:right w:val="single" w:color="000000" w:sz="4" w:space="0"/>
            </w:tcBorders>
            <w:noWrap w:val="0"/>
            <w:vAlign w:val="top"/>
          </w:tcPr>
          <w:p w14:paraId="756458C3">
            <w:pPr>
              <w:pStyle w:val="4"/>
              <w:spacing w:line="271" w:lineRule="auto"/>
            </w:pPr>
          </w:p>
          <w:p w14:paraId="79B4E9E2">
            <w:pPr>
              <w:pStyle w:val="4"/>
              <w:spacing w:line="271" w:lineRule="auto"/>
            </w:pPr>
          </w:p>
          <w:p w14:paraId="13E2EDEB">
            <w:pPr>
              <w:pStyle w:val="4"/>
              <w:spacing w:line="271" w:lineRule="auto"/>
            </w:pPr>
          </w:p>
          <w:p w14:paraId="6F2E1672">
            <w:pPr>
              <w:pStyle w:val="4"/>
              <w:spacing w:line="271" w:lineRule="auto"/>
            </w:pPr>
          </w:p>
          <w:p w14:paraId="4C82596A">
            <w:pPr>
              <w:pStyle w:val="4"/>
              <w:spacing w:line="271" w:lineRule="auto"/>
            </w:pPr>
          </w:p>
          <w:p w14:paraId="539FB622">
            <w:pPr>
              <w:pStyle w:val="4"/>
              <w:spacing w:line="271" w:lineRule="auto"/>
            </w:pPr>
          </w:p>
          <w:p w14:paraId="253B91BE">
            <w:pPr>
              <w:spacing w:before="65" w:line="224" w:lineRule="auto"/>
              <w:ind w:left="13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现场检</w:t>
            </w:r>
          </w:p>
          <w:p w14:paraId="0F4466E8">
            <w:pPr>
              <w:spacing w:before="38" w:line="224" w:lineRule="auto"/>
              <w:ind w:left="12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查或者</w:t>
            </w:r>
          </w:p>
          <w:p w14:paraId="3604B9DD">
            <w:pPr>
              <w:spacing w:before="38" w:line="257" w:lineRule="auto"/>
              <w:ind w:left="226" w:leftChars="0" w:right="113" w:rightChars="0" w:hanging="91" w:firstLineChars="0"/>
              <w:rPr>
                <w:rFonts w:hint="eastAsia" w:ascii="仿宋_GB2312" w:hAnsi="宋体" w:eastAsia="仿宋_GB2312" w:cs="宋体"/>
                <w:color w:val="000000"/>
                <w:kern w:val="0"/>
                <w:szCs w:val="21"/>
              </w:rPr>
            </w:pPr>
            <w:r>
              <w:rPr>
                <w:rFonts w:ascii="FangSong_GB2312" w:hAnsi="FangSong_GB2312" w:eastAsia="FangSong_GB2312" w:cs="FangSong_GB2312"/>
                <w:spacing w:val="3"/>
                <w:sz w:val="20"/>
                <w:szCs w:val="20"/>
              </w:rPr>
              <w:t>非现场</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6"/>
                <w:sz w:val="20"/>
                <w:szCs w:val="20"/>
              </w:rPr>
              <w:t>检查</w:t>
            </w:r>
          </w:p>
        </w:tc>
        <w:tc>
          <w:tcPr>
            <w:tcW w:w="510" w:type="dxa"/>
            <w:tcBorders>
              <w:top w:val="single" w:color="000000" w:sz="4" w:space="0"/>
              <w:left w:val="single" w:color="000000" w:sz="4" w:space="0"/>
              <w:bottom w:val="single" w:color="000000" w:sz="4" w:space="0"/>
              <w:right w:val="single" w:color="000000" w:sz="4" w:space="0"/>
            </w:tcBorders>
            <w:noWrap w:val="0"/>
            <w:vAlign w:val="top"/>
          </w:tcPr>
          <w:p w14:paraId="632944F5">
            <w:pPr>
              <w:pStyle w:val="4"/>
              <w:spacing w:line="276" w:lineRule="auto"/>
            </w:pPr>
          </w:p>
          <w:p w14:paraId="1CD91721">
            <w:pPr>
              <w:pStyle w:val="4"/>
              <w:spacing w:line="276" w:lineRule="auto"/>
            </w:pPr>
          </w:p>
          <w:p w14:paraId="625235D8">
            <w:pPr>
              <w:pStyle w:val="4"/>
              <w:spacing w:line="276" w:lineRule="auto"/>
            </w:pPr>
          </w:p>
          <w:p w14:paraId="0B18A0F8">
            <w:pPr>
              <w:pStyle w:val="4"/>
              <w:spacing w:line="276" w:lineRule="auto"/>
            </w:pPr>
          </w:p>
          <w:p w14:paraId="63C9CFA1">
            <w:pPr>
              <w:pStyle w:val="4"/>
              <w:spacing w:line="276" w:lineRule="auto"/>
            </w:pPr>
          </w:p>
          <w:p w14:paraId="3E90AAE2">
            <w:pPr>
              <w:pStyle w:val="4"/>
              <w:spacing w:line="277" w:lineRule="auto"/>
            </w:pPr>
          </w:p>
          <w:p w14:paraId="0E71BFA3">
            <w:pPr>
              <w:spacing w:before="37" w:line="228" w:lineRule="auto"/>
              <w:ind w:left="161" w:leftChars="0"/>
              <w:rPr>
                <w:rFonts w:hint="eastAsia" w:ascii="仿宋_GB2312" w:hAnsi="宋体" w:eastAsia="仿宋_GB2312" w:cs="宋体"/>
                <w:color w:val="000000"/>
                <w:kern w:val="0"/>
                <w:szCs w:val="21"/>
              </w:rPr>
            </w:pPr>
            <w:r>
              <w:rPr>
                <w:rFonts w:hint="eastAsia" w:ascii="FangSong_GB2312" w:hAnsi="FangSong_GB2312" w:eastAsia="FangSong_GB2312" w:cs="FangSong_GB2312"/>
                <w:sz w:val="20"/>
                <w:szCs w:val="20"/>
                <w:lang w:val="en-US" w:eastAsia="zh-CN"/>
              </w:rPr>
              <w:t>旺苍县医疗保障局</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4ABD968C">
            <w:pPr>
              <w:pStyle w:val="4"/>
              <w:spacing w:line="255" w:lineRule="auto"/>
            </w:pPr>
          </w:p>
          <w:p w14:paraId="3100F19A">
            <w:pPr>
              <w:pStyle w:val="4"/>
              <w:spacing w:line="255" w:lineRule="auto"/>
            </w:pPr>
          </w:p>
          <w:p w14:paraId="5DC2D42B">
            <w:pPr>
              <w:pStyle w:val="4"/>
              <w:spacing w:line="255" w:lineRule="auto"/>
            </w:pPr>
          </w:p>
          <w:p w14:paraId="20832886">
            <w:pPr>
              <w:pStyle w:val="4"/>
              <w:spacing w:line="255" w:lineRule="auto"/>
            </w:pPr>
          </w:p>
          <w:p w14:paraId="315B8B2A">
            <w:pPr>
              <w:pStyle w:val="4"/>
              <w:spacing w:line="256" w:lineRule="auto"/>
            </w:pPr>
          </w:p>
          <w:p w14:paraId="58E28C28">
            <w:pPr>
              <w:pStyle w:val="4"/>
              <w:spacing w:line="256" w:lineRule="auto"/>
            </w:pPr>
          </w:p>
          <w:p w14:paraId="3DD10F2C">
            <w:pPr>
              <w:pStyle w:val="4"/>
              <w:spacing w:line="256" w:lineRule="auto"/>
            </w:pPr>
          </w:p>
          <w:p w14:paraId="6ECDE44E">
            <w:pPr>
              <w:pStyle w:val="4"/>
              <w:spacing w:line="256" w:lineRule="auto"/>
            </w:pPr>
          </w:p>
          <w:p w14:paraId="35EEA5B5">
            <w:pPr>
              <w:spacing w:before="65" w:line="225" w:lineRule="auto"/>
              <w:ind w:left="130" w:leftChars="0"/>
              <w:rPr>
                <w:rFonts w:hint="eastAsia" w:ascii="仿宋_GB2312" w:hAnsi="宋体" w:eastAsia="仿宋_GB2312" w:cs="宋体"/>
                <w:color w:val="000000"/>
                <w:kern w:val="0"/>
                <w:szCs w:val="21"/>
              </w:rPr>
            </w:pPr>
            <w:r>
              <w:rPr>
                <w:rFonts w:hint="eastAsia" w:ascii="FangSong_GB2312" w:hAnsi="FangSong_GB2312" w:eastAsia="FangSong_GB2312" w:cs="FangSong_GB2312"/>
                <w:sz w:val="20"/>
                <w:szCs w:val="20"/>
                <w:lang w:val="en-US" w:eastAsia="zh-CN"/>
              </w:rPr>
              <w:t>综合业务股</w:t>
            </w:r>
          </w:p>
        </w:tc>
        <w:tc>
          <w:tcPr>
            <w:tcW w:w="691" w:type="dxa"/>
            <w:tcBorders>
              <w:top w:val="single" w:color="000000" w:sz="4" w:space="0"/>
              <w:left w:val="single" w:color="000000" w:sz="4" w:space="0"/>
              <w:bottom w:val="single" w:color="000000" w:sz="4" w:space="0"/>
              <w:right w:val="single" w:color="000000" w:sz="4" w:space="0"/>
            </w:tcBorders>
            <w:noWrap w:val="0"/>
            <w:vAlign w:val="top"/>
          </w:tcPr>
          <w:p w14:paraId="533C3604">
            <w:pPr>
              <w:pStyle w:val="4"/>
              <w:spacing w:line="252" w:lineRule="auto"/>
            </w:pPr>
          </w:p>
          <w:p w14:paraId="40F11E73">
            <w:pPr>
              <w:pStyle w:val="4"/>
              <w:spacing w:line="252" w:lineRule="auto"/>
            </w:pPr>
          </w:p>
          <w:p w14:paraId="62FE9999">
            <w:pPr>
              <w:pStyle w:val="4"/>
              <w:spacing w:line="252" w:lineRule="auto"/>
            </w:pPr>
          </w:p>
          <w:p w14:paraId="21375831">
            <w:pPr>
              <w:pStyle w:val="4"/>
              <w:spacing w:line="252" w:lineRule="auto"/>
            </w:pPr>
          </w:p>
          <w:p w14:paraId="5590CB7F">
            <w:pPr>
              <w:pStyle w:val="4"/>
              <w:spacing w:line="253" w:lineRule="auto"/>
            </w:pPr>
          </w:p>
          <w:p w14:paraId="4675519F">
            <w:pPr>
              <w:pStyle w:val="4"/>
              <w:spacing w:line="253" w:lineRule="auto"/>
            </w:pPr>
          </w:p>
          <w:p w14:paraId="2B21EF0C">
            <w:pPr>
              <w:pStyle w:val="4"/>
              <w:spacing w:line="253" w:lineRule="auto"/>
            </w:pPr>
          </w:p>
          <w:p w14:paraId="29FF3591">
            <w:pPr>
              <w:spacing w:before="2" w:line="222" w:lineRule="auto"/>
              <w:ind w:left="143" w:leftChars="0"/>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根据工作需要确定</w:t>
            </w:r>
          </w:p>
        </w:tc>
        <w:tc>
          <w:tcPr>
            <w:tcW w:w="695" w:type="dxa"/>
            <w:tcBorders>
              <w:top w:val="single" w:color="000000" w:sz="4" w:space="0"/>
              <w:left w:val="single" w:color="000000" w:sz="4" w:space="0"/>
              <w:bottom w:val="single" w:color="000000" w:sz="4" w:space="0"/>
              <w:right w:val="single" w:color="000000" w:sz="4" w:space="0"/>
            </w:tcBorders>
            <w:noWrap w:val="0"/>
            <w:vAlign w:val="top"/>
          </w:tcPr>
          <w:p w14:paraId="6C29A1B5">
            <w:pPr>
              <w:pStyle w:val="4"/>
              <w:spacing w:line="272" w:lineRule="auto"/>
            </w:pPr>
          </w:p>
          <w:p w14:paraId="7BADA10B">
            <w:pPr>
              <w:pStyle w:val="4"/>
              <w:spacing w:line="272" w:lineRule="auto"/>
            </w:pPr>
          </w:p>
          <w:p w14:paraId="555F4FD5">
            <w:pPr>
              <w:pStyle w:val="4"/>
              <w:spacing w:line="272" w:lineRule="auto"/>
            </w:pPr>
          </w:p>
          <w:p w14:paraId="5501C9B8">
            <w:pPr>
              <w:pStyle w:val="4"/>
              <w:spacing w:line="272" w:lineRule="auto"/>
            </w:pPr>
          </w:p>
          <w:p w14:paraId="6A0141AF">
            <w:pPr>
              <w:pStyle w:val="4"/>
              <w:spacing w:line="272" w:lineRule="auto"/>
            </w:pPr>
          </w:p>
          <w:p w14:paraId="2988D863">
            <w:pPr>
              <w:pStyle w:val="4"/>
              <w:spacing w:line="272" w:lineRule="auto"/>
            </w:pPr>
          </w:p>
          <w:p w14:paraId="14660DD7">
            <w:pPr>
              <w:pStyle w:val="4"/>
              <w:spacing w:line="273" w:lineRule="auto"/>
            </w:pPr>
          </w:p>
          <w:p w14:paraId="1A676305">
            <w:pPr>
              <w:spacing w:before="65" w:line="224" w:lineRule="auto"/>
              <w:ind w:left="144"/>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全年</w:t>
            </w:r>
          </w:p>
          <w:p w14:paraId="207517FF">
            <w:pPr>
              <w:spacing w:before="38" w:line="228" w:lineRule="auto"/>
              <w:ind w:left="158" w:leftChars="0"/>
              <w:rPr>
                <w:rFonts w:hint="eastAsia" w:ascii="仿宋_GB2312" w:hAnsi="宋体" w:eastAsia="仿宋_GB2312" w:cs="宋体"/>
                <w:color w:val="000000"/>
                <w:kern w:val="0"/>
                <w:szCs w:val="21"/>
              </w:rPr>
            </w:pPr>
            <w:r>
              <w:rPr>
                <w:rFonts w:ascii="FangSong_GB2312" w:hAnsi="FangSong_GB2312" w:eastAsia="FangSong_GB2312" w:cs="FangSong_GB2312"/>
                <w:spacing w:val="-2"/>
                <w:sz w:val="20"/>
                <w:szCs w:val="20"/>
              </w:rPr>
              <w:t>一次</w:t>
            </w:r>
          </w:p>
        </w:tc>
        <w:tc>
          <w:tcPr>
            <w:tcW w:w="448" w:type="dxa"/>
            <w:tcBorders>
              <w:top w:val="single" w:color="000000" w:sz="4" w:space="0"/>
              <w:left w:val="single" w:color="000000" w:sz="4" w:space="0"/>
              <w:bottom w:val="single" w:color="000000" w:sz="4" w:space="0"/>
              <w:right w:val="single" w:color="000000" w:sz="4" w:space="0"/>
            </w:tcBorders>
            <w:noWrap w:val="0"/>
            <w:vAlign w:val="top"/>
          </w:tcPr>
          <w:p w14:paraId="1748D92E">
            <w:pPr>
              <w:pStyle w:val="4"/>
              <w:spacing w:line="255" w:lineRule="auto"/>
            </w:pPr>
          </w:p>
          <w:p w14:paraId="6A8F285C">
            <w:pPr>
              <w:pStyle w:val="4"/>
              <w:spacing w:line="255" w:lineRule="auto"/>
            </w:pPr>
          </w:p>
          <w:p w14:paraId="589693C6">
            <w:pPr>
              <w:pStyle w:val="4"/>
              <w:spacing w:line="255" w:lineRule="auto"/>
            </w:pPr>
          </w:p>
          <w:p w14:paraId="7D0A1F43">
            <w:pPr>
              <w:pStyle w:val="4"/>
              <w:spacing w:line="255" w:lineRule="auto"/>
            </w:pPr>
          </w:p>
          <w:p w14:paraId="6388BC39">
            <w:pPr>
              <w:pStyle w:val="4"/>
              <w:spacing w:line="256" w:lineRule="auto"/>
            </w:pPr>
          </w:p>
          <w:p w14:paraId="79DA832A">
            <w:pPr>
              <w:pStyle w:val="4"/>
              <w:spacing w:line="256" w:lineRule="auto"/>
            </w:pPr>
          </w:p>
          <w:p w14:paraId="0A8DBE8B">
            <w:pPr>
              <w:pStyle w:val="4"/>
              <w:spacing w:line="256" w:lineRule="auto"/>
            </w:pPr>
          </w:p>
          <w:p w14:paraId="4CDCE2EA">
            <w:pPr>
              <w:pStyle w:val="4"/>
              <w:spacing w:line="256" w:lineRule="auto"/>
            </w:pPr>
          </w:p>
          <w:p w14:paraId="49AF3B20">
            <w:pPr>
              <w:spacing w:before="65" w:line="271" w:lineRule="exact"/>
              <w:ind w:left="146" w:leftChars="0"/>
              <w:rPr>
                <w:rFonts w:hint="eastAsia" w:ascii="仿宋_GB2312" w:hAnsi="华文仿宋" w:eastAsia="仿宋_GB2312"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top"/>
          </w:tcPr>
          <w:p w14:paraId="149F969F">
            <w:pPr>
              <w:pStyle w:val="4"/>
              <w:rPr>
                <w:rFonts w:hint="eastAsia" w:ascii="仿宋_GB2312" w:hAnsi="宋体" w:eastAsia="仿宋_GB2312" w:cs="宋体"/>
                <w:color w:val="000000"/>
                <w:kern w:val="0"/>
                <w:szCs w:val="21"/>
              </w:rPr>
            </w:pPr>
            <w:r>
              <w:rPr>
                <w:rFonts w:ascii="FangSong_GB2312" w:hAnsi="FangSong_GB2312" w:eastAsia="FangSong_GB2312" w:cs="FangSong_GB2312"/>
                <w:position w:val="1"/>
                <w:sz w:val="20"/>
                <w:szCs w:val="20"/>
              </w:rPr>
              <w:t>√</w:t>
            </w:r>
          </w:p>
        </w:tc>
        <w:tc>
          <w:tcPr>
            <w:tcW w:w="426" w:type="dxa"/>
            <w:tcBorders>
              <w:top w:val="single" w:color="000000" w:sz="4" w:space="0"/>
              <w:left w:val="single" w:color="000000" w:sz="4" w:space="0"/>
              <w:bottom w:val="single" w:color="000000" w:sz="4" w:space="0"/>
              <w:right w:val="single" w:color="000000" w:sz="4" w:space="0"/>
            </w:tcBorders>
            <w:noWrap w:val="0"/>
            <w:vAlign w:val="top"/>
          </w:tcPr>
          <w:p w14:paraId="3C1A317B">
            <w:pPr>
              <w:pStyle w:val="4"/>
              <w:rPr>
                <w:rFonts w:hint="eastAsia" w:ascii="仿宋_GB2312" w:hAnsi="宋体" w:eastAsia="仿宋_GB2312" w:cs="宋体"/>
                <w:color w:val="000000"/>
                <w:kern w:val="0"/>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275AD77B">
            <w:pPr>
              <w:pStyle w:val="4"/>
              <w:spacing w:line="255" w:lineRule="auto"/>
            </w:pPr>
          </w:p>
          <w:p w14:paraId="307348FE">
            <w:pPr>
              <w:pStyle w:val="4"/>
              <w:spacing w:line="255" w:lineRule="auto"/>
            </w:pPr>
          </w:p>
          <w:p w14:paraId="64B74E66">
            <w:pPr>
              <w:pStyle w:val="4"/>
              <w:spacing w:line="255" w:lineRule="auto"/>
            </w:pPr>
          </w:p>
          <w:p w14:paraId="32EAF1CF">
            <w:pPr>
              <w:pStyle w:val="4"/>
              <w:spacing w:line="255" w:lineRule="auto"/>
            </w:pPr>
          </w:p>
          <w:p w14:paraId="5C832563">
            <w:pPr>
              <w:pStyle w:val="4"/>
              <w:spacing w:line="256" w:lineRule="auto"/>
            </w:pPr>
          </w:p>
          <w:p w14:paraId="2CD5A490">
            <w:pPr>
              <w:pStyle w:val="4"/>
              <w:spacing w:line="256" w:lineRule="auto"/>
            </w:pPr>
          </w:p>
          <w:p w14:paraId="150864B6">
            <w:pPr>
              <w:pStyle w:val="4"/>
              <w:spacing w:line="256" w:lineRule="auto"/>
            </w:pPr>
          </w:p>
          <w:p w14:paraId="5004EEB1">
            <w:pPr>
              <w:pStyle w:val="4"/>
              <w:spacing w:line="256" w:lineRule="auto"/>
            </w:pPr>
          </w:p>
          <w:p w14:paraId="0BA0FA09">
            <w:pPr>
              <w:spacing w:before="65" w:line="271" w:lineRule="exact"/>
              <w:ind w:left="154" w:leftChars="0"/>
              <w:rPr>
                <w:rFonts w:hint="eastAsia" w:ascii="仿宋_GB2312" w:hAnsi="华文仿宋" w:eastAsia="仿宋_GB2312"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top"/>
          </w:tcPr>
          <w:p w14:paraId="47A714AD">
            <w:pPr>
              <w:pStyle w:val="4"/>
              <w:rPr>
                <w:rFonts w:hint="eastAsia" w:ascii="仿宋_GB2312" w:hAnsi="宋体" w:eastAsia="仿宋_GB2312" w:cs="宋体"/>
                <w:color w:val="000000"/>
                <w:kern w:val="0"/>
                <w:szCs w:val="21"/>
              </w:rPr>
            </w:pPr>
            <w:r>
              <w:rPr>
                <w:rFonts w:ascii="FangSong_GB2312" w:hAnsi="FangSong_GB2312" w:eastAsia="FangSong_GB2312" w:cs="FangSong_GB2312"/>
                <w:position w:val="1"/>
                <w:sz w:val="20"/>
                <w:szCs w:val="20"/>
              </w:rPr>
              <w:t>√</w:t>
            </w:r>
          </w:p>
        </w:tc>
        <w:tc>
          <w:tcPr>
            <w:tcW w:w="426" w:type="dxa"/>
            <w:tcBorders>
              <w:top w:val="single" w:color="000000" w:sz="4" w:space="0"/>
              <w:left w:val="single" w:color="000000" w:sz="4" w:space="0"/>
              <w:bottom w:val="single" w:color="000000" w:sz="4" w:space="0"/>
              <w:right w:val="single" w:color="000000" w:sz="4" w:space="0"/>
            </w:tcBorders>
            <w:noWrap w:val="0"/>
            <w:vAlign w:val="top"/>
          </w:tcPr>
          <w:p w14:paraId="7906FDEE">
            <w:pPr>
              <w:pStyle w:val="4"/>
              <w:rPr>
                <w:rFonts w:hint="eastAsia" w:ascii="仿宋_GB2312" w:hAnsi="宋体" w:eastAsia="仿宋_GB2312" w:cs="宋体"/>
                <w:color w:val="000000"/>
                <w:kern w:val="0"/>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top"/>
          </w:tcPr>
          <w:p w14:paraId="413DED2F">
            <w:pPr>
              <w:pStyle w:val="4"/>
              <w:rPr>
                <w:rFonts w:hint="eastAsia" w:ascii="仿宋_GB2312" w:hAnsi="宋体" w:eastAsia="仿宋_GB2312" w:cs="宋体"/>
                <w:color w:val="000000"/>
                <w:kern w:val="0"/>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top"/>
          </w:tcPr>
          <w:p w14:paraId="591EBB83">
            <w:pPr>
              <w:pStyle w:val="4"/>
              <w:rPr>
                <w:rFonts w:hint="eastAsia" w:ascii="仿宋_GB2312" w:hAnsi="宋体" w:eastAsia="仿宋_GB2312" w:cs="宋体"/>
                <w:color w:val="000000"/>
                <w:kern w:val="0"/>
                <w:szCs w:val="21"/>
              </w:rPr>
            </w:pPr>
          </w:p>
        </w:tc>
      </w:tr>
    </w:tbl>
    <w:p w14:paraId="7FBB16CE">
      <w:pPr>
        <w:spacing w:line="20" w:lineRule="exact"/>
        <w:rPr>
          <w:rFonts w:ascii="仿宋_GB2312" w:hAnsi="仿宋_GB2312" w:eastAsia="仿宋_GB2312" w:cs="仿宋_GB2312"/>
          <w:sz w:val="32"/>
          <w:szCs w:val="32"/>
        </w:rPr>
      </w:pPr>
    </w:p>
    <w:p w14:paraId="43CF92F5"/>
    <w:sectPr>
      <w:pgSz w:w="16838" w:h="11906" w:orient="landscape"/>
      <w:pgMar w:top="1440" w:right="1800" w:bottom="1440" w:left="1800" w:header="851" w:footer="153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019CFD-8EDD-4098-9DE8-4581FB2A90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707E37-F279-4126-97B3-13B77306757F}"/>
  </w:font>
  <w:font w:name="方正小标宋简体">
    <w:panose1 w:val="02010600010101010101"/>
    <w:charset w:val="86"/>
    <w:family w:val="auto"/>
    <w:pitch w:val="default"/>
    <w:sig w:usb0="00000001" w:usb1="080E0000" w:usb2="00000000" w:usb3="00000000" w:csb0="00040000" w:csb1="00000000"/>
    <w:embedRegular r:id="rId3" w:fontKey="{1A6CAE17-BECC-476A-BB76-299E58D9B145}"/>
  </w:font>
  <w:font w:name="仿宋_GB2312">
    <w:panose1 w:val="02010609030101010101"/>
    <w:charset w:val="86"/>
    <w:family w:val="modern"/>
    <w:pitch w:val="default"/>
    <w:sig w:usb0="00000001" w:usb1="080E0000" w:usb2="00000000" w:usb3="00000000" w:csb0="00040000" w:csb1="00000000"/>
    <w:embedRegular r:id="rId4" w:fontKey="{1D542F9D-5C69-4FA7-9007-6F3EC532A1D7}"/>
  </w:font>
  <w:font w:name="FangSong_GB2312">
    <w:altName w:val="仿宋_GB2312"/>
    <w:panose1 w:val="02010609030101010101"/>
    <w:charset w:val="86"/>
    <w:family w:val="auto"/>
    <w:pitch w:val="default"/>
    <w:sig w:usb0="00000000" w:usb1="00000000" w:usb2="00000000" w:usb3="00000000" w:csb0="00040000" w:csb1="00000000"/>
    <w:embedRegular r:id="rId5" w:fontKey="{46F96F5C-FABF-4E39-9AFA-C7A5E2CEE1BF}"/>
  </w:font>
  <w:font w:name="仿宋">
    <w:panose1 w:val="02010609060101010101"/>
    <w:charset w:val="86"/>
    <w:family w:val="auto"/>
    <w:pitch w:val="default"/>
    <w:sig w:usb0="800002BF" w:usb1="38CF7CFA" w:usb2="00000016" w:usb3="00000000" w:csb0="00040001" w:csb1="00000000"/>
    <w:embedRegular r:id="rId6" w:fontKey="{3FAF5BF1-390B-4017-B805-28458008DA2D}"/>
  </w:font>
  <w:font w:name="华文仿宋">
    <w:panose1 w:val="02010600040101010101"/>
    <w:charset w:val="86"/>
    <w:family w:val="auto"/>
    <w:pitch w:val="default"/>
    <w:sig w:usb0="00000287" w:usb1="080F0000" w:usb2="00000000" w:usb3="00000000" w:csb0="0004009F" w:csb1="DFD70000"/>
    <w:embedRegular r:id="rId7" w:fontKey="{9F1C46AD-D27B-430B-B61B-95E3C63529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446BF"/>
    <w:rsid w:val="12E3403B"/>
    <w:rsid w:val="13F53078"/>
    <w:rsid w:val="228D4AAD"/>
    <w:rsid w:val="3AD43138"/>
    <w:rsid w:val="461C247B"/>
    <w:rsid w:val="4C150553"/>
    <w:rsid w:val="4D25678D"/>
    <w:rsid w:val="53CC2EBC"/>
    <w:rsid w:val="6D5910F7"/>
    <w:rsid w:val="74D84FF7"/>
    <w:rsid w:val="76016C28"/>
    <w:rsid w:val="7FDE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617</Words>
  <Characters>620</Characters>
  <Lines>0</Lines>
  <Paragraphs>0</Paragraphs>
  <TotalTime>3</TotalTime>
  <ScaleCrop>false</ScaleCrop>
  <LinksUpToDate>false</LinksUpToDate>
  <CharactersWithSpaces>623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2025-03-11T08:51:00Z</dcterms:created>
  <dc:creator>OS</dc:creator>
  <cp:lastModifiedBy>奔向天空中的鱼</cp:lastModifiedBy>
  <dcterms:modified xsi:type="dcterms:W3CDTF">2025-05-30T02:02:14Z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eyJoZGlkIjoiYzE2OTZkZTQ2NzI5ZWMwYWNlMzVhMTA1OWM0NGYyZDAiLCJ1c2VySWQiOiI0NDMzODA0OTUifQ==</vt:lpwstr>
  </property>
  <property fmtid="{D5CDD505-2E9C-101B-9397-08002B2CF9AE}" pid="4" name="ICV">
    <vt:lpwstr>0A4D59460906440089656BAEDA51E2CB_13</vt:lpwstr>
  </property>
</Properties>
</file>